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37" w:rsidRDefault="00D47837">
      <w:pPr>
        <w:jc w:val="center"/>
        <w:rPr>
          <w:b/>
        </w:rPr>
      </w:pPr>
      <w:bookmarkStart w:id="0" w:name="_GoBack"/>
      <w:bookmarkEnd w:id="0"/>
      <w:r>
        <w:rPr>
          <w:b/>
        </w:rPr>
        <w:t>Before the</w:t>
      </w:r>
    </w:p>
    <w:p w:rsidR="00D47837" w:rsidRDefault="00D47837">
      <w:pPr>
        <w:jc w:val="center"/>
        <w:rPr>
          <w:b/>
        </w:rPr>
      </w:pPr>
      <w:r>
        <w:rPr>
          <w:b/>
        </w:rPr>
        <w:t>Federal Communications Commission</w:t>
      </w:r>
    </w:p>
    <w:p w:rsidR="00D47837" w:rsidRDefault="00D47837">
      <w:pPr>
        <w:jc w:val="center"/>
        <w:rPr>
          <w:b/>
        </w:rPr>
      </w:pPr>
      <w:r>
        <w:rPr>
          <w:b/>
        </w:rPr>
        <w:t>Washington, D.C. 20554</w:t>
      </w:r>
    </w:p>
    <w:p w:rsidR="00D47837" w:rsidRDefault="00D47837"/>
    <w:tbl>
      <w:tblPr>
        <w:tblW w:w="0" w:type="auto"/>
        <w:tblLayout w:type="fixed"/>
        <w:tblLook w:val="0000" w:firstRow="0" w:lastRow="0" w:firstColumn="0" w:lastColumn="0" w:noHBand="0" w:noVBand="0"/>
      </w:tblPr>
      <w:tblGrid>
        <w:gridCol w:w="4698"/>
        <w:gridCol w:w="720"/>
        <w:gridCol w:w="4230"/>
      </w:tblGrid>
      <w:tr w:rsidR="00D47837">
        <w:tc>
          <w:tcPr>
            <w:tcW w:w="4698" w:type="dxa"/>
          </w:tcPr>
          <w:p w:rsidR="00D47837" w:rsidRDefault="00D47837">
            <w:pPr>
              <w:ind w:right="-18"/>
            </w:pPr>
            <w:r>
              <w:t>In the Matter of</w:t>
            </w:r>
          </w:p>
          <w:p w:rsidR="00D47837" w:rsidRDefault="00D47837">
            <w:pPr>
              <w:ind w:right="-18"/>
            </w:pPr>
          </w:p>
          <w:p w:rsidR="00D47837" w:rsidRDefault="008321DC">
            <w:pPr>
              <w:ind w:right="-18"/>
            </w:pPr>
            <w:r>
              <w:t>NOWATA PUBLIC SCHOOLS</w:t>
            </w:r>
          </w:p>
          <w:p w:rsidR="00D47837" w:rsidRDefault="00D47837">
            <w:pPr>
              <w:ind w:right="-18"/>
            </w:pPr>
          </w:p>
          <w:p w:rsidR="00D47837" w:rsidRDefault="00D47837" w:rsidP="008B5F88">
            <w:pPr>
              <w:ind w:right="-18"/>
            </w:pPr>
            <w:r>
              <w:t xml:space="preserve">Petition for </w:t>
            </w:r>
            <w:r w:rsidR="008321DC">
              <w:t>Reinstatement of License for Educational Broadband Service Call Sign WLX596 and Late-Filed Request for Extension of Substantial Service Deadline</w:t>
            </w:r>
            <w:r w:rsidR="008666E0">
              <w:t xml:space="preserve"> </w:t>
            </w:r>
          </w:p>
        </w:tc>
        <w:tc>
          <w:tcPr>
            <w:tcW w:w="720" w:type="dxa"/>
          </w:tcPr>
          <w:p w:rsidR="00D47837" w:rsidRDefault="00D47837">
            <w:pPr>
              <w:rPr>
                <w:b/>
              </w:rPr>
            </w:pPr>
            <w:r>
              <w:rPr>
                <w:b/>
              </w:rPr>
              <w:t>)</w:t>
            </w:r>
          </w:p>
          <w:p w:rsidR="00D47837" w:rsidRDefault="00D47837">
            <w:pPr>
              <w:rPr>
                <w:b/>
              </w:rPr>
            </w:pPr>
            <w:r>
              <w:rPr>
                <w:b/>
              </w:rPr>
              <w:t>)</w:t>
            </w:r>
          </w:p>
          <w:p w:rsidR="00D47837" w:rsidRDefault="00D47837">
            <w:pPr>
              <w:rPr>
                <w:b/>
              </w:rPr>
            </w:pPr>
            <w:r>
              <w:rPr>
                <w:b/>
              </w:rPr>
              <w:t>)</w:t>
            </w:r>
          </w:p>
          <w:p w:rsidR="00D47837" w:rsidRDefault="00D47837">
            <w:pPr>
              <w:rPr>
                <w:b/>
              </w:rPr>
            </w:pPr>
            <w:r>
              <w:rPr>
                <w:b/>
              </w:rPr>
              <w:t>)</w:t>
            </w:r>
          </w:p>
          <w:p w:rsidR="00D47837" w:rsidRDefault="00D47837">
            <w:pPr>
              <w:rPr>
                <w:b/>
              </w:rPr>
            </w:pPr>
            <w:r>
              <w:rPr>
                <w:b/>
              </w:rPr>
              <w:t>)</w:t>
            </w:r>
          </w:p>
          <w:p w:rsidR="00D47837" w:rsidRDefault="00D47837">
            <w:pPr>
              <w:rPr>
                <w:b/>
              </w:rPr>
            </w:pPr>
            <w:r>
              <w:rPr>
                <w:b/>
              </w:rPr>
              <w:t>)</w:t>
            </w:r>
          </w:p>
          <w:p w:rsidR="008321DC" w:rsidRDefault="008321DC">
            <w:pPr>
              <w:rPr>
                <w:b/>
              </w:rPr>
            </w:pPr>
            <w:r>
              <w:rPr>
                <w:b/>
              </w:rPr>
              <w:t>)</w:t>
            </w:r>
          </w:p>
          <w:p w:rsidR="00D47837" w:rsidRDefault="00D47837">
            <w:pPr>
              <w:rPr>
                <w:b/>
              </w:rPr>
            </w:pPr>
            <w:r>
              <w:rPr>
                <w:b/>
              </w:rPr>
              <w:t>)</w:t>
            </w:r>
          </w:p>
          <w:p w:rsidR="00E2124B" w:rsidRDefault="00E2124B">
            <w:pPr>
              <w:rPr>
                <w:b/>
              </w:rPr>
            </w:pPr>
            <w:r>
              <w:rPr>
                <w:b/>
              </w:rPr>
              <w:t>)</w:t>
            </w:r>
          </w:p>
        </w:tc>
        <w:tc>
          <w:tcPr>
            <w:tcW w:w="4230" w:type="dxa"/>
          </w:tcPr>
          <w:p w:rsidR="00D47837" w:rsidRDefault="00D47837"/>
          <w:p w:rsidR="00D47837" w:rsidRDefault="00D47837"/>
          <w:p w:rsidR="00D47837" w:rsidRDefault="00D47837" w:rsidP="00E565CA"/>
        </w:tc>
      </w:tr>
    </w:tbl>
    <w:p w:rsidR="00D47837" w:rsidRDefault="00D47837"/>
    <w:p w:rsidR="00D47837" w:rsidRDefault="00D47837">
      <w:pPr>
        <w:spacing w:before="120"/>
        <w:jc w:val="center"/>
        <w:rPr>
          <w:b/>
        </w:rPr>
      </w:pPr>
      <w:r>
        <w:rPr>
          <w:b/>
          <w:spacing w:val="-2"/>
        </w:rPr>
        <w:t xml:space="preserve">ORDER </w:t>
      </w:r>
      <w:r w:rsidR="003135FC">
        <w:rPr>
          <w:b/>
          <w:spacing w:val="-2"/>
        </w:rPr>
        <w:t>ON RECONSIDERATION</w:t>
      </w:r>
    </w:p>
    <w:p w:rsidR="00D47837" w:rsidRDefault="00D47837"/>
    <w:p w:rsidR="00D47837" w:rsidRDefault="001A1778">
      <w:pPr>
        <w:tabs>
          <w:tab w:val="left" w:pos="5760"/>
        </w:tabs>
        <w:rPr>
          <w:b/>
        </w:rPr>
      </w:pPr>
      <w:r>
        <w:rPr>
          <w:b/>
        </w:rPr>
        <w:t xml:space="preserve">Adopted:  </w:t>
      </w:r>
      <w:r w:rsidR="003135FC">
        <w:rPr>
          <w:b/>
        </w:rPr>
        <w:t xml:space="preserve">September </w:t>
      </w:r>
      <w:r w:rsidR="00372999">
        <w:rPr>
          <w:b/>
        </w:rPr>
        <w:t>24</w:t>
      </w:r>
      <w:r w:rsidR="00D47837">
        <w:rPr>
          <w:b/>
        </w:rPr>
        <w:t xml:space="preserve">, </w:t>
      </w:r>
      <w:r>
        <w:rPr>
          <w:b/>
        </w:rPr>
        <w:t>2013</w:t>
      </w:r>
      <w:r>
        <w:rPr>
          <w:b/>
        </w:rPr>
        <w:tab/>
      </w:r>
      <w:r w:rsidR="003135FC">
        <w:rPr>
          <w:b/>
        </w:rPr>
        <w:t xml:space="preserve">      </w:t>
      </w:r>
      <w:r>
        <w:rPr>
          <w:b/>
        </w:rPr>
        <w:t xml:space="preserve"> Released:  </w:t>
      </w:r>
      <w:r w:rsidR="003135FC">
        <w:rPr>
          <w:b/>
        </w:rPr>
        <w:t xml:space="preserve">September </w:t>
      </w:r>
      <w:r w:rsidR="00372999">
        <w:rPr>
          <w:b/>
        </w:rPr>
        <w:t>25</w:t>
      </w:r>
      <w:r>
        <w:rPr>
          <w:b/>
        </w:rPr>
        <w:t>, 2013</w:t>
      </w:r>
    </w:p>
    <w:p w:rsidR="00D47837" w:rsidRDefault="00D47837">
      <w:pPr>
        <w:tabs>
          <w:tab w:val="left" w:pos="5760"/>
        </w:tabs>
        <w:rPr>
          <w:b/>
        </w:rPr>
      </w:pPr>
    </w:p>
    <w:p w:rsidR="00D47837" w:rsidRDefault="00D47837">
      <w:pPr>
        <w:tabs>
          <w:tab w:val="left" w:pos="5760"/>
        </w:tabs>
      </w:pPr>
      <w:r>
        <w:t>By the Deputy Chief, Broadband Division, Wireless Telecommunications Bureau:</w:t>
      </w:r>
    </w:p>
    <w:p w:rsidR="00D47837" w:rsidRDefault="00D47837">
      <w:pPr>
        <w:tabs>
          <w:tab w:val="left" w:pos="5760"/>
        </w:tabs>
      </w:pPr>
    </w:p>
    <w:p w:rsidR="00D47837" w:rsidRDefault="00D47837">
      <w:pPr>
        <w:pStyle w:val="Heading1"/>
        <w:keepNext w:val="0"/>
      </w:pPr>
      <w:r>
        <w:t>introduction</w:t>
      </w:r>
    </w:p>
    <w:p w:rsidR="00D47837" w:rsidRDefault="00D47837">
      <w:pPr>
        <w:pStyle w:val="Heading3"/>
        <w:keepNext w:val="0"/>
        <w:widowControl/>
        <w:numPr>
          <w:ilvl w:val="0"/>
          <w:numId w:val="22"/>
        </w:numPr>
        <w:tabs>
          <w:tab w:val="clear" w:pos="1800"/>
          <w:tab w:val="num" w:pos="1440"/>
        </w:tabs>
        <w:ind w:left="0"/>
        <w:jc w:val="left"/>
        <w:rPr>
          <w:b w:val="0"/>
        </w:rPr>
      </w:pPr>
      <w:r>
        <w:rPr>
          <w:b w:val="0"/>
        </w:rPr>
        <w:t xml:space="preserve">In this </w:t>
      </w:r>
      <w:r w:rsidR="001A1778">
        <w:rPr>
          <w:b w:val="0"/>
          <w:i/>
        </w:rPr>
        <w:t>O</w:t>
      </w:r>
      <w:r>
        <w:rPr>
          <w:b w:val="0"/>
          <w:i/>
        </w:rPr>
        <w:t>rder</w:t>
      </w:r>
      <w:r w:rsidR="003135FC">
        <w:rPr>
          <w:b w:val="0"/>
          <w:i/>
        </w:rPr>
        <w:t xml:space="preserve"> on Reconsideration</w:t>
      </w:r>
      <w:r w:rsidR="008666E0">
        <w:rPr>
          <w:b w:val="0"/>
        </w:rPr>
        <w:t xml:space="preserve">, we </w:t>
      </w:r>
      <w:r w:rsidR="00CF08F9">
        <w:rPr>
          <w:b w:val="0"/>
        </w:rPr>
        <w:t xml:space="preserve">dismiss </w:t>
      </w:r>
      <w:r w:rsidR="0006628E">
        <w:rPr>
          <w:b w:val="0"/>
        </w:rPr>
        <w:t xml:space="preserve">a late filed petition for </w:t>
      </w:r>
      <w:r w:rsidR="00E2124B">
        <w:rPr>
          <w:b w:val="0"/>
        </w:rPr>
        <w:t xml:space="preserve">“reinstatement” </w:t>
      </w:r>
      <w:r w:rsidR="0006628E">
        <w:rPr>
          <w:b w:val="0"/>
        </w:rPr>
        <w:t xml:space="preserve">of </w:t>
      </w:r>
      <w:r w:rsidR="00E2124B">
        <w:rPr>
          <w:b w:val="0"/>
        </w:rPr>
        <w:t xml:space="preserve">an </w:t>
      </w:r>
      <w:r w:rsidR="008666E0">
        <w:rPr>
          <w:b w:val="0"/>
        </w:rPr>
        <w:t>Educational Broadband Service (EBS) license</w:t>
      </w:r>
      <w:r w:rsidR="00E2124B">
        <w:rPr>
          <w:b w:val="0"/>
        </w:rPr>
        <w:t xml:space="preserve"> that automatically terminated on November 1, 2011 for failure to demonstrate substantial service</w:t>
      </w:r>
      <w:r w:rsidR="0006628E">
        <w:rPr>
          <w:b w:val="0"/>
        </w:rPr>
        <w:t xml:space="preserve">, and dismiss a </w:t>
      </w:r>
      <w:r w:rsidR="008666E0">
        <w:rPr>
          <w:b w:val="0"/>
        </w:rPr>
        <w:t>request for extension of the now defunct license’s substantial service deadline</w:t>
      </w:r>
      <w:r>
        <w:rPr>
          <w:b w:val="0"/>
        </w:rPr>
        <w:t xml:space="preserve">.  </w:t>
      </w:r>
    </w:p>
    <w:p w:rsidR="00D47837" w:rsidRDefault="00D47837">
      <w:pPr>
        <w:pStyle w:val="Heading1"/>
        <w:keepNext w:val="0"/>
        <w:widowControl/>
      </w:pPr>
      <w:r>
        <w:t>background</w:t>
      </w:r>
    </w:p>
    <w:p w:rsidR="008A6879" w:rsidRDefault="00FD63ED" w:rsidP="00F440EB">
      <w:pPr>
        <w:pStyle w:val="Heading3"/>
        <w:keepNext w:val="0"/>
        <w:widowControl/>
        <w:numPr>
          <w:ilvl w:val="0"/>
          <w:numId w:val="22"/>
        </w:numPr>
        <w:tabs>
          <w:tab w:val="clear" w:pos="1800"/>
          <w:tab w:val="num" w:pos="1440"/>
        </w:tabs>
        <w:ind w:left="0"/>
        <w:jc w:val="left"/>
        <w:rPr>
          <w:b w:val="0"/>
        </w:rPr>
      </w:pPr>
      <w:r w:rsidRPr="008A6879">
        <w:rPr>
          <w:b w:val="0"/>
        </w:rPr>
        <w:t>O</w:t>
      </w:r>
      <w:r w:rsidR="002F3095" w:rsidRPr="008A6879">
        <w:rPr>
          <w:b w:val="0"/>
        </w:rPr>
        <w:t>n</w:t>
      </w:r>
      <w:r w:rsidR="0006628E" w:rsidRPr="008A6879">
        <w:rPr>
          <w:b w:val="0"/>
        </w:rPr>
        <w:t xml:space="preserve"> </w:t>
      </w:r>
      <w:r w:rsidRPr="008A6879">
        <w:rPr>
          <w:b w:val="0"/>
        </w:rPr>
        <w:t xml:space="preserve">July 13, </w:t>
      </w:r>
      <w:r w:rsidR="0006628E" w:rsidRPr="008A6879">
        <w:rPr>
          <w:b w:val="0"/>
        </w:rPr>
        <w:t>1992</w:t>
      </w:r>
      <w:r w:rsidR="00D47837" w:rsidRPr="008A6879">
        <w:rPr>
          <w:b w:val="0"/>
        </w:rPr>
        <w:t xml:space="preserve">, </w:t>
      </w:r>
      <w:r w:rsidR="004E44CB" w:rsidRPr="008A6879">
        <w:rPr>
          <w:b w:val="0"/>
        </w:rPr>
        <w:t>the petitioner, Nowata Public Schools (Nowata)</w:t>
      </w:r>
      <w:r w:rsidR="00E2124B" w:rsidRPr="008A6879">
        <w:rPr>
          <w:b w:val="0"/>
        </w:rPr>
        <w:t>,</w:t>
      </w:r>
      <w:r w:rsidR="004E44CB" w:rsidRPr="008A6879">
        <w:rPr>
          <w:b w:val="0"/>
        </w:rPr>
        <w:t xml:space="preserve"> received a new license </w:t>
      </w:r>
      <w:r w:rsidR="00D47837" w:rsidRPr="008A6879">
        <w:rPr>
          <w:b w:val="0"/>
        </w:rPr>
        <w:t xml:space="preserve">for </w:t>
      </w:r>
      <w:r w:rsidR="004E44CB" w:rsidRPr="008A6879">
        <w:rPr>
          <w:b w:val="0"/>
        </w:rPr>
        <w:t>EBS Station WLX596</w:t>
      </w:r>
      <w:r w:rsidR="00D47837" w:rsidRPr="008A6879">
        <w:rPr>
          <w:b w:val="0"/>
        </w:rPr>
        <w:t xml:space="preserve"> (the Station).</w:t>
      </w:r>
      <w:r w:rsidR="00D47837">
        <w:rPr>
          <w:rStyle w:val="FootnoteReference"/>
          <w:b w:val="0"/>
        </w:rPr>
        <w:footnoteReference w:id="2"/>
      </w:r>
      <w:r w:rsidR="00D47837" w:rsidRPr="008A6879">
        <w:rPr>
          <w:b w:val="0"/>
        </w:rPr>
        <w:t xml:space="preserve">  </w:t>
      </w:r>
      <w:r w:rsidR="00F440EB" w:rsidRPr="008A6879">
        <w:rPr>
          <w:b w:val="0"/>
        </w:rPr>
        <w:t>On April 27, 2006, the Commission adopted new construction requirements applicable to all Broadband Radio Service (BRS) and EBS licensees, which were codified at Section 27.14(o) of the Commission’s Rules.</w:t>
      </w:r>
      <w:r w:rsidR="00F440EB" w:rsidRPr="00F440EB">
        <w:rPr>
          <w:rStyle w:val="FootnoteReference"/>
          <w:b w:val="0"/>
        </w:rPr>
        <w:footnoteReference w:id="3"/>
      </w:r>
      <w:r w:rsidR="00F440EB" w:rsidRPr="008A6879">
        <w:rPr>
          <w:b w:val="0"/>
        </w:rPr>
        <w:t xml:space="preserve">  Under Section 27.14(o), all BRS and EBS licensees were required to demonstrate substantial service on or before May 1, 2011,</w:t>
      </w:r>
      <w:r w:rsidR="00F440EB" w:rsidRPr="00F440EB">
        <w:rPr>
          <w:rStyle w:val="FootnoteReference"/>
          <w:b w:val="0"/>
        </w:rPr>
        <w:footnoteReference w:id="4"/>
      </w:r>
      <w:r w:rsidR="00F440EB" w:rsidRPr="008A6879">
        <w:rPr>
          <w:b w:val="0"/>
        </w:rPr>
        <w:t xml:space="preserve"> which the Wireless Telecommunications Bureau (“Bureau”) subsequently extended for all EBS licensees to November 1, 2011.</w:t>
      </w:r>
      <w:r w:rsidR="00F440EB" w:rsidRPr="00F440EB">
        <w:rPr>
          <w:rStyle w:val="FootnoteReference"/>
          <w:b w:val="0"/>
        </w:rPr>
        <w:footnoteReference w:id="5"/>
      </w:r>
      <w:r w:rsidR="00F440EB" w:rsidRPr="008A6879">
        <w:rPr>
          <w:b w:val="0"/>
        </w:rPr>
        <w:t xml:space="preserve">  </w:t>
      </w:r>
      <w:r w:rsidR="003F23B6" w:rsidRPr="008A6879">
        <w:rPr>
          <w:b w:val="0"/>
        </w:rPr>
        <w:t>On</w:t>
      </w:r>
      <w:r w:rsidR="00342D92" w:rsidRPr="008A6879">
        <w:rPr>
          <w:b w:val="0"/>
        </w:rPr>
        <w:t xml:space="preserve"> February 1, 2011, the Bureau sent Nowata</w:t>
      </w:r>
      <w:r w:rsidR="00D47837" w:rsidRPr="008A6879">
        <w:rPr>
          <w:b w:val="0"/>
        </w:rPr>
        <w:t xml:space="preserve"> a construction/coverage reminder letter.</w:t>
      </w:r>
      <w:r w:rsidR="00D47837">
        <w:rPr>
          <w:rStyle w:val="FootnoteReference"/>
          <w:b w:val="0"/>
        </w:rPr>
        <w:footnoteReference w:id="6"/>
      </w:r>
      <w:r w:rsidR="001E0A74" w:rsidRPr="008A6879">
        <w:rPr>
          <w:b w:val="0"/>
        </w:rPr>
        <w:t xml:space="preserve">  </w:t>
      </w:r>
    </w:p>
    <w:p w:rsidR="0001701F" w:rsidRPr="008A6879" w:rsidRDefault="000C1847" w:rsidP="00F440EB">
      <w:pPr>
        <w:pStyle w:val="Heading3"/>
        <w:keepNext w:val="0"/>
        <w:widowControl/>
        <w:numPr>
          <w:ilvl w:val="0"/>
          <w:numId w:val="22"/>
        </w:numPr>
        <w:tabs>
          <w:tab w:val="clear" w:pos="1800"/>
          <w:tab w:val="num" w:pos="1440"/>
        </w:tabs>
        <w:ind w:left="0"/>
        <w:jc w:val="left"/>
        <w:rPr>
          <w:b w:val="0"/>
        </w:rPr>
      </w:pPr>
      <w:r w:rsidRPr="008A6879">
        <w:rPr>
          <w:b w:val="0"/>
        </w:rPr>
        <w:t xml:space="preserve">Nowata did not file a construction notification or request for extension of the substantial service deadline.  </w:t>
      </w:r>
      <w:r w:rsidR="001E0A74" w:rsidRPr="008A6879">
        <w:rPr>
          <w:b w:val="0"/>
        </w:rPr>
        <w:t>On December 7, 2011</w:t>
      </w:r>
      <w:r w:rsidR="00D47837" w:rsidRPr="008A6879">
        <w:rPr>
          <w:b w:val="0"/>
        </w:rPr>
        <w:t xml:space="preserve">, </w:t>
      </w:r>
      <w:r w:rsidR="008A6879">
        <w:rPr>
          <w:b w:val="0"/>
        </w:rPr>
        <w:t xml:space="preserve">a </w:t>
      </w:r>
      <w:r w:rsidR="00CF08F9">
        <w:rPr>
          <w:b w:val="0"/>
        </w:rPr>
        <w:t>license auto-termination letter</w:t>
      </w:r>
      <w:r w:rsidR="00D47837" w:rsidRPr="008A6879">
        <w:rPr>
          <w:b w:val="0"/>
        </w:rPr>
        <w:t xml:space="preserve"> w</w:t>
      </w:r>
      <w:r w:rsidR="008A6879">
        <w:rPr>
          <w:b w:val="0"/>
        </w:rPr>
        <w:t>as</w:t>
      </w:r>
      <w:r w:rsidR="00D47837" w:rsidRPr="008A6879">
        <w:rPr>
          <w:b w:val="0"/>
        </w:rPr>
        <w:t xml:space="preserve"> sent</w:t>
      </w:r>
      <w:r w:rsidR="00D47837">
        <w:rPr>
          <w:rStyle w:val="FootnoteReference"/>
          <w:b w:val="0"/>
        </w:rPr>
        <w:footnoteReference w:id="7"/>
      </w:r>
      <w:r w:rsidR="00D47837" w:rsidRPr="008A6879">
        <w:rPr>
          <w:b w:val="0"/>
        </w:rPr>
        <w:t xml:space="preserve"> and the Station </w:t>
      </w:r>
      <w:r w:rsidR="00D47837" w:rsidRPr="008A6879">
        <w:rPr>
          <w:b w:val="0"/>
        </w:rPr>
        <w:lastRenderedPageBreak/>
        <w:t>entered termination pending status.</w:t>
      </w:r>
      <w:r w:rsidR="009A0D6E">
        <w:rPr>
          <w:rStyle w:val="FootnoteReference"/>
          <w:b w:val="0"/>
        </w:rPr>
        <w:footnoteReference w:id="8"/>
      </w:r>
      <w:r w:rsidR="009A0D6E" w:rsidRPr="008A6879">
        <w:rPr>
          <w:b w:val="0"/>
        </w:rPr>
        <w:t xml:space="preserve"> </w:t>
      </w:r>
      <w:r w:rsidR="00D47837" w:rsidRPr="008A6879">
        <w:rPr>
          <w:b w:val="0"/>
        </w:rPr>
        <w:t xml:space="preserve">  Accordingly, on the same day, the Bureau provided public notice of the pending license termination.</w:t>
      </w:r>
      <w:r w:rsidR="00D47837">
        <w:rPr>
          <w:rStyle w:val="FootnoteReference"/>
          <w:b w:val="0"/>
        </w:rPr>
        <w:footnoteReference w:id="9"/>
      </w:r>
      <w:r w:rsidR="00D47837" w:rsidRPr="008A6879">
        <w:rPr>
          <w:b w:val="0"/>
        </w:rPr>
        <w:t xml:space="preserve">  On </w:t>
      </w:r>
      <w:r w:rsidR="00307A80" w:rsidRPr="008A6879">
        <w:rPr>
          <w:b w:val="0"/>
        </w:rPr>
        <w:t>February 12</w:t>
      </w:r>
      <w:r w:rsidR="00D47837" w:rsidRPr="008A6879">
        <w:rPr>
          <w:b w:val="0"/>
        </w:rPr>
        <w:t xml:space="preserve">, 2012, </w:t>
      </w:r>
      <w:r w:rsidRPr="008A6879">
        <w:rPr>
          <w:b w:val="0"/>
        </w:rPr>
        <w:t xml:space="preserve">the Universal Licensing System was updated to reflect that </w:t>
      </w:r>
      <w:r w:rsidR="00307A80" w:rsidRPr="008A6879">
        <w:rPr>
          <w:b w:val="0"/>
        </w:rPr>
        <w:t xml:space="preserve">the license </w:t>
      </w:r>
      <w:r w:rsidRPr="008A6879">
        <w:rPr>
          <w:b w:val="0"/>
        </w:rPr>
        <w:t xml:space="preserve">for the Station </w:t>
      </w:r>
      <w:r w:rsidR="00307A80" w:rsidRPr="008A6879">
        <w:rPr>
          <w:b w:val="0"/>
        </w:rPr>
        <w:t>terminated</w:t>
      </w:r>
      <w:r w:rsidRPr="008A6879">
        <w:rPr>
          <w:b w:val="0"/>
        </w:rPr>
        <w:t xml:space="preserve"> as of November 1, 2011</w:t>
      </w:r>
      <w:r w:rsidR="00307A80" w:rsidRPr="008A6879">
        <w:rPr>
          <w:b w:val="0"/>
        </w:rPr>
        <w:t xml:space="preserve">.  </w:t>
      </w:r>
    </w:p>
    <w:p w:rsidR="008A6879" w:rsidRDefault="00307A80" w:rsidP="00F440EB">
      <w:pPr>
        <w:pStyle w:val="Heading3"/>
        <w:keepNext w:val="0"/>
        <w:widowControl/>
        <w:numPr>
          <w:ilvl w:val="0"/>
          <w:numId w:val="22"/>
        </w:numPr>
        <w:tabs>
          <w:tab w:val="clear" w:pos="1800"/>
          <w:tab w:val="num" w:pos="1440"/>
        </w:tabs>
        <w:ind w:left="0"/>
        <w:jc w:val="left"/>
        <w:rPr>
          <w:b w:val="0"/>
          <w:color w:val="000000"/>
        </w:rPr>
      </w:pPr>
      <w:r w:rsidRPr="00F440EB">
        <w:rPr>
          <w:b w:val="0"/>
        </w:rPr>
        <w:t xml:space="preserve">On August 27, 2013, Nowata filed the instant request for reinstatement </w:t>
      </w:r>
      <w:r w:rsidR="002F3095" w:rsidRPr="0001701F">
        <w:rPr>
          <w:b w:val="0"/>
          <w:color w:val="000000"/>
        </w:rPr>
        <w:t xml:space="preserve">of its license </w:t>
      </w:r>
      <w:r w:rsidRPr="00F440EB">
        <w:rPr>
          <w:b w:val="0"/>
        </w:rPr>
        <w:t>and late-filed request for an extension of the construction deadline</w:t>
      </w:r>
      <w:r w:rsidR="002F3095">
        <w:rPr>
          <w:b w:val="0"/>
        </w:rPr>
        <w:t xml:space="preserve"> seeking </w:t>
      </w:r>
      <w:r w:rsidR="001E0A74">
        <w:rPr>
          <w:b w:val="0"/>
          <w:color w:val="000000"/>
        </w:rPr>
        <w:t>and a six-</w:t>
      </w:r>
      <w:r w:rsidR="002F3095" w:rsidRPr="0001701F">
        <w:rPr>
          <w:b w:val="0"/>
          <w:color w:val="000000"/>
        </w:rPr>
        <w:t>month period to construct its license</w:t>
      </w:r>
      <w:r w:rsidR="00D47837" w:rsidRPr="00F440EB">
        <w:rPr>
          <w:b w:val="0"/>
        </w:rPr>
        <w:t>.</w:t>
      </w:r>
      <w:r>
        <w:rPr>
          <w:rStyle w:val="FootnoteReference"/>
          <w:b w:val="0"/>
        </w:rPr>
        <w:footnoteReference w:id="10"/>
      </w:r>
      <w:r w:rsidR="0001701F">
        <w:rPr>
          <w:b w:val="0"/>
        </w:rPr>
        <w:t xml:space="preserve">  </w:t>
      </w:r>
      <w:r w:rsidR="0001701F" w:rsidRPr="0001701F">
        <w:rPr>
          <w:b w:val="0"/>
          <w:color w:val="000000"/>
        </w:rPr>
        <w:t>Nowata states that it originally entered into a lease agreement with Heartland Wireless (which later became Nucentrix Spectrum Networks, Inc.) for the construction of its facilities.</w:t>
      </w:r>
      <w:r w:rsidR="001E0A74">
        <w:rPr>
          <w:rStyle w:val="FootnoteReference"/>
          <w:b w:val="0"/>
          <w:color w:val="000000"/>
        </w:rPr>
        <w:footnoteReference w:id="11"/>
      </w:r>
      <w:r w:rsidR="0001701F" w:rsidRPr="0001701F">
        <w:rPr>
          <w:b w:val="0"/>
          <w:color w:val="000000"/>
        </w:rPr>
        <w:t xml:space="preserve">  After Nucentrix’s bankruptcy, </w:t>
      </w:r>
      <w:r w:rsidR="002F3095">
        <w:rPr>
          <w:b w:val="0"/>
          <w:color w:val="000000"/>
        </w:rPr>
        <w:t xml:space="preserve">in 2010, </w:t>
      </w:r>
      <w:r w:rsidR="0001701F" w:rsidRPr="0001701F">
        <w:rPr>
          <w:b w:val="0"/>
          <w:color w:val="000000"/>
        </w:rPr>
        <w:t>Nowata then entered into a new lease agreement with Xanadoo EBS Spectrum Holdings, LLC (Xanadoo), again, for the construction of its facilities.</w:t>
      </w:r>
      <w:r w:rsidR="001E0A74">
        <w:rPr>
          <w:rStyle w:val="FootnoteReference"/>
          <w:b w:val="0"/>
          <w:color w:val="000000"/>
        </w:rPr>
        <w:footnoteReference w:id="12"/>
      </w:r>
      <w:r w:rsidR="001E0A74" w:rsidRPr="0001701F">
        <w:rPr>
          <w:b w:val="0"/>
          <w:color w:val="000000"/>
        </w:rPr>
        <w:t xml:space="preserve"> </w:t>
      </w:r>
      <w:r w:rsidR="0001701F" w:rsidRPr="0001701F">
        <w:rPr>
          <w:b w:val="0"/>
          <w:color w:val="000000"/>
        </w:rPr>
        <w:t xml:space="preserve">  Xanadoo also encountered financial difficulties and failed to construct Nowata’s license by the required deadline of November 1, 2011.</w:t>
      </w:r>
      <w:r w:rsidR="001E0A74">
        <w:rPr>
          <w:rStyle w:val="FootnoteReference"/>
          <w:b w:val="0"/>
          <w:color w:val="000000"/>
        </w:rPr>
        <w:footnoteReference w:id="13"/>
      </w:r>
      <w:r w:rsidR="001E0A74" w:rsidRPr="0001701F">
        <w:rPr>
          <w:b w:val="0"/>
          <w:color w:val="000000"/>
        </w:rPr>
        <w:t xml:space="preserve"> </w:t>
      </w:r>
      <w:r w:rsidR="0001701F" w:rsidRPr="0001701F">
        <w:rPr>
          <w:b w:val="0"/>
          <w:color w:val="000000"/>
        </w:rPr>
        <w:t xml:space="preserve">  Nowata states that </w:t>
      </w:r>
      <w:r w:rsidR="00567F5F">
        <w:rPr>
          <w:b w:val="0"/>
          <w:color w:val="000000"/>
        </w:rPr>
        <w:t xml:space="preserve">Fred Bailey, </w:t>
      </w:r>
      <w:r w:rsidR="0001701F" w:rsidRPr="0001701F">
        <w:rPr>
          <w:b w:val="0"/>
          <w:color w:val="000000"/>
        </w:rPr>
        <w:t>its former Superintendent</w:t>
      </w:r>
      <w:r w:rsidR="00567F5F">
        <w:rPr>
          <w:b w:val="0"/>
          <w:color w:val="000000"/>
        </w:rPr>
        <w:t xml:space="preserve"> who was in charge of preservation of its EBS license</w:t>
      </w:r>
      <w:r w:rsidR="0001701F" w:rsidRPr="0001701F">
        <w:rPr>
          <w:b w:val="0"/>
          <w:color w:val="000000"/>
        </w:rPr>
        <w:t xml:space="preserve">, retired </w:t>
      </w:r>
      <w:r w:rsidR="00567F5F">
        <w:rPr>
          <w:b w:val="0"/>
          <w:color w:val="000000"/>
        </w:rPr>
        <w:t>on June 8, 2012 and</w:t>
      </w:r>
      <w:r w:rsidR="0001701F" w:rsidRPr="0001701F">
        <w:rPr>
          <w:b w:val="0"/>
          <w:color w:val="000000"/>
        </w:rPr>
        <w:t xml:space="preserve"> did not inform members </w:t>
      </w:r>
      <w:r w:rsidR="00D30D30">
        <w:rPr>
          <w:b w:val="0"/>
          <w:color w:val="000000"/>
        </w:rPr>
        <w:t xml:space="preserve">of the Board of Education </w:t>
      </w:r>
      <w:r w:rsidR="0001701F" w:rsidRPr="0001701F">
        <w:rPr>
          <w:b w:val="0"/>
          <w:color w:val="000000"/>
        </w:rPr>
        <w:t xml:space="preserve">of </w:t>
      </w:r>
      <w:r w:rsidR="00567F5F">
        <w:rPr>
          <w:b w:val="0"/>
          <w:color w:val="000000"/>
        </w:rPr>
        <w:t xml:space="preserve">Xanadoo’s failure to construct or </w:t>
      </w:r>
      <w:r w:rsidR="00D30D30">
        <w:rPr>
          <w:b w:val="0"/>
          <w:color w:val="000000"/>
        </w:rPr>
        <w:t xml:space="preserve">to </w:t>
      </w:r>
      <w:r w:rsidR="0001701F" w:rsidRPr="0001701F">
        <w:rPr>
          <w:b w:val="0"/>
          <w:color w:val="000000"/>
        </w:rPr>
        <w:t>take any action to preserve Nowata’s</w:t>
      </w:r>
      <w:r w:rsidR="00567F5F">
        <w:rPr>
          <w:b w:val="0"/>
          <w:color w:val="000000"/>
        </w:rPr>
        <w:t xml:space="preserve"> EBS license.</w:t>
      </w:r>
      <w:r w:rsidR="001E0A74">
        <w:rPr>
          <w:rStyle w:val="FootnoteReference"/>
          <w:b w:val="0"/>
          <w:color w:val="000000"/>
        </w:rPr>
        <w:footnoteReference w:id="14"/>
      </w:r>
      <w:r w:rsidR="001E0A74" w:rsidRPr="0001701F">
        <w:rPr>
          <w:b w:val="0"/>
          <w:color w:val="000000"/>
        </w:rPr>
        <w:t xml:space="preserve"> </w:t>
      </w:r>
      <w:r w:rsidR="00567F5F">
        <w:rPr>
          <w:b w:val="0"/>
          <w:color w:val="000000"/>
        </w:rPr>
        <w:t xml:space="preserve">  Nowata also stat</w:t>
      </w:r>
      <w:r w:rsidR="0001701F" w:rsidRPr="0001701F">
        <w:rPr>
          <w:b w:val="0"/>
          <w:color w:val="000000"/>
        </w:rPr>
        <w:t>es that</w:t>
      </w:r>
      <w:r w:rsidR="0001701F">
        <w:rPr>
          <w:b w:val="0"/>
          <w:color w:val="000000"/>
        </w:rPr>
        <w:t xml:space="preserve"> </w:t>
      </w:r>
      <w:r w:rsidR="00567F5F">
        <w:rPr>
          <w:b w:val="0"/>
          <w:color w:val="000000"/>
        </w:rPr>
        <w:t>Mr. Bailey’s failure to preserve the license was brought to its attention by Wave Wireless, LLC, with whom it has entered into a new leasing agreement for the construction of its EBS facilities within six months of the reinstatement of its license.</w:t>
      </w:r>
      <w:r w:rsidR="001E0A74">
        <w:rPr>
          <w:rStyle w:val="FootnoteReference"/>
          <w:b w:val="0"/>
          <w:color w:val="000000"/>
        </w:rPr>
        <w:footnoteReference w:id="15"/>
      </w:r>
      <w:r w:rsidR="001E0A74" w:rsidRPr="0001701F">
        <w:rPr>
          <w:b w:val="0"/>
          <w:color w:val="000000"/>
        </w:rPr>
        <w:t xml:space="preserve"> </w:t>
      </w:r>
      <w:r w:rsidR="00CB7468">
        <w:rPr>
          <w:b w:val="0"/>
          <w:color w:val="000000"/>
        </w:rPr>
        <w:t xml:space="preserve">  Nowata argues that its unique circumstances, </w:t>
      </w:r>
      <w:r w:rsidR="0059149A">
        <w:rPr>
          <w:b w:val="0"/>
          <w:i/>
          <w:color w:val="000000"/>
        </w:rPr>
        <w:t>i.e.</w:t>
      </w:r>
      <w:r w:rsidR="0059149A">
        <w:rPr>
          <w:b w:val="0"/>
          <w:color w:val="000000"/>
        </w:rPr>
        <w:t>,</w:t>
      </w:r>
      <w:r w:rsidR="0059149A">
        <w:rPr>
          <w:b w:val="0"/>
          <w:i/>
          <w:color w:val="000000"/>
        </w:rPr>
        <w:t xml:space="preserve"> </w:t>
      </w:r>
      <w:r w:rsidR="00CB7468">
        <w:rPr>
          <w:b w:val="0"/>
          <w:color w:val="000000"/>
        </w:rPr>
        <w:t>the failure of an employee to properly perform his responsibilities, justifies a waiver pursuant to section 1.925 of the Commission’s Rules.</w:t>
      </w:r>
      <w:r w:rsidR="001E0A74">
        <w:rPr>
          <w:rStyle w:val="FootnoteReference"/>
          <w:b w:val="0"/>
          <w:color w:val="000000"/>
        </w:rPr>
        <w:footnoteReference w:id="16"/>
      </w:r>
      <w:r w:rsidR="001E0A74" w:rsidRPr="0001701F">
        <w:rPr>
          <w:b w:val="0"/>
          <w:color w:val="000000"/>
        </w:rPr>
        <w:t xml:space="preserve"> </w:t>
      </w:r>
      <w:r w:rsidR="00CB7468">
        <w:rPr>
          <w:b w:val="0"/>
          <w:color w:val="000000"/>
        </w:rPr>
        <w:t xml:space="preserve">  It further argues that it qualifies for an extension of the substantial service deadline pursuant to section 1.946(e)(1) </w:t>
      </w:r>
      <w:r w:rsidR="00D30D30">
        <w:rPr>
          <w:b w:val="0"/>
          <w:color w:val="000000"/>
        </w:rPr>
        <w:t xml:space="preserve">of the Commission’s Rules </w:t>
      </w:r>
      <w:r w:rsidR="00CB7468">
        <w:rPr>
          <w:b w:val="0"/>
          <w:color w:val="000000"/>
        </w:rPr>
        <w:t>because it has experienced circumstances beyond the Board’s control.</w:t>
      </w:r>
      <w:r w:rsidR="001E0A74">
        <w:rPr>
          <w:rStyle w:val="FootnoteReference"/>
          <w:b w:val="0"/>
          <w:color w:val="000000"/>
        </w:rPr>
        <w:footnoteReference w:id="17"/>
      </w:r>
      <w:r w:rsidR="001E0A74" w:rsidRPr="0001701F">
        <w:rPr>
          <w:b w:val="0"/>
          <w:color w:val="000000"/>
        </w:rPr>
        <w:t xml:space="preserve"> </w:t>
      </w:r>
      <w:r w:rsidR="00CB7468">
        <w:rPr>
          <w:b w:val="0"/>
          <w:color w:val="000000"/>
        </w:rPr>
        <w:t xml:space="preserve">  </w:t>
      </w:r>
    </w:p>
    <w:p w:rsidR="00D47837" w:rsidRDefault="008A6879" w:rsidP="008A6879">
      <w:pPr>
        <w:pStyle w:val="Heading1"/>
      </w:pPr>
      <w:r>
        <w:rPr>
          <w:color w:val="000000"/>
        </w:rPr>
        <w:br w:type="page"/>
      </w:r>
      <w:r w:rsidR="00D47837">
        <w:lastRenderedPageBreak/>
        <w:t>discussion</w:t>
      </w:r>
    </w:p>
    <w:p w:rsidR="00EC6444" w:rsidRPr="00255509" w:rsidRDefault="001D205C" w:rsidP="00255509">
      <w:pPr>
        <w:pStyle w:val="Heading3"/>
        <w:keepNext w:val="0"/>
        <w:widowControl/>
        <w:numPr>
          <w:ilvl w:val="0"/>
          <w:numId w:val="22"/>
        </w:numPr>
        <w:tabs>
          <w:tab w:val="clear" w:pos="1800"/>
          <w:tab w:val="num" w:pos="1440"/>
        </w:tabs>
        <w:ind w:left="0"/>
        <w:jc w:val="left"/>
        <w:rPr>
          <w:b w:val="0"/>
        </w:rPr>
      </w:pPr>
      <w:r>
        <w:rPr>
          <w:b w:val="0"/>
          <w:szCs w:val="22"/>
        </w:rPr>
        <w:t xml:space="preserve">We will dismiss Nowata’s Petition as untimely.  </w:t>
      </w:r>
      <w:r w:rsidR="009A0D6E">
        <w:rPr>
          <w:b w:val="0"/>
          <w:szCs w:val="22"/>
        </w:rPr>
        <w:t>The Commission has eliminated</w:t>
      </w:r>
      <w:r w:rsidR="00EC6444" w:rsidRPr="001035C5">
        <w:rPr>
          <w:b w:val="0"/>
          <w:szCs w:val="22"/>
        </w:rPr>
        <w:t xml:space="preserve"> reinstatement </w:t>
      </w:r>
      <w:r w:rsidR="009A0D6E">
        <w:rPr>
          <w:b w:val="0"/>
          <w:szCs w:val="22"/>
        </w:rPr>
        <w:t xml:space="preserve">for wireless licenses, including </w:t>
      </w:r>
      <w:r w:rsidR="00EC6444" w:rsidRPr="001035C5">
        <w:rPr>
          <w:b w:val="0"/>
          <w:szCs w:val="22"/>
        </w:rPr>
        <w:t>EBS licenses.</w:t>
      </w:r>
      <w:r w:rsidR="00684A32">
        <w:rPr>
          <w:rStyle w:val="FootnoteReference"/>
          <w:b w:val="0"/>
          <w:szCs w:val="22"/>
        </w:rPr>
        <w:footnoteReference w:id="18"/>
      </w:r>
      <w:r w:rsidR="00EC6444" w:rsidRPr="001035C5">
        <w:rPr>
          <w:b w:val="0"/>
          <w:szCs w:val="22"/>
        </w:rPr>
        <w:t xml:space="preserve">  Therefore, we will treat Nowata’s </w:t>
      </w:r>
      <w:r w:rsidR="008A6879">
        <w:rPr>
          <w:b w:val="0"/>
          <w:szCs w:val="22"/>
        </w:rPr>
        <w:t xml:space="preserve">filing </w:t>
      </w:r>
      <w:r w:rsidR="00EC6444" w:rsidRPr="001035C5">
        <w:rPr>
          <w:b w:val="0"/>
          <w:szCs w:val="22"/>
        </w:rPr>
        <w:t xml:space="preserve">as a </w:t>
      </w:r>
      <w:r>
        <w:rPr>
          <w:b w:val="0"/>
          <w:szCs w:val="22"/>
        </w:rPr>
        <w:t>p</w:t>
      </w:r>
      <w:r w:rsidR="00EC6444" w:rsidRPr="001035C5">
        <w:rPr>
          <w:b w:val="0"/>
          <w:szCs w:val="22"/>
        </w:rPr>
        <w:t xml:space="preserve">etition for </w:t>
      </w:r>
      <w:r>
        <w:rPr>
          <w:b w:val="0"/>
          <w:szCs w:val="22"/>
        </w:rPr>
        <w:t>r</w:t>
      </w:r>
      <w:r w:rsidR="00EC6444" w:rsidRPr="001035C5">
        <w:rPr>
          <w:b w:val="0"/>
          <w:szCs w:val="22"/>
        </w:rPr>
        <w:t xml:space="preserve">econsideration of the termination of Nowata’s license due to its failure to meet the build-out requirements.  </w:t>
      </w:r>
      <w:r w:rsidR="00D47837">
        <w:rPr>
          <w:b w:val="0"/>
        </w:rPr>
        <w:t>Section 405(a) of the Communications Act, as implemented by Section 1.106(f) of the Commission’s Rules, requires that a petition for reconsideration be filed within thirty days from the date of public notice of Commission action.</w:t>
      </w:r>
      <w:r w:rsidR="00D47837">
        <w:rPr>
          <w:rStyle w:val="FootnoteReference"/>
          <w:b w:val="0"/>
        </w:rPr>
        <w:footnoteReference w:id="19"/>
      </w:r>
      <w:r w:rsidR="00D47837">
        <w:rPr>
          <w:b w:val="0"/>
        </w:rPr>
        <w:t xml:space="preserve">  Computation of the thirty-day period is determined in accordance with Section 1.4 of the Commission’s Rules.</w:t>
      </w:r>
      <w:r w:rsidR="00D47837">
        <w:rPr>
          <w:rStyle w:val="FootnoteReference"/>
          <w:b w:val="0"/>
        </w:rPr>
        <w:footnoteReference w:id="20"/>
      </w:r>
      <w:r w:rsidR="00D47837">
        <w:rPr>
          <w:b w:val="0"/>
        </w:rPr>
        <w:t xml:space="preserve">  Since public notice of the impending license termination w</w:t>
      </w:r>
      <w:r w:rsidR="00255509">
        <w:rPr>
          <w:b w:val="0"/>
        </w:rPr>
        <w:t>as</w:t>
      </w:r>
      <w:r w:rsidR="00D70D92">
        <w:rPr>
          <w:b w:val="0"/>
        </w:rPr>
        <w:t xml:space="preserve"> given on December 7, 2011</w:t>
      </w:r>
      <w:r w:rsidR="00D47837">
        <w:rPr>
          <w:b w:val="0"/>
        </w:rPr>
        <w:t xml:space="preserve">, pursuant to Section 1.4(b)(4) of the Commission’s Rules, the first day to be counted in computing the </w:t>
      </w:r>
      <w:r w:rsidR="00D70D92">
        <w:rPr>
          <w:b w:val="0"/>
        </w:rPr>
        <w:t xml:space="preserve">thirty-day period was </w:t>
      </w:r>
      <w:r w:rsidR="00A55BCA">
        <w:rPr>
          <w:b w:val="0"/>
        </w:rPr>
        <w:t>December 8</w:t>
      </w:r>
      <w:r w:rsidR="00D47837">
        <w:rPr>
          <w:b w:val="0"/>
        </w:rPr>
        <w:t>, 201</w:t>
      </w:r>
      <w:r>
        <w:rPr>
          <w:b w:val="0"/>
        </w:rPr>
        <w:t>1</w:t>
      </w:r>
      <w:r w:rsidR="00D47837">
        <w:rPr>
          <w:b w:val="0"/>
        </w:rPr>
        <w:t xml:space="preserve">.  The last day for filing a petition for reconsideration was </w:t>
      </w:r>
      <w:r w:rsidR="00A55BCA">
        <w:rPr>
          <w:b w:val="0"/>
        </w:rPr>
        <w:t xml:space="preserve">January </w:t>
      </w:r>
      <w:r w:rsidR="0033554F">
        <w:rPr>
          <w:b w:val="0"/>
        </w:rPr>
        <w:t>6</w:t>
      </w:r>
      <w:r w:rsidR="00D47837">
        <w:rPr>
          <w:b w:val="0"/>
        </w:rPr>
        <w:t>, 201</w:t>
      </w:r>
      <w:r>
        <w:rPr>
          <w:b w:val="0"/>
        </w:rPr>
        <w:t>2</w:t>
      </w:r>
      <w:r w:rsidR="00D47837">
        <w:rPr>
          <w:b w:val="0"/>
        </w:rPr>
        <w:t>.</w:t>
      </w:r>
      <w:r w:rsidR="00255509">
        <w:rPr>
          <w:b w:val="0"/>
        </w:rPr>
        <w:t xml:space="preserve">  </w:t>
      </w:r>
      <w:r w:rsidR="00EC6444" w:rsidRPr="00255509">
        <w:rPr>
          <w:b w:val="0"/>
          <w:szCs w:val="22"/>
        </w:rPr>
        <w:t>Nowata’s Request was rece</w:t>
      </w:r>
      <w:r w:rsidR="00255509">
        <w:rPr>
          <w:b w:val="0"/>
          <w:szCs w:val="22"/>
        </w:rPr>
        <w:t xml:space="preserve">ived on August </w:t>
      </w:r>
      <w:r w:rsidR="00D70D92">
        <w:rPr>
          <w:b w:val="0"/>
          <w:szCs w:val="22"/>
        </w:rPr>
        <w:t>27</w:t>
      </w:r>
      <w:r w:rsidR="00255509">
        <w:rPr>
          <w:b w:val="0"/>
          <w:szCs w:val="22"/>
        </w:rPr>
        <w:t>,</w:t>
      </w:r>
      <w:r w:rsidR="00BC463C">
        <w:rPr>
          <w:b w:val="0"/>
          <w:szCs w:val="22"/>
        </w:rPr>
        <w:t xml:space="preserve"> 2013</w:t>
      </w:r>
      <w:r>
        <w:rPr>
          <w:b w:val="0"/>
          <w:szCs w:val="22"/>
        </w:rPr>
        <w:t>,</w:t>
      </w:r>
      <w:r w:rsidR="00255509">
        <w:rPr>
          <w:b w:val="0"/>
          <w:szCs w:val="22"/>
        </w:rPr>
        <w:t xml:space="preserve"> </w:t>
      </w:r>
      <w:r>
        <w:rPr>
          <w:b w:val="0"/>
          <w:szCs w:val="22"/>
        </w:rPr>
        <w:t xml:space="preserve">over </w:t>
      </w:r>
      <w:r w:rsidR="00255509">
        <w:rPr>
          <w:b w:val="0"/>
          <w:szCs w:val="22"/>
        </w:rPr>
        <w:t>eighteen</w:t>
      </w:r>
      <w:r w:rsidR="00EC6444" w:rsidRPr="00255509">
        <w:rPr>
          <w:b w:val="0"/>
          <w:szCs w:val="22"/>
        </w:rPr>
        <w:t xml:space="preserve"> months after the deadline for seeking reconsideration.</w:t>
      </w:r>
      <w:r w:rsidR="00D70D92">
        <w:rPr>
          <w:rStyle w:val="FootnoteReference"/>
          <w:b w:val="0"/>
          <w:color w:val="000000"/>
        </w:rPr>
        <w:footnoteReference w:id="21"/>
      </w:r>
      <w:r w:rsidR="00D70D92" w:rsidRPr="0001701F">
        <w:rPr>
          <w:b w:val="0"/>
          <w:color w:val="000000"/>
        </w:rPr>
        <w:t xml:space="preserve"> </w:t>
      </w:r>
      <w:r w:rsidR="00D70D92">
        <w:rPr>
          <w:b w:val="0"/>
          <w:szCs w:val="22"/>
        </w:rPr>
        <w:t xml:space="preserve"> </w:t>
      </w:r>
      <w:r w:rsidR="00EC6444" w:rsidRPr="00255509">
        <w:rPr>
          <w:b w:val="0"/>
          <w:szCs w:val="22"/>
        </w:rPr>
        <w:t xml:space="preserve">Therefore, we find that the Petition was filed late.  </w:t>
      </w:r>
    </w:p>
    <w:p w:rsidR="008A6879" w:rsidRDefault="00EC6444" w:rsidP="008A6879">
      <w:pPr>
        <w:pStyle w:val="Heading3"/>
        <w:keepNext w:val="0"/>
        <w:widowControl/>
        <w:numPr>
          <w:ilvl w:val="0"/>
          <w:numId w:val="22"/>
        </w:numPr>
        <w:tabs>
          <w:tab w:val="clear" w:pos="1800"/>
          <w:tab w:val="num" w:pos="1440"/>
        </w:tabs>
        <w:ind w:left="0"/>
        <w:jc w:val="left"/>
        <w:rPr>
          <w:b w:val="0"/>
          <w:szCs w:val="22"/>
        </w:rPr>
      </w:pPr>
      <w:r w:rsidRPr="001035C5">
        <w:rPr>
          <w:b w:val="0"/>
          <w:szCs w:val="22"/>
        </w:rPr>
        <w:t>We also conclude that the circumstances described by Nowata do not justify a waiver of the filing deadline for seeking reconsideration.  The United States Court of Appeals for the District of Columbia Circuit has consistently held that the Commission is without authority to extend or waive the statutory thirty-day filing period for filing petitions for reconsideration specified in Section 405(a) of the Communications Act,</w:t>
      </w:r>
      <w:r w:rsidRPr="001035C5">
        <w:rPr>
          <w:b w:val="0"/>
          <w:szCs w:val="22"/>
          <w:vertAlign w:val="superscript"/>
        </w:rPr>
        <w:footnoteReference w:id="22"/>
      </w:r>
      <w:r w:rsidRPr="001035C5">
        <w:rPr>
          <w:b w:val="0"/>
          <w:szCs w:val="22"/>
        </w:rPr>
        <w:t xml:space="preserve"> except where “extraordinary circumstances indicate that justice would thus be served.”</w:t>
      </w:r>
      <w:r w:rsidRPr="001035C5">
        <w:rPr>
          <w:b w:val="0"/>
          <w:szCs w:val="22"/>
          <w:vertAlign w:val="superscript"/>
        </w:rPr>
        <w:footnoteReference w:id="23"/>
      </w:r>
      <w:r w:rsidRPr="001035C5">
        <w:rPr>
          <w:b w:val="0"/>
          <w:szCs w:val="22"/>
        </w:rPr>
        <w:t xml:space="preserve">  Nowata has not demonstrated that </w:t>
      </w:r>
      <w:r w:rsidR="00255509">
        <w:rPr>
          <w:b w:val="0"/>
          <w:szCs w:val="22"/>
        </w:rPr>
        <w:t xml:space="preserve">the negligence of a former employee amounts to </w:t>
      </w:r>
      <w:r w:rsidRPr="001035C5">
        <w:rPr>
          <w:b w:val="0"/>
          <w:szCs w:val="22"/>
        </w:rPr>
        <w:t xml:space="preserve">extraordinary circumstances </w:t>
      </w:r>
      <w:r w:rsidR="00255509">
        <w:rPr>
          <w:b w:val="0"/>
          <w:szCs w:val="22"/>
        </w:rPr>
        <w:t xml:space="preserve">that would justify </w:t>
      </w:r>
      <w:r w:rsidR="005B21DD">
        <w:rPr>
          <w:b w:val="0"/>
          <w:szCs w:val="22"/>
        </w:rPr>
        <w:t>a waiver.</w:t>
      </w:r>
      <w:r w:rsidRPr="001035C5">
        <w:rPr>
          <w:b w:val="0"/>
          <w:szCs w:val="22"/>
        </w:rPr>
        <w:t xml:space="preserve">  </w:t>
      </w:r>
    </w:p>
    <w:p w:rsidR="001F66B4" w:rsidRPr="008A6879" w:rsidRDefault="000C256A" w:rsidP="008A6879">
      <w:pPr>
        <w:pStyle w:val="Heading3"/>
        <w:keepNext w:val="0"/>
        <w:widowControl/>
        <w:numPr>
          <w:ilvl w:val="0"/>
          <w:numId w:val="22"/>
        </w:numPr>
        <w:tabs>
          <w:tab w:val="clear" w:pos="1800"/>
          <w:tab w:val="num" w:pos="1440"/>
        </w:tabs>
        <w:ind w:left="0"/>
        <w:jc w:val="left"/>
        <w:rPr>
          <w:b w:val="0"/>
          <w:szCs w:val="22"/>
        </w:rPr>
      </w:pPr>
      <w:r w:rsidRPr="008A6879">
        <w:rPr>
          <w:b w:val="0"/>
          <w:szCs w:val="22"/>
        </w:rPr>
        <w:t xml:space="preserve">Nowata </w:t>
      </w:r>
      <w:r w:rsidR="001F66B4" w:rsidRPr="008A6879">
        <w:rPr>
          <w:b w:val="0"/>
          <w:szCs w:val="22"/>
        </w:rPr>
        <w:t>is responsible for the actions of its employees, and</w:t>
      </w:r>
      <w:r w:rsidR="001F66B4" w:rsidRPr="008A6879">
        <w:rPr>
          <w:color w:val="000000"/>
        </w:rPr>
        <w:t xml:space="preserve"> </w:t>
      </w:r>
      <w:r w:rsidR="001F66B4" w:rsidRPr="008A6879">
        <w:rPr>
          <w:b w:val="0"/>
          <w:color w:val="000000"/>
        </w:rPr>
        <w:t xml:space="preserve">there is nothing unique or unusual regarding </w:t>
      </w:r>
      <w:r w:rsidR="001F66B4" w:rsidRPr="008A6879">
        <w:rPr>
          <w:b w:val="0"/>
          <w:bCs/>
          <w:color w:val="000000"/>
        </w:rPr>
        <w:t>employee</w:t>
      </w:r>
      <w:r w:rsidR="001F66B4" w:rsidRPr="008A6879">
        <w:rPr>
          <w:b w:val="0"/>
          <w:color w:val="000000"/>
        </w:rPr>
        <w:t xml:space="preserve"> </w:t>
      </w:r>
      <w:r w:rsidR="001F66B4" w:rsidRPr="008A6879">
        <w:rPr>
          <w:b w:val="0"/>
          <w:bCs/>
          <w:color w:val="000000"/>
        </w:rPr>
        <w:t>negligence</w:t>
      </w:r>
      <w:r w:rsidR="001F66B4" w:rsidRPr="008A6879">
        <w:rPr>
          <w:b w:val="0"/>
          <w:color w:val="000000"/>
        </w:rPr>
        <w:t>.</w:t>
      </w:r>
      <w:r w:rsidR="002623F6">
        <w:rPr>
          <w:rStyle w:val="FootnoteReference"/>
          <w:b w:val="0"/>
          <w:color w:val="000000"/>
        </w:rPr>
        <w:footnoteReference w:id="24"/>
      </w:r>
      <w:r w:rsidR="001F66B4" w:rsidRPr="008A6879">
        <w:rPr>
          <w:b w:val="0"/>
          <w:color w:val="000000"/>
        </w:rPr>
        <w:t xml:space="preserve">  </w:t>
      </w:r>
      <w:r w:rsidR="008B5CFC" w:rsidRPr="008A6879">
        <w:rPr>
          <w:b w:val="0"/>
          <w:color w:val="000000"/>
        </w:rPr>
        <w:t xml:space="preserve">Moreover, the </w:t>
      </w:r>
      <w:r w:rsidR="001F66B4" w:rsidRPr="008A6879">
        <w:rPr>
          <w:b w:val="0"/>
          <w:color w:val="000000"/>
        </w:rPr>
        <w:t xml:space="preserve">Commission has consistently denied waivers based upon claims of third party </w:t>
      </w:r>
      <w:r w:rsidR="001F66B4" w:rsidRPr="008A6879">
        <w:rPr>
          <w:b w:val="0"/>
          <w:bCs/>
          <w:color w:val="000000"/>
        </w:rPr>
        <w:t>negligence</w:t>
      </w:r>
      <w:r w:rsidR="001F66B4" w:rsidRPr="008A6879">
        <w:rPr>
          <w:b w:val="0"/>
          <w:color w:val="000000"/>
        </w:rPr>
        <w:t>.</w:t>
      </w:r>
      <w:r w:rsidR="002C6372">
        <w:rPr>
          <w:rStyle w:val="FootnoteReference"/>
          <w:b w:val="0"/>
          <w:color w:val="000000"/>
        </w:rPr>
        <w:footnoteReference w:id="25"/>
      </w:r>
      <w:r w:rsidR="001F66B4" w:rsidRPr="008A6879">
        <w:rPr>
          <w:b w:val="0"/>
          <w:color w:val="000000"/>
        </w:rPr>
        <w:t xml:space="preserve"> </w:t>
      </w:r>
      <w:r w:rsidR="002C6372" w:rsidRPr="008A6879">
        <w:rPr>
          <w:b w:val="0"/>
          <w:color w:val="000000"/>
        </w:rPr>
        <w:t xml:space="preserve"> </w:t>
      </w:r>
      <w:r w:rsidR="001F66B4" w:rsidRPr="008A6879">
        <w:rPr>
          <w:b w:val="0"/>
          <w:color w:val="000000"/>
        </w:rPr>
        <w:t>It is the responsibility of the licensee to ensure that it is in compliance with the terms of its license, and Nowata is responsible for the consequences that flow from the management of its own business</w:t>
      </w:r>
      <w:r w:rsidR="008B5CFC" w:rsidRPr="008A6879">
        <w:rPr>
          <w:b w:val="0"/>
          <w:color w:val="000000"/>
        </w:rPr>
        <w:t xml:space="preserve"> affairs.  I</w:t>
      </w:r>
      <w:r w:rsidR="001F66B4" w:rsidRPr="008A6879">
        <w:rPr>
          <w:b w:val="0"/>
          <w:color w:val="000000"/>
        </w:rPr>
        <w:t>n this regard, we note that Mr. Bailey retired over a year before an outside company brought the cancelled license to Nowata’s attention.</w:t>
      </w:r>
      <w:r w:rsidR="00D70D92">
        <w:rPr>
          <w:rStyle w:val="FootnoteReference"/>
          <w:b w:val="0"/>
          <w:color w:val="000000"/>
        </w:rPr>
        <w:footnoteReference w:id="26"/>
      </w:r>
      <w:r w:rsidR="00D70D92" w:rsidRPr="008A6879">
        <w:rPr>
          <w:b w:val="0"/>
          <w:color w:val="000000"/>
        </w:rPr>
        <w:t xml:space="preserve"> </w:t>
      </w:r>
      <w:r w:rsidR="00842890" w:rsidRPr="008A6879">
        <w:rPr>
          <w:b w:val="0"/>
          <w:color w:val="000000"/>
        </w:rPr>
        <w:t xml:space="preserve"> </w:t>
      </w:r>
      <w:r w:rsidR="001F66B4" w:rsidRPr="008A6879">
        <w:rPr>
          <w:b w:val="0"/>
          <w:color w:val="000000"/>
        </w:rPr>
        <w:t>Therefore, it appears that Nowata did not</w:t>
      </w:r>
      <w:r w:rsidR="00114C3E" w:rsidRPr="008A6879">
        <w:rPr>
          <w:b w:val="0"/>
          <w:color w:val="000000"/>
        </w:rPr>
        <w:t xml:space="preserve"> even</w:t>
      </w:r>
      <w:r w:rsidR="001F66B4" w:rsidRPr="008A6879">
        <w:rPr>
          <w:b w:val="0"/>
          <w:color w:val="000000"/>
        </w:rPr>
        <w:t xml:space="preserve"> appoint a successor </w:t>
      </w:r>
      <w:r w:rsidR="008B5CFC" w:rsidRPr="008A6879">
        <w:rPr>
          <w:b w:val="0"/>
          <w:color w:val="000000"/>
        </w:rPr>
        <w:t xml:space="preserve">to </w:t>
      </w:r>
      <w:r w:rsidR="00114C3E" w:rsidRPr="008A6879">
        <w:rPr>
          <w:b w:val="0"/>
          <w:color w:val="000000"/>
        </w:rPr>
        <w:t>attend to matters of its EBS authorization</w:t>
      </w:r>
      <w:r w:rsidR="008B5CFC" w:rsidRPr="008A6879">
        <w:rPr>
          <w:b w:val="0"/>
          <w:color w:val="000000"/>
        </w:rPr>
        <w:t xml:space="preserve"> and thus was</w:t>
      </w:r>
      <w:r w:rsidR="001F66B4" w:rsidRPr="008A6879">
        <w:rPr>
          <w:b w:val="0"/>
          <w:color w:val="000000"/>
        </w:rPr>
        <w:t xml:space="preserve"> not diligent in preserving it</w:t>
      </w:r>
      <w:r w:rsidR="008B5CFC" w:rsidRPr="008A6879">
        <w:rPr>
          <w:b w:val="0"/>
          <w:color w:val="000000"/>
        </w:rPr>
        <w:t>s license.</w:t>
      </w:r>
      <w:r w:rsidR="001F66B4" w:rsidRPr="008A6879">
        <w:rPr>
          <w:b w:val="0"/>
          <w:color w:val="000000"/>
        </w:rPr>
        <w:t xml:space="preserve"> </w:t>
      </w:r>
      <w:r w:rsidR="009C7925" w:rsidRPr="008A6879">
        <w:rPr>
          <w:b w:val="0"/>
          <w:color w:val="000000"/>
        </w:rPr>
        <w:t xml:space="preserve"> </w:t>
      </w:r>
      <w:r w:rsidR="00994E21" w:rsidRPr="008A6879">
        <w:rPr>
          <w:b w:val="0"/>
          <w:color w:val="000000"/>
        </w:rPr>
        <w:t>Nowata’s lack of effort in regards to its license is further exemplified by the fact that the license expire</w:t>
      </w:r>
      <w:r w:rsidR="00EB5714" w:rsidRPr="008A6879">
        <w:rPr>
          <w:b w:val="0"/>
          <w:color w:val="000000"/>
        </w:rPr>
        <w:t>d</w:t>
      </w:r>
      <w:r w:rsidR="00994E21" w:rsidRPr="008A6879">
        <w:rPr>
          <w:b w:val="0"/>
          <w:color w:val="000000"/>
        </w:rPr>
        <w:t xml:space="preserve"> on July 13, 2012, after Mr. Bailey’s departure, </w:t>
      </w:r>
      <w:r w:rsidR="003A19F3">
        <w:rPr>
          <w:b w:val="0"/>
          <w:color w:val="000000"/>
        </w:rPr>
        <w:t xml:space="preserve">but </w:t>
      </w:r>
      <w:r w:rsidR="00994E21" w:rsidRPr="008A6879">
        <w:rPr>
          <w:b w:val="0"/>
          <w:color w:val="000000"/>
        </w:rPr>
        <w:t>the Board did not even take any action to renew the license.  Thus, even if Mr. Bailey had secured an extension of the substantial service deadline, the license would have lapsed in any case</w:t>
      </w:r>
      <w:r w:rsidR="00EB5714" w:rsidRPr="008A6879">
        <w:rPr>
          <w:b w:val="0"/>
          <w:color w:val="000000"/>
        </w:rPr>
        <w:t>.</w:t>
      </w:r>
      <w:r w:rsidR="00EB5714">
        <w:rPr>
          <w:rStyle w:val="FootnoteReference"/>
          <w:b w:val="0"/>
          <w:color w:val="000000"/>
        </w:rPr>
        <w:footnoteReference w:id="27"/>
      </w:r>
      <w:r w:rsidR="00994E21" w:rsidRPr="008A6879">
        <w:rPr>
          <w:b w:val="0"/>
          <w:color w:val="000000"/>
        </w:rPr>
        <w:t xml:space="preserve"> </w:t>
      </w:r>
      <w:r w:rsidR="00CF08F9">
        <w:rPr>
          <w:b w:val="0"/>
          <w:color w:val="000000"/>
        </w:rPr>
        <w:t xml:space="preserve"> </w:t>
      </w:r>
      <w:r w:rsidR="009C7925" w:rsidRPr="008A6879">
        <w:rPr>
          <w:b w:val="0"/>
          <w:color w:val="000000"/>
        </w:rPr>
        <w:t xml:space="preserve">Consequently, we cannot find that </w:t>
      </w:r>
      <w:r w:rsidR="005A600E" w:rsidRPr="008A6879">
        <w:rPr>
          <w:b w:val="0"/>
          <w:color w:val="000000"/>
        </w:rPr>
        <w:t>the requisite extraordinary circumstances exist to justify our waiving the deadline for filing a petition for reconsideration.</w:t>
      </w:r>
      <w:r w:rsidR="009619C7">
        <w:rPr>
          <w:rStyle w:val="FootnoteReference"/>
          <w:b w:val="0"/>
          <w:color w:val="000000"/>
        </w:rPr>
        <w:footnoteReference w:id="28"/>
      </w:r>
      <w:r w:rsidR="00114C3E" w:rsidRPr="008A6879">
        <w:rPr>
          <w:b w:val="0"/>
          <w:color w:val="000000"/>
        </w:rPr>
        <w:t xml:space="preserve">  Additionally, because we find there is no license to construct, Nowata’s request for an extension of the substantial service deadline is moot.</w:t>
      </w:r>
    </w:p>
    <w:p w:rsidR="00D47837" w:rsidRDefault="001226D1">
      <w:pPr>
        <w:pStyle w:val="Heading1"/>
      </w:pPr>
      <w:r>
        <w:t xml:space="preserve">CONCLUSION AND </w:t>
      </w:r>
      <w:r w:rsidR="00D47837">
        <w:t>ordering clauseS</w:t>
      </w:r>
    </w:p>
    <w:p w:rsidR="001226D1" w:rsidRPr="001226D1" w:rsidRDefault="001226D1" w:rsidP="00C44F2C">
      <w:pPr>
        <w:pStyle w:val="Heading3"/>
        <w:keepNext w:val="0"/>
        <w:widowControl/>
        <w:numPr>
          <w:ilvl w:val="0"/>
          <w:numId w:val="22"/>
        </w:numPr>
        <w:tabs>
          <w:tab w:val="clear" w:pos="1800"/>
          <w:tab w:val="num" w:pos="1440"/>
        </w:tabs>
        <w:ind w:left="0"/>
        <w:jc w:val="left"/>
        <w:rPr>
          <w:b w:val="0"/>
        </w:rPr>
      </w:pPr>
      <w:r>
        <w:rPr>
          <w:b w:val="0"/>
          <w:color w:val="000000"/>
        </w:rPr>
        <w:t>Nowata</w:t>
      </w:r>
      <w:r w:rsidRPr="001226D1">
        <w:rPr>
          <w:b w:val="0"/>
          <w:color w:val="000000"/>
        </w:rPr>
        <w:t xml:space="preserve"> has failed to justify a</w:t>
      </w:r>
      <w:r>
        <w:rPr>
          <w:b w:val="0"/>
          <w:color w:val="000000"/>
        </w:rPr>
        <w:t xml:space="preserve"> waiver of the filing deadline for a petition for reconsideration.  Furthermore, because Nowata’s license has been cancelled, there is no substantial service deadline to extend.  </w:t>
      </w:r>
      <w:r w:rsidRPr="001226D1">
        <w:rPr>
          <w:b w:val="0"/>
          <w:color w:val="000000"/>
        </w:rPr>
        <w:t xml:space="preserve">We therefore </w:t>
      </w:r>
      <w:r w:rsidR="00EB5714">
        <w:rPr>
          <w:b w:val="0"/>
          <w:color w:val="000000"/>
        </w:rPr>
        <w:t xml:space="preserve">dismiss </w:t>
      </w:r>
      <w:r>
        <w:rPr>
          <w:b w:val="0"/>
          <w:color w:val="000000"/>
        </w:rPr>
        <w:t>Nowata’s</w:t>
      </w:r>
      <w:r w:rsidRPr="001226D1">
        <w:rPr>
          <w:b w:val="0"/>
          <w:color w:val="000000"/>
        </w:rPr>
        <w:t xml:space="preserve"> </w:t>
      </w:r>
      <w:r w:rsidR="00EB5714">
        <w:rPr>
          <w:b w:val="0"/>
          <w:color w:val="000000"/>
        </w:rPr>
        <w:t xml:space="preserve">Reinstatement and Extension </w:t>
      </w:r>
      <w:r w:rsidRPr="001226D1">
        <w:rPr>
          <w:b w:val="0"/>
          <w:color w:val="000000"/>
        </w:rPr>
        <w:t xml:space="preserve">Request, and </w:t>
      </w:r>
      <w:r>
        <w:rPr>
          <w:b w:val="0"/>
          <w:color w:val="000000"/>
        </w:rPr>
        <w:t>dismiss its request for an extension of the substantial service deadline as moot</w:t>
      </w:r>
      <w:r w:rsidRPr="001226D1">
        <w:rPr>
          <w:b w:val="0"/>
          <w:color w:val="000000"/>
        </w:rPr>
        <w:t>.</w:t>
      </w:r>
    </w:p>
    <w:p w:rsidR="00C44F2C" w:rsidRPr="00C44F2C" w:rsidRDefault="00D47837" w:rsidP="009619C7">
      <w:pPr>
        <w:pStyle w:val="Heading3"/>
        <w:keepNext w:val="0"/>
        <w:widowControl/>
        <w:numPr>
          <w:ilvl w:val="0"/>
          <w:numId w:val="22"/>
        </w:numPr>
        <w:tabs>
          <w:tab w:val="clear" w:pos="1800"/>
          <w:tab w:val="num" w:pos="1440"/>
        </w:tabs>
        <w:ind w:left="0"/>
        <w:jc w:val="left"/>
        <w:rPr>
          <w:b w:val="0"/>
        </w:rPr>
      </w:pPr>
      <w:r>
        <w:rPr>
          <w:b w:val="0"/>
        </w:rPr>
        <w:t xml:space="preserve">Accordingly, IT IS ORDERED that pursuant to </w:t>
      </w:r>
      <w:r w:rsidR="009619C7">
        <w:rPr>
          <w:b w:val="0"/>
        </w:rPr>
        <w:t>s</w:t>
      </w:r>
      <w:r>
        <w:rPr>
          <w:b w:val="0"/>
        </w:rPr>
        <w:t xml:space="preserve">ections 4(i) and 405 of the Communications Act of 1934, as amended, 47 U.S.C. §§ 154(i), 405, and </w:t>
      </w:r>
      <w:r w:rsidR="009619C7">
        <w:rPr>
          <w:b w:val="0"/>
        </w:rPr>
        <w:t>section 1.106 of t</w:t>
      </w:r>
      <w:r>
        <w:rPr>
          <w:b w:val="0"/>
        </w:rPr>
        <w:t xml:space="preserve">he Commission’s Rules, 47 C.F.R. § 1.106, the </w:t>
      </w:r>
      <w:r w:rsidR="009619C7" w:rsidRPr="009619C7">
        <w:rPr>
          <w:b w:val="0"/>
        </w:rPr>
        <w:t xml:space="preserve">Request for Reinstatement of License and Late-Filed Request for Extension of Substantial Service Deadline </w:t>
      </w:r>
      <w:r>
        <w:rPr>
          <w:b w:val="0"/>
        </w:rPr>
        <w:t xml:space="preserve">filed by </w:t>
      </w:r>
      <w:r w:rsidR="00C44F2C">
        <w:rPr>
          <w:b w:val="0"/>
        </w:rPr>
        <w:t>Nowata Public Schools on August 28</w:t>
      </w:r>
      <w:r w:rsidR="001226D1">
        <w:rPr>
          <w:b w:val="0"/>
        </w:rPr>
        <w:t>, 2012 IS</w:t>
      </w:r>
      <w:r w:rsidR="00B12D35">
        <w:rPr>
          <w:b w:val="0"/>
        </w:rPr>
        <w:t xml:space="preserve"> DISMISSED</w:t>
      </w:r>
      <w:r>
        <w:rPr>
          <w:b w:val="0"/>
        </w:rPr>
        <w:t>.</w:t>
      </w:r>
    </w:p>
    <w:p w:rsidR="00C44F2C" w:rsidRDefault="00C44F2C">
      <w:pPr>
        <w:pStyle w:val="Heading3"/>
        <w:keepNext w:val="0"/>
        <w:widowControl/>
        <w:numPr>
          <w:ilvl w:val="0"/>
          <w:numId w:val="22"/>
        </w:numPr>
        <w:tabs>
          <w:tab w:val="clear" w:pos="1800"/>
          <w:tab w:val="num" w:pos="1440"/>
        </w:tabs>
        <w:ind w:left="0"/>
        <w:jc w:val="left"/>
        <w:rPr>
          <w:b w:val="0"/>
        </w:rPr>
      </w:pPr>
      <w:r>
        <w:rPr>
          <w:b w:val="0"/>
        </w:rPr>
        <w:t xml:space="preserve">IT IS ALSO ORDERED that pursuant to </w:t>
      </w:r>
      <w:r w:rsidR="009619C7">
        <w:rPr>
          <w:b w:val="0"/>
        </w:rPr>
        <w:t>s</w:t>
      </w:r>
      <w:r>
        <w:rPr>
          <w:b w:val="0"/>
        </w:rPr>
        <w:t xml:space="preserve">ections 4(i) and </w:t>
      </w:r>
      <w:r w:rsidR="00EB5714">
        <w:rPr>
          <w:b w:val="0"/>
        </w:rPr>
        <w:t xml:space="preserve">309 </w:t>
      </w:r>
      <w:r>
        <w:rPr>
          <w:b w:val="0"/>
        </w:rPr>
        <w:t>of the Communications Act of 1934, as amended, 47 U.S.C. §</w:t>
      </w:r>
      <w:r w:rsidR="00BC463C">
        <w:rPr>
          <w:b w:val="0"/>
        </w:rPr>
        <w:t xml:space="preserve">§ 154(i), </w:t>
      </w:r>
      <w:r w:rsidR="00EB5714">
        <w:rPr>
          <w:b w:val="0"/>
        </w:rPr>
        <w:t>309</w:t>
      </w:r>
      <w:r w:rsidR="00BC463C">
        <w:rPr>
          <w:b w:val="0"/>
        </w:rPr>
        <w:t xml:space="preserve">, and </w:t>
      </w:r>
      <w:r w:rsidR="009619C7">
        <w:rPr>
          <w:b w:val="0"/>
        </w:rPr>
        <w:t>s</w:t>
      </w:r>
      <w:r w:rsidR="00BC463C">
        <w:rPr>
          <w:b w:val="0"/>
        </w:rPr>
        <w:t>ection 1.946(e)</w:t>
      </w:r>
      <w:r>
        <w:rPr>
          <w:b w:val="0"/>
        </w:rPr>
        <w:t xml:space="preserve"> of the Commission’s Rules,</w:t>
      </w:r>
      <w:r w:rsidR="00BC463C">
        <w:rPr>
          <w:b w:val="0"/>
        </w:rPr>
        <w:t xml:space="preserve"> 47 C.F.R. § 1.946(e)</w:t>
      </w:r>
      <w:r>
        <w:rPr>
          <w:b w:val="0"/>
        </w:rPr>
        <w:t>, the request for a six-month extension of the substantial service deadline filed by Nowata Public Schools on August 28, 2012 IS DISMISSED AS MOOT.</w:t>
      </w:r>
    </w:p>
    <w:p w:rsidR="00D47837" w:rsidRDefault="00D47837">
      <w:pPr>
        <w:pStyle w:val="Heading3"/>
        <w:keepNext w:val="0"/>
        <w:widowControl/>
        <w:numPr>
          <w:ilvl w:val="0"/>
          <w:numId w:val="22"/>
        </w:numPr>
        <w:tabs>
          <w:tab w:val="clear" w:pos="1800"/>
          <w:tab w:val="num" w:pos="1440"/>
        </w:tabs>
        <w:ind w:left="0"/>
        <w:jc w:val="left"/>
        <w:rPr>
          <w:b w:val="0"/>
        </w:rPr>
      </w:pPr>
      <w:r>
        <w:rPr>
          <w:b w:val="0"/>
        </w:rPr>
        <w:t xml:space="preserve">This action is taken under delegated authority pursuant to </w:t>
      </w:r>
      <w:r w:rsidR="00C26EC9">
        <w:rPr>
          <w:b w:val="0"/>
        </w:rPr>
        <w:t>s</w:t>
      </w:r>
      <w:r>
        <w:rPr>
          <w:b w:val="0"/>
        </w:rPr>
        <w:t>ections 0.131 and 0.331 of the Commission’s Rules, 47 C.F.R. §§ 0.131, 0.331.</w:t>
      </w:r>
    </w:p>
    <w:p w:rsidR="00D47837" w:rsidRDefault="00D47837">
      <w:pPr>
        <w:pStyle w:val="ParaNum"/>
        <w:widowControl/>
        <w:numPr>
          <w:ilvl w:val="0"/>
          <w:numId w:val="0"/>
        </w:numPr>
        <w:jc w:val="left"/>
      </w:pPr>
      <w:r>
        <w:tab/>
      </w:r>
      <w:r>
        <w:tab/>
      </w:r>
      <w:r>
        <w:tab/>
      </w:r>
      <w:r>
        <w:tab/>
      </w:r>
      <w:r>
        <w:tab/>
        <w:t>FEDERAL COMMUNICATIONS COMMISSION</w:t>
      </w:r>
    </w:p>
    <w:p w:rsidR="00D47837" w:rsidRDefault="00D47837">
      <w:pPr>
        <w:pStyle w:val="ParaNum"/>
        <w:widowControl/>
        <w:numPr>
          <w:ilvl w:val="0"/>
          <w:numId w:val="0"/>
        </w:numPr>
        <w:spacing w:after="0"/>
        <w:jc w:val="left"/>
      </w:pPr>
    </w:p>
    <w:p w:rsidR="00D47837" w:rsidRDefault="00D47837">
      <w:pPr>
        <w:pStyle w:val="ParaNum"/>
        <w:widowControl/>
        <w:numPr>
          <w:ilvl w:val="0"/>
          <w:numId w:val="0"/>
        </w:numPr>
        <w:spacing w:after="0"/>
        <w:jc w:val="left"/>
      </w:pPr>
    </w:p>
    <w:p w:rsidR="00D47837" w:rsidRDefault="00D47837">
      <w:pPr>
        <w:pStyle w:val="ParaNum"/>
        <w:widowControl/>
        <w:numPr>
          <w:ilvl w:val="0"/>
          <w:numId w:val="0"/>
        </w:numPr>
        <w:spacing w:after="0"/>
        <w:jc w:val="left"/>
      </w:pPr>
    </w:p>
    <w:p w:rsidR="00D47837" w:rsidRDefault="00D47837">
      <w:pPr>
        <w:pStyle w:val="ParaNum"/>
        <w:widowControl/>
        <w:numPr>
          <w:ilvl w:val="0"/>
          <w:numId w:val="0"/>
        </w:numPr>
        <w:spacing w:after="0"/>
        <w:jc w:val="left"/>
      </w:pPr>
      <w:r>
        <w:tab/>
      </w:r>
      <w:r>
        <w:tab/>
      </w:r>
      <w:r>
        <w:tab/>
      </w:r>
      <w:r>
        <w:tab/>
      </w:r>
      <w:r>
        <w:tab/>
        <w:t>John J. Schauble</w:t>
      </w:r>
    </w:p>
    <w:p w:rsidR="00D47837" w:rsidRDefault="00D47837">
      <w:pPr>
        <w:pStyle w:val="ParaNum"/>
        <w:widowControl/>
        <w:numPr>
          <w:ilvl w:val="0"/>
          <w:numId w:val="0"/>
        </w:numPr>
        <w:spacing w:after="0"/>
        <w:jc w:val="left"/>
      </w:pPr>
      <w:r>
        <w:tab/>
      </w:r>
      <w:r>
        <w:tab/>
      </w:r>
      <w:r>
        <w:tab/>
      </w:r>
      <w:r>
        <w:tab/>
      </w:r>
      <w:r>
        <w:tab/>
        <w:t>Deputy Chief, Broadband Division</w:t>
      </w:r>
    </w:p>
    <w:p w:rsidR="00D47837" w:rsidRDefault="00D47837">
      <w:pPr>
        <w:pStyle w:val="ParaNum"/>
        <w:widowControl/>
        <w:numPr>
          <w:ilvl w:val="0"/>
          <w:numId w:val="0"/>
        </w:numPr>
        <w:spacing w:after="0"/>
        <w:jc w:val="left"/>
      </w:pPr>
      <w:r>
        <w:tab/>
      </w:r>
      <w:r>
        <w:tab/>
      </w:r>
      <w:r>
        <w:tab/>
      </w:r>
      <w:r>
        <w:tab/>
      </w:r>
      <w:r>
        <w:tab/>
        <w:t>Wireless Telecommunications Bureau</w:t>
      </w:r>
    </w:p>
    <w:sectPr w:rsidR="00D478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AC" w:rsidRDefault="00B869AC">
      <w:r>
        <w:separator/>
      </w:r>
    </w:p>
  </w:endnote>
  <w:endnote w:type="continuationSeparator" w:id="0">
    <w:p w:rsidR="00B869AC" w:rsidRDefault="00B8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E8" w:rsidRDefault="00DB3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90" w:rsidRDefault="00842890">
    <w:pPr>
      <w:pStyle w:val="Footer"/>
      <w:jc w:val="center"/>
    </w:pPr>
    <w:r>
      <w:rPr>
        <w:rStyle w:val="PageNumber"/>
      </w:rPr>
      <w:fldChar w:fldCharType="begin"/>
    </w:r>
    <w:r>
      <w:rPr>
        <w:rStyle w:val="PageNumber"/>
      </w:rPr>
      <w:instrText xml:space="preserve"> PAGE </w:instrText>
    </w:r>
    <w:r>
      <w:rPr>
        <w:rStyle w:val="PageNumber"/>
      </w:rPr>
      <w:fldChar w:fldCharType="separate"/>
    </w:r>
    <w:r w:rsidR="00D208B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E8" w:rsidRDefault="00DB3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AC" w:rsidRDefault="00B869AC">
      <w:pPr>
        <w:rPr>
          <w:sz w:val="20"/>
        </w:rPr>
      </w:pPr>
      <w:r>
        <w:rPr>
          <w:sz w:val="20"/>
        </w:rPr>
        <w:separator/>
      </w:r>
    </w:p>
  </w:footnote>
  <w:footnote w:type="continuationSeparator" w:id="0">
    <w:p w:rsidR="00B869AC" w:rsidRDefault="00B869AC">
      <w:pPr>
        <w:rPr>
          <w:sz w:val="20"/>
        </w:rPr>
      </w:pPr>
      <w:r>
        <w:rPr>
          <w:sz w:val="20"/>
        </w:rPr>
        <w:separator/>
      </w:r>
    </w:p>
    <w:p w:rsidR="00B869AC" w:rsidRDefault="00B869AC">
      <w:pPr>
        <w:rPr>
          <w:sz w:val="20"/>
        </w:rPr>
      </w:pPr>
      <w:r>
        <w:rPr>
          <w:sz w:val="20"/>
        </w:rPr>
        <w:t>(...continued from previous page)</w:t>
      </w:r>
    </w:p>
  </w:footnote>
  <w:footnote w:type="continuationNotice" w:id="1">
    <w:p w:rsidR="00B869AC" w:rsidRDefault="00B869AC">
      <w:pPr>
        <w:jc w:val="right"/>
        <w:rPr>
          <w:sz w:val="20"/>
        </w:rPr>
      </w:pPr>
      <w:r>
        <w:rPr>
          <w:sz w:val="20"/>
        </w:rPr>
        <w:t>(continued....)</w:t>
      </w:r>
    </w:p>
  </w:footnote>
  <w:footnote w:id="2">
    <w:p w:rsidR="00842890" w:rsidRDefault="00842890" w:rsidP="00EB5714">
      <w:pPr>
        <w:pStyle w:val="FootnoteText"/>
      </w:pPr>
      <w:r>
        <w:rPr>
          <w:rStyle w:val="FootnoteReference"/>
        </w:rPr>
        <w:footnoteRef/>
      </w:r>
      <w:r>
        <w:t xml:space="preserve"> </w:t>
      </w:r>
      <w:r>
        <w:rPr>
          <w:i/>
        </w:rPr>
        <w:t>See</w:t>
      </w:r>
      <w:r>
        <w:t xml:space="preserve"> File No. </w:t>
      </w:r>
      <w:r w:rsidR="00FD63ED">
        <w:t xml:space="preserve">BPIF-19911206DE </w:t>
      </w:r>
      <w:r>
        <w:t xml:space="preserve">(granted </w:t>
      </w:r>
      <w:r w:rsidR="00FD63ED">
        <w:t>July 13, 1992</w:t>
      </w:r>
      <w:r>
        <w:t>).</w:t>
      </w:r>
    </w:p>
  </w:footnote>
  <w:footnote w:id="3">
    <w:p w:rsidR="00842890" w:rsidRDefault="00842890" w:rsidP="00EB5714">
      <w:pPr>
        <w:pStyle w:val="FootnoteText"/>
        <w:jc w:val="left"/>
      </w:pPr>
      <w:r>
        <w:rPr>
          <w:rStyle w:val="FootnoteReference"/>
        </w:rPr>
        <w:footnoteRef/>
      </w:r>
      <w:r>
        <w:t xml:space="preserve"> Amendment of Parts 1, 21, 73, 74 and 101 of the Commission’s Rules to Facilitate the Provision of Fixed and Mobile Broadband Access, Educational and Other Advanced Services in the 2150-2162 and 2500-2690 MHz Bands, </w:t>
      </w:r>
      <w:r w:rsidR="007643E5">
        <w:t xml:space="preserve">WT Docket No. 03-66, </w:t>
      </w:r>
      <w:r>
        <w:rPr>
          <w:i/>
        </w:rPr>
        <w:t>Second Report and Order,</w:t>
      </w:r>
      <w:r>
        <w:t xml:space="preserve"> 21 FCC Rcd 5606, 5718-5736 ¶¶ 274-310 (2006) (</w:t>
      </w:r>
      <w:r>
        <w:rPr>
          <w:i/>
        </w:rPr>
        <w:t>BRS/EBS Second R&amp;O</w:t>
      </w:r>
      <w:r>
        <w:t xml:space="preserve">).  </w:t>
      </w:r>
    </w:p>
  </w:footnote>
  <w:footnote w:id="4">
    <w:p w:rsidR="00842890" w:rsidRDefault="00842890" w:rsidP="00EB5714">
      <w:pPr>
        <w:pStyle w:val="FootnoteText"/>
        <w:jc w:val="left"/>
      </w:pPr>
      <w:r>
        <w:rPr>
          <w:rStyle w:val="FootnoteReference"/>
        </w:rPr>
        <w:footnoteRef/>
      </w:r>
      <w:r>
        <w:t xml:space="preserve"> 47 C.F.R. § 27.14(o).  </w:t>
      </w:r>
      <w:r>
        <w:rPr>
          <w:i/>
        </w:rPr>
        <w:t>See</w:t>
      </w:r>
      <w:r>
        <w:t xml:space="preserve"> </w:t>
      </w:r>
      <w:r w:rsidR="007643E5">
        <w:rPr>
          <w:i/>
        </w:rPr>
        <w:t xml:space="preserve">also </w:t>
      </w:r>
      <w:r>
        <w:rPr>
          <w:i/>
        </w:rPr>
        <w:t>BRS/EBS Second R&amp;O</w:t>
      </w:r>
      <w:r w:rsidR="007643E5">
        <w:t>, 21 FCC Rcd at 5718-5736 ¶¶ 274-310</w:t>
      </w:r>
      <w:r>
        <w:t xml:space="preserve">.  </w:t>
      </w:r>
    </w:p>
  </w:footnote>
  <w:footnote w:id="5">
    <w:p w:rsidR="00842890" w:rsidRDefault="00842890" w:rsidP="00EB5714">
      <w:pPr>
        <w:pStyle w:val="FootnoteText"/>
        <w:jc w:val="left"/>
      </w:pPr>
      <w:r>
        <w:rPr>
          <w:rStyle w:val="FootnoteReference"/>
        </w:rPr>
        <w:footnoteRef/>
      </w:r>
      <w:r>
        <w:t xml:space="preserve"> </w:t>
      </w:r>
      <w:r>
        <w:rPr>
          <w:i/>
        </w:rPr>
        <w:t xml:space="preserve">See </w:t>
      </w:r>
      <w:r>
        <w:t xml:space="preserve">National EBS Association and Catholic Television Network, </w:t>
      </w:r>
      <w:r>
        <w:rPr>
          <w:i/>
        </w:rPr>
        <w:t>Memorandum Opinion and Order</w:t>
      </w:r>
      <w:r>
        <w:t>, 26 FCC Rcd 4021 ¶ 1 (WTB 2011).</w:t>
      </w:r>
    </w:p>
  </w:footnote>
  <w:footnote w:id="6">
    <w:p w:rsidR="00842890" w:rsidRDefault="00842890" w:rsidP="00EB5714">
      <w:pPr>
        <w:pStyle w:val="FootnoteText"/>
      </w:pPr>
      <w:r>
        <w:rPr>
          <w:rStyle w:val="FootnoteReference"/>
        </w:rPr>
        <w:footnoteRef/>
      </w:r>
      <w:r>
        <w:t xml:space="preserve"> Construct/Coverage Reminder</w:t>
      </w:r>
      <w:r w:rsidR="00E07A48">
        <w:t>s</w:t>
      </w:r>
      <w:r>
        <w:t>, Ref. No</w:t>
      </w:r>
      <w:r w:rsidR="00E07A48">
        <w:t>s</w:t>
      </w:r>
      <w:r>
        <w:t xml:space="preserve">. 5104476 </w:t>
      </w:r>
      <w:r w:rsidR="00E07A48">
        <w:t>and 5104477</w:t>
      </w:r>
      <w:r>
        <w:t>(</w:t>
      </w:r>
      <w:r w:rsidR="00E07A48">
        <w:t>Feb</w:t>
      </w:r>
      <w:r>
        <w:t xml:space="preserve">. </w:t>
      </w:r>
      <w:r w:rsidR="00E07A48">
        <w:t>1</w:t>
      </w:r>
      <w:r>
        <w:t>, 2011).</w:t>
      </w:r>
    </w:p>
  </w:footnote>
  <w:footnote w:id="7">
    <w:p w:rsidR="00842890" w:rsidRDefault="00842890" w:rsidP="00EB5714">
      <w:pPr>
        <w:pStyle w:val="FootnoteText"/>
      </w:pPr>
      <w:r>
        <w:rPr>
          <w:rStyle w:val="FootnoteReference"/>
        </w:rPr>
        <w:footnoteRef/>
      </w:r>
      <w:r>
        <w:t xml:space="preserve"> Auto Termination letter, Ref. No. 5269074 (Dec. 7, 2011).</w:t>
      </w:r>
    </w:p>
  </w:footnote>
  <w:footnote w:id="8">
    <w:p w:rsidR="009A0D6E" w:rsidRDefault="009A0D6E" w:rsidP="00EB5714">
      <w:pPr>
        <w:pStyle w:val="FootnoteText"/>
      </w:pPr>
      <w:r>
        <w:rPr>
          <w:rStyle w:val="FootnoteReference"/>
        </w:rPr>
        <w:footnoteRef/>
      </w:r>
      <w:r>
        <w:t xml:space="preserve"> When a licensee fails to file a notification that it has completed construction by an applicable buildout deadline, the license, location, or frequency is placed in “termination pending” status.  For a license, location, or frequency in that status, the Bureau presumes that the licensee did not meet buildout requirement.  If the licensee does not file a petition for reconsideration within 30 days after public notice of the termination pending status demonstrating that it met that buildout requirement, the status of the license, location, or frequency is changed to “terminated” as of the buildout deadline.  </w:t>
      </w:r>
      <w:r>
        <w:rPr>
          <w:i/>
        </w:rPr>
        <w:t>See</w:t>
      </w:r>
      <w:r>
        <w:t xml:space="preserve"> Wireless Telecommunications Bureau Announces Deployment Of “Auto-Term,” the Automated Feature in its Universal Licensing System That Identifies Unconstructed Stations Resulting in Automatic Termination of Licenses, </w:t>
      </w:r>
      <w:r>
        <w:rPr>
          <w:i/>
        </w:rPr>
        <w:t>Public Notice</w:t>
      </w:r>
      <w:r>
        <w:t>, 21 FCC Rcd 163 (WTB 2006).</w:t>
      </w:r>
    </w:p>
  </w:footnote>
  <w:footnote w:id="9">
    <w:p w:rsidR="00842890" w:rsidRDefault="00842890" w:rsidP="00EB5714">
      <w:pPr>
        <w:pStyle w:val="FootnoteText"/>
      </w:pPr>
      <w:r>
        <w:rPr>
          <w:rStyle w:val="FootnoteReference"/>
        </w:rPr>
        <w:footnoteRef/>
      </w:r>
      <w:r>
        <w:t xml:space="preserve"> Wireless Telecommunications Bureau Site Based Licenses Termination Pending, Report No. </w:t>
      </w:r>
      <w:r w:rsidR="006977B7">
        <w:t>7360</w:t>
      </w:r>
      <w:r>
        <w:t xml:space="preserve">, </w:t>
      </w:r>
      <w:r>
        <w:rPr>
          <w:i/>
        </w:rPr>
        <w:t>Public Notice</w:t>
      </w:r>
      <w:r>
        <w:t xml:space="preserve"> (Dec. 7, 2011) at </w:t>
      </w:r>
      <w:r w:rsidR="006977B7">
        <w:t>3</w:t>
      </w:r>
      <w:r>
        <w:t>.</w:t>
      </w:r>
    </w:p>
  </w:footnote>
  <w:footnote w:id="10">
    <w:p w:rsidR="00842890" w:rsidRDefault="00842890" w:rsidP="00EB5714">
      <w:pPr>
        <w:pStyle w:val="FootnoteText"/>
      </w:pPr>
      <w:r>
        <w:rPr>
          <w:rStyle w:val="FootnoteReference"/>
        </w:rPr>
        <w:footnoteRef/>
      </w:r>
      <w:r>
        <w:t xml:space="preserve"> Request for Reinstatement of License and Late-Filed Request for Extension of Substantial Service Deadline (filed Aug. 27, 2013) (Reinstatement and Extension Request).</w:t>
      </w:r>
    </w:p>
  </w:footnote>
  <w:footnote w:id="11">
    <w:p w:rsidR="00842890" w:rsidRDefault="00842890" w:rsidP="00EB5714">
      <w:pPr>
        <w:pStyle w:val="FootnoteText"/>
      </w:pPr>
      <w:r>
        <w:rPr>
          <w:rStyle w:val="FootnoteReference"/>
        </w:rPr>
        <w:footnoteRef/>
      </w:r>
      <w:r>
        <w:t xml:space="preserve"> </w:t>
      </w:r>
      <w:r w:rsidR="00D30D30">
        <w:rPr>
          <w:i/>
        </w:rPr>
        <w:t xml:space="preserve">Id. </w:t>
      </w:r>
      <w:r>
        <w:t>at 1.</w:t>
      </w:r>
    </w:p>
  </w:footnote>
  <w:footnote w:id="12">
    <w:p w:rsidR="00842890" w:rsidRDefault="00842890" w:rsidP="00EB5714">
      <w:pPr>
        <w:pStyle w:val="FootnoteText"/>
      </w:pPr>
      <w:r>
        <w:rPr>
          <w:rStyle w:val="FootnoteReference"/>
        </w:rPr>
        <w:footnoteRef/>
      </w:r>
      <w:r>
        <w:t xml:space="preserve"> </w:t>
      </w:r>
      <w:r w:rsidR="00D30D30">
        <w:rPr>
          <w:i/>
        </w:rPr>
        <w:t xml:space="preserve">Id. </w:t>
      </w:r>
      <w:r>
        <w:t>at 2.</w:t>
      </w:r>
    </w:p>
  </w:footnote>
  <w:footnote w:id="13">
    <w:p w:rsidR="00842890" w:rsidRDefault="00842890" w:rsidP="00EB5714">
      <w:pPr>
        <w:pStyle w:val="FootnoteText"/>
      </w:pPr>
      <w:r>
        <w:rPr>
          <w:rStyle w:val="FootnoteReference"/>
        </w:rPr>
        <w:footnoteRef/>
      </w:r>
      <w:r w:rsidR="00D30D30">
        <w:t xml:space="preserve"> </w:t>
      </w:r>
      <w:r w:rsidR="00D30D30">
        <w:rPr>
          <w:i/>
        </w:rPr>
        <w:t>Id</w:t>
      </w:r>
      <w:r>
        <w:t>.</w:t>
      </w:r>
    </w:p>
  </w:footnote>
  <w:footnote w:id="14">
    <w:p w:rsidR="00842890" w:rsidRDefault="00842890" w:rsidP="00EB5714">
      <w:pPr>
        <w:pStyle w:val="FootnoteText"/>
      </w:pPr>
      <w:r>
        <w:rPr>
          <w:rStyle w:val="FootnoteReference"/>
        </w:rPr>
        <w:footnoteRef/>
      </w:r>
      <w:r>
        <w:t xml:space="preserve"> </w:t>
      </w:r>
      <w:r w:rsidR="00D30D30">
        <w:rPr>
          <w:i/>
        </w:rPr>
        <w:t>Id</w:t>
      </w:r>
      <w:r w:rsidR="00D30D30">
        <w:t>.</w:t>
      </w:r>
    </w:p>
  </w:footnote>
  <w:footnote w:id="15">
    <w:p w:rsidR="00842890" w:rsidRDefault="00842890" w:rsidP="00EB5714">
      <w:pPr>
        <w:pStyle w:val="FootnoteText"/>
      </w:pPr>
      <w:r>
        <w:rPr>
          <w:rStyle w:val="FootnoteReference"/>
        </w:rPr>
        <w:footnoteRef/>
      </w:r>
      <w:r>
        <w:t xml:space="preserve"> </w:t>
      </w:r>
      <w:r w:rsidR="00D30D30">
        <w:rPr>
          <w:i/>
        </w:rPr>
        <w:t>Id</w:t>
      </w:r>
      <w:r w:rsidR="00D30D30">
        <w:t xml:space="preserve">. </w:t>
      </w:r>
      <w:r>
        <w:t>at 3.</w:t>
      </w:r>
    </w:p>
  </w:footnote>
  <w:footnote w:id="16">
    <w:p w:rsidR="00842890" w:rsidRDefault="00842890" w:rsidP="00EB5714">
      <w:pPr>
        <w:pStyle w:val="FootnoteText"/>
      </w:pPr>
      <w:r>
        <w:rPr>
          <w:rStyle w:val="FootnoteReference"/>
        </w:rPr>
        <w:footnoteRef/>
      </w:r>
      <w:r>
        <w:t xml:space="preserve"> </w:t>
      </w:r>
      <w:r w:rsidR="008819AE">
        <w:rPr>
          <w:i/>
        </w:rPr>
        <w:t xml:space="preserve">Id. </w:t>
      </w:r>
      <w:r>
        <w:t>at 4.</w:t>
      </w:r>
    </w:p>
  </w:footnote>
  <w:footnote w:id="17">
    <w:p w:rsidR="00842890" w:rsidRDefault="00842890" w:rsidP="00EB5714">
      <w:pPr>
        <w:pStyle w:val="FootnoteText"/>
      </w:pPr>
      <w:r>
        <w:rPr>
          <w:rStyle w:val="FootnoteReference"/>
        </w:rPr>
        <w:footnoteRef/>
      </w:r>
      <w:r>
        <w:t xml:space="preserve"> </w:t>
      </w:r>
      <w:r w:rsidR="008819AE">
        <w:rPr>
          <w:i/>
        </w:rPr>
        <w:t xml:space="preserve">Id. </w:t>
      </w:r>
      <w:r>
        <w:t>at 4.</w:t>
      </w:r>
    </w:p>
  </w:footnote>
  <w:footnote w:id="18">
    <w:p w:rsidR="00842890" w:rsidRDefault="00842890" w:rsidP="00EB5714">
      <w:pPr>
        <w:pStyle w:val="FootnoteText"/>
      </w:pPr>
      <w:r>
        <w:rPr>
          <w:rStyle w:val="FootnoteReference"/>
        </w:rPr>
        <w:footnoteRef/>
      </w:r>
      <w:r>
        <w:t xml:space="preserve"> </w:t>
      </w:r>
      <w:r w:rsidRPr="00F54792">
        <w:t xml:space="preserve">Biennial Regulatory Review - Amendment of Parts 0, 1, 13, 22, 24, 26, 27, 80, 87, 90, 95, 97, and 101 of the Commission's Rules to Facilitate the Development and Use of the Universal Licensing System in the Wireless Telecommunications Services, </w:t>
      </w:r>
      <w:r w:rsidR="001D205C" w:rsidRPr="00F54792">
        <w:t xml:space="preserve">WT Docket No. 98-20, </w:t>
      </w:r>
      <w:r w:rsidR="001D205C">
        <w:rPr>
          <w:i/>
        </w:rPr>
        <w:t>Report and Order</w:t>
      </w:r>
      <w:r w:rsidR="001D205C">
        <w:t xml:space="preserve">, 13 FCC Rcd 21027, 21071 ¶ 96 (1998), </w:t>
      </w:r>
      <w:r w:rsidR="001D205C">
        <w:rPr>
          <w:i/>
        </w:rPr>
        <w:t xml:space="preserve">recon. denied </w:t>
      </w:r>
      <w:r w:rsidRPr="00F54792">
        <w:rPr>
          <w:i/>
        </w:rPr>
        <w:t>Memorandum Opinion and Order on Reconsideration</w:t>
      </w:r>
      <w:r w:rsidRPr="00F54792">
        <w:t>, 14 FCC Rcd 11476, 11485</w:t>
      </w:r>
      <w:r w:rsidR="001D205C">
        <w:t>-11486</w:t>
      </w:r>
      <w:r w:rsidRPr="00F54792">
        <w:t xml:space="preserve"> </w:t>
      </w:r>
      <w:r w:rsidR="001D205C">
        <w:t>¶</w:t>
      </w:r>
      <w:r w:rsidRPr="00F54792">
        <w:t xml:space="preserve">¶ </w:t>
      </w:r>
      <w:r w:rsidR="001D205C">
        <w:t>21-</w:t>
      </w:r>
      <w:r w:rsidRPr="00F54792">
        <w:t>22 (1999)</w:t>
      </w:r>
      <w:r w:rsidR="00CF08F9">
        <w:t>.</w:t>
      </w:r>
      <w:r w:rsidR="001D205C">
        <w:t xml:space="preserve"> </w:t>
      </w:r>
    </w:p>
  </w:footnote>
  <w:footnote w:id="19">
    <w:p w:rsidR="00842890" w:rsidRDefault="00842890" w:rsidP="00EB5714">
      <w:pPr>
        <w:pStyle w:val="FootnoteText"/>
      </w:pPr>
      <w:r>
        <w:rPr>
          <w:rStyle w:val="FootnoteReference"/>
        </w:rPr>
        <w:footnoteRef/>
      </w:r>
      <w:r>
        <w:t xml:space="preserve"> 47 U.S.C. § 405(a); 47 C.F.R. § 1.106(f).</w:t>
      </w:r>
    </w:p>
  </w:footnote>
  <w:footnote w:id="20">
    <w:p w:rsidR="00842890" w:rsidRDefault="00842890" w:rsidP="00EB5714">
      <w:pPr>
        <w:pStyle w:val="FootnoteText"/>
      </w:pPr>
      <w:r>
        <w:rPr>
          <w:rStyle w:val="FootnoteReference"/>
        </w:rPr>
        <w:footnoteRef/>
      </w:r>
      <w:r>
        <w:t xml:space="preserve"> 47 C.F.R. § 1.4.</w:t>
      </w:r>
    </w:p>
  </w:footnote>
  <w:footnote w:id="21">
    <w:p w:rsidR="00842890" w:rsidRDefault="00842890" w:rsidP="00EB5714">
      <w:pPr>
        <w:pStyle w:val="FootnoteText"/>
      </w:pPr>
      <w:r>
        <w:rPr>
          <w:rStyle w:val="FootnoteReference"/>
        </w:rPr>
        <w:footnoteRef/>
      </w:r>
      <w:r>
        <w:t xml:space="preserve"> </w:t>
      </w:r>
      <w:r>
        <w:rPr>
          <w:i/>
        </w:rPr>
        <w:t xml:space="preserve">See </w:t>
      </w:r>
      <w:r>
        <w:t>Reinstatement and Extension Request.</w:t>
      </w:r>
    </w:p>
  </w:footnote>
  <w:footnote w:id="22">
    <w:p w:rsidR="00842890" w:rsidRDefault="00842890" w:rsidP="00EB5714">
      <w:pPr>
        <w:pStyle w:val="FootnoteText"/>
      </w:pPr>
      <w:r>
        <w:rPr>
          <w:rStyle w:val="FootnoteReference"/>
        </w:rPr>
        <w:footnoteRef/>
      </w:r>
      <w:r>
        <w:t xml:space="preserve"> </w:t>
      </w:r>
      <w:r>
        <w:rPr>
          <w:i/>
        </w:rPr>
        <w:t>See Reuters Ltd. v. FCC</w:t>
      </w:r>
      <w:r>
        <w:t>, 781 F.2d 946, 951-</w:t>
      </w:r>
      <w:r w:rsidR="000C76B3">
        <w:t>9</w:t>
      </w:r>
      <w:r>
        <w:t xml:space="preserve">52 (D.C. Cir. 1986); </w:t>
      </w:r>
      <w:r>
        <w:rPr>
          <w:i/>
        </w:rPr>
        <w:t>Gardner v. FCC</w:t>
      </w:r>
      <w:r>
        <w:t xml:space="preserve">, 530 F.2d 1086 (D.C. Cir. 1976). </w:t>
      </w:r>
    </w:p>
  </w:footnote>
  <w:footnote w:id="23">
    <w:p w:rsidR="00842890" w:rsidRDefault="00842890" w:rsidP="00EB5714">
      <w:pPr>
        <w:pStyle w:val="FootnoteText"/>
      </w:pPr>
      <w:r>
        <w:rPr>
          <w:rStyle w:val="FootnoteReference"/>
        </w:rPr>
        <w:footnoteRef/>
      </w:r>
      <w:r>
        <w:t xml:space="preserve"> </w:t>
      </w:r>
      <w:r>
        <w:rPr>
          <w:i/>
        </w:rPr>
        <w:t>Gardner v. FCC</w:t>
      </w:r>
      <w:r>
        <w:t xml:space="preserve">, </w:t>
      </w:r>
      <w:r w:rsidR="000C76B3">
        <w:rPr>
          <w:i/>
        </w:rPr>
        <w:t>supra</w:t>
      </w:r>
      <w:r w:rsidR="000C76B3">
        <w:t>,</w:t>
      </w:r>
      <w:r w:rsidR="000C76B3">
        <w:rPr>
          <w:i/>
        </w:rPr>
        <w:t xml:space="preserve"> </w:t>
      </w:r>
      <w:r>
        <w:t>530 F.2d at 1091.</w:t>
      </w:r>
    </w:p>
  </w:footnote>
  <w:footnote w:id="24">
    <w:p w:rsidR="002623F6" w:rsidRDefault="002623F6">
      <w:pPr>
        <w:pStyle w:val="FootnoteText"/>
      </w:pPr>
      <w:r>
        <w:rPr>
          <w:rStyle w:val="FootnoteReference"/>
        </w:rPr>
        <w:footnoteRef/>
      </w:r>
      <w:r>
        <w:t xml:space="preserve"> </w:t>
      </w:r>
      <w:r>
        <w:rPr>
          <w:i/>
        </w:rPr>
        <w:t>See</w:t>
      </w:r>
      <w:r w:rsidRPr="00B12D35">
        <w:t xml:space="preserve"> </w:t>
      </w:r>
      <w:r>
        <w:t xml:space="preserve">SoFast Internet Services, Inc., </w:t>
      </w:r>
      <w:r>
        <w:rPr>
          <w:i/>
        </w:rPr>
        <w:t>Memorandum Opinion and Order</w:t>
      </w:r>
      <w:r>
        <w:t>, 21 FCC Rcd 10126, 10134 ¶ 18 (WTB ASAD 2006)</w:t>
      </w:r>
      <w:r w:rsidR="00943297">
        <w:t>.</w:t>
      </w:r>
    </w:p>
  </w:footnote>
  <w:footnote w:id="25">
    <w:p w:rsidR="002C6372" w:rsidRDefault="002C6372" w:rsidP="00EB5714">
      <w:pPr>
        <w:widowControl w:val="0"/>
        <w:autoSpaceDE w:val="0"/>
        <w:autoSpaceDN w:val="0"/>
        <w:adjustRightInd w:val="0"/>
        <w:spacing w:after="120"/>
        <w:jc w:val="both"/>
      </w:pPr>
      <w:r>
        <w:rPr>
          <w:rStyle w:val="FootnoteReference"/>
        </w:rPr>
        <w:footnoteRef/>
      </w:r>
      <w:r>
        <w:t xml:space="preserve"> </w:t>
      </w:r>
      <w:r w:rsidRPr="00B12D35">
        <w:rPr>
          <w:i/>
          <w:iCs/>
          <w:sz w:val="20"/>
        </w:rPr>
        <w:t xml:space="preserve">See </w:t>
      </w:r>
      <w:r w:rsidRPr="00B12D35">
        <w:rPr>
          <w:sz w:val="20"/>
        </w:rPr>
        <w:t xml:space="preserve">Southern Communications Systems, Inc., </w:t>
      </w:r>
      <w:r w:rsidRPr="00B12D35">
        <w:rPr>
          <w:i/>
          <w:iCs/>
          <w:sz w:val="20"/>
        </w:rPr>
        <w:t>Memorandum Opinion and Order</w:t>
      </w:r>
      <w:hyperlink r:id="rId1" w:history="1">
        <w:r w:rsidRPr="00B12D35">
          <w:rPr>
            <w:sz w:val="20"/>
          </w:rPr>
          <w:t>, 15 FCC Rcd 25103, 25107 ¶ 10 (2000)</w:t>
        </w:r>
      </w:hyperlink>
      <w:r w:rsidRPr="00B12D35">
        <w:rPr>
          <w:sz w:val="20"/>
        </w:rPr>
        <w:t xml:space="preserve"> (holding that a failure to appropriately organize and manage business arrangements does not justify waiver of the automatic cancellation rule), </w:t>
      </w:r>
      <w:r w:rsidRPr="00B12D35">
        <w:rPr>
          <w:i/>
          <w:iCs/>
          <w:sz w:val="20"/>
        </w:rPr>
        <w:t xml:space="preserve">further recon. denied, </w:t>
      </w:r>
      <w:hyperlink r:id="rId2" w:history="1">
        <w:r w:rsidRPr="00B12D35">
          <w:rPr>
            <w:i/>
            <w:iCs/>
            <w:sz w:val="20"/>
          </w:rPr>
          <w:t>Second Memorandum and Opinion</w:t>
        </w:r>
      </w:hyperlink>
      <w:hyperlink r:id="rId3" w:history="1">
        <w:r w:rsidRPr="00B12D35">
          <w:rPr>
            <w:sz w:val="20"/>
          </w:rPr>
          <w:t>, 16 FCC Rcd 18357 (2001)</w:t>
        </w:r>
      </w:hyperlink>
      <w:r w:rsidRPr="00B12D35">
        <w:rPr>
          <w:sz w:val="20"/>
        </w:rPr>
        <w:t xml:space="preserve">; BDPCS, Inc., </w:t>
      </w:r>
      <w:r w:rsidRPr="00B12D35">
        <w:rPr>
          <w:i/>
          <w:iCs/>
          <w:sz w:val="20"/>
        </w:rPr>
        <w:t>Memorandum Opinion and Order</w:t>
      </w:r>
      <w:hyperlink r:id="rId4" w:history="1">
        <w:r w:rsidRPr="00B12D35">
          <w:rPr>
            <w:sz w:val="20"/>
          </w:rPr>
          <w:t>, 12 FCC Rcd 2330, 2335 ¶ 8 (1997)</w:t>
        </w:r>
      </w:hyperlink>
      <w:r w:rsidRPr="00B12D35">
        <w:rPr>
          <w:sz w:val="20"/>
        </w:rPr>
        <w:t xml:space="preserve"> (holding that a failure of a third party to perform its contractual obligation does not constitute a special circumstance justifying a waiver of the down payment default rule), </w:t>
      </w:r>
      <w:r w:rsidRPr="00B12D35">
        <w:rPr>
          <w:i/>
          <w:iCs/>
          <w:sz w:val="20"/>
        </w:rPr>
        <w:t>review denied sub nom.</w:t>
      </w:r>
      <w:r w:rsidR="00B12D35">
        <w:rPr>
          <w:i/>
          <w:iCs/>
          <w:sz w:val="20"/>
        </w:rPr>
        <w:t xml:space="preserve"> </w:t>
      </w:r>
      <w:hyperlink r:id="rId5" w:history="1">
        <w:r w:rsidRPr="00B12D35">
          <w:rPr>
            <w:i/>
            <w:iCs/>
            <w:sz w:val="20"/>
          </w:rPr>
          <w:t>BDPCS, Inc. v. FCC</w:t>
        </w:r>
      </w:hyperlink>
      <w:hyperlink r:id="rId6" w:history="1">
        <w:r w:rsidRPr="00B12D35">
          <w:rPr>
            <w:sz w:val="20"/>
          </w:rPr>
          <w:t>, 351 F.3d 1177 (D.C. Cir. 2003)</w:t>
        </w:r>
      </w:hyperlink>
      <w:r w:rsidRPr="00B12D35">
        <w:rPr>
          <w:sz w:val="20"/>
        </w:rPr>
        <w:t xml:space="preserve">; PanAmerican </w:t>
      </w:r>
      <w:hyperlink r:id="rId7" w:history="1">
        <w:r w:rsidRPr="00B12D35">
          <w:rPr>
            <w:sz w:val="20"/>
          </w:rPr>
          <w:t xml:space="preserve">Interactive Corp., </w:t>
        </w:r>
      </w:hyperlink>
      <w:hyperlink r:id="rId8" w:history="1">
        <w:r w:rsidRPr="00B12D35">
          <w:rPr>
            <w:i/>
            <w:iCs/>
            <w:sz w:val="20"/>
          </w:rPr>
          <w:t>Order</w:t>
        </w:r>
      </w:hyperlink>
      <w:r w:rsidRPr="00B12D35">
        <w:rPr>
          <w:sz w:val="20"/>
        </w:rPr>
        <w:t>, 18 FCC Rcd 15314, 15318 (</w:t>
      </w:r>
      <w:r w:rsidR="0059149A">
        <w:rPr>
          <w:sz w:val="20"/>
        </w:rPr>
        <w:t xml:space="preserve">WTB ASAD </w:t>
      </w:r>
      <w:r w:rsidRPr="00B12D35">
        <w:rPr>
          <w:sz w:val="20"/>
        </w:rPr>
        <w:t>2003) (holding that a licensee is responsible for the consequences that flow from its business decisions).</w:t>
      </w:r>
    </w:p>
  </w:footnote>
  <w:footnote w:id="26">
    <w:p w:rsidR="00842890" w:rsidRDefault="00842890" w:rsidP="00EB5714">
      <w:pPr>
        <w:pStyle w:val="FootnoteText"/>
      </w:pPr>
      <w:r>
        <w:rPr>
          <w:rStyle w:val="FootnoteReference"/>
        </w:rPr>
        <w:footnoteRef/>
      </w:r>
      <w:r>
        <w:t xml:space="preserve"> Reinstatement and Extension Request at 3.</w:t>
      </w:r>
    </w:p>
  </w:footnote>
  <w:footnote w:id="27">
    <w:p w:rsidR="00EB5714" w:rsidRPr="00EB5714" w:rsidRDefault="00EB5714" w:rsidP="00EB5714">
      <w:pPr>
        <w:pStyle w:val="FootnoteText"/>
      </w:pPr>
      <w:r>
        <w:rPr>
          <w:rStyle w:val="FootnoteReference"/>
        </w:rPr>
        <w:footnoteRef/>
      </w:r>
      <w:r>
        <w:t xml:space="preserve"> </w:t>
      </w:r>
      <w:r>
        <w:rPr>
          <w:i/>
        </w:rPr>
        <w:t>See</w:t>
      </w:r>
      <w:r>
        <w:t xml:space="preserve"> 47 C.F.R. § 1.955(a)(1) (“Authorizations automatically terminate, without specific Commission action, on the expiration date specified therein, unless a timely application for renewal is filed.”)</w:t>
      </w:r>
    </w:p>
  </w:footnote>
  <w:footnote w:id="28">
    <w:p w:rsidR="009619C7" w:rsidRPr="00F44319" w:rsidRDefault="009619C7">
      <w:pPr>
        <w:pStyle w:val="FootnoteText"/>
      </w:pPr>
      <w:r>
        <w:rPr>
          <w:rStyle w:val="FootnoteReference"/>
        </w:rPr>
        <w:footnoteRef/>
      </w:r>
      <w:r>
        <w:t xml:space="preserve"> Moreover, even if Nowata’s filing was timely, </w:t>
      </w:r>
      <w:r w:rsidR="00F44319">
        <w:t xml:space="preserve">based on the facts presented, we would deny its request for additional time to demonstrate substantial service.  Nowata has not met the standard for an extension of time pursuant to 47 C.F.R. § 1.946(e) or for a waiver pursuant to 47 C.F.R. § 1.925(b)(3).  Nowata’s citation of Unified School District #392, </w:t>
      </w:r>
      <w:r w:rsidR="00F44319">
        <w:rPr>
          <w:i/>
        </w:rPr>
        <w:t>Memorandum Opinion and Order</w:t>
      </w:r>
      <w:r w:rsidR="00F44319">
        <w:t xml:space="preserve">, 28 FCC Rcd 6373 (WTB BD 2013) (Reinstatement and Extension Request at 3 n.5) is inapposite.  In that case, the Broadband Division granted a waiver to allow consideration of a late-filed renewal application.  The bases for granting the waiver were that the licensee had overall been diligent in in complying with the Commission’s rules and that it was currently providing educational broadband service.  </w:t>
      </w:r>
      <w:r w:rsidR="00F44319">
        <w:rPr>
          <w:i/>
        </w:rPr>
        <w:t>Id.</w:t>
      </w:r>
      <w:r w:rsidR="00F44319">
        <w:t xml:space="preserve"> at 6374-6375 ¶¶ 7-8.  Neither factor is present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E8" w:rsidRDefault="00DB3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90" w:rsidRDefault="00842890">
    <w:pPr>
      <w:pStyle w:val="Header"/>
      <w:tabs>
        <w:tab w:val="clear" w:pos="4320"/>
        <w:tab w:val="clear" w:pos="8640"/>
        <w:tab w:val="center" w:pos="4680"/>
        <w:tab w:val="right" w:pos="9360"/>
      </w:tabs>
      <w:rPr>
        <w:b/>
      </w:rPr>
    </w:pPr>
    <w:r>
      <w:rPr>
        <w:b/>
      </w:rPr>
      <w:tab/>
      <w:t>Federal Communications Commission</w:t>
    </w:r>
    <w:r>
      <w:rPr>
        <w:b/>
      </w:rPr>
      <w:tab/>
      <w:t>DA 1</w:t>
    </w:r>
    <w:r w:rsidR="008B5F88">
      <w:rPr>
        <w:b/>
      </w:rPr>
      <w:t>3</w:t>
    </w:r>
    <w:r>
      <w:rPr>
        <w:b/>
      </w:rPr>
      <w:t>-</w:t>
    </w:r>
    <w:r w:rsidR="00143529">
      <w:rPr>
        <w:b/>
      </w:rPr>
      <w:t>1981</w:t>
    </w:r>
    <w:r>
      <w:rPr>
        <w:b/>
      </w:rPr>
      <w:t xml:space="preserve"> </w:t>
    </w:r>
  </w:p>
  <w:p w:rsidR="00842890" w:rsidRDefault="0014352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90" w:rsidRDefault="00842890">
    <w:pPr>
      <w:pStyle w:val="Header"/>
      <w:tabs>
        <w:tab w:val="clear" w:pos="4320"/>
        <w:tab w:val="clear" w:pos="8640"/>
        <w:tab w:val="center" w:pos="4680"/>
        <w:tab w:val="right" w:pos="9360"/>
      </w:tabs>
      <w:rPr>
        <w:b/>
      </w:rPr>
    </w:pPr>
    <w:r>
      <w:rPr>
        <w:b/>
      </w:rPr>
      <w:tab/>
      <w:t>Federal Communications Commission</w:t>
    </w:r>
    <w:r>
      <w:rPr>
        <w:b/>
      </w:rPr>
      <w:tab/>
      <w:t>DA 1</w:t>
    </w:r>
    <w:r w:rsidR="00E565CA">
      <w:rPr>
        <w:b/>
      </w:rPr>
      <w:t>3</w:t>
    </w:r>
    <w:r>
      <w:rPr>
        <w:b/>
      </w:rPr>
      <w:t>-</w:t>
    </w:r>
    <w:r w:rsidR="00143529">
      <w:rPr>
        <w:b/>
      </w:rPr>
      <w:t>1981</w:t>
    </w:r>
    <w:r>
      <w:rPr>
        <w:b/>
      </w:rPr>
      <w:t xml:space="preserve"> </w:t>
    </w:r>
  </w:p>
  <w:p w:rsidR="00842890" w:rsidRDefault="0014352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D21B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9695F"/>
    <w:multiLevelType w:val="multilevel"/>
    <w:tmpl w:val="DC2ADF6A"/>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0394036"/>
    <w:multiLevelType w:val="hybridMultilevel"/>
    <w:tmpl w:val="7B8E87B8"/>
    <w:lvl w:ilvl="0" w:tplc="8C2009A4">
      <w:start w:val="1"/>
      <w:numFmt w:val="decimal"/>
      <w:lvlText w:val="%1."/>
      <w:lvlJc w:val="left"/>
      <w:pPr>
        <w:tabs>
          <w:tab w:val="num" w:pos="1800"/>
        </w:tabs>
        <w:ind w:left="720" w:firstLine="720"/>
      </w:pPr>
      <w:rPr>
        <w:rFonts w:hint="default"/>
        <w:b w:val="0"/>
        <w:i w:val="0"/>
      </w:rPr>
    </w:lvl>
    <w:lvl w:ilvl="1" w:tplc="C4A2F03A">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4B64653"/>
    <w:multiLevelType w:val="multilevel"/>
    <w:tmpl w:val="E6BA34F8"/>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1080" w:firstLine="720"/>
      </w:pPr>
      <w:rPr>
        <w:rFonts w:ascii="Castellar" w:hAnsi="Castellar"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05A41F1"/>
    <w:multiLevelType w:val="multilevel"/>
    <w:tmpl w:val="388E0476"/>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720" w:firstLine="720"/>
      </w:pPr>
      <w:rPr>
        <w:rFonts w:ascii="Castellar" w:hAnsi="Castellar"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Castellar" w:hAnsi="Castellar"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380"/>
        </w:tabs>
        <w:ind w:left="1380" w:hanging="720"/>
      </w:pPr>
    </w:lvl>
    <w:lvl w:ilvl="2">
      <w:start w:val="1"/>
      <w:numFmt w:val="decimal"/>
      <w:pStyle w:val="Heading3"/>
      <w:lvlText w:val="%3."/>
      <w:lvlJc w:val="left"/>
      <w:pPr>
        <w:tabs>
          <w:tab w:val="num" w:pos="2260"/>
        </w:tabs>
        <w:ind w:left="22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734162B"/>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4"/>
  </w:num>
  <w:num w:numId="2">
    <w:abstractNumId w:val="26"/>
  </w:num>
  <w:num w:numId="3">
    <w:abstractNumId w:val="5"/>
  </w:num>
  <w:num w:numId="4">
    <w:abstractNumId w:val="20"/>
  </w:num>
  <w:num w:numId="5">
    <w:abstractNumId w:val="6"/>
  </w:num>
  <w:num w:numId="6">
    <w:abstractNumId w:val="23"/>
  </w:num>
  <w:num w:numId="7">
    <w:abstractNumId w:val="16"/>
  </w:num>
  <w:num w:numId="8">
    <w:abstractNumId w:val="7"/>
  </w:num>
  <w:num w:numId="9">
    <w:abstractNumId w:val="22"/>
  </w:num>
  <w:num w:numId="10">
    <w:abstractNumId w:val="13"/>
  </w:num>
  <w:num w:numId="11">
    <w:abstractNumId w:val="12"/>
  </w:num>
  <w:num w:numId="12">
    <w:abstractNumId w:val="8"/>
  </w:num>
  <w:num w:numId="13">
    <w:abstractNumId w:val="14"/>
  </w:num>
  <w:num w:numId="14">
    <w:abstractNumId w:val="21"/>
  </w:num>
  <w:num w:numId="15">
    <w:abstractNumId w:val="3"/>
  </w:num>
  <w:num w:numId="16">
    <w:abstractNumId w:val="4"/>
  </w:num>
  <w:num w:numId="17">
    <w:abstractNumId w:val="10"/>
  </w:num>
  <w:num w:numId="18">
    <w:abstractNumId w:val="2"/>
  </w:num>
  <w:num w:numId="19">
    <w:abstractNumId w:val="11"/>
  </w:num>
  <w:num w:numId="20">
    <w:abstractNumId w:val="17"/>
  </w:num>
  <w:num w:numId="21">
    <w:abstractNumId w:val="19"/>
  </w:num>
  <w:num w:numId="22">
    <w:abstractNumId w:val="9"/>
  </w:num>
  <w:num w:numId="23">
    <w:abstractNumId w:val="15"/>
  </w:num>
  <w:num w:numId="24">
    <w:abstractNumId w:val="18"/>
  </w:num>
  <w:num w:numId="25">
    <w:abstractNumId w:val="1"/>
  </w:num>
  <w:num w:numId="26">
    <w:abstractNumId w:val="2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DC"/>
    <w:rsid w:val="000116DF"/>
    <w:rsid w:val="0001701F"/>
    <w:rsid w:val="0006628E"/>
    <w:rsid w:val="000C1847"/>
    <w:rsid w:val="000C256A"/>
    <w:rsid w:val="000C76B3"/>
    <w:rsid w:val="00114C3E"/>
    <w:rsid w:val="001226D1"/>
    <w:rsid w:val="00143529"/>
    <w:rsid w:val="00156AD2"/>
    <w:rsid w:val="001615AF"/>
    <w:rsid w:val="001A1778"/>
    <w:rsid w:val="001B4900"/>
    <w:rsid w:val="001D205C"/>
    <w:rsid w:val="001D3172"/>
    <w:rsid w:val="001E0A74"/>
    <w:rsid w:val="001F66B4"/>
    <w:rsid w:val="00255509"/>
    <w:rsid w:val="002623F6"/>
    <w:rsid w:val="002B2996"/>
    <w:rsid w:val="002C544D"/>
    <w:rsid w:val="002C6372"/>
    <w:rsid w:val="002F3095"/>
    <w:rsid w:val="00307A80"/>
    <w:rsid w:val="003135FC"/>
    <w:rsid w:val="0033554F"/>
    <w:rsid w:val="00342D92"/>
    <w:rsid w:val="00372999"/>
    <w:rsid w:val="003A19F3"/>
    <w:rsid w:val="003F23B6"/>
    <w:rsid w:val="004E44CB"/>
    <w:rsid w:val="0053002A"/>
    <w:rsid w:val="00567F5F"/>
    <w:rsid w:val="0059149A"/>
    <w:rsid w:val="005A600E"/>
    <w:rsid w:val="005B21DD"/>
    <w:rsid w:val="005F06ED"/>
    <w:rsid w:val="005F1D94"/>
    <w:rsid w:val="005F5627"/>
    <w:rsid w:val="00614668"/>
    <w:rsid w:val="00684A32"/>
    <w:rsid w:val="006977B7"/>
    <w:rsid w:val="006B5500"/>
    <w:rsid w:val="006F59A3"/>
    <w:rsid w:val="007643E5"/>
    <w:rsid w:val="007739A8"/>
    <w:rsid w:val="007F36DF"/>
    <w:rsid w:val="008321DC"/>
    <w:rsid w:val="00842890"/>
    <w:rsid w:val="00854AF9"/>
    <w:rsid w:val="008666E0"/>
    <w:rsid w:val="008819AE"/>
    <w:rsid w:val="008A6879"/>
    <w:rsid w:val="008B5CFC"/>
    <w:rsid w:val="008B5F88"/>
    <w:rsid w:val="008F13AE"/>
    <w:rsid w:val="00906A56"/>
    <w:rsid w:val="00910217"/>
    <w:rsid w:val="009209AD"/>
    <w:rsid w:val="00943297"/>
    <w:rsid w:val="00961795"/>
    <w:rsid w:val="009619C7"/>
    <w:rsid w:val="00994E21"/>
    <w:rsid w:val="009A0D6E"/>
    <w:rsid w:val="009C7925"/>
    <w:rsid w:val="00A55BCA"/>
    <w:rsid w:val="00A63CC6"/>
    <w:rsid w:val="00B12D35"/>
    <w:rsid w:val="00B55D0A"/>
    <w:rsid w:val="00B85522"/>
    <w:rsid w:val="00B869AC"/>
    <w:rsid w:val="00BC463C"/>
    <w:rsid w:val="00C26EC9"/>
    <w:rsid w:val="00C44F2C"/>
    <w:rsid w:val="00CB7468"/>
    <w:rsid w:val="00CD145C"/>
    <w:rsid w:val="00CF08F9"/>
    <w:rsid w:val="00D208B0"/>
    <w:rsid w:val="00D26145"/>
    <w:rsid w:val="00D30D30"/>
    <w:rsid w:val="00D43257"/>
    <w:rsid w:val="00D47837"/>
    <w:rsid w:val="00D70D92"/>
    <w:rsid w:val="00DB3AE8"/>
    <w:rsid w:val="00DD3B16"/>
    <w:rsid w:val="00E07A48"/>
    <w:rsid w:val="00E2124B"/>
    <w:rsid w:val="00E565CA"/>
    <w:rsid w:val="00EB5714"/>
    <w:rsid w:val="00EB602B"/>
    <w:rsid w:val="00EC6444"/>
    <w:rsid w:val="00EF75AE"/>
    <w:rsid w:val="00F440EB"/>
    <w:rsid w:val="00F44319"/>
    <w:rsid w:val="00F54792"/>
    <w:rsid w:val="00FD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2 Char,Footnote Text Char1 Char Char,Footnote Text Char Char Char Char,Footnote Text Char1 Char2 Char Char Char,Footnote Text Char1 Char Char Char Char Char Char,Footnote Text Char1,Footnote Text Char2"/>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FootnoteTextChar">
    <w:name w:val="Footnote Text Char"/>
    <w:aliases w:val="Footnote Text Char2 Char Char1,Footnote Text Char1 Char Char Char1,Footnote Text Char Char Char Char Char1,Footnote Text Char1 Char2 Char Char Char Char1,Footnote Text Char1 Char Char Char Char Char Char Char1,Footnote Text Char1 Char"/>
    <w:link w:val="FootnoteText"/>
    <w:semiHidden/>
    <w:rsid w:val="00EC6444"/>
  </w:style>
  <w:style w:type="character" w:customStyle="1" w:styleId="FootnoteTextChar3">
    <w:name w:val="Footnote Text Char3"/>
    <w:aliases w:val="Footnote Text Char Char,Footnote Text Char2 Char Char,Footnote Text Char1 Char Char Char,Footnote Text Char Char Char Char Char,Footnote Text Char1 Char2 Char Char Char Char,Footnote Text Char1 Char Char Char Char Char Char Char"/>
    <w:rsid w:val="00F440EB"/>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2 Char,Footnote Text Char1 Char Char,Footnote Text Char Char Char Char,Footnote Text Char1 Char2 Char Char Char,Footnote Text Char1 Char Char Char Char Char Char,Footnote Text Char1,Footnote Text Char2"/>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FootnoteTextChar">
    <w:name w:val="Footnote Text Char"/>
    <w:aliases w:val="Footnote Text Char2 Char Char1,Footnote Text Char1 Char Char Char1,Footnote Text Char Char Char Char Char1,Footnote Text Char1 Char2 Char Char Char Char1,Footnote Text Char1 Char Char Char Char Char Char Char1,Footnote Text Char1 Char"/>
    <w:link w:val="FootnoteText"/>
    <w:semiHidden/>
    <w:rsid w:val="00EC6444"/>
  </w:style>
  <w:style w:type="character" w:customStyle="1" w:styleId="FootnoteTextChar3">
    <w:name w:val="Footnote Text Char3"/>
    <w:aliases w:val="Footnote Text Char Char,Footnote Text Char2 Char Char,Footnote Text Char1 Char Char Char,Footnote Text Char Char Char Char Char,Footnote Text Char1 Char2 Char Char Char Char,Footnote Text Char1 Char Char Char Char Char Char Char"/>
    <w:rsid w:val="00F440EB"/>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Find/Default.wl?rs=dfa1.0&amp;vr=2.0&amp;DB=4493&amp;FindType=Y&amp;SerialNum=2003511613" TargetMode="External"/><Relationship Id="rId3" Type="http://schemas.openxmlformats.org/officeDocument/2006/relationships/hyperlink" Target="http://www.westlaw.com/Find/Default.wl?rs=dfa1.0&amp;vr=2.0&amp;DB=4493&amp;FindType=Y&amp;SerialNum=2001877686" TargetMode="External"/><Relationship Id="rId7" Type="http://schemas.openxmlformats.org/officeDocument/2006/relationships/hyperlink" Target="http://www.westlaw.com/Find/Default.wl?rs=dfa1.0&amp;vr=2.0&amp;DB=4493&amp;FindType=Y&amp;SerialNum=2003511613" TargetMode="External"/><Relationship Id="rId2" Type="http://schemas.openxmlformats.org/officeDocument/2006/relationships/hyperlink" Target="http://www.westlaw.com/Find/Default.wl?rs=dfa1.0&amp;vr=2.0&amp;DB=4493&amp;FindType=Y&amp;SerialNum=2001877686" TargetMode="External"/><Relationship Id="rId1" Type="http://schemas.openxmlformats.org/officeDocument/2006/relationships/hyperlink" Target="http://www.westlaw.com/Find/Default.wl?rs=dfa1.0&amp;vr=2.0&amp;DB=4493&amp;FindType=Y&amp;SerialNum=2002162826" TargetMode="External"/><Relationship Id="rId6" Type="http://schemas.openxmlformats.org/officeDocument/2006/relationships/hyperlink" Target="http://www.westlaw.com/Find/Default.wl?rs=dfa1.0&amp;vr=2.0&amp;DB=506&amp;FindType=Y&amp;SerialNum=2003887328" TargetMode="External"/><Relationship Id="rId5" Type="http://schemas.openxmlformats.org/officeDocument/2006/relationships/hyperlink" Target="http://www.westlaw.com/Find/Default.wl?rs=dfa1.0&amp;vr=2.0&amp;DB=506&amp;FindType=Y&amp;SerialNum=2003887328" TargetMode="External"/><Relationship Id="rId4" Type="http://schemas.openxmlformats.org/officeDocument/2006/relationships/hyperlink" Target="http://www.westlaw.com/Find/Default.wl?rs=dfa1.0&amp;vr=2.0&amp;DB=4493&amp;DocName=12FCCRCD2330&amp;FindTyp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Orders</Template>
  <TotalTime>0</TotalTime>
  <Pages>3</Pages>
  <Words>1263</Words>
  <Characters>6979</Characters>
  <Application>Microsoft Office Word</Application>
  <DocSecurity>0</DocSecurity>
  <Lines>124</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8287</CharactersWithSpaces>
  <SharedDoc>false</SharedDoc>
  <HyperlinkBase> </HyperlinkBase>
  <HLinks>
    <vt:vector size="72" baseType="variant">
      <vt:variant>
        <vt:i4>458790</vt:i4>
      </vt:variant>
      <vt:variant>
        <vt:i4>0</vt:i4>
      </vt:variant>
      <vt:variant>
        <vt:i4>0</vt:i4>
      </vt:variant>
      <vt:variant>
        <vt:i4>5</vt:i4>
      </vt:variant>
      <vt:variant>
        <vt:lpwstr>http://wireless2.fcc.gov/UlsApp/ApplicationSearch/applMain.jsp?applID=4168067</vt:lpwstr>
      </vt:variant>
      <vt:variant>
        <vt:lpwstr/>
      </vt:variant>
      <vt:variant>
        <vt:i4>2687056</vt:i4>
      </vt:variant>
      <vt:variant>
        <vt:i4>30</vt:i4>
      </vt:variant>
      <vt:variant>
        <vt:i4>0</vt:i4>
      </vt:variant>
      <vt:variant>
        <vt:i4>5</vt:i4>
      </vt:variant>
      <vt:variant>
        <vt:lpwstr>http://www.westlaw.com/Find/Default.wl?rs=dfa1.0&amp;vr=2.0&amp;DB=4493&amp;FindType=Y&amp;SerialNum=2003511613</vt:lpwstr>
      </vt:variant>
      <vt:variant>
        <vt:lpwstr/>
      </vt:variant>
      <vt:variant>
        <vt:i4>2687056</vt:i4>
      </vt:variant>
      <vt:variant>
        <vt:i4>27</vt:i4>
      </vt:variant>
      <vt:variant>
        <vt:i4>0</vt:i4>
      </vt:variant>
      <vt:variant>
        <vt:i4>5</vt:i4>
      </vt:variant>
      <vt:variant>
        <vt:lpwstr>http://www.westlaw.com/Find/Default.wl?rs=dfa1.0&amp;vr=2.0&amp;DB=4493&amp;FindType=Y&amp;SerialNum=2003511613</vt:lpwstr>
      </vt:variant>
      <vt:variant>
        <vt:lpwstr/>
      </vt:variant>
      <vt:variant>
        <vt:i4>2687056</vt:i4>
      </vt:variant>
      <vt:variant>
        <vt:i4>24</vt:i4>
      </vt:variant>
      <vt:variant>
        <vt:i4>0</vt:i4>
      </vt:variant>
      <vt:variant>
        <vt:i4>5</vt:i4>
      </vt:variant>
      <vt:variant>
        <vt:lpwstr>http://www.westlaw.com/Find/Default.wl?rs=dfa1.0&amp;vr=2.0&amp;DB=4493&amp;FindType=Y&amp;SerialNum=2003511613</vt:lpwstr>
      </vt:variant>
      <vt:variant>
        <vt:lpwstr/>
      </vt:variant>
      <vt:variant>
        <vt:i4>3276925</vt:i4>
      </vt:variant>
      <vt:variant>
        <vt:i4>21</vt:i4>
      </vt:variant>
      <vt:variant>
        <vt:i4>0</vt:i4>
      </vt:variant>
      <vt:variant>
        <vt:i4>5</vt:i4>
      </vt:variant>
      <vt:variant>
        <vt:lpwstr>http://www.westlaw.com/Find/Default.wl?rs=dfa1.0&amp;vr=2.0&amp;DB=506&amp;FindType=Y&amp;SerialNum=2003887328</vt:lpwstr>
      </vt:variant>
      <vt:variant>
        <vt:lpwstr/>
      </vt:variant>
      <vt:variant>
        <vt:i4>3276925</vt:i4>
      </vt:variant>
      <vt:variant>
        <vt:i4>18</vt:i4>
      </vt:variant>
      <vt:variant>
        <vt:i4>0</vt:i4>
      </vt:variant>
      <vt:variant>
        <vt:i4>5</vt:i4>
      </vt:variant>
      <vt:variant>
        <vt:lpwstr>http://www.westlaw.com/Find/Default.wl?rs=dfa1.0&amp;vr=2.0&amp;DB=506&amp;FindType=Y&amp;SerialNum=2003887328</vt:lpwstr>
      </vt:variant>
      <vt:variant>
        <vt:lpwstr/>
      </vt:variant>
      <vt:variant>
        <vt:i4>3211331</vt:i4>
      </vt:variant>
      <vt:variant>
        <vt:i4>15</vt:i4>
      </vt:variant>
      <vt:variant>
        <vt:i4>0</vt:i4>
      </vt:variant>
      <vt:variant>
        <vt:i4>5</vt:i4>
      </vt:variant>
      <vt:variant>
        <vt:lpwstr>http://www.westlaw.com/Find/Default.wl?rs=dfa1.0&amp;vr=2.0&amp;DB=4493&amp;DocName=12FCCRCD2330&amp;FindType=Y</vt:lpwstr>
      </vt:variant>
      <vt:variant>
        <vt:lpwstr/>
      </vt:variant>
      <vt:variant>
        <vt:i4>3211331</vt:i4>
      </vt:variant>
      <vt:variant>
        <vt:i4>12</vt:i4>
      </vt:variant>
      <vt:variant>
        <vt:i4>0</vt:i4>
      </vt:variant>
      <vt:variant>
        <vt:i4>5</vt:i4>
      </vt:variant>
      <vt:variant>
        <vt:lpwstr>http://www.westlaw.com/Find/Default.wl?rs=dfa1.0&amp;vr=2.0&amp;DB=4493&amp;DocName=12FCCRCD2330&amp;FindType=Y</vt:lpwstr>
      </vt:variant>
      <vt:variant>
        <vt:lpwstr/>
      </vt:variant>
      <vt:variant>
        <vt:i4>2818129</vt:i4>
      </vt:variant>
      <vt:variant>
        <vt:i4>9</vt:i4>
      </vt:variant>
      <vt:variant>
        <vt:i4>0</vt:i4>
      </vt:variant>
      <vt:variant>
        <vt:i4>5</vt:i4>
      </vt:variant>
      <vt:variant>
        <vt:lpwstr>http://www.westlaw.com/Find/Default.wl?rs=dfa1.0&amp;vr=2.0&amp;DB=4493&amp;FindType=Y&amp;SerialNum=2001877686</vt:lpwstr>
      </vt:variant>
      <vt:variant>
        <vt:lpwstr/>
      </vt:variant>
      <vt:variant>
        <vt:i4>2818129</vt:i4>
      </vt:variant>
      <vt:variant>
        <vt:i4>6</vt:i4>
      </vt:variant>
      <vt:variant>
        <vt:i4>0</vt:i4>
      </vt:variant>
      <vt:variant>
        <vt:i4>5</vt:i4>
      </vt:variant>
      <vt:variant>
        <vt:lpwstr>http://www.westlaw.com/Find/Default.wl?rs=dfa1.0&amp;vr=2.0&amp;DB=4493&amp;FindType=Y&amp;SerialNum=2001877686</vt:lpwstr>
      </vt:variant>
      <vt:variant>
        <vt:lpwstr/>
      </vt:variant>
      <vt:variant>
        <vt:i4>2949213</vt:i4>
      </vt:variant>
      <vt:variant>
        <vt:i4>3</vt:i4>
      </vt:variant>
      <vt:variant>
        <vt:i4>0</vt:i4>
      </vt:variant>
      <vt:variant>
        <vt:i4>5</vt:i4>
      </vt:variant>
      <vt:variant>
        <vt:lpwstr>http://www.westlaw.com/Find/Default.wl?rs=dfa1.0&amp;vr=2.0&amp;DB=4493&amp;FindType=Y&amp;SerialNum=2002162826</vt:lpwstr>
      </vt:variant>
      <vt:variant>
        <vt:lpwstr/>
      </vt:variant>
      <vt:variant>
        <vt:i4>2949213</vt:i4>
      </vt:variant>
      <vt:variant>
        <vt:i4>0</vt:i4>
      </vt:variant>
      <vt:variant>
        <vt:i4>0</vt:i4>
      </vt:variant>
      <vt:variant>
        <vt:i4>5</vt:i4>
      </vt:variant>
      <vt:variant>
        <vt:lpwstr>http://www.westlaw.com/Find/Default.wl?rs=dfa1.0&amp;vr=2.0&amp;DB=4493&amp;FindType=Y&amp;SerialNum=2002162826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2012-03-21T13:46:00Z</cp:lastPrinted>
  <dcterms:created xsi:type="dcterms:W3CDTF">2013-09-25T16:29:00Z</dcterms:created>
  <dcterms:modified xsi:type="dcterms:W3CDTF">2013-09-25T16:29:00Z</dcterms:modified>
  <cp:category> </cp:category>
  <cp:contentStatus> </cp:contentStatus>
</cp:coreProperties>
</file>