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92" w:rsidRPr="00CD5AC5" w:rsidRDefault="00CD5AC5" w:rsidP="00906338">
      <w:pPr>
        <w:tabs>
          <w:tab w:val="left" w:pos="2490"/>
        </w:tabs>
        <w:jc w:val="right"/>
        <w:rPr>
          <w:b/>
          <w:sz w:val="24"/>
          <w:szCs w:val="24"/>
        </w:rPr>
      </w:pPr>
      <w:bookmarkStart w:id="0" w:name="_GoBack"/>
      <w:bookmarkEnd w:id="0"/>
      <w:r w:rsidRPr="00CD5AC5">
        <w:rPr>
          <w:b/>
          <w:sz w:val="24"/>
          <w:szCs w:val="24"/>
        </w:rPr>
        <w:t>DA</w:t>
      </w:r>
      <w:r w:rsidR="00DA68F6">
        <w:rPr>
          <w:b/>
          <w:sz w:val="24"/>
          <w:szCs w:val="24"/>
        </w:rPr>
        <w:t xml:space="preserve"> </w:t>
      </w:r>
      <w:r w:rsidRPr="00CD5AC5">
        <w:rPr>
          <w:b/>
          <w:sz w:val="24"/>
          <w:szCs w:val="24"/>
        </w:rPr>
        <w:t>13-2013</w:t>
      </w:r>
      <w:r w:rsidR="00906338" w:rsidRPr="00CD5AC5">
        <w:rPr>
          <w:b/>
          <w:sz w:val="24"/>
          <w:szCs w:val="24"/>
        </w:rPr>
        <w:t xml:space="preserve"> </w:t>
      </w:r>
    </w:p>
    <w:p w:rsidR="00584892" w:rsidRDefault="00584892"/>
    <w:p w:rsidR="00584892" w:rsidRPr="004B1666" w:rsidRDefault="00584892">
      <w:pPr>
        <w:rPr>
          <w:szCs w:val="22"/>
        </w:rPr>
      </w:pPr>
    </w:p>
    <w:p w:rsidR="00584892" w:rsidRPr="00906338" w:rsidRDefault="00584892">
      <w:pPr>
        <w:spacing w:after="120"/>
        <w:jc w:val="center"/>
        <w:rPr>
          <w:b/>
          <w:sz w:val="36"/>
          <w:szCs w:val="36"/>
        </w:rPr>
      </w:pPr>
      <w:r w:rsidRPr="00906338">
        <w:rPr>
          <w:b/>
          <w:sz w:val="36"/>
          <w:szCs w:val="36"/>
        </w:rPr>
        <w:t>Small Entity Compliance Guide</w:t>
      </w:r>
    </w:p>
    <w:p w:rsidR="00906338" w:rsidRDefault="00906338">
      <w:pPr>
        <w:spacing w:after="120"/>
        <w:jc w:val="center"/>
        <w:rPr>
          <w:b/>
          <w:sz w:val="28"/>
          <w:szCs w:val="28"/>
        </w:rPr>
      </w:pPr>
    </w:p>
    <w:p w:rsidR="00906338" w:rsidRDefault="00754725">
      <w:pPr>
        <w:spacing w:after="120"/>
        <w:jc w:val="center"/>
        <w:rPr>
          <w:b/>
          <w:sz w:val="28"/>
          <w:szCs w:val="28"/>
        </w:rPr>
      </w:pPr>
      <w:r w:rsidRPr="00906338">
        <w:rPr>
          <w:b/>
          <w:sz w:val="28"/>
          <w:szCs w:val="28"/>
        </w:rPr>
        <w:t>Amendment of the</w:t>
      </w:r>
      <w:r w:rsidR="00E94E18" w:rsidRPr="00906338">
        <w:rPr>
          <w:b/>
          <w:sz w:val="28"/>
          <w:szCs w:val="28"/>
        </w:rPr>
        <w:t xml:space="preserve"> Commission’s Rules</w:t>
      </w:r>
      <w:r w:rsidR="002B6F39" w:rsidRPr="00906338">
        <w:rPr>
          <w:b/>
          <w:sz w:val="28"/>
          <w:szCs w:val="28"/>
        </w:rPr>
        <w:t xml:space="preserve"> to Permit Radiolocation Operations</w:t>
      </w:r>
    </w:p>
    <w:p w:rsidR="00584892" w:rsidRPr="00906338" w:rsidRDefault="002B6F39">
      <w:pPr>
        <w:spacing w:after="120"/>
        <w:jc w:val="center"/>
        <w:rPr>
          <w:b/>
          <w:sz w:val="28"/>
          <w:szCs w:val="28"/>
        </w:rPr>
      </w:pPr>
      <w:r w:rsidRPr="00906338">
        <w:rPr>
          <w:b/>
          <w:sz w:val="28"/>
          <w:szCs w:val="28"/>
        </w:rPr>
        <w:t xml:space="preserve"> in the 78-81 GHz Band</w:t>
      </w:r>
      <w:r w:rsidR="00E94E18" w:rsidRPr="00906338">
        <w:rPr>
          <w:b/>
          <w:sz w:val="28"/>
          <w:szCs w:val="28"/>
        </w:rPr>
        <w:t xml:space="preserve"> </w:t>
      </w:r>
    </w:p>
    <w:p w:rsidR="00584892" w:rsidRPr="000D6AAA" w:rsidRDefault="00584892">
      <w:pPr>
        <w:rPr>
          <w:b/>
          <w:szCs w:val="22"/>
        </w:rPr>
      </w:pPr>
    </w:p>
    <w:p w:rsidR="00584892" w:rsidRPr="00906338" w:rsidRDefault="00584892">
      <w:pPr>
        <w:spacing w:after="120"/>
        <w:jc w:val="center"/>
        <w:rPr>
          <w:b/>
          <w:bCs/>
          <w:sz w:val="24"/>
          <w:szCs w:val="24"/>
        </w:rPr>
      </w:pPr>
      <w:r w:rsidRPr="00906338">
        <w:rPr>
          <w:b/>
          <w:bCs/>
          <w:sz w:val="24"/>
          <w:szCs w:val="24"/>
        </w:rPr>
        <w:t>FCC 1</w:t>
      </w:r>
      <w:r w:rsidR="00F26CCE" w:rsidRPr="00906338">
        <w:rPr>
          <w:b/>
          <w:bCs/>
          <w:sz w:val="24"/>
          <w:szCs w:val="24"/>
        </w:rPr>
        <w:t>3</w:t>
      </w:r>
      <w:r w:rsidRPr="00906338">
        <w:rPr>
          <w:b/>
          <w:bCs/>
          <w:sz w:val="24"/>
          <w:szCs w:val="24"/>
        </w:rPr>
        <w:t>-</w:t>
      </w:r>
      <w:r w:rsidR="00393313" w:rsidRPr="00906338">
        <w:rPr>
          <w:b/>
          <w:bCs/>
          <w:sz w:val="24"/>
          <w:szCs w:val="24"/>
        </w:rPr>
        <w:t>9</w:t>
      </w:r>
      <w:r w:rsidR="00754725" w:rsidRPr="00906338">
        <w:rPr>
          <w:b/>
          <w:bCs/>
          <w:sz w:val="24"/>
          <w:szCs w:val="24"/>
        </w:rPr>
        <w:t>5</w:t>
      </w:r>
    </w:p>
    <w:p w:rsidR="00584892" w:rsidRDefault="00584892">
      <w:pPr>
        <w:jc w:val="center"/>
        <w:rPr>
          <w:b/>
          <w:spacing w:val="-2"/>
          <w:szCs w:val="22"/>
        </w:rPr>
      </w:pPr>
      <w:r w:rsidRPr="00906338">
        <w:rPr>
          <w:b/>
          <w:spacing w:val="-2"/>
          <w:sz w:val="24"/>
          <w:szCs w:val="24"/>
        </w:rPr>
        <w:t>W</w:t>
      </w:r>
      <w:r w:rsidR="00754725" w:rsidRPr="00906338">
        <w:rPr>
          <w:b/>
          <w:spacing w:val="-2"/>
          <w:sz w:val="24"/>
          <w:szCs w:val="24"/>
        </w:rPr>
        <w:t>P</w:t>
      </w:r>
      <w:r w:rsidRPr="00906338">
        <w:rPr>
          <w:b/>
          <w:spacing w:val="-2"/>
          <w:sz w:val="24"/>
          <w:szCs w:val="24"/>
        </w:rPr>
        <w:t xml:space="preserve"> Docket No. </w:t>
      </w:r>
      <w:r w:rsidR="00393313" w:rsidRPr="00906338">
        <w:rPr>
          <w:b/>
          <w:spacing w:val="-2"/>
          <w:sz w:val="24"/>
          <w:szCs w:val="24"/>
        </w:rPr>
        <w:t>11</w:t>
      </w:r>
      <w:r w:rsidRPr="00906338">
        <w:rPr>
          <w:b/>
          <w:spacing w:val="-2"/>
          <w:sz w:val="24"/>
          <w:szCs w:val="24"/>
        </w:rPr>
        <w:t>-</w:t>
      </w:r>
      <w:r w:rsidR="00393313" w:rsidRPr="00906338">
        <w:rPr>
          <w:b/>
          <w:spacing w:val="-2"/>
          <w:sz w:val="24"/>
          <w:szCs w:val="24"/>
        </w:rPr>
        <w:t>2</w:t>
      </w:r>
      <w:r w:rsidR="00754725" w:rsidRPr="00906338">
        <w:rPr>
          <w:b/>
          <w:spacing w:val="-2"/>
          <w:sz w:val="24"/>
          <w:szCs w:val="24"/>
        </w:rPr>
        <w:t>0</w:t>
      </w:r>
      <w:r w:rsidR="00393313" w:rsidRPr="00906338">
        <w:rPr>
          <w:b/>
          <w:spacing w:val="-2"/>
          <w:sz w:val="24"/>
          <w:szCs w:val="24"/>
        </w:rPr>
        <w:t>2</w:t>
      </w:r>
    </w:p>
    <w:p w:rsidR="00584892" w:rsidRPr="00F74B2B" w:rsidRDefault="00584892">
      <w:pPr>
        <w:jc w:val="center"/>
        <w:rPr>
          <w:b/>
          <w:szCs w:val="22"/>
        </w:rPr>
      </w:pPr>
    </w:p>
    <w:p w:rsidR="00906338" w:rsidRDefault="00906338" w:rsidP="00906338">
      <w:pPr>
        <w:tabs>
          <w:tab w:val="left" w:pos="360"/>
        </w:tabs>
        <w:ind w:left="1080" w:right="648"/>
        <w:jc w:val="both"/>
        <w:rPr>
          <w:b/>
          <w:szCs w:val="22"/>
        </w:rPr>
      </w:pPr>
      <w:r>
        <w:rPr>
          <w:b/>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906338" w:rsidRDefault="00906338" w:rsidP="00906338">
      <w:pPr>
        <w:tabs>
          <w:tab w:val="left" w:pos="360"/>
        </w:tabs>
        <w:ind w:left="1080" w:right="720"/>
        <w:jc w:val="both"/>
        <w:rPr>
          <w:b/>
          <w:szCs w:val="22"/>
        </w:rPr>
      </w:pPr>
    </w:p>
    <w:p w:rsidR="00906338" w:rsidRDefault="00906338" w:rsidP="00906338">
      <w:pPr>
        <w:tabs>
          <w:tab w:val="left" w:pos="360"/>
        </w:tabs>
        <w:ind w:left="1080" w:right="720"/>
        <w:jc w:val="both"/>
        <w:rPr>
          <w:b/>
          <w:szCs w:val="22"/>
        </w:rPr>
      </w:pPr>
      <w:r>
        <w:rPr>
          <w:b/>
          <w:szCs w:val="22"/>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w:t>
      </w:r>
      <w:smartTag w:uri="urn:schemas-microsoft-com:office:smarttags" w:element="place">
        <w:smartTag w:uri="urn:schemas-microsoft-com:office:smarttags" w:element="PlaceName">
          <w:r>
            <w:rPr>
              <w:b/>
              <w:szCs w:val="22"/>
            </w:rPr>
            <w:t>Consumer</w:t>
          </w:r>
        </w:smartTag>
        <w:r>
          <w:rPr>
            <w:b/>
            <w:szCs w:val="22"/>
          </w:rPr>
          <w:t xml:space="preserve"> </w:t>
        </w:r>
        <w:smartTag w:uri="urn:schemas-microsoft-com:office:smarttags" w:element="PlaceType">
          <w:r>
            <w:rPr>
              <w:b/>
              <w:szCs w:val="22"/>
            </w:rPr>
            <w:t>Center</w:t>
          </w:r>
        </w:smartTag>
      </w:smartTag>
      <w:r>
        <w:rPr>
          <w:b/>
          <w:szCs w:val="22"/>
        </w:rPr>
        <w:t>:</w:t>
      </w:r>
    </w:p>
    <w:p w:rsidR="00906338" w:rsidRDefault="00906338" w:rsidP="00906338">
      <w:pPr>
        <w:rPr>
          <w:b/>
          <w:szCs w:val="22"/>
        </w:rPr>
      </w:pPr>
    </w:p>
    <w:p w:rsidR="00906338" w:rsidRDefault="00906338" w:rsidP="00906338">
      <w:pPr>
        <w:jc w:val="center"/>
        <w:rPr>
          <w:b/>
          <w:color w:val="000000"/>
          <w:szCs w:val="22"/>
        </w:rPr>
      </w:pPr>
      <w:r>
        <w:rPr>
          <w:b/>
          <w:color w:val="000000"/>
          <w:szCs w:val="22"/>
        </w:rPr>
        <w:t>1-888-CALL-FCC (1-888-225-5322)  </w:t>
      </w:r>
      <w:r>
        <w:rPr>
          <w:b/>
          <w:color w:val="000000"/>
          <w:szCs w:val="22"/>
        </w:rPr>
        <w:br/>
        <w:t>TTY: 1-888-TELL-FCC  (1-888-835-5322)  </w:t>
      </w:r>
      <w:r>
        <w:rPr>
          <w:b/>
          <w:color w:val="000000"/>
          <w:szCs w:val="22"/>
        </w:rPr>
        <w:br/>
        <w:t>Fax: 1-866-418-0232</w:t>
      </w:r>
    </w:p>
    <w:p w:rsidR="00584892" w:rsidRPr="004B1666" w:rsidRDefault="00C94174" w:rsidP="00906338">
      <w:pPr>
        <w:jc w:val="center"/>
        <w:rPr>
          <w:b/>
          <w:noProof/>
          <w:szCs w:val="22"/>
        </w:rPr>
      </w:pPr>
      <w:hyperlink r:id="rId8" w:history="1">
        <w:r w:rsidR="00906338">
          <w:rPr>
            <w:rStyle w:val="Hyperlink"/>
            <w:b/>
            <w:szCs w:val="22"/>
          </w:rPr>
          <w:t>fccinfo@fcc.gov</w:t>
        </w:r>
      </w:hyperlink>
    </w:p>
    <w:p w:rsidR="00584892" w:rsidRPr="00F333F0" w:rsidRDefault="00584892">
      <w:pPr>
        <w:jc w:val="center"/>
        <w:rPr>
          <w:b/>
          <w:noProof/>
        </w:rPr>
      </w:pPr>
      <w:r w:rsidRPr="004B1666">
        <w:rPr>
          <w:b/>
          <w:noProof/>
          <w:szCs w:val="22"/>
        </w:rPr>
        <w:br w:type="page"/>
      </w:r>
    </w:p>
    <w:p w:rsidR="00584892" w:rsidRDefault="00584892">
      <w:pPr>
        <w:pStyle w:val="TOCTitle"/>
      </w:pPr>
      <w:bookmarkStart w:id="1" w:name="TOChere"/>
      <w:r>
        <w:lastRenderedPageBreak/>
        <w:t>Table of Contents</w:t>
      </w:r>
    </w:p>
    <w:bookmarkEnd w:id="1"/>
    <w:p w:rsidR="00730A26" w:rsidRDefault="008E2C3A">
      <w:pPr>
        <w:pStyle w:val="TOC1"/>
        <w:rPr>
          <w:rFonts w:asciiTheme="minorHAnsi" w:eastAsiaTheme="minorEastAsia" w:hAnsiTheme="minorHAnsi" w:cstheme="minorBidi"/>
          <w:b w:val="0"/>
          <w:caps w:val="0"/>
          <w:snapToGrid/>
          <w:kern w:val="0"/>
          <w:szCs w:val="22"/>
        </w:rPr>
      </w:pPr>
      <w:r>
        <w:rPr>
          <w:b w:val="0"/>
          <w:szCs w:val="22"/>
        </w:rPr>
        <w:fldChar w:fldCharType="begin"/>
      </w:r>
      <w:r>
        <w:rPr>
          <w:b w:val="0"/>
          <w:szCs w:val="22"/>
        </w:rPr>
        <w:instrText xml:space="preserve"> TOC \o "1-4" \h \z \u </w:instrText>
      </w:r>
      <w:r>
        <w:rPr>
          <w:b w:val="0"/>
          <w:szCs w:val="22"/>
        </w:rPr>
        <w:fldChar w:fldCharType="separate"/>
      </w:r>
      <w:hyperlink w:anchor="_Toc361824136" w:history="1">
        <w:r w:rsidR="00730A26" w:rsidRPr="007444A3">
          <w:rPr>
            <w:rStyle w:val="Hyperlink"/>
          </w:rPr>
          <w:t>I.</w:t>
        </w:r>
        <w:r w:rsidR="00730A26">
          <w:rPr>
            <w:rFonts w:asciiTheme="minorHAnsi" w:eastAsiaTheme="minorEastAsia" w:hAnsiTheme="minorHAnsi" w:cstheme="minorBidi"/>
            <w:b w:val="0"/>
            <w:caps w:val="0"/>
            <w:snapToGrid/>
            <w:kern w:val="0"/>
            <w:szCs w:val="22"/>
          </w:rPr>
          <w:tab/>
        </w:r>
        <w:r w:rsidR="00730A26" w:rsidRPr="007444A3">
          <w:rPr>
            <w:rStyle w:val="Hyperlink"/>
          </w:rPr>
          <w:t>Objectives of the Proceeding</w:t>
        </w:r>
        <w:r w:rsidR="00730A26">
          <w:rPr>
            <w:webHidden/>
          </w:rPr>
          <w:tab/>
        </w:r>
        <w:r w:rsidR="00730A26">
          <w:rPr>
            <w:webHidden/>
          </w:rPr>
          <w:fldChar w:fldCharType="begin"/>
        </w:r>
        <w:r w:rsidR="00730A26">
          <w:rPr>
            <w:webHidden/>
          </w:rPr>
          <w:instrText xml:space="preserve"> PAGEREF _Toc361824136 \h </w:instrText>
        </w:r>
        <w:r w:rsidR="00730A26">
          <w:rPr>
            <w:webHidden/>
          </w:rPr>
        </w:r>
        <w:r w:rsidR="00730A26">
          <w:rPr>
            <w:webHidden/>
          </w:rPr>
          <w:fldChar w:fldCharType="separate"/>
        </w:r>
        <w:r w:rsidR="00DA68F6">
          <w:rPr>
            <w:webHidden/>
          </w:rPr>
          <w:t>3</w:t>
        </w:r>
        <w:r w:rsidR="00730A26">
          <w:rPr>
            <w:webHidden/>
          </w:rPr>
          <w:fldChar w:fldCharType="end"/>
        </w:r>
      </w:hyperlink>
    </w:p>
    <w:p w:rsidR="00730A26" w:rsidRDefault="00C94174">
      <w:pPr>
        <w:pStyle w:val="TOC1"/>
        <w:rPr>
          <w:rFonts w:asciiTheme="minorHAnsi" w:eastAsiaTheme="minorEastAsia" w:hAnsiTheme="minorHAnsi" w:cstheme="minorBidi"/>
          <w:b w:val="0"/>
          <w:caps w:val="0"/>
          <w:snapToGrid/>
          <w:kern w:val="0"/>
          <w:szCs w:val="22"/>
        </w:rPr>
      </w:pPr>
      <w:hyperlink w:anchor="_Toc361824137" w:history="1">
        <w:r w:rsidR="00730A26" w:rsidRPr="007444A3">
          <w:rPr>
            <w:rStyle w:val="Hyperlink"/>
          </w:rPr>
          <w:t>II.</w:t>
        </w:r>
        <w:r w:rsidR="00730A26">
          <w:rPr>
            <w:rFonts w:asciiTheme="minorHAnsi" w:eastAsiaTheme="minorEastAsia" w:hAnsiTheme="minorHAnsi" w:cstheme="minorBidi"/>
            <w:b w:val="0"/>
            <w:caps w:val="0"/>
            <w:snapToGrid/>
            <w:kern w:val="0"/>
            <w:szCs w:val="22"/>
          </w:rPr>
          <w:tab/>
        </w:r>
        <w:r w:rsidR="00730A26" w:rsidRPr="007444A3">
          <w:rPr>
            <w:rStyle w:val="Hyperlink"/>
          </w:rPr>
          <w:t>Regulations and Policies That the Commission ADOPTED OR Modified, including compliance requirements</w:t>
        </w:r>
        <w:r w:rsidR="00730A26">
          <w:rPr>
            <w:webHidden/>
          </w:rPr>
          <w:tab/>
        </w:r>
        <w:r w:rsidR="00730A26">
          <w:rPr>
            <w:webHidden/>
          </w:rPr>
          <w:fldChar w:fldCharType="begin"/>
        </w:r>
        <w:r w:rsidR="00730A26">
          <w:rPr>
            <w:webHidden/>
          </w:rPr>
          <w:instrText xml:space="preserve"> PAGEREF _Toc361824137 \h </w:instrText>
        </w:r>
        <w:r w:rsidR="00730A26">
          <w:rPr>
            <w:webHidden/>
          </w:rPr>
        </w:r>
        <w:r w:rsidR="00730A26">
          <w:rPr>
            <w:webHidden/>
          </w:rPr>
          <w:fldChar w:fldCharType="separate"/>
        </w:r>
        <w:r w:rsidR="00DA68F6">
          <w:rPr>
            <w:webHidden/>
          </w:rPr>
          <w:t>3</w:t>
        </w:r>
        <w:r w:rsidR="00730A26">
          <w:rPr>
            <w:webHidden/>
          </w:rPr>
          <w:fldChar w:fldCharType="end"/>
        </w:r>
      </w:hyperlink>
    </w:p>
    <w:p w:rsidR="00730A26" w:rsidRDefault="00C94174">
      <w:pPr>
        <w:pStyle w:val="TOC1"/>
        <w:rPr>
          <w:rFonts w:asciiTheme="minorHAnsi" w:eastAsiaTheme="minorEastAsia" w:hAnsiTheme="minorHAnsi" w:cstheme="minorBidi"/>
          <w:b w:val="0"/>
          <w:caps w:val="0"/>
          <w:snapToGrid/>
          <w:kern w:val="0"/>
          <w:szCs w:val="22"/>
        </w:rPr>
      </w:pPr>
      <w:hyperlink w:anchor="_Toc361824138" w:history="1">
        <w:r w:rsidR="00730A26" w:rsidRPr="007444A3">
          <w:rPr>
            <w:rStyle w:val="Hyperlink"/>
          </w:rPr>
          <w:t>III.</w:t>
        </w:r>
        <w:r w:rsidR="00730A26">
          <w:rPr>
            <w:rFonts w:asciiTheme="minorHAnsi" w:eastAsiaTheme="minorEastAsia" w:hAnsiTheme="minorHAnsi" w:cstheme="minorBidi"/>
            <w:b w:val="0"/>
            <w:caps w:val="0"/>
            <w:snapToGrid/>
            <w:kern w:val="0"/>
            <w:szCs w:val="22"/>
          </w:rPr>
          <w:tab/>
        </w:r>
        <w:r w:rsidR="00730A26" w:rsidRPr="007444A3">
          <w:rPr>
            <w:rStyle w:val="Hyperlink"/>
          </w:rPr>
          <w:t>Recordkeeping and Other Compliance Requirements</w:t>
        </w:r>
        <w:r w:rsidR="00730A26">
          <w:rPr>
            <w:webHidden/>
          </w:rPr>
          <w:tab/>
        </w:r>
        <w:r w:rsidR="00730A26">
          <w:rPr>
            <w:webHidden/>
          </w:rPr>
          <w:fldChar w:fldCharType="begin"/>
        </w:r>
        <w:r w:rsidR="00730A26">
          <w:rPr>
            <w:webHidden/>
          </w:rPr>
          <w:instrText xml:space="preserve"> PAGEREF _Toc361824138 \h </w:instrText>
        </w:r>
        <w:r w:rsidR="00730A26">
          <w:rPr>
            <w:webHidden/>
          </w:rPr>
        </w:r>
        <w:r w:rsidR="00730A26">
          <w:rPr>
            <w:webHidden/>
          </w:rPr>
          <w:fldChar w:fldCharType="separate"/>
        </w:r>
        <w:r w:rsidR="00DA68F6">
          <w:rPr>
            <w:webHidden/>
          </w:rPr>
          <w:t>3</w:t>
        </w:r>
        <w:r w:rsidR="00730A26">
          <w:rPr>
            <w:webHidden/>
          </w:rPr>
          <w:fldChar w:fldCharType="end"/>
        </w:r>
      </w:hyperlink>
    </w:p>
    <w:p w:rsidR="00730A26" w:rsidRDefault="00C94174">
      <w:pPr>
        <w:pStyle w:val="TOC1"/>
        <w:rPr>
          <w:rFonts w:asciiTheme="minorHAnsi" w:eastAsiaTheme="minorEastAsia" w:hAnsiTheme="minorHAnsi" w:cstheme="minorBidi"/>
          <w:b w:val="0"/>
          <w:caps w:val="0"/>
          <w:snapToGrid/>
          <w:kern w:val="0"/>
          <w:szCs w:val="22"/>
        </w:rPr>
      </w:pPr>
      <w:hyperlink w:anchor="_Toc361824139" w:history="1">
        <w:r w:rsidR="00730A26" w:rsidRPr="007444A3">
          <w:rPr>
            <w:rStyle w:val="Hyperlink"/>
          </w:rPr>
          <w:t>IV.</w:t>
        </w:r>
        <w:r w:rsidR="00730A26">
          <w:rPr>
            <w:rFonts w:asciiTheme="minorHAnsi" w:eastAsiaTheme="minorEastAsia" w:hAnsiTheme="minorHAnsi" w:cstheme="minorBidi"/>
            <w:b w:val="0"/>
            <w:caps w:val="0"/>
            <w:snapToGrid/>
            <w:kern w:val="0"/>
            <w:szCs w:val="22"/>
          </w:rPr>
          <w:tab/>
        </w:r>
        <w:r w:rsidR="00730A26" w:rsidRPr="007444A3">
          <w:rPr>
            <w:rStyle w:val="Hyperlink"/>
          </w:rPr>
          <w:t>Weblink</w:t>
        </w:r>
        <w:r w:rsidR="00730A26">
          <w:rPr>
            <w:webHidden/>
          </w:rPr>
          <w:tab/>
        </w:r>
        <w:r w:rsidR="00EA3C6B">
          <w:rPr>
            <w:webHidden/>
          </w:rPr>
          <w:t>4</w:t>
        </w:r>
      </w:hyperlink>
    </w:p>
    <w:p w:rsidR="00584892" w:rsidRPr="004B1666" w:rsidRDefault="008E2C3A">
      <w:pPr>
        <w:rPr>
          <w:b/>
          <w:noProof/>
          <w:szCs w:val="22"/>
        </w:rPr>
      </w:pPr>
      <w:r>
        <w:rPr>
          <w:b/>
          <w:noProof/>
          <w:szCs w:val="22"/>
        </w:rPr>
        <w:fldChar w:fldCharType="end"/>
      </w:r>
    </w:p>
    <w:p w:rsidR="00584892" w:rsidRPr="004B1666" w:rsidRDefault="00584892">
      <w:pPr>
        <w:rPr>
          <w:szCs w:val="22"/>
        </w:rPr>
      </w:pPr>
    </w:p>
    <w:p w:rsidR="00584892" w:rsidRPr="004B1666" w:rsidRDefault="00584892">
      <w:pPr>
        <w:rPr>
          <w:szCs w:val="22"/>
        </w:rPr>
      </w:pPr>
    </w:p>
    <w:p w:rsidR="00584892" w:rsidRPr="004B1666" w:rsidRDefault="00584892">
      <w:pPr>
        <w:jc w:val="both"/>
        <w:rPr>
          <w:szCs w:val="22"/>
        </w:rPr>
      </w:pPr>
      <w:r w:rsidRPr="004B1666">
        <w:rPr>
          <w:szCs w:val="22"/>
        </w:rPr>
        <w:br w:type="page"/>
      </w:r>
    </w:p>
    <w:p w:rsidR="00584892" w:rsidRPr="004B1666" w:rsidRDefault="00584892" w:rsidP="001C40D7">
      <w:pPr>
        <w:pStyle w:val="Heading1"/>
        <w:spacing w:after="220"/>
        <w:jc w:val="both"/>
        <w:rPr>
          <w:rFonts w:ascii="Times New Roman" w:hAnsi="Times New Roman"/>
          <w:szCs w:val="22"/>
        </w:rPr>
      </w:pPr>
      <w:bookmarkStart w:id="2" w:name="_Toc103419948"/>
      <w:bookmarkStart w:id="3" w:name="_Toc103420572"/>
      <w:bookmarkStart w:id="4" w:name="_Toc103420714"/>
      <w:bookmarkStart w:id="5" w:name="_Toc103420758"/>
      <w:bookmarkStart w:id="6" w:name="_Toc103420818"/>
      <w:bookmarkStart w:id="7" w:name="_Toc103420865"/>
      <w:bookmarkStart w:id="8" w:name="_Toc103420953"/>
      <w:bookmarkStart w:id="9" w:name="_Toc103421292"/>
      <w:bookmarkStart w:id="10" w:name="_Toc103421410"/>
      <w:bookmarkStart w:id="11" w:name="_Toc103421504"/>
      <w:bookmarkStart w:id="12" w:name="_Toc103488261"/>
      <w:bookmarkStart w:id="13" w:name="_Toc125945573"/>
      <w:bookmarkStart w:id="14" w:name="_Toc153861058"/>
      <w:bookmarkStart w:id="15" w:name="_Toc176072634"/>
      <w:bookmarkStart w:id="16" w:name="_Toc176072760"/>
      <w:bookmarkStart w:id="17" w:name="_Toc176072786"/>
      <w:bookmarkStart w:id="18" w:name="_Toc176072810"/>
      <w:bookmarkStart w:id="19" w:name="_Toc179100553"/>
      <w:bookmarkStart w:id="20" w:name="_Toc179100918"/>
      <w:bookmarkStart w:id="21" w:name="_Toc216065688"/>
      <w:bookmarkStart w:id="22" w:name="_Toc326229719"/>
      <w:bookmarkStart w:id="23" w:name="_Toc326658329"/>
      <w:bookmarkStart w:id="24" w:name="_Toc326746785"/>
      <w:bookmarkStart w:id="25" w:name="_Toc326826051"/>
      <w:bookmarkStart w:id="26" w:name="_Toc361824136"/>
      <w:r w:rsidRPr="004B1666">
        <w:rPr>
          <w:rFonts w:ascii="Times New Roman" w:hAnsi="Times New Roman"/>
          <w:szCs w:val="22"/>
        </w:rPr>
        <w:lastRenderedPageBreak/>
        <w:t>Objectives of the Proceeding</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D1094C" w:rsidRDefault="00584892" w:rsidP="001C40D7">
      <w:pPr>
        <w:pStyle w:val="ParaNum"/>
        <w:numPr>
          <w:ilvl w:val="0"/>
          <w:numId w:val="0"/>
        </w:numPr>
        <w:tabs>
          <w:tab w:val="num" w:pos="1260"/>
        </w:tabs>
        <w:spacing w:after="220"/>
        <w:ind w:firstLine="720"/>
        <w:jc w:val="both"/>
        <w:rPr>
          <w:szCs w:val="22"/>
        </w:rPr>
      </w:pPr>
      <w:r w:rsidRPr="00790C36">
        <w:rPr>
          <w:szCs w:val="22"/>
        </w:rPr>
        <w:t>In th</w:t>
      </w:r>
      <w:r w:rsidR="002B6F39">
        <w:rPr>
          <w:szCs w:val="22"/>
        </w:rPr>
        <w:t>e</w:t>
      </w:r>
      <w:r w:rsidRPr="00790C36">
        <w:rPr>
          <w:szCs w:val="22"/>
        </w:rPr>
        <w:t xml:space="preserve"> </w:t>
      </w:r>
      <w:r>
        <w:rPr>
          <w:i/>
          <w:szCs w:val="22"/>
        </w:rPr>
        <w:t>Report and Order</w:t>
      </w:r>
      <w:r w:rsidRPr="00790C36">
        <w:rPr>
          <w:i/>
          <w:szCs w:val="22"/>
        </w:rPr>
        <w:t xml:space="preserve"> </w:t>
      </w:r>
      <w:r w:rsidR="00B677A0">
        <w:rPr>
          <w:szCs w:val="22"/>
        </w:rPr>
        <w:t>in W</w:t>
      </w:r>
      <w:r w:rsidR="002B6F39">
        <w:rPr>
          <w:szCs w:val="22"/>
        </w:rPr>
        <w:t>T</w:t>
      </w:r>
      <w:r>
        <w:rPr>
          <w:szCs w:val="22"/>
        </w:rPr>
        <w:t xml:space="preserve"> Docket No</w:t>
      </w:r>
      <w:r w:rsidRPr="00790C36">
        <w:rPr>
          <w:szCs w:val="22"/>
        </w:rPr>
        <w:t xml:space="preserve">. </w:t>
      </w:r>
      <w:r w:rsidR="00393313">
        <w:rPr>
          <w:szCs w:val="22"/>
        </w:rPr>
        <w:t>11</w:t>
      </w:r>
      <w:r w:rsidRPr="00790C36">
        <w:rPr>
          <w:szCs w:val="22"/>
        </w:rPr>
        <w:t>-</w:t>
      </w:r>
      <w:r w:rsidR="00393313">
        <w:rPr>
          <w:szCs w:val="22"/>
        </w:rPr>
        <w:t>2</w:t>
      </w:r>
      <w:r w:rsidR="00B677A0">
        <w:rPr>
          <w:szCs w:val="22"/>
        </w:rPr>
        <w:t>0</w:t>
      </w:r>
      <w:r w:rsidR="00393313">
        <w:rPr>
          <w:szCs w:val="22"/>
        </w:rPr>
        <w:t>2</w:t>
      </w:r>
      <w:r w:rsidR="0089649F">
        <w:rPr>
          <w:szCs w:val="22"/>
        </w:rPr>
        <w:t>,</w:t>
      </w:r>
      <w:r w:rsidRPr="00790C36">
        <w:rPr>
          <w:szCs w:val="22"/>
        </w:rPr>
        <w:t xml:space="preserve"> </w:t>
      </w:r>
      <w:r>
        <w:rPr>
          <w:szCs w:val="22"/>
        </w:rPr>
        <w:t>the Commission</w:t>
      </w:r>
      <w:r w:rsidRPr="00790C36">
        <w:rPr>
          <w:szCs w:val="22"/>
        </w:rPr>
        <w:t xml:space="preserve"> </w:t>
      </w:r>
      <w:r w:rsidR="006541D8">
        <w:t xml:space="preserve">amended the rules to permit the certification, licensing, and use of foreign object debris (FOD) detection radar equipment in the 78-81 GHz band.  </w:t>
      </w:r>
      <w:r w:rsidR="006541D8" w:rsidRPr="00654BC6">
        <w:rPr>
          <w:szCs w:val="22"/>
        </w:rPr>
        <w:t>The presence of FOD on airport runways, taxiways, aprons</w:t>
      </w:r>
      <w:r w:rsidR="006541D8">
        <w:rPr>
          <w:szCs w:val="22"/>
        </w:rPr>
        <w:t>,</w:t>
      </w:r>
      <w:r w:rsidR="006541D8" w:rsidRPr="00654BC6">
        <w:rPr>
          <w:szCs w:val="22"/>
        </w:rPr>
        <w:t xml:space="preserve"> and ramps poses a significant threat to the safety of air travel.  </w:t>
      </w:r>
      <w:r w:rsidR="00EC4D8C">
        <w:t>T</w:t>
      </w:r>
      <w:r w:rsidR="001D762B" w:rsidRPr="001D762B">
        <w:t xml:space="preserve">he use of FOD technology will be a critical tool in the detection of FOD at airports.  FOD includes any substance, debris, or object in a location that can damage aircraft or equipment, can seriously threaten the safety of airport personnel and airline passengers and have a negative impact on airport logistics and operations.   </w:t>
      </w:r>
      <w:r w:rsidR="009121D8" w:rsidRPr="009121D8">
        <w:t xml:space="preserve">  </w:t>
      </w:r>
    </w:p>
    <w:p w:rsidR="00584892" w:rsidRPr="004B1666" w:rsidRDefault="00584892" w:rsidP="005B6063">
      <w:pPr>
        <w:pStyle w:val="Heading1"/>
        <w:spacing w:after="220"/>
        <w:jc w:val="both"/>
        <w:rPr>
          <w:rFonts w:ascii="Times New Roman" w:hAnsi="Times New Roman"/>
          <w:szCs w:val="22"/>
        </w:rPr>
      </w:pPr>
      <w:bookmarkStart w:id="27" w:name="_Toc103419949"/>
      <w:bookmarkStart w:id="28" w:name="_Toc103420573"/>
      <w:bookmarkStart w:id="29" w:name="_Toc103420715"/>
      <w:bookmarkStart w:id="30" w:name="_Toc103420759"/>
      <w:bookmarkStart w:id="31" w:name="_Toc103420819"/>
      <w:bookmarkStart w:id="32" w:name="_Toc103420866"/>
      <w:bookmarkStart w:id="33" w:name="_Toc103420954"/>
      <w:bookmarkStart w:id="34" w:name="_Toc103421293"/>
      <w:bookmarkStart w:id="35" w:name="_Toc103421411"/>
      <w:bookmarkStart w:id="36" w:name="_Toc103421505"/>
      <w:bookmarkStart w:id="37" w:name="_Toc103488262"/>
      <w:bookmarkStart w:id="38" w:name="_Toc125945574"/>
      <w:bookmarkStart w:id="39" w:name="_Toc153861059"/>
      <w:bookmarkStart w:id="40" w:name="_Toc176072635"/>
      <w:bookmarkStart w:id="41" w:name="_Toc176072761"/>
      <w:bookmarkStart w:id="42" w:name="_Toc176072787"/>
      <w:bookmarkStart w:id="43" w:name="_Toc176072811"/>
      <w:bookmarkStart w:id="44" w:name="_Toc179100554"/>
      <w:bookmarkStart w:id="45" w:name="_Toc179100919"/>
      <w:bookmarkStart w:id="46" w:name="_Toc216065689"/>
      <w:bookmarkStart w:id="47" w:name="_Toc326229720"/>
      <w:bookmarkStart w:id="48" w:name="_Toc326658330"/>
      <w:bookmarkStart w:id="49" w:name="_Toc326746786"/>
      <w:bookmarkStart w:id="50" w:name="_Toc326826052"/>
      <w:bookmarkStart w:id="51" w:name="_Toc361824137"/>
      <w:r w:rsidRPr="004B1666">
        <w:rPr>
          <w:rFonts w:ascii="Times New Roman" w:hAnsi="Times New Roman"/>
          <w:szCs w:val="22"/>
        </w:rPr>
        <w:t>Regulations and Policies That the Commission ADOPTED OR Modified</w:t>
      </w:r>
      <w:bookmarkEnd w:id="27"/>
      <w:bookmarkEnd w:id="28"/>
      <w:bookmarkEnd w:id="29"/>
      <w:bookmarkEnd w:id="30"/>
      <w:bookmarkEnd w:id="31"/>
      <w:bookmarkEnd w:id="32"/>
      <w:bookmarkEnd w:id="33"/>
      <w:bookmarkEnd w:id="34"/>
      <w:bookmarkEnd w:id="35"/>
      <w:bookmarkEnd w:id="36"/>
      <w:bookmarkEnd w:id="37"/>
      <w:bookmarkEnd w:id="38"/>
      <w:r w:rsidRPr="004B1666">
        <w:rPr>
          <w:rFonts w:ascii="Times New Roman" w:hAnsi="Times New Roman"/>
          <w:szCs w:val="22"/>
        </w:rPr>
        <w:t>, including compliance requirements</w:t>
      </w:r>
      <w:bookmarkEnd w:id="39"/>
      <w:bookmarkEnd w:id="40"/>
      <w:bookmarkEnd w:id="41"/>
      <w:bookmarkEnd w:id="42"/>
      <w:bookmarkEnd w:id="43"/>
      <w:bookmarkEnd w:id="44"/>
      <w:bookmarkEnd w:id="45"/>
      <w:bookmarkEnd w:id="46"/>
      <w:bookmarkEnd w:id="47"/>
      <w:bookmarkEnd w:id="48"/>
      <w:bookmarkEnd w:id="49"/>
      <w:bookmarkEnd w:id="50"/>
      <w:bookmarkEnd w:id="51"/>
      <w:r w:rsidRPr="004B1666">
        <w:rPr>
          <w:rFonts w:ascii="Times New Roman" w:hAnsi="Times New Roman"/>
          <w:szCs w:val="22"/>
        </w:rPr>
        <w:t xml:space="preserve"> </w:t>
      </w:r>
    </w:p>
    <w:p w:rsidR="00584892" w:rsidRPr="00D27BE0" w:rsidRDefault="00584892" w:rsidP="005B6063">
      <w:pPr>
        <w:spacing w:after="220"/>
        <w:ind w:firstLine="720"/>
        <w:jc w:val="both"/>
        <w:rPr>
          <w:szCs w:val="22"/>
        </w:rPr>
      </w:pPr>
      <w:r w:rsidRPr="00D27BE0">
        <w:rPr>
          <w:szCs w:val="22"/>
        </w:rPr>
        <w:t xml:space="preserve">In the </w:t>
      </w:r>
      <w:r w:rsidRPr="00D27BE0">
        <w:rPr>
          <w:i/>
          <w:szCs w:val="22"/>
        </w:rPr>
        <w:t>Report and Order</w:t>
      </w:r>
      <w:r w:rsidRPr="00D27BE0">
        <w:rPr>
          <w:szCs w:val="22"/>
        </w:rPr>
        <w:t xml:space="preserve"> the Commi</w:t>
      </w:r>
      <w:r>
        <w:rPr>
          <w:szCs w:val="22"/>
        </w:rPr>
        <w:t>ssion took the following action</w:t>
      </w:r>
      <w:r w:rsidR="00C5136C">
        <w:rPr>
          <w:szCs w:val="22"/>
        </w:rPr>
        <w:t>s</w:t>
      </w:r>
      <w:r w:rsidRPr="00D27BE0">
        <w:rPr>
          <w:szCs w:val="22"/>
        </w:rPr>
        <w:t>:</w:t>
      </w:r>
    </w:p>
    <w:p w:rsidR="00A15069" w:rsidRPr="007D67EC" w:rsidRDefault="00A15069" w:rsidP="005B6063">
      <w:pPr>
        <w:pStyle w:val="ParaNum"/>
        <w:numPr>
          <w:ilvl w:val="0"/>
          <w:numId w:val="3"/>
        </w:numPr>
        <w:spacing w:after="220"/>
        <w:ind w:left="1440" w:hanging="720"/>
        <w:jc w:val="both"/>
      </w:pPr>
      <w:r>
        <w:t>A</w:t>
      </w:r>
      <w:r w:rsidR="008D6186">
        <w:rPr>
          <w:szCs w:val="22"/>
        </w:rPr>
        <w:t xml:space="preserve">mended </w:t>
      </w:r>
      <w:r w:rsidR="00EA3C6B">
        <w:rPr>
          <w:szCs w:val="22"/>
        </w:rPr>
        <w:t xml:space="preserve">Subpart F of </w:t>
      </w:r>
      <w:r w:rsidR="008D6186">
        <w:rPr>
          <w:szCs w:val="22"/>
        </w:rPr>
        <w:t>Part 90</w:t>
      </w:r>
      <w:r w:rsidR="00EA3C6B">
        <w:rPr>
          <w:szCs w:val="22"/>
        </w:rPr>
        <w:t xml:space="preserve"> of the Commission’s Rules </w:t>
      </w:r>
      <w:r w:rsidR="008D6186">
        <w:rPr>
          <w:szCs w:val="22"/>
        </w:rPr>
        <w:t>to authorize only FOD detection radar on a licensed basis.</w:t>
      </w:r>
      <w:r w:rsidR="00EA3C6B">
        <w:rPr>
          <w:rStyle w:val="FootnoteReference"/>
          <w:szCs w:val="22"/>
        </w:rPr>
        <w:footnoteReference w:id="1"/>
      </w:r>
    </w:p>
    <w:p w:rsidR="001B1305" w:rsidRPr="001B1305" w:rsidRDefault="002B6F39" w:rsidP="001B1305">
      <w:pPr>
        <w:pStyle w:val="ListParagraph"/>
        <w:numPr>
          <w:ilvl w:val="0"/>
          <w:numId w:val="3"/>
        </w:numPr>
        <w:tabs>
          <w:tab w:val="clear" w:pos="720"/>
          <w:tab w:val="num" w:pos="1440"/>
        </w:tabs>
        <w:ind w:left="1440" w:hanging="720"/>
        <w:jc w:val="both"/>
      </w:pPr>
      <w:r>
        <w:t>Stated that the waiver g</w:t>
      </w:r>
      <w:r w:rsidR="007D67EC" w:rsidRPr="007D67EC">
        <w:t xml:space="preserve">ranted </w:t>
      </w:r>
      <w:r>
        <w:t xml:space="preserve">to </w:t>
      </w:r>
      <w:r w:rsidR="007D67EC" w:rsidRPr="007D67EC">
        <w:t>Trex</w:t>
      </w:r>
      <w:r w:rsidR="005B6063">
        <w:t xml:space="preserve"> Enterprises Corporation </w:t>
      </w:r>
      <w:r w:rsidR="007D67EC" w:rsidRPr="007D67EC">
        <w:t>to permit certification, manufacture, and licensing of its FOD detection radar equipment pending the resolution of its petition for rulemaking</w:t>
      </w:r>
      <w:r w:rsidR="001B1305" w:rsidRPr="001B1305">
        <w:t xml:space="preserve"> will terminate as of the effective date of the final rules adopted </w:t>
      </w:r>
      <w:r w:rsidR="001B1305">
        <w:t xml:space="preserve">in this </w:t>
      </w:r>
      <w:r w:rsidR="001B1305" w:rsidRPr="001B1305">
        <w:rPr>
          <w:i/>
        </w:rPr>
        <w:t>Report and Order</w:t>
      </w:r>
      <w:r w:rsidR="001B1305" w:rsidRPr="001B1305">
        <w:t>.  Licensees operating pursuant to the waiver must thereafter comply with the rules adopted in this proceeding.  Any equipment approval that was granted pursuant to the waiver will remain valid.</w:t>
      </w:r>
    </w:p>
    <w:p w:rsidR="00C223EC" w:rsidRDefault="00C223EC" w:rsidP="00C223EC">
      <w:pPr>
        <w:pStyle w:val="ListParagraph"/>
        <w:ind w:left="1440"/>
        <w:jc w:val="both"/>
      </w:pPr>
    </w:p>
    <w:p w:rsidR="00C223EC" w:rsidRDefault="002B6F39" w:rsidP="00C223EC">
      <w:pPr>
        <w:tabs>
          <w:tab w:val="num" w:pos="1440"/>
        </w:tabs>
        <w:ind w:firstLine="720"/>
        <w:jc w:val="both"/>
        <w:rPr>
          <w:szCs w:val="22"/>
        </w:rPr>
      </w:pPr>
      <w:r>
        <w:t>FOD detection radar equipment will be authorized on a licensed basis under Part 90 of the Commission’s rules</w:t>
      </w:r>
      <w:r w:rsidR="009E6B11" w:rsidRPr="009E6B11">
        <w:t xml:space="preserve"> </w:t>
      </w:r>
      <w:r w:rsidR="009E6B11" w:rsidRPr="00C223EC">
        <w:t>on the condition that the main beamwidth of the antenna (azimuth or elevation) does not illuminate a public roadway near the airport</w:t>
      </w:r>
      <w:r>
        <w:t xml:space="preserve">.  </w:t>
      </w:r>
      <w:r w:rsidR="00C223EC" w:rsidRPr="00C223EC">
        <w:t>Applications will be considered and authorized on a case-by-case basis</w:t>
      </w:r>
      <w:r w:rsidR="009E6B11">
        <w:t>, and will be coordinated with the National Telecommunications and Information Administration’s Interdepartment Radio Advisory Committee</w:t>
      </w:r>
      <w:r w:rsidR="00C223EC" w:rsidRPr="00C223EC">
        <w:t xml:space="preserve">.  </w:t>
      </w:r>
      <w:r w:rsidR="00B63496">
        <w:t xml:space="preserve">The Commission will </w:t>
      </w:r>
      <w:r w:rsidR="00B63496">
        <w:rPr>
          <w:szCs w:val="22"/>
        </w:rPr>
        <w:t xml:space="preserve">consider the technical parameters required under the waiver when authorizing FOD equipment and also will accept applications for equipment authorization for devices using similar or more conservative parameters than those specified in the waiver. </w:t>
      </w:r>
      <w:r>
        <w:rPr>
          <w:szCs w:val="22"/>
        </w:rPr>
        <w:t xml:space="preserve"> </w:t>
      </w:r>
      <w:r w:rsidR="00B63496">
        <w:rPr>
          <w:szCs w:val="22"/>
        </w:rPr>
        <w:t>Any request for equipment authorization of devices with parameters that, in the Commission’s evaluation, may be considered to cause more interference as compared with the technical parameters in the waiver will be reviewed on a case-by-case basis.</w:t>
      </w:r>
    </w:p>
    <w:p w:rsidR="00D1094C" w:rsidRPr="007D67EC" w:rsidRDefault="00D1094C" w:rsidP="00C223EC">
      <w:pPr>
        <w:tabs>
          <w:tab w:val="num" w:pos="1440"/>
        </w:tabs>
        <w:ind w:firstLine="720"/>
        <w:jc w:val="both"/>
      </w:pPr>
    </w:p>
    <w:p w:rsidR="00584892" w:rsidRPr="004B1666" w:rsidRDefault="00584892" w:rsidP="001C40D7">
      <w:pPr>
        <w:pStyle w:val="Heading1"/>
        <w:spacing w:after="220"/>
        <w:jc w:val="both"/>
        <w:rPr>
          <w:rFonts w:ascii="Times New Roman" w:hAnsi="Times New Roman"/>
          <w:szCs w:val="22"/>
        </w:rPr>
      </w:pPr>
      <w:bookmarkStart w:id="52" w:name="_Toc103419990"/>
      <w:bookmarkStart w:id="53" w:name="_Toc103420614"/>
      <w:bookmarkStart w:id="54" w:name="_Toc103420756"/>
      <w:bookmarkStart w:id="55" w:name="_Toc103420800"/>
      <w:bookmarkStart w:id="56" w:name="_Toc103420860"/>
      <w:bookmarkStart w:id="57" w:name="_Toc103420907"/>
      <w:bookmarkStart w:id="58" w:name="_Toc103420995"/>
      <w:bookmarkStart w:id="59" w:name="_Toc103421334"/>
      <w:bookmarkStart w:id="60" w:name="_Toc103421422"/>
      <w:bookmarkStart w:id="61" w:name="_Toc103421546"/>
      <w:bookmarkStart w:id="62" w:name="_Toc103488303"/>
      <w:bookmarkStart w:id="63" w:name="_Toc125945586"/>
      <w:bookmarkStart w:id="64" w:name="_Toc176072636"/>
      <w:bookmarkStart w:id="65" w:name="_Toc176072762"/>
      <w:bookmarkStart w:id="66" w:name="_Toc176072788"/>
      <w:bookmarkStart w:id="67" w:name="_Toc176072812"/>
      <w:bookmarkStart w:id="68" w:name="_Toc179100598"/>
      <w:bookmarkStart w:id="69" w:name="_Toc179100963"/>
      <w:bookmarkStart w:id="70" w:name="_Toc216065693"/>
      <w:bookmarkStart w:id="71" w:name="_Toc326229723"/>
      <w:bookmarkStart w:id="72" w:name="_Toc326658333"/>
      <w:bookmarkStart w:id="73" w:name="_Toc326746789"/>
      <w:bookmarkStart w:id="74" w:name="_Toc326826055"/>
      <w:bookmarkStart w:id="75" w:name="_Toc361824138"/>
      <w:r w:rsidRPr="004B1666">
        <w:rPr>
          <w:rFonts w:ascii="Times New Roman" w:hAnsi="Times New Roman"/>
          <w:szCs w:val="22"/>
        </w:rPr>
        <w:t>Recordkeeping and Other Compliance Requirements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E64601" w:rsidRDefault="00F83963" w:rsidP="00CF6A16">
      <w:pPr>
        <w:tabs>
          <w:tab w:val="left" w:pos="0"/>
          <w:tab w:val="left" w:pos="720"/>
          <w:tab w:val="right" w:leader="dot" w:pos="9360"/>
        </w:tabs>
        <w:jc w:val="both"/>
        <w:rPr>
          <w:spacing w:val="-2"/>
          <w:szCs w:val="22"/>
        </w:rPr>
      </w:pPr>
      <w:r>
        <w:rPr>
          <w:szCs w:val="22"/>
        </w:rPr>
        <w:tab/>
        <w:t>There are no projected reporting, recordkeeping or other compliance requirements.</w:t>
      </w:r>
      <w:r w:rsidR="00E64601">
        <w:rPr>
          <w:szCs w:val="22"/>
        </w:rPr>
        <w:t xml:space="preserve">  The Commission </w:t>
      </w:r>
      <w:r w:rsidR="00E64601">
        <w:rPr>
          <w:spacing w:val="-2"/>
          <w:szCs w:val="22"/>
        </w:rPr>
        <w:t xml:space="preserve">believes that the changes adopted in the </w:t>
      </w:r>
      <w:r w:rsidR="00E64601" w:rsidRPr="000C3B45">
        <w:rPr>
          <w:i/>
          <w:spacing w:val="-2"/>
          <w:szCs w:val="22"/>
        </w:rPr>
        <w:t>Report and Order</w:t>
      </w:r>
      <w:r w:rsidR="00E64601">
        <w:rPr>
          <w:spacing w:val="-2"/>
          <w:szCs w:val="22"/>
        </w:rPr>
        <w:t xml:space="preserve"> will promote flexibility and more efficient use of the spectrum, allow licensees to better meet their communication needs</w:t>
      </w:r>
      <w:r w:rsidR="007E3E1E">
        <w:rPr>
          <w:spacing w:val="-2"/>
          <w:szCs w:val="22"/>
        </w:rPr>
        <w:t xml:space="preserve">, and </w:t>
      </w:r>
      <w:r w:rsidR="007E3E1E" w:rsidRPr="00511E2E">
        <w:rPr>
          <w:szCs w:val="22"/>
        </w:rPr>
        <w:t>allow the certification, licensing, and use of foreign object debris detection radar in the 78-81 GHz band.</w:t>
      </w:r>
    </w:p>
    <w:p w:rsidR="00CF6A16" w:rsidRDefault="00CF6A16" w:rsidP="00CF6A16">
      <w:pPr>
        <w:tabs>
          <w:tab w:val="left" w:pos="0"/>
          <w:tab w:val="left" w:pos="720"/>
          <w:tab w:val="right" w:leader="dot" w:pos="9360"/>
        </w:tabs>
        <w:jc w:val="both"/>
        <w:rPr>
          <w:szCs w:val="22"/>
        </w:rPr>
      </w:pPr>
    </w:p>
    <w:p w:rsidR="00584892" w:rsidRPr="001C40D7" w:rsidRDefault="00584892" w:rsidP="001C40D7">
      <w:pPr>
        <w:spacing w:after="220"/>
        <w:ind w:firstLine="720"/>
        <w:jc w:val="both"/>
        <w:rPr>
          <w:i/>
          <w:szCs w:val="22"/>
        </w:rPr>
      </w:pPr>
      <w:r w:rsidRPr="007036A7">
        <w:rPr>
          <w:szCs w:val="22"/>
        </w:rPr>
        <w:t>For details of other compliance requirements refer to the</w:t>
      </w:r>
      <w:r>
        <w:rPr>
          <w:szCs w:val="22"/>
        </w:rPr>
        <w:t xml:space="preserve"> </w:t>
      </w:r>
      <w:r w:rsidRPr="007036A7">
        <w:rPr>
          <w:i/>
          <w:szCs w:val="22"/>
        </w:rPr>
        <w:t>Report and Order.</w:t>
      </w:r>
    </w:p>
    <w:p w:rsidR="00584892" w:rsidRPr="004B1666" w:rsidRDefault="00584892" w:rsidP="001C40D7">
      <w:pPr>
        <w:pStyle w:val="Heading1"/>
        <w:spacing w:after="220"/>
        <w:jc w:val="both"/>
        <w:rPr>
          <w:rFonts w:ascii="Times New Roman" w:hAnsi="Times New Roman"/>
          <w:szCs w:val="22"/>
        </w:rPr>
      </w:pPr>
      <w:bookmarkStart w:id="76" w:name="_Toc176072637"/>
      <w:bookmarkStart w:id="77" w:name="_Toc176072763"/>
      <w:bookmarkStart w:id="78" w:name="_Toc176072789"/>
      <w:bookmarkStart w:id="79" w:name="_Toc176072813"/>
      <w:bookmarkStart w:id="80" w:name="_Toc179100599"/>
      <w:bookmarkStart w:id="81" w:name="_Toc179100964"/>
      <w:bookmarkStart w:id="82" w:name="_Toc216065694"/>
      <w:bookmarkStart w:id="83" w:name="_Toc326229724"/>
      <w:bookmarkStart w:id="84" w:name="_Toc326658334"/>
      <w:bookmarkStart w:id="85" w:name="_Toc326746790"/>
      <w:bookmarkStart w:id="86" w:name="_Toc326826056"/>
      <w:bookmarkStart w:id="87" w:name="_Toc361824139"/>
      <w:r w:rsidRPr="004B1666">
        <w:rPr>
          <w:rFonts w:ascii="Times New Roman" w:hAnsi="Times New Roman"/>
          <w:szCs w:val="22"/>
        </w:rPr>
        <w:lastRenderedPageBreak/>
        <w:t>Weblink</w:t>
      </w:r>
      <w:bookmarkEnd w:id="76"/>
      <w:bookmarkEnd w:id="77"/>
      <w:bookmarkEnd w:id="78"/>
      <w:bookmarkEnd w:id="79"/>
      <w:bookmarkEnd w:id="80"/>
      <w:bookmarkEnd w:id="81"/>
      <w:bookmarkEnd w:id="82"/>
      <w:bookmarkEnd w:id="83"/>
      <w:bookmarkEnd w:id="84"/>
      <w:bookmarkEnd w:id="85"/>
      <w:bookmarkEnd w:id="86"/>
      <w:bookmarkEnd w:id="87"/>
    </w:p>
    <w:p w:rsidR="00584892" w:rsidRPr="001C40D7" w:rsidRDefault="00584892" w:rsidP="001C40D7">
      <w:pPr>
        <w:pStyle w:val="ParaNum"/>
        <w:widowControl/>
        <w:numPr>
          <w:ilvl w:val="0"/>
          <w:numId w:val="0"/>
        </w:numPr>
        <w:spacing w:after="220"/>
        <w:ind w:firstLine="720"/>
        <w:jc w:val="both"/>
      </w:pPr>
      <w:r w:rsidRPr="007036A7">
        <w:rPr>
          <w:szCs w:val="22"/>
        </w:rPr>
        <w:t>The</w:t>
      </w:r>
      <w:r>
        <w:rPr>
          <w:i/>
          <w:szCs w:val="22"/>
        </w:rPr>
        <w:t xml:space="preserve"> </w:t>
      </w:r>
      <w:r w:rsidRPr="007036A7">
        <w:rPr>
          <w:i/>
          <w:szCs w:val="22"/>
        </w:rPr>
        <w:t>Report and Order</w:t>
      </w:r>
      <w:r w:rsidRPr="007036A7">
        <w:rPr>
          <w:szCs w:val="22"/>
        </w:rPr>
        <w:t xml:space="preserve">, FCC </w:t>
      </w:r>
      <w:r>
        <w:rPr>
          <w:szCs w:val="22"/>
        </w:rPr>
        <w:t>1</w:t>
      </w:r>
      <w:r w:rsidR="0082493B">
        <w:rPr>
          <w:szCs w:val="22"/>
        </w:rPr>
        <w:t>3</w:t>
      </w:r>
      <w:r w:rsidRPr="007036A7">
        <w:rPr>
          <w:szCs w:val="22"/>
        </w:rPr>
        <w:t>-</w:t>
      </w:r>
      <w:r w:rsidR="005C43B4">
        <w:rPr>
          <w:szCs w:val="22"/>
        </w:rPr>
        <w:t>95</w:t>
      </w:r>
      <w:r w:rsidRPr="007036A7">
        <w:rPr>
          <w:szCs w:val="22"/>
        </w:rPr>
        <w:t xml:space="preserve">, </w:t>
      </w:r>
      <w:r w:rsidR="00157484">
        <w:rPr>
          <w:szCs w:val="22"/>
        </w:rPr>
        <w:t xml:space="preserve">was </w:t>
      </w:r>
      <w:r w:rsidRPr="007036A7">
        <w:rPr>
          <w:szCs w:val="22"/>
        </w:rPr>
        <w:t xml:space="preserve">adopted </w:t>
      </w:r>
      <w:r w:rsidR="00065B9A">
        <w:rPr>
          <w:szCs w:val="22"/>
        </w:rPr>
        <w:t xml:space="preserve">on </w:t>
      </w:r>
      <w:r w:rsidR="009A407B">
        <w:rPr>
          <w:szCs w:val="22"/>
        </w:rPr>
        <w:t>July</w:t>
      </w:r>
      <w:r w:rsidR="00065B9A">
        <w:rPr>
          <w:szCs w:val="22"/>
        </w:rPr>
        <w:t xml:space="preserve"> 1</w:t>
      </w:r>
      <w:r w:rsidR="009A407B">
        <w:rPr>
          <w:szCs w:val="22"/>
        </w:rPr>
        <w:t>0</w:t>
      </w:r>
      <w:r w:rsidR="00065B9A">
        <w:rPr>
          <w:szCs w:val="22"/>
        </w:rPr>
        <w:t xml:space="preserve">, </w:t>
      </w:r>
      <w:r w:rsidRPr="007036A7">
        <w:rPr>
          <w:szCs w:val="22"/>
        </w:rPr>
        <w:t>20</w:t>
      </w:r>
      <w:r>
        <w:rPr>
          <w:szCs w:val="22"/>
        </w:rPr>
        <w:t>1</w:t>
      </w:r>
      <w:r w:rsidR="0082493B">
        <w:rPr>
          <w:szCs w:val="22"/>
        </w:rPr>
        <w:t>3</w:t>
      </w:r>
      <w:r>
        <w:rPr>
          <w:szCs w:val="22"/>
        </w:rPr>
        <w:t xml:space="preserve"> </w:t>
      </w:r>
      <w:r w:rsidRPr="007036A7">
        <w:rPr>
          <w:szCs w:val="22"/>
        </w:rPr>
        <w:t xml:space="preserve">and released </w:t>
      </w:r>
      <w:r w:rsidR="00065B9A">
        <w:rPr>
          <w:szCs w:val="22"/>
        </w:rPr>
        <w:t xml:space="preserve">on </w:t>
      </w:r>
      <w:r w:rsidR="009A407B">
        <w:rPr>
          <w:szCs w:val="22"/>
        </w:rPr>
        <w:t>July 11,</w:t>
      </w:r>
      <w:r>
        <w:rPr>
          <w:szCs w:val="22"/>
        </w:rPr>
        <w:t xml:space="preserve"> </w:t>
      </w:r>
      <w:r w:rsidRPr="007036A7">
        <w:rPr>
          <w:szCs w:val="22"/>
        </w:rPr>
        <w:t>20</w:t>
      </w:r>
      <w:r>
        <w:rPr>
          <w:szCs w:val="22"/>
        </w:rPr>
        <w:t>1</w:t>
      </w:r>
      <w:r w:rsidR="0082493B">
        <w:rPr>
          <w:szCs w:val="22"/>
        </w:rPr>
        <w:t>3</w:t>
      </w:r>
      <w:r w:rsidR="00065B9A">
        <w:rPr>
          <w:szCs w:val="22"/>
        </w:rPr>
        <w:t xml:space="preserve">. </w:t>
      </w:r>
      <w:r w:rsidRPr="007036A7">
        <w:rPr>
          <w:szCs w:val="22"/>
        </w:rPr>
        <w:t xml:space="preserve">Final rules adopted in the </w:t>
      </w:r>
      <w:r w:rsidRPr="007036A7">
        <w:rPr>
          <w:i/>
          <w:szCs w:val="22"/>
        </w:rPr>
        <w:t>Report and Order</w:t>
      </w:r>
      <w:r w:rsidRPr="007036A7">
        <w:rPr>
          <w:szCs w:val="22"/>
        </w:rPr>
        <w:t xml:space="preserve"> </w:t>
      </w:r>
      <w:r>
        <w:rPr>
          <w:szCs w:val="22"/>
        </w:rPr>
        <w:t>are</w:t>
      </w:r>
      <w:r w:rsidRPr="007036A7">
        <w:rPr>
          <w:szCs w:val="22"/>
        </w:rPr>
        <w:t xml:space="preserve"> effective on</w:t>
      </w:r>
      <w:r w:rsidR="002B6F39">
        <w:rPr>
          <w:szCs w:val="22"/>
        </w:rPr>
        <w:t xml:space="preserve"> August 26, 2013</w:t>
      </w:r>
      <w:r w:rsidR="00065B9A" w:rsidRPr="00065B9A">
        <w:rPr>
          <w:szCs w:val="22"/>
        </w:rPr>
        <w:t>, thirty days</w:t>
      </w:r>
      <w:r w:rsidR="00065B9A" w:rsidRPr="00065B9A">
        <w:rPr>
          <w:b/>
          <w:szCs w:val="22"/>
        </w:rPr>
        <w:t xml:space="preserve"> </w:t>
      </w:r>
      <w:r w:rsidR="00065B9A" w:rsidRPr="00065B9A">
        <w:rPr>
          <w:szCs w:val="22"/>
        </w:rPr>
        <w:t xml:space="preserve">after </w:t>
      </w:r>
      <w:r w:rsidR="002C0684">
        <w:t>publi</w:t>
      </w:r>
      <w:r w:rsidR="00065B9A">
        <w:t xml:space="preserve">cation of the </w:t>
      </w:r>
      <w:r w:rsidR="00065B9A" w:rsidRPr="00065B9A">
        <w:rPr>
          <w:i/>
        </w:rPr>
        <w:t>Report and Order</w:t>
      </w:r>
      <w:r w:rsidR="00065B9A">
        <w:t xml:space="preserve"> </w:t>
      </w:r>
      <w:r w:rsidR="002C0684">
        <w:t>in the Federal Register</w:t>
      </w:r>
      <w:r w:rsidR="00065B9A">
        <w:t>.</w:t>
      </w:r>
    </w:p>
    <w:p w:rsidR="001C40D7" w:rsidRDefault="00C94174" w:rsidP="001C40D7">
      <w:pPr>
        <w:jc w:val="both"/>
        <w:rPr>
          <w:b/>
          <w:szCs w:val="22"/>
        </w:rPr>
      </w:pPr>
      <w:hyperlink r:id="rId9" w:history="1">
        <w:r w:rsidR="00393313" w:rsidRPr="00240886">
          <w:rPr>
            <w:rStyle w:val="Hyperlink"/>
            <w:b/>
            <w:szCs w:val="22"/>
          </w:rPr>
          <w:t>http://hraunfoss.fcc.gov/edocs_public/attachmatch/FCC-13-95A1.doc</w:t>
        </w:r>
      </w:hyperlink>
    </w:p>
    <w:p w:rsidR="00584892" w:rsidRDefault="00C94174" w:rsidP="001C40D7">
      <w:pPr>
        <w:jc w:val="both"/>
        <w:rPr>
          <w:b/>
          <w:szCs w:val="22"/>
        </w:rPr>
      </w:pPr>
      <w:hyperlink r:id="rId10" w:history="1">
        <w:r w:rsidR="00393313" w:rsidRPr="00240886">
          <w:rPr>
            <w:rStyle w:val="Hyperlink"/>
            <w:b/>
            <w:szCs w:val="22"/>
          </w:rPr>
          <w:t>http://hraunfoss.fcc.gov/edocs_public/attachmatch/FCC-13-95A1.pdf</w:t>
        </w:r>
      </w:hyperlink>
    </w:p>
    <w:p w:rsidR="00584892" w:rsidRDefault="00C94174" w:rsidP="001C40D7">
      <w:pPr>
        <w:jc w:val="both"/>
        <w:rPr>
          <w:b/>
          <w:szCs w:val="22"/>
        </w:rPr>
      </w:pPr>
      <w:hyperlink r:id="rId11" w:history="1">
        <w:r w:rsidR="00393313" w:rsidRPr="00240886">
          <w:rPr>
            <w:rStyle w:val="Hyperlink"/>
            <w:b/>
            <w:szCs w:val="22"/>
          </w:rPr>
          <w:t>http://hraunfoss.fcc.gov/edocs_public/attachmatch/FCC-13-95A1.txt</w:t>
        </w:r>
      </w:hyperlink>
    </w:p>
    <w:sectPr w:rsidR="00584892">
      <w:headerReference w:type="even" r:id="rId12"/>
      <w:headerReference w:type="default" r:id="rId13"/>
      <w:footerReference w:type="even" r:id="rId14"/>
      <w:footerReference w:type="default" r:id="rId15"/>
      <w:headerReference w:type="first" r:id="rId16"/>
      <w:footerReference w:type="first" r:id="rId17"/>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18" w:rsidRDefault="00286218">
      <w:r>
        <w:separator/>
      </w:r>
    </w:p>
    <w:p w:rsidR="00286218" w:rsidRDefault="00286218"/>
    <w:p w:rsidR="00286218" w:rsidRDefault="00286218"/>
  </w:endnote>
  <w:endnote w:type="continuationSeparator" w:id="0">
    <w:p w:rsidR="00286218" w:rsidRDefault="00286218">
      <w:r>
        <w:continuationSeparator/>
      </w:r>
    </w:p>
    <w:p w:rsidR="00286218" w:rsidRDefault="00286218"/>
    <w:p w:rsidR="00286218" w:rsidRDefault="00286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4892" w:rsidRDefault="00584892">
    <w:pPr>
      <w:pStyle w:val="Footer"/>
    </w:pPr>
  </w:p>
  <w:p w:rsidR="00584892" w:rsidRDefault="00584892"/>
  <w:p w:rsidR="00584892" w:rsidRDefault="00584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4174">
      <w:rPr>
        <w:rStyle w:val="PageNumber"/>
        <w:noProof/>
      </w:rPr>
      <w:t>4</w:t>
    </w:r>
    <w:r>
      <w:rPr>
        <w:rStyle w:val="PageNumber"/>
      </w:rPr>
      <w:fldChar w:fldCharType="end"/>
    </w:r>
  </w:p>
  <w:p w:rsidR="00584892" w:rsidRDefault="00584892">
    <w:pPr>
      <w:pStyle w:val="Footer"/>
    </w:pPr>
  </w:p>
  <w:p w:rsidR="00584892" w:rsidRDefault="00584892"/>
  <w:p w:rsidR="00584892" w:rsidRDefault="0058489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2C" w:rsidRDefault="00E64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18" w:rsidRDefault="00286218">
      <w:r>
        <w:separator/>
      </w:r>
    </w:p>
    <w:p w:rsidR="00286218" w:rsidRDefault="00286218"/>
    <w:p w:rsidR="00286218" w:rsidRDefault="00286218"/>
  </w:footnote>
  <w:footnote w:type="continuationSeparator" w:id="0">
    <w:p w:rsidR="00286218" w:rsidRDefault="00286218">
      <w:r>
        <w:continuationSeparator/>
      </w:r>
    </w:p>
    <w:p w:rsidR="00286218" w:rsidRDefault="00286218"/>
    <w:p w:rsidR="00286218" w:rsidRDefault="00286218"/>
  </w:footnote>
  <w:footnote w:id="1">
    <w:p w:rsidR="00EA3C6B" w:rsidRPr="00EA3C6B" w:rsidRDefault="00EA3C6B">
      <w:pPr>
        <w:pStyle w:val="FootnoteText"/>
      </w:pPr>
      <w:r>
        <w:rPr>
          <w:rStyle w:val="FootnoteReference"/>
        </w:rPr>
        <w:footnoteRef/>
      </w:r>
      <w:r>
        <w:t xml:space="preserve"> </w:t>
      </w:r>
      <w:r>
        <w:rPr>
          <w:i/>
        </w:rPr>
        <w:t xml:space="preserve">See </w:t>
      </w:r>
      <w:r>
        <w:t>47 C.F.R. § 90.103.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584892"/>
  <w:p w:rsidR="00584892" w:rsidRDefault="005848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12C" w:rsidRDefault="00E64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892" w:rsidRDefault="00C94174">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42062968" r:id="rId2"/>
      </w:pict>
    </w:r>
    <w:r w:rsidR="00584892">
      <w:rPr>
        <w:rFonts w:ascii="CG Times (W1)" w:hAnsi="CG Times (W1)"/>
        <w:sz w:val="28"/>
      </w:rPr>
      <w:t>Federal Communications Commission</w:t>
    </w:r>
  </w:p>
  <w:p w:rsidR="00584892" w:rsidRDefault="00584892">
    <w:pPr>
      <w:jc w:val="center"/>
      <w:rPr>
        <w:rFonts w:ascii="CG Times (W1)" w:hAnsi="CG Times (W1)"/>
        <w:sz w:val="28"/>
      </w:rPr>
    </w:pPr>
    <w:r>
      <w:rPr>
        <w:rFonts w:ascii="CG Times (W1)" w:hAnsi="CG Times (W1)"/>
        <w:sz w:val="28"/>
      </w:rPr>
      <w:t>Washington, D.C. 20554</w:t>
    </w:r>
  </w:p>
  <w:p w:rsidR="00906338" w:rsidRDefault="00906338">
    <w:pPr>
      <w:jc w:val="center"/>
      <w:rPr>
        <w:rFonts w:ascii="CG Times (W1)" w:hAnsi="CG Times (W1)"/>
        <w:sz w:val="28"/>
      </w:rPr>
    </w:pPr>
  </w:p>
  <w:p w:rsidR="00906338" w:rsidRPr="00906338" w:rsidRDefault="00906338">
    <w:pPr>
      <w:jc w:val="center"/>
      <w:rPr>
        <w:color w:val="000000" w:themeColor="text1"/>
        <w:sz w:val="24"/>
        <w:szCs w:val="24"/>
      </w:rPr>
    </w:pPr>
    <w:r w:rsidRPr="00906338">
      <w:rPr>
        <w:rFonts w:ascii="CG Times (W1)" w:hAnsi="CG Times (W1)"/>
        <w:color w:val="FFFFFF" w:themeColor="background1"/>
        <w:sz w:val="24"/>
        <w:szCs w:val="24"/>
      </w:rPr>
      <w:t xml:space="preserve">‘  </w:t>
    </w:r>
    <w:r w:rsidR="00AA6BAE">
      <w:rPr>
        <w:rFonts w:ascii="CG Times (W1)" w:hAnsi="CG Times (W1)"/>
        <w:color w:val="000000" w:themeColor="text1"/>
        <w:sz w:val="24"/>
        <w:szCs w:val="24"/>
      </w:rPr>
      <w:t>September 30, 2013</w:t>
    </w:r>
  </w:p>
  <w:p w:rsidR="00584892" w:rsidRDefault="00584892">
    <w:pPr>
      <w:pStyle w:val="Header"/>
      <w:jc w:val="center"/>
    </w:pPr>
  </w:p>
  <w:p w:rsidR="00584892" w:rsidRPr="00BA054F" w:rsidRDefault="00584892">
    <w:pPr>
      <w:pStyle w:val="Header"/>
      <w:jc w:val="center"/>
      <w:rPr>
        <w:b w:val="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88628"/>
    <w:lvl w:ilvl="0">
      <w:start w:val="1"/>
      <w:numFmt w:val="decimal"/>
      <w:lvlText w:val="%1."/>
      <w:lvlJc w:val="left"/>
      <w:pPr>
        <w:tabs>
          <w:tab w:val="num" w:pos="1800"/>
        </w:tabs>
        <w:ind w:left="1800" w:hanging="360"/>
      </w:pPr>
    </w:lvl>
  </w:abstractNum>
  <w:abstractNum w:abstractNumId="1">
    <w:nsid w:val="FFFFFF7D"/>
    <w:multiLevelType w:val="singleLevel"/>
    <w:tmpl w:val="4B6E4478"/>
    <w:lvl w:ilvl="0">
      <w:start w:val="1"/>
      <w:numFmt w:val="decimal"/>
      <w:lvlText w:val="%1."/>
      <w:lvlJc w:val="left"/>
      <w:pPr>
        <w:tabs>
          <w:tab w:val="num" w:pos="1440"/>
        </w:tabs>
        <w:ind w:left="1440" w:hanging="360"/>
      </w:pPr>
    </w:lvl>
  </w:abstractNum>
  <w:abstractNum w:abstractNumId="2">
    <w:nsid w:val="FFFFFF7E"/>
    <w:multiLevelType w:val="singleLevel"/>
    <w:tmpl w:val="87E6F3E2"/>
    <w:lvl w:ilvl="0">
      <w:start w:val="1"/>
      <w:numFmt w:val="decimal"/>
      <w:lvlText w:val="%1."/>
      <w:lvlJc w:val="left"/>
      <w:pPr>
        <w:tabs>
          <w:tab w:val="num" w:pos="1080"/>
        </w:tabs>
        <w:ind w:left="1080" w:hanging="360"/>
      </w:pPr>
    </w:lvl>
  </w:abstractNum>
  <w:abstractNum w:abstractNumId="3">
    <w:nsid w:val="FFFFFF7F"/>
    <w:multiLevelType w:val="singleLevel"/>
    <w:tmpl w:val="6FF23750"/>
    <w:lvl w:ilvl="0">
      <w:start w:val="1"/>
      <w:numFmt w:val="decimal"/>
      <w:lvlText w:val="%1."/>
      <w:lvlJc w:val="left"/>
      <w:pPr>
        <w:tabs>
          <w:tab w:val="num" w:pos="720"/>
        </w:tabs>
        <w:ind w:left="720" w:hanging="360"/>
      </w:pPr>
    </w:lvl>
  </w:abstractNum>
  <w:abstractNum w:abstractNumId="4">
    <w:nsid w:val="FFFFFF80"/>
    <w:multiLevelType w:val="singleLevel"/>
    <w:tmpl w:val="D5FCB3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8C4C78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BC04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A2E31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350594E"/>
    <w:lvl w:ilvl="0">
      <w:start w:val="1"/>
      <w:numFmt w:val="decimal"/>
      <w:lvlText w:val="%1."/>
      <w:lvlJc w:val="left"/>
      <w:pPr>
        <w:tabs>
          <w:tab w:val="num" w:pos="360"/>
        </w:tabs>
        <w:ind w:left="360" w:hanging="360"/>
      </w:pPr>
    </w:lvl>
  </w:abstractNum>
  <w:abstractNum w:abstractNumId="9">
    <w:nsid w:val="FFFFFF89"/>
    <w:multiLevelType w:val="singleLevel"/>
    <w:tmpl w:val="1734790A"/>
    <w:lvl w:ilvl="0">
      <w:start w:val="1"/>
      <w:numFmt w:val="bullet"/>
      <w:lvlText w:val=""/>
      <w:lvlJc w:val="left"/>
      <w:pPr>
        <w:tabs>
          <w:tab w:val="num" w:pos="360"/>
        </w:tabs>
        <w:ind w:left="360" w:hanging="360"/>
      </w:pPr>
      <w:rPr>
        <w:rFonts w:ascii="Symbol" w:hAnsi="Symbol" w:hint="default"/>
      </w:rPr>
    </w:lvl>
  </w:abstractNum>
  <w:abstractNum w:abstractNumId="10">
    <w:nsid w:val="01362579"/>
    <w:multiLevelType w:val="hybridMultilevel"/>
    <w:tmpl w:val="609839DA"/>
    <w:lvl w:ilvl="0" w:tplc="04090001">
      <w:start w:val="1"/>
      <w:numFmt w:val="bullet"/>
      <w:lvlText w:val=""/>
      <w:lvlJc w:val="left"/>
      <w:pPr>
        <w:tabs>
          <w:tab w:val="num" w:pos="720"/>
        </w:tabs>
        <w:ind w:left="720" w:hanging="360"/>
      </w:pPr>
      <w:rPr>
        <w:rFonts w:ascii="Symbol" w:hAnsi="Symbol" w:hint="default"/>
      </w:rPr>
    </w:lvl>
    <w:lvl w:ilvl="1" w:tplc="45FC200A">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1">
      <w:start w:val="1"/>
      <w:numFmt w:val="bullet"/>
      <w:lvlText w:val=""/>
      <w:lvlJc w:val="left"/>
      <w:pPr>
        <w:tabs>
          <w:tab w:val="num" w:pos="4320"/>
        </w:tabs>
        <w:ind w:left="4320" w:hanging="360"/>
      </w:pPr>
      <w:rPr>
        <w:rFonts w:ascii="Symbol" w:hAnsi="Symbol"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1F61"/>
    <w:multiLevelType w:val="hybridMultilevel"/>
    <w:tmpl w:val="029EB75A"/>
    <w:lvl w:ilvl="0" w:tplc="68701664">
      <w:start w:val="1"/>
      <w:numFmt w:val="bullet"/>
      <w:pStyle w:val="StyleParaNum11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5A783C"/>
    <w:multiLevelType w:val="singleLevel"/>
    <w:tmpl w:val="C296ACF2"/>
    <w:lvl w:ilvl="0">
      <w:start w:val="1"/>
      <w:numFmt w:val="decimal"/>
      <w:lvlText w:val="%1."/>
      <w:lvlJc w:val="left"/>
      <w:pPr>
        <w:tabs>
          <w:tab w:val="num" w:pos="1080"/>
        </w:tabs>
        <w:ind w:left="0" w:firstLine="720"/>
      </w:pPr>
      <w:rPr>
        <w:b w:val="0"/>
        <w:i w:val="0"/>
        <w:sz w:val="22"/>
      </w:rPr>
    </w:lvl>
  </w:abstractNum>
  <w:abstractNum w:abstractNumId="13">
    <w:nsid w:val="084B453C"/>
    <w:multiLevelType w:val="singleLevel"/>
    <w:tmpl w:val="40A8E97A"/>
    <w:lvl w:ilvl="0">
      <w:start w:val="1"/>
      <w:numFmt w:val="decimal"/>
      <w:lvlText w:val="%1."/>
      <w:lvlJc w:val="left"/>
      <w:pPr>
        <w:tabs>
          <w:tab w:val="num" w:pos="1080"/>
        </w:tabs>
        <w:ind w:left="0" w:firstLine="720"/>
      </w:pPr>
    </w:lvl>
  </w:abstractNum>
  <w:abstractNum w:abstractNumId="14">
    <w:nsid w:val="09147823"/>
    <w:multiLevelType w:val="hybridMultilevel"/>
    <w:tmpl w:val="89B45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24F07CC"/>
    <w:multiLevelType w:val="hybridMultilevel"/>
    <w:tmpl w:val="A2946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4F667BE"/>
    <w:multiLevelType w:val="hybridMultilevel"/>
    <w:tmpl w:val="67627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78D3FAE"/>
    <w:multiLevelType w:val="hybridMultilevel"/>
    <w:tmpl w:val="D2E89DC6"/>
    <w:lvl w:ilvl="0" w:tplc="EE0C0180">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9">
    <w:nsid w:val="248246F3"/>
    <w:multiLevelType w:val="singleLevel"/>
    <w:tmpl w:val="B1F45678"/>
    <w:lvl w:ilvl="0">
      <w:start w:val="1"/>
      <w:numFmt w:val="decimal"/>
      <w:lvlText w:val="%1."/>
      <w:lvlJc w:val="left"/>
      <w:pPr>
        <w:tabs>
          <w:tab w:val="num" w:pos="1080"/>
        </w:tabs>
        <w:ind w:left="0" w:firstLine="720"/>
      </w:pPr>
    </w:lvl>
  </w:abstractNum>
  <w:abstractNum w:abstractNumId="2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1">
    <w:nsid w:val="2A2D42AD"/>
    <w:multiLevelType w:val="hybridMultilevel"/>
    <w:tmpl w:val="6C10122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3D0F1B3D"/>
    <w:multiLevelType w:val="singleLevel"/>
    <w:tmpl w:val="4DCCE696"/>
    <w:lvl w:ilvl="0">
      <w:start w:val="1"/>
      <w:numFmt w:val="decimal"/>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5C69627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nsid w:val="75312DE8"/>
    <w:multiLevelType w:val="hybridMultilevel"/>
    <w:tmpl w:val="DA6290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5"/>
  </w:num>
  <w:num w:numId="3">
    <w:abstractNumId w:val="10"/>
  </w:num>
  <w:num w:numId="4">
    <w:abstractNumId w:val="11"/>
  </w:num>
  <w:num w:numId="5">
    <w:abstractNumId w:val="20"/>
    <w:lvlOverride w:ilvl="0">
      <w:startOverride w:val="1"/>
    </w:lvlOverride>
    <w:lvlOverride w:ilvl="1">
      <w:startOverride w:val="7"/>
    </w:lvlOverride>
  </w:num>
  <w:num w:numId="6">
    <w:abstractNumId w:val="24"/>
  </w:num>
  <w:num w:numId="7">
    <w:abstractNumId w:val="21"/>
  </w:num>
  <w:num w:numId="8">
    <w:abstractNumId w:val="22"/>
  </w:num>
  <w:num w:numId="9">
    <w:abstractNumId w:val="17"/>
  </w:num>
  <w:num w:numId="10">
    <w:abstractNumId w:val="25"/>
  </w:num>
  <w:num w:numId="11">
    <w:abstractNumId w:val="25"/>
  </w:num>
  <w:num w:numId="12">
    <w:abstractNumId w:val="18"/>
  </w:num>
  <w:num w:numId="13">
    <w:abstractNumId w:val="23"/>
  </w:num>
  <w:num w:numId="14">
    <w:abstractNumId w:val="19"/>
  </w:num>
  <w:num w:numId="15">
    <w:abstractNumId w:val="13"/>
  </w:num>
  <w:num w:numId="16">
    <w:abstractNumId w:val="20"/>
  </w:num>
  <w:num w:numId="17">
    <w:abstractNumId w:val="20"/>
  </w:num>
  <w:num w:numId="18">
    <w:abstractNumId w:val="20"/>
  </w:num>
  <w:num w:numId="19">
    <w:abstractNumId w:val="20"/>
  </w:num>
  <w:num w:numId="20">
    <w:abstractNumId w:val="2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2"/>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6"/>
  </w:num>
  <w:num w:numId="37">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8F"/>
    <w:rsid w:val="00003198"/>
    <w:rsid w:val="00065B9A"/>
    <w:rsid w:val="00065D01"/>
    <w:rsid w:val="00066B48"/>
    <w:rsid w:val="00067683"/>
    <w:rsid w:val="0008131F"/>
    <w:rsid w:val="000845C0"/>
    <w:rsid w:val="00091D38"/>
    <w:rsid w:val="0009556F"/>
    <w:rsid w:val="000A51ED"/>
    <w:rsid w:val="00101090"/>
    <w:rsid w:val="001560E3"/>
    <w:rsid w:val="0015702A"/>
    <w:rsid w:val="00157484"/>
    <w:rsid w:val="00167EAA"/>
    <w:rsid w:val="001735DB"/>
    <w:rsid w:val="00184D2B"/>
    <w:rsid w:val="001A4D82"/>
    <w:rsid w:val="001A54AE"/>
    <w:rsid w:val="001B1305"/>
    <w:rsid w:val="001C1A70"/>
    <w:rsid w:val="001C40D7"/>
    <w:rsid w:val="001C4E1E"/>
    <w:rsid w:val="001C5810"/>
    <w:rsid w:val="001D762B"/>
    <w:rsid w:val="001F67CA"/>
    <w:rsid w:val="00200819"/>
    <w:rsid w:val="00214E03"/>
    <w:rsid w:val="00222F1E"/>
    <w:rsid w:val="002254C6"/>
    <w:rsid w:val="00235F96"/>
    <w:rsid w:val="00251ED5"/>
    <w:rsid w:val="00252166"/>
    <w:rsid w:val="00254025"/>
    <w:rsid w:val="00264A1B"/>
    <w:rsid w:val="0027262F"/>
    <w:rsid w:val="00286218"/>
    <w:rsid w:val="002B6F39"/>
    <w:rsid w:val="002C0684"/>
    <w:rsid w:val="002D05AC"/>
    <w:rsid w:val="002D4965"/>
    <w:rsid w:val="002D75E5"/>
    <w:rsid w:val="002E3FD0"/>
    <w:rsid w:val="002E7FAE"/>
    <w:rsid w:val="0030731A"/>
    <w:rsid w:val="003318E0"/>
    <w:rsid w:val="00331B77"/>
    <w:rsid w:val="00393313"/>
    <w:rsid w:val="003C28A6"/>
    <w:rsid w:val="003F61F6"/>
    <w:rsid w:val="00433460"/>
    <w:rsid w:val="00441049"/>
    <w:rsid w:val="00442757"/>
    <w:rsid w:val="004624C7"/>
    <w:rsid w:val="0046662B"/>
    <w:rsid w:val="00471E79"/>
    <w:rsid w:val="00477220"/>
    <w:rsid w:val="004A068C"/>
    <w:rsid w:val="004A6117"/>
    <w:rsid w:val="00505FAA"/>
    <w:rsid w:val="0051271F"/>
    <w:rsid w:val="005141C7"/>
    <w:rsid w:val="005175F2"/>
    <w:rsid w:val="00533590"/>
    <w:rsid w:val="00534E88"/>
    <w:rsid w:val="005478BB"/>
    <w:rsid w:val="00584892"/>
    <w:rsid w:val="005B6063"/>
    <w:rsid w:val="005C43B4"/>
    <w:rsid w:val="005C7EA7"/>
    <w:rsid w:val="005D3DBB"/>
    <w:rsid w:val="005E5604"/>
    <w:rsid w:val="00601C87"/>
    <w:rsid w:val="00606442"/>
    <w:rsid w:val="00610873"/>
    <w:rsid w:val="0063693F"/>
    <w:rsid w:val="00640727"/>
    <w:rsid w:val="006541D8"/>
    <w:rsid w:val="006866C3"/>
    <w:rsid w:val="006B341A"/>
    <w:rsid w:val="006B54D9"/>
    <w:rsid w:val="006C4675"/>
    <w:rsid w:val="006E3F77"/>
    <w:rsid w:val="006F3F40"/>
    <w:rsid w:val="007148EA"/>
    <w:rsid w:val="00717F79"/>
    <w:rsid w:val="00720868"/>
    <w:rsid w:val="00730A26"/>
    <w:rsid w:val="00733C7A"/>
    <w:rsid w:val="007354D5"/>
    <w:rsid w:val="00754725"/>
    <w:rsid w:val="007571FD"/>
    <w:rsid w:val="00784C83"/>
    <w:rsid w:val="00790C0B"/>
    <w:rsid w:val="007A73FD"/>
    <w:rsid w:val="007B0BB5"/>
    <w:rsid w:val="007B12FB"/>
    <w:rsid w:val="007B3B74"/>
    <w:rsid w:val="007C741B"/>
    <w:rsid w:val="007C7AB6"/>
    <w:rsid w:val="007D1187"/>
    <w:rsid w:val="007D67EC"/>
    <w:rsid w:val="007E3E1E"/>
    <w:rsid w:val="008047B1"/>
    <w:rsid w:val="0082493B"/>
    <w:rsid w:val="008540D8"/>
    <w:rsid w:val="008756BA"/>
    <w:rsid w:val="0089649F"/>
    <w:rsid w:val="008B69CA"/>
    <w:rsid w:val="008C5271"/>
    <w:rsid w:val="008C705C"/>
    <w:rsid w:val="008D6186"/>
    <w:rsid w:val="008E2C3A"/>
    <w:rsid w:val="00906338"/>
    <w:rsid w:val="00907B11"/>
    <w:rsid w:val="009121D8"/>
    <w:rsid w:val="00925B08"/>
    <w:rsid w:val="009422B4"/>
    <w:rsid w:val="009437CA"/>
    <w:rsid w:val="00945C5A"/>
    <w:rsid w:val="00955AE6"/>
    <w:rsid w:val="00965229"/>
    <w:rsid w:val="00990E38"/>
    <w:rsid w:val="009A407B"/>
    <w:rsid w:val="009A633E"/>
    <w:rsid w:val="009B0866"/>
    <w:rsid w:val="009B1AF0"/>
    <w:rsid w:val="009D7437"/>
    <w:rsid w:val="009E2D9F"/>
    <w:rsid w:val="009E32B3"/>
    <w:rsid w:val="009E6B11"/>
    <w:rsid w:val="009F0AB8"/>
    <w:rsid w:val="009F4B83"/>
    <w:rsid w:val="00A07601"/>
    <w:rsid w:val="00A15069"/>
    <w:rsid w:val="00A206A2"/>
    <w:rsid w:val="00A31115"/>
    <w:rsid w:val="00A73122"/>
    <w:rsid w:val="00A736E3"/>
    <w:rsid w:val="00AA0D10"/>
    <w:rsid w:val="00AA2527"/>
    <w:rsid w:val="00AA5CDE"/>
    <w:rsid w:val="00AA6BAE"/>
    <w:rsid w:val="00AB2854"/>
    <w:rsid w:val="00AB35C9"/>
    <w:rsid w:val="00AE1C63"/>
    <w:rsid w:val="00AE7C58"/>
    <w:rsid w:val="00AF0108"/>
    <w:rsid w:val="00AF7727"/>
    <w:rsid w:val="00B02510"/>
    <w:rsid w:val="00B02D85"/>
    <w:rsid w:val="00B10A54"/>
    <w:rsid w:val="00B63061"/>
    <w:rsid w:val="00B63496"/>
    <w:rsid w:val="00B677A0"/>
    <w:rsid w:val="00B709E2"/>
    <w:rsid w:val="00B9002E"/>
    <w:rsid w:val="00B935D5"/>
    <w:rsid w:val="00BA1C75"/>
    <w:rsid w:val="00BA75E6"/>
    <w:rsid w:val="00BC00A0"/>
    <w:rsid w:val="00BC5C6D"/>
    <w:rsid w:val="00BE69DC"/>
    <w:rsid w:val="00C00494"/>
    <w:rsid w:val="00C116D6"/>
    <w:rsid w:val="00C223EC"/>
    <w:rsid w:val="00C46FA1"/>
    <w:rsid w:val="00C5136C"/>
    <w:rsid w:val="00C57EF6"/>
    <w:rsid w:val="00C92F09"/>
    <w:rsid w:val="00C94174"/>
    <w:rsid w:val="00C94D0A"/>
    <w:rsid w:val="00C95CAE"/>
    <w:rsid w:val="00C96738"/>
    <w:rsid w:val="00CB5115"/>
    <w:rsid w:val="00CC40E9"/>
    <w:rsid w:val="00CD5AC5"/>
    <w:rsid w:val="00CF6A16"/>
    <w:rsid w:val="00D1094C"/>
    <w:rsid w:val="00D167C3"/>
    <w:rsid w:val="00D21632"/>
    <w:rsid w:val="00D26AC5"/>
    <w:rsid w:val="00D4137C"/>
    <w:rsid w:val="00D82592"/>
    <w:rsid w:val="00D97A18"/>
    <w:rsid w:val="00DA3DE2"/>
    <w:rsid w:val="00DA68F6"/>
    <w:rsid w:val="00DB6923"/>
    <w:rsid w:val="00DC4F37"/>
    <w:rsid w:val="00DD3106"/>
    <w:rsid w:val="00DD5B10"/>
    <w:rsid w:val="00DE331C"/>
    <w:rsid w:val="00E16A19"/>
    <w:rsid w:val="00E22573"/>
    <w:rsid w:val="00E25B76"/>
    <w:rsid w:val="00E6412C"/>
    <w:rsid w:val="00E64601"/>
    <w:rsid w:val="00E8729F"/>
    <w:rsid w:val="00E94E18"/>
    <w:rsid w:val="00EA3C6B"/>
    <w:rsid w:val="00EB74C9"/>
    <w:rsid w:val="00EC27C2"/>
    <w:rsid w:val="00EC4216"/>
    <w:rsid w:val="00EC4D8C"/>
    <w:rsid w:val="00EE5585"/>
    <w:rsid w:val="00EF034F"/>
    <w:rsid w:val="00EF2B14"/>
    <w:rsid w:val="00F04E8F"/>
    <w:rsid w:val="00F265B9"/>
    <w:rsid w:val="00F26CCE"/>
    <w:rsid w:val="00F80240"/>
    <w:rsid w:val="00F83963"/>
    <w:rsid w:val="00F86CCA"/>
    <w:rsid w:val="00FA36E9"/>
    <w:rsid w:val="00FB6EB5"/>
    <w:rsid w:val="00FC2615"/>
    <w:rsid w:val="00FD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
    <w:basedOn w:val="Normal"/>
    <w:next w:val="ParaNum"/>
    <w:qFormat/>
    <w:pPr>
      <w:keepNext/>
      <w:numPr>
        <w:ilvl w:val="2"/>
        <w:numId w:val="1"/>
      </w:numPr>
      <w:tabs>
        <w:tab w:val="left" w:pos="2160"/>
      </w:tabs>
      <w:spacing w:after="120"/>
      <w:outlineLvl w:val="2"/>
    </w:pPr>
    <w:rPr>
      <w:b/>
    </w:rPr>
  </w:style>
  <w:style w:type="paragraph" w:styleId="Heading4">
    <w:name w:val="heading 4"/>
    <w:basedOn w:val="Normal"/>
    <w:next w:val="ParaNum"/>
    <w:qFormat/>
    <w:pPr>
      <w:keepNext/>
      <w:numPr>
        <w:ilvl w:val="3"/>
        <w:numId w:val="1"/>
      </w:numPr>
      <w:tabs>
        <w:tab w:val="left" w:pos="2880"/>
      </w:tabs>
      <w:spacing w:after="120"/>
      <w:outlineLvl w:val="3"/>
    </w:pPr>
    <w:rPr>
      <w:b/>
    </w:rPr>
  </w:style>
  <w:style w:type="paragraph" w:styleId="Heading5">
    <w:name w:val="heading 5"/>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7D67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1"/>
      </w:numPr>
      <w:spacing w:after="120"/>
      <w:outlineLvl w:val="1"/>
    </w:pPr>
    <w:rPr>
      <w:b/>
    </w:rPr>
  </w:style>
  <w:style w:type="paragraph" w:styleId="Heading3">
    <w:name w:val="heading 3"/>
    <w:aliases w:val="Heading 3 Char,3 Char,Titre 3 Char,1 Char,31 Char,Titre 31 Char,?? 3 Char,3,Titre 3,1,31,Titre 31,?? 3,Heading 3 Char Char"/>
    <w:basedOn w:val="Normal"/>
    <w:next w:val="ParaNum"/>
    <w:qFormat/>
    <w:pPr>
      <w:keepNext/>
      <w:numPr>
        <w:ilvl w:val="2"/>
        <w:numId w:val="1"/>
      </w:numPr>
      <w:tabs>
        <w:tab w:val="left" w:pos="2160"/>
      </w:tabs>
      <w:spacing w:after="120"/>
      <w:outlineLvl w:val="2"/>
    </w:pPr>
    <w:rPr>
      <w:b/>
    </w:rPr>
  </w:style>
  <w:style w:type="paragraph" w:styleId="Heading4">
    <w:name w:val="heading 4"/>
    <w:basedOn w:val="Normal"/>
    <w:next w:val="ParaNum"/>
    <w:qFormat/>
    <w:pPr>
      <w:keepNext/>
      <w:numPr>
        <w:ilvl w:val="3"/>
        <w:numId w:val="1"/>
      </w:numPr>
      <w:tabs>
        <w:tab w:val="left" w:pos="2880"/>
      </w:tabs>
      <w:spacing w:after="120"/>
      <w:outlineLvl w:val="3"/>
    </w:pPr>
    <w:rPr>
      <w:b/>
    </w:rPr>
  </w:style>
  <w:style w:type="paragraph" w:styleId="Heading5">
    <w:name w:val="heading 5"/>
    <w:basedOn w:val="Normal"/>
    <w:next w:val="ParaNum"/>
    <w:qFormat/>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pPr>
      <w:numPr>
        <w:ilvl w:val="5"/>
        <w:numId w:val="1"/>
      </w:numPr>
      <w:tabs>
        <w:tab w:val="left" w:pos="4320"/>
      </w:tabs>
      <w:spacing w:after="120"/>
      <w:outlineLvl w:val="5"/>
    </w:pPr>
    <w:rPr>
      <w:b/>
    </w:rPr>
  </w:style>
  <w:style w:type="paragraph" w:styleId="Heading7">
    <w:name w:val="heading 7"/>
    <w:aliases w:val="Heading 7 Char"/>
    <w:basedOn w:val="Normal"/>
    <w:next w:val="ParaNum"/>
    <w:qFormat/>
    <w:pPr>
      <w:numPr>
        <w:ilvl w:val="6"/>
        <w:numId w:val="1"/>
      </w:numPr>
      <w:tabs>
        <w:tab w:val="left" w:pos="5040"/>
      </w:tabs>
      <w:spacing w:after="120"/>
      <w:ind w:left="5040" w:hanging="720"/>
      <w:outlineLvl w:val="6"/>
    </w:pPr>
    <w:rPr>
      <w:b/>
    </w:rPr>
  </w:style>
  <w:style w:type="paragraph" w:styleId="Heading8">
    <w:name w:val="heading 8"/>
    <w:basedOn w:val="Normal"/>
    <w:next w:val="ParaNum"/>
    <w:qFormat/>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Hyperlink">
    <w:name w:val="Hyperlink"/>
    <w:basedOn w:val="DefaultParagraphFont"/>
    <w:uiPriority w:val="99"/>
    <w:rPr>
      <w:color w:val="0000FF"/>
      <w:u w:val="single"/>
    </w:rPr>
  </w:style>
  <w:style w:type="paragraph" w:styleId="TOC1">
    <w:name w:val="toc 1"/>
    <w:basedOn w:val="Normal"/>
    <w:next w:val="Normal"/>
    <w:uiPriority w:val="39"/>
    <w:pPr>
      <w:tabs>
        <w:tab w:val="left" w:pos="360"/>
        <w:tab w:val="right" w:leader="dot" w:pos="9360"/>
      </w:tabs>
      <w:suppressAutoHyphens/>
      <w:ind w:left="360" w:right="720" w:hanging="360"/>
    </w:pPr>
    <w:rPr>
      <w:b/>
      <w:caps/>
      <w:noProof/>
    </w:rPr>
  </w:style>
  <w:style w:type="character" w:styleId="PageNumber">
    <w:name w:val="page number"/>
    <w:basedOn w:val="DefaultParagraphFont"/>
  </w:style>
  <w:style w:type="paragraph" w:customStyle="1" w:styleId="ParaNum">
    <w:name w:val="ParaNum"/>
    <w:basedOn w:val="Normal"/>
    <w:link w:val="ParaNumChar"/>
    <w:pPr>
      <w:numPr>
        <w:numId w:val="2"/>
      </w:numPr>
      <w:tabs>
        <w:tab w:val="clear" w:pos="1080"/>
        <w:tab w:val="num" w:pos="1440"/>
      </w:tabs>
      <w:spacing w:after="120"/>
    </w:p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semiHidden/>
    <w:pPr>
      <w:spacing w:after="120"/>
    </w:pPr>
  </w:style>
  <w:style w:type="paragraph" w:styleId="TOC2">
    <w:name w:val="toc 2"/>
    <w:basedOn w:val="Normal"/>
    <w:next w:val="Normal"/>
    <w:uiPriority w:val="39"/>
    <w:pPr>
      <w:tabs>
        <w:tab w:val="left" w:pos="720"/>
        <w:tab w:val="right" w:leader="dot" w:pos="9360"/>
      </w:tabs>
      <w:suppressAutoHyphens/>
      <w:ind w:left="720" w:right="720" w:hanging="360"/>
    </w:pPr>
    <w:rPr>
      <w:b/>
      <w:noProof/>
    </w:rPr>
  </w:style>
  <w:style w:type="paragraph" w:styleId="TOC3">
    <w:name w:val="toc 3"/>
    <w:basedOn w:val="Normal"/>
    <w:next w:val="Normal"/>
    <w:uiPriority w:val="39"/>
    <w:pPr>
      <w:tabs>
        <w:tab w:val="left" w:pos="1080"/>
        <w:tab w:val="right" w:leader="dot" w:pos="9360"/>
      </w:tabs>
      <w:suppressAutoHyphens/>
      <w:ind w:left="1080" w:right="720" w:hanging="360"/>
    </w:pPr>
    <w:rPr>
      <w:b/>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character" w:customStyle="1" w:styleId="ParaNumChar">
    <w:name w:val="ParaNum Char"/>
    <w:basedOn w:val="DefaultParagraphFont"/>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00C000"/>
      <w:spacing w:val="0"/>
      <w:u w:val="double"/>
    </w:rPr>
  </w:style>
  <w:style w:type="character" w:customStyle="1" w:styleId="DeltaViewDeletion">
    <w:name w:val="DeltaView Deletion"/>
    <w:rPr>
      <w:strike/>
      <w:color w:val="FF0000"/>
      <w:spacing w:val="0"/>
    </w:rPr>
  </w:style>
  <w:style w:type="character" w:styleId="FootnoteReference">
    <w:name w:val="footnote reference"/>
    <w:aliases w:val="Appel note de bas de p,Style 12,(NECG) Footnote Reference,Style 124,o,fr,Style 3,Style 13,Style 17,FR,Footnote Reference/,Style 6"/>
    <w:basedOn w:val="DefaultParagraphFont"/>
    <w:semiHidden/>
    <w:rPr>
      <w:rFonts w:ascii="Times New Roman" w:hAnsi="Times New Roman"/>
      <w:dstrike w:val="0"/>
      <w:color w:val="auto"/>
      <w:sz w:val="22"/>
      <w:vertAlign w:val="superscript"/>
    </w:rPr>
  </w:style>
  <w:style w:type="paragraph" w:customStyle="1" w:styleId="StyleTOC2Left0">
    <w:name w:val="Style TOC 2 + Left:  0&quot;"/>
    <w:basedOn w:val="TOC2"/>
    <w:autoRedefine/>
    <w:pPr>
      <w:tabs>
        <w:tab w:val="left" w:pos="810"/>
      </w:tabs>
      <w:ind w:left="0" w:firstLine="360"/>
    </w:pPr>
    <w:rPr>
      <w:bCs/>
    </w:rPr>
  </w:style>
  <w:style w:type="paragraph" w:customStyle="1" w:styleId="StyleTOC4Left063Hanging025">
    <w:name w:val="Style TOC 4 + Left:  0.63&quot; Hanging:  0.25&quot;"/>
    <w:basedOn w:val="TOC4"/>
    <w:rPr>
      <w:bCs/>
    </w:rPr>
  </w:style>
  <w:style w:type="character" w:styleId="FollowedHyperlink">
    <w:name w:val="FollowedHyperlink"/>
    <w:basedOn w:val="DefaultParagraphFont"/>
    <w:rPr>
      <w:color w:val="800080"/>
      <w:u w:val="single"/>
    </w:rPr>
  </w:style>
  <w:style w:type="paragraph" w:customStyle="1" w:styleId="ParaNumCharChar">
    <w:name w:val="ParaNum Char Char"/>
    <w:basedOn w:val="Normal"/>
    <w:link w:val="ParaNumCharCharChar1"/>
    <w:pPr>
      <w:tabs>
        <w:tab w:val="num" w:pos="1080"/>
        <w:tab w:val="left" w:pos="1440"/>
      </w:tabs>
      <w:spacing w:after="220"/>
      <w:ind w:firstLine="720"/>
      <w:jc w:val="both"/>
    </w:pPr>
  </w:style>
  <w:style w:type="character" w:customStyle="1" w:styleId="ParaNumCharCharChar1">
    <w:name w:val="ParaNum Char Char Char1"/>
    <w:basedOn w:val="DefaultParagraphFont"/>
    <w:link w:val="ParaNumCharChar"/>
    <w:rPr>
      <w:sz w:val="22"/>
      <w:lang w:val="en-US" w:eastAsia="en-US" w:bidi="ar-SA"/>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rPr>
      <w:rFonts w:ascii="Courier New" w:hAnsi="Courier New" w:cs="Courier New"/>
    </w:rPr>
  </w:style>
  <w:style w:type="paragraph" w:customStyle="1" w:styleId="StyleParaNum11pt">
    <w:name w:val="Style ParaNum + 11 pt"/>
    <w:basedOn w:val="ParaNum"/>
    <w:link w:val="StyleParaNum11ptChar"/>
    <w:autoRedefine/>
    <w:pPr>
      <w:widowControl/>
      <w:numPr>
        <w:numId w:val="4"/>
      </w:numPr>
      <w:tabs>
        <w:tab w:val="left" w:pos="1440"/>
      </w:tabs>
      <w:spacing w:after="240"/>
      <w:jc w:val="both"/>
    </w:pPr>
    <w:rPr>
      <w:snapToGrid/>
      <w:kern w:val="0"/>
      <w:szCs w:val="22"/>
    </w:rPr>
  </w:style>
  <w:style w:type="character" w:customStyle="1" w:styleId="ParaNumChar1">
    <w:name w:val="ParaNum Char1"/>
    <w:basedOn w:val="DefaultParagraphFont"/>
    <w:rPr>
      <w:sz w:val="22"/>
      <w:szCs w:val="22"/>
      <w:lang w:val="en-US" w:eastAsia="en-US" w:bidi="ar-SA"/>
    </w:rPr>
  </w:style>
  <w:style w:type="character" w:customStyle="1" w:styleId="StyleParaNum11ptChar">
    <w:name w:val="Style ParaNum + 11 pt Char"/>
    <w:basedOn w:val="ParaNumChar1"/>
    <w:link w:val="StyleParaNum11pt"/>
    <w:rPr>
      <w:sz w:val="22"/>
      <w:szCs w:val="22"/>
      <w:lang w:val="en-US" w:eastAsia="en-US" w:bidi="ar-SA"/>
    </w:rPr>
  </w:style>
  <w:style w:type="paragraph" w:customStyle="1" w:styleId="StyleHeading211pt">
    <w:name w:val="Style Heading 2 + 11 pt"/>
    <w:basedOn w:val="Heading2"/>
    <w:autoRedefine/>
    <w:pPr>
      <w:widowControl/>
      <w:numPr>
        <w:ilvl w:val="0"/>
        <w:numId w:val="0"/>
      </w:numPr>
      <w:spacing w:after="220"/>
      <w:jc w:val="both"/>
    </w:pPr>
    <w:rPr>
      <w:bCs/>
      <w:snapToGrid/>
      <w:kern w:val="0"/>
      <w:szCs w:val="24"/>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rPr>
      <w:lang w:val="en-US" w:eastAsia="en-US" w:bidi="ar-SA"/>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num" w:pos="720"/>
        <w:tab w:val="left" w:pos="2160"/>
      </w:tabs>
      <w:spacing w:after="220"/>
      <w:ind w:left="2160" w:hanging="720"/>
    </w:pPr>
  </w:style>
  <w:style w:type="paragraph" w:customStyle="1" w:styleId="TableFormat">
    <w:name w:val="TableFormat"/>
    <w:basedOn w:val="Bullet"/>
    <w:pPr>
      <w:tabs>
        <w:tab w:val="clear" w:pos="720"/>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paragraph" w:styleId="DocumentMap">
    <w:name w:val="Document Map"/>
    <w:basedOn w:val="Normal"/>
    <w:semiHidden/>
    <w:pPr>
      <w:shd w:val="clear" w:color="auto" w:fill="000080"/>
    </w:pPr>
    <w:rPr>
      <w:rFonts w:ascii="Tahoma" w:hAnsi="Tahoma" w:cs="Tahoma"/>
      <w:sz w:val="20"/>
    </w:rPr>
  </w:style>
  <w:style w:type="paragraph" w:styleId="ListParagraph">
    <w:name w:val="List Paragraph"/>
    <w:basedOn w:val="Normal"/>
    <w:uiPriority w:val="34"/>
    <w:qFormat/>
    <w:rsid w:val="007D6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95A1.t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3-95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3-95A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832</Words>
  <Characters>4793</Characters>
  <Application>Microsoft Office Word</Application>
  <DocSecurity>0</DocSecurity>
  <Lines>96</Lines>
  <Paragraphs>30</Paragraphs>
  <ScaleCrop>false</ScaleCrop>
  <HeadingPairs>
    <vt:vector size="2" baseType="variant">
      <vt:variant>
        <vt:lpstr>Title</vt:lpstr>
      </vt:variant>
      <vt:variant>
        <vt:i4>1</vt:i4>
      </vt:variant>
    </vt:vector>
  </HeadingPairs>
  <TitlesOfParts>
    <vt:vector size="1" baseType="lpstr">
      <vt:lpstr>Small Entity Compliance Guide</vt:lpstr>
    </vt:vector>
  </TitlesOfParts>
  <Manager/>
  <Company/>
  <LinksUpToDate>false</LinksUpToDate>
  <CharactersWithSpaces>5628</CharactersWithSpaces>
  <SharedDoc>false</SharedDoc>
  <HyperlinkBase> </HyperlinkBase>
  <HLinks>
    <vt:vector size="48" baseType="variant">
      <vt:variant>
        <vt:i4>7405570</vt:i4>
      </vt:variant>
      <vt:variant>
        <vt:i4>36</vt:i4>
      </vt:variant>
      <vt:variant>
        <vt:i4>0</vt:i4>
      </vt:variant>
      <vt:variant>
        <vt:i4>5</vt:i4>
      </vt:variant>
      <vt:variant>
        <vt:lpwstr>http://hraunfoss.fcc.gov/edocs_public/attachmatch/FCC-12-114A1.txt</vt:lpwstr>
      </vt:variant>
      <vt:variant>
        <vt:lpwstr/>
      </vt:variant>
      <vt:variant>
        <vt:i4>6750238</vt:i4>
      </vt:variant>
      <vt:variant>
        <vt:i4>33</vt:i4>
      </vt:variant>
      <vt:variant>
        <vt:i4>0</vt:i4>
      </vt:variant>
      <vt:variant>
        <vt:i4>5</vt:i4>
      </vt:variant>
      <vt:variant>
        <vt:lpwstr>http://hraunfoss.fcc.gov/edocs_public/attachmatch/FCC-12-114A1.pdf</vt:lpwstr>
      </vt:variant>
      <vt:variant>
        <vt:lpwstr/>
      </vt:variant>
      <vt:variant>
        <vt:i4>7733269</vt:i4>
      </vt:variant>
      <vt:variant>
        <vt:i4>30</vt:i4>
      </vt:variant>
      <vt:variant>
        <vt:i4>0</vt:i4>
      </vt:variant>
      <vt:variant>
        <vt:i4>5</vt:i4>
      </vt:variant>
      <vt:variant>
        <vt:lpwstr>http://hraunfoss.fcc.gov/edocs_public/attachmatch/FCC-12-114A1.doc</vt:lpwstr>
      </vt:variant>
      <vt:variant>
        <vt:lpwstr/>
      </vt:variant>
      <vt:variant>
        <vt:i4>1572926</vt:i4>
      </vt:variant>
      <vt:variant>
        <vt:i4>23</vt:i4>
      </vt:variant>
      <vt:variant>
        <vt:i4>0</vt:i4>
      </vt:variant>
      <vt:variant>
        <vt:i4>5</vt:i4>
      </vt:variant>
      <vt:variant>
        <vt:lpwstr/>
      </vt:variant>
      <vt:variant>
        <vt:lpwstr>_Toc337632980</vt:lpwstr>
      </vt:variant>
      <vt:variant>
        <vt:i4>1507390</vt:i4>
      </vt:variant>
      <vt:variant>
        <vt:i4>17</vt:i4>
      </vt:variant>
      <vt:variant>
        <vt:i4>0</vt:i4>
      </vt:variant>
      <vt:variant>
        <vt:i4>5</vt:i4>
      </vt:variant>
      <vt:variant>
        <vt:lpwstr/>
      </vt:variant>
      <vt:variant>
        <vt:lpwstr>_Toc337632979</vt:lpwstr>
      </vt:variant>
      <vt:variant>
        <vt:i4>1507390</vt:i4>
      </vt:variant>
      <vt:variant>
        <vt:i4>11</vt:i4>
      </vt:variant>
      <vt:variant>
        <vt:i4>0</vt:i4>
      </vt:variant>
      <vt:variant>
        <vt:i4>5</vt:i4>
      </vt:variant>
      <vt:variant>
        <vt:lpwstr/>
      </vt:variant>
      <vt:variant>
        <vt:lpwstr>_Toc337632978</vt:lpwstr>
      </vt:variant>
      <vt:variant>
        <vt:i4>1507390</vt:i4>
      </vt:variant>
      <vt:variant>
        <vt:i4>5</vt:i4>
      </vt:variant>
      <vt:variant>
        <vt:i4>0</vt:i4>
      </vt:variant>
      <vt:variant>
        <vt:i4>5</vt:i4>
      </vt:variant>
      <vt:variant>
        <vt:lpwstr/>
      </vt:variant>
      <vt:variant>
        <vt:lpwstr>_Toc337632977</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2013-09-30T20:07:00Z</cp:lastPrinted>
  <dcterms:created xsi:type="dcterms:W3CDTF">2013-09-30T20:16:00Z</dcterms:created>
  <dcterms:modified xsi:type="dcterms:W3CDTF">2013-09-30T20:16:00Z</dcterms:modified>
  <cp:category> </cp:category>
  <cp:contentStatus> </cp:contentStatus>
</cp:coreProperties>
</file>