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62" w:rsidRDefault="00B64862" w:rsidP="00040CCF">
      <w:pPr>
        <w:pStyle w:val="Title"/>
        <w:widowControl/>
      </w:pPr>
      <w:bookmarkStart w:id="0" w:name="_GoBack"/>
      <w:bookmarkEnd w:id="0"/>
      <w:r>
        <w:t>Before the</w:t>
      </w:r>
    </w:p>
    <w:p w:rsidR="00B64862" w:rsidRDefault="00B64862" w:rsidP="00040CCF">
      <w:pPr>
        <w:pStyle w:val="Title"/>
        <w:widowControl/>
      </w:pPr>
      <w:r>
        <w:t>Federal Communications Commission</w:t>
      </w:r>
    </w:p>
    <w:p w:rsidR="00B64862" w:rsidRDefault="00B64862" w:rsidP="00040CCF">
      <w:pPr>
        <w:pStyle w:val="Title"/>
        <w:widowControl/>
      </w:pPr>
      <w:r>
        <w:t>Washington, D.C. 20554</w:t>
      </w:r>
    </w:p>
    <w:p w:rsidR="00B64862" w:rsidRDefault="00B64862" w:rsidP="00040CCF">
      <w:pPr>
        <w:widowControl/>
        <w:tabs>
          <w:tab w:val="left" w:pos="-720"/>
        </w:tabs>
        <w:suppressAutoHyphens/>
        <w:spacing w:line="227" w:lineRule="auto"/>
        <w:jc w:val="both"/>
        <w:rPr>
          <w:spacing w:val="-2"/>
        </w:rPr>
      </w:pPr>
    </w:p>
    <w:tbl>
      <w:tblPr>
        <w:tblW w:w="0" w:type="auto"/>
        <w:tblLayout w:type="fixed"/>
        <w:tblLook w:val="0000" w:firstRow="0" w:lastRow="0" w:firstColumn="0" w:lastColumn="0" w:noHBand="0" w:noVBand="0"/>
      </w:tblPr>
      <w:tblGrid>
        <w:gridCol w:w="4698"/>
        <w:gridCol w:w="630"/>
        <w:gridCol w:w="4248"/>
      </w:tblGrid>
      <w:tr w:rsidR="00B64862">
        <w:tc>
          <w:tcPr>
            <w:tcW w:w="4698" w:type="dxa"/>
          </w:tcPr>
          <w:p w:rsidR="00B64862" w:rsidRDefault="00B64862" w:rsidP="00040CCF">
            <w:pPr>
              <w:widowControl/>
              <w:tabs>
                <w:tab w:val="center" w:pos="4680"/>
              </w:tabs>
              <w:suppressAutoHyphens/>
              <w:rPr>
                <w:spacing w:val="-2"/>
              </w:rPr>
            </w:pPr>
            <w:r>
              <w:rPr>
                <w:spacing w:val="-2"/>
              </w:rPr>
              <w:t>In the Matter of Application of</w:t>
            </w:r>
          </w:p>
          <w:p w:rsidR="00B64862" w:rsidRDefault="00B64862" w:rsidP="00040CCF">
            <w:pPr>
              <w:widowControl/>
              <w:tabs>
                <w:tab w:val="center" w:pos="4680"/>
              </w:tabs>
              <w:suppressAutoHyphens/>
              <w:rPr>
                <w:spacing w:val="-2"/>
              </w:rPr>
            </w:pPr>
          </w:p>
          <w:p w:rsidR="00B64862" w:rsidRDefault="0036168D" w:rsidP="00040CCF">
            <w:pPr>
              <w:widowControl/>
              <w:tabs>
                <w:tab w:val="center" w:pos="4680"/>
              </w:tabs>
              <w:suppressAutoHyphens/>
              <w:rPr>
                <w:spacing w:val="-2"/>
              </w:rPr>
            </w:pPr>
            <w:r>
              <w:rPr>
                <w:spacing w:val="-2"/>
              </w:rPr>
              <w:t>ZTARK COMMUNICATIONS</w:t>
            </w:r>
            <w:r w:rsidR="00BB68F1">
              <w:rPr>
                <w:spacing w:val="-2"/>
              </w:rPr>
              <w:t>,</w:t>
            </w:r>
            <w:r>
              <w:rPr>
                <w:spacing w:val="-2"/>
              </w:rPr>
              <w:t xml:space="preserve"> LLC</w:t>
            </w:r>
          </w:p>
          <w:p w:rsidR="0044179E" w:rsidRDefault="0044179E" w:rsidP="00040CCF">
            <w:pPr>
              <w:widowControl/>
              <w:tabs>
                <w:tab w:val="center" w:pos="4680"/>
              </w:tabs>
              <w:suppressAutoHyphens/>
              <w:rPr>
                <w:spacing w:val="-2"/>
              </w:rPr>
            </w:pPr>
          </w:p>
          <w:p w:rsidR="00B64862" w:rsidRDefault="00B64862" w:rsidP="00040CCF">
            <w:pPr>
              <w:widowControl/>
              <w:tabs>
                <w:tab w:val="center" w:pos="4680"/>
              </w:tabs>
              <w:suppressAutoHyphens/>
            </w:pPr>
            <w:r>
              <w:rPr>
                <w:spacing w:val="-2"/>
              </w:rPr>
              <w:t xml:space="preserve">For </w:t>
            </w:r>
            <w:r w:rsidR="0036168D">
              <w:rPr>
                <w:spacing w:val="-2"/>
              </w:rPr>
              <w:t xml:space="preserve">New </w:t>
            </w:r>
            <w:r w:rsidR="00C56023">
              <w:rPr>
                <w:spacing w:val="-2"/>
              </w:rPr>
              <w:t xml:space="preserve">Broadband Radio Service </w:t>
            </w:r>
            <w:r w:rsidR="0036168D">
              <w:rPr>
                <w:spacing w:val="-2"/>
              </w:rPr>
              <w:t>Stations in the Albuquerque, New Mexico (BTA008) and Las Cruces, New Mexico (BTA244) Basic Trading Areas</w:t>
            </w:r>
          </w:p>
        </w:tc>
        <w:tc>
          <w:tcPr>
            <w:tcW w:w="630" w:type="dxa"/>
          </w:tcPr>
          <w:p w:rsidR="00B64862" w:rsidRDefault="00B64862" w:rsidP="00040CCF">
            <w:pPr>
              <w:widowControl/>
              <w:tabs>
                <w:tab w:val="center" w:pos="4680"/>
              </w:tabs>
              <w:suppressAutoHyphens/>
              <w:rPr>
                <w:b/>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p>
          <w:p w:rsidR="00B64862" w:rsidRDefault="00B64862" w:rsidP="00040CCF">
            <w:pPr>
              <w:widowControl/>
              <w:tabs>
                <w:tab w:val="center" w:pos="4680"/>
              </w:tabs>
              <w:suppressAutoHyphens/>
              <w:rPr>
                <w:b/>
                <w:spacing w:val="-2"/>
              </w:rPr>
            </w:pPr>
            <w:r>
              <w:rPr>
                <w:b/>
                <w:spacing w:val="-2"/>
              </w:rPr>
              <w:t>)</w:t>
            </w:r>
          </w:p>
          <w:p w:rsidR="0036168D" w:rsidRDefault="0036168D" w:rsidP="00040CCF">
            <w:pPr>
              <w:widowControl/>
              <w:tabs>
                <w:tab w:val="center" w:pos="4680"/>
              </w:tabs>
              <w:suppressAutoHyphens/>
              <w:rPr>
                <w:b/>
                <w:spacing w:val="-2"/>
              </w:rPr>
            </w:pPr>
            <w:r>
              <w:rPr>
                <w:b/>
                <w:spacing w:val="-2"/>
              </w:rPr>
              <w:t>)</w:t>
            </w:r>
          </w:p>
          <w:p w:rsidR="0036168D" w:rsidRDefault="0036168D" w:rsidP="00040CCF">
            <w:pPr>
              <w:widowControl/>
              <w:tabs>
                <w:tab w:val="center" w:pos="4680"/>
              </w:tabs>
              <w:suppressAutoHyphens/>
              <w:rPr>
                <w:b/>
                <w:spacing w:val="-2"/>
              </w:rPr>
            </w:pPr>
            <w:r>
              <w:rPr>
                <w:b/>
                <w:spacing w:val="-2"/>
              </w:rPr>
              <w:t>)</w:t>
            </w:r>
          </w:p>
        </w:tc>
        <w:tc>
          <w:tcPr>
            <w:tcW w:w="4248" w:type="dxa"/>
          </w:tcPr>
          <w:p w:rsidR="00B64862" w:rsidRDefault="00B64862" w:rsidP="00040CCF">
            <w:pPr>
              <w:widowControl/>
              <w:tabs>
                <w:tab w:val="center" w:pos="4680"/>
              </w:tabs>
              <w:suppressAutoHyphens/>
              <w:rPr>
                <w:spacing w:val="-2"/>
              </w:rPr>
            </w:pPr>
          </w:p>
          <w:p w:rsidR="00B64862" w:rsidRDefault="00B64862" w:rsidP="00040CCF">
            <w:pPr>
              <w:widowControl/>
              <w:tabs>
                <w:tab w:val="center" w:pos="4680"/>
              </w:tabs>
              <w:suppressAutoHyphens/>
              <w:rPr>
                <w:spacing w:val="-2"/>
              </w:rPr>
            </w:pPr>
          </w:p>
          <w:p w:rsidR="00B64862" w:rsidRDefault="00C56023" w:rsidP="00040CCF">
            <w:pPr>
              <w:pStyle w:val="TOAHeading"/>
              <w:widowControl/>
              <w:tabs>
                <w:tab w:val="clear" w:pos="9360"/>
                <w:tab w:val="center" w:pos="4680"/>
              </w:tabs>
              <w:rPr>
                <w:spacing w:val="-2"/>
              </w:rPr>
            </w:pPr>
            <w:r>
              <w:rPr>
                <w:spacing w:val="-2"/>
              </w:rPr>
              <w:t>File No</w:t>
            </w:r>
            <w:r w:rsidR="00B64862">
              <w:rPr>
                <w:spacing w:val="-2"/>
              </w:rPr>
              <w:t xml:space="preserve">. </w:t>
            </w:r>
            <w:r w:rsidR="0036168D" w:rsidRPr="0036168D">
              <w:rPr>
                <w:spacing w:val="-2"/>
              </w:rPr>
              <w:t>0004041872</w:t>
            </w:r>
          </w:p>
        </w:tc>
      </w:tr>
    </w:tbl>
    <w:p w:rsidR="00B64862" w:rsidRDefault="00B64862" w:rsidP="00040CCF">
      <w:pPr>
        <w:pStyle w:val="Title"/>
        <w:widowControl/>
      </w:pPr>
    </w:p>
    <w:p w:rsidR="00B64862" w:rsidRDefault="00B64862" w:rsidP="00040CCF">
      <w:pPr>
        <w:pStyle w:val="Title"/>
        <w:widowControl/>
      </w:pPr>
      <w:r>
        <w:t>MEMORANDUM OPINION AND ORDER</w:t>
      </w:r>
      <w:r w:rsidR="002F0277">
        <w:t xml:space="preserve"> </w:t>
      </w:r>
    </w:p>
    <w:p w:rsidR="00B64862" w:rsidRDefault="00B64862" w:rsidP="00040CCF">
      <w:pPr>
        <w:widowControl/>
        <w:tabs>
          <w:tab w:val="left" w:pos="-720"/>
        </w:tabs>
        <w:suppressAutoHyphens/>
        <w:spacing w:line="227" w:lineRule="auto"/>
        <w:jc w:val="both"/>
        <w:rPr>
          <w:spacing w:val="-2"/>
        </w:rPr>
      </w:pPr>
    </w:p>
    <w:p w:rsidR="00B64862" w:rsidRDefault="00B64862" w:rsidP="00040CCF">
      <w:pPr>
        <w:widowControl/>
        <w:tabs>
          <w:tab w:val="left" w:pos="720"/>
          <w:tab w:val="left" w:pos="5760"/>
        </w:tabs>
        <w:suppressAutoHyphens/>
        <w:spacing w:line="227" w:lineRule="auto"/>
        <w:jc w:val="both"/>
        <w:rPr>
          <w:spacing w:val="-2"/>
        </w:rPr>
      </w:pPr>
      <w:r>
        <w:rPr>
          <w:b/>
          <w:spacing w:val="-2"/>
        </w:rPr>
        <w:t xml:space="preserve">Adopted:  </w:t>
      </w:r>
      <w:r w:rsidR="00BA0E4A">
        <w:rPr>
          <w:b/>
          <w:spacing w:val="-2"/>
        </w:rPr>
        <w:t>October 28</w:t>
      </w:r>
      <w:r>
        <w:rPr>
          <w:b/>
          <w:spacing w:val="-2"/>
        </w:rPr>
        <w:t xml:space="preserve">, </w:t>
      </w:r>
      <w:r w:rsidR="008F14B9">
        <w:rPr>
          <w:b/>
          <w:spacing w:val="-2"/>
        </w:rPr>
        <w:t>2013</w:t>
      </w:r>
      <w:r w:rsidR="008F14B9">
        <w:rPr>
          <w:b/>
          <w:spacing w:val="-2"/>
        </w:rPr>
        <w:tab/>
      </w:r>
      <w:r w:rsidR="0036168D">
        <w:rPr>
          <w:b/>
          <w:spacing w:val="-2"/>
        </w:rPr>
        <w:tab/>
      </w:r>
      <w:r w:rsidR="008F14B9">
        <w:rPr>
          <w:b/>
          <w:spacing w:val="-2"/>
        </w:rPr>
        <w:t xml:space="preserve">Released:  </w:t>
      </w:r>
      <w:r w:rsidR="00BA0E4A">
        <w:rPr>
          <w:b/>
          <w:spacing w:val="-2"/>
        </w:rPr>
        <w:t>October 29</w:t>
      </w:r>
      <w:r>
        <w:rPr>
          <w:b/>
          <w:spacing w:val="-2"/>
        </w:rPr>
        <w:t xml:space="preserve">, </w:t>
      </w:r>
      <w:r w:rsidR="008F14B9">
        <w:rPr>
          <w:b/>
          <w:spacing w:val="-2"/>
        </w:rPr>
        <w:t>2013</w:t>
      </w:r>
      <w:r>
        <w:rPr>
          <w:b/>
          <w:spacing w:val="-2"/>
        </w:rPr>
        <w:t xml:space="preserve"> </w:t>
      </w:r>
    </w:p>
    <w:p w:rsidR="00B64862" w:rsidRDefault="00B64862" w:rsidP="00040CCF">
      <w:pPr>
        <w:widowControl/>
      </w:pPr>
    </w:p>
    <w:p w:rsidR="00B64862" w:rsidRDefault="00B64862" w:rsidP="00040CCF">
      <w:pPr>
        <w:widowControl/>
        <w:rPr>
          <w:spacing w:val="-2"/>
        </w:rPr>
      </w:pPr>
      <w:r>
        <w:t xml:space="preserve">By the </w:t>
      </w:r>
      <w:r w:rsidR="00897A05">
        <w:t xml:space="preserve">Deputy </w:t>
      </w:r>
      <w:r>
        <w:t xml:space="preserve">Chief, </w:t>
      </w:r>
      <w:r w:rsidR="00897A05">
        <w:t xml:space="preserve">Broadband Division, </w:t>
      </w:r>
      <w:r>
        <w:t>Wireless Telecommunications Bureau</w:t>
      </w:r>
      <w:r w:rsidR="00A61B41">
        <w:t>:</w:t>
      </w:r>
    </w:p>
    <w:p w:rsidR="00B64862" w:rsidRDefault="00B64862" w:rsidP="00040CCF">
      <w:pPr>
        <w:widowControl/>
        <w:rPr>
          <w:spacing w:val="-2"/>
        </w:rPr>
      </w:pPr>
    </w:p>
    <w:p w:rsidR="00B64862" w:rsidRPr="00375FFF" w:rsidRDefault="00AF7595" w:rsidP="00040CCF">
      <w:pPr>
        <w:pStyle w:val="Heading1"/>
        <w:widowControl/>
      </w:pPr>
      <w:r>
        <w:t>INTRODUCTION</w:t>
      </w:r>
    </w:p>
    <w:p w:rsidR="00433FF5" w:rsidRPr="00040CCF" w:rsidRDefault="00433FF5" w:rsidP="00040CCF">
      <w:pPr>
        <w:pStyle w:val="BalloonText"/>
        <w:tabs>
          <w:tab w:val="clear" w:pos="1080"/>
          <w:tab w:val="num" w:pos="1440"/>
        </w:tabs>
        <w:rPr>
          <w:rFonts w:ascii="Times New Roman" w:hAnsi="Times New Roman" w:cs="Times New Roman"/>
          <w:sz w:val="22"/>
          <w:szCs w:val="22"/>
        </w:rPr>
      </w:pPr>
      <w:r w:rsidRPr="00040CCF">
        <w:rPr>
          <w:rFonts w:ascii="Times New Roman" w:hAnsi="Times New Roman" w:cs="Times New Roman"/>
          <w:sz w:val="22"/>
          <w:szCs w:val="22"/>
        </w:rPr>
        <w:t xml:space="preserve">In this </w:t>
      </w:r>
      <w:r w:rsidRPr="00040CCF">
        <w:rPr>
          <w:rFonts w:ascii="Times New Roman" w:hAnsi="Times New Roman" w:cs="Times New Roman"/>
          <w:i/>
          <w:sz w:val="22"/>
          <w:szCs w:val="22"/>
        </w:rPr>
        <w:t>Memorandum Opinion and Order</w:t>
      </w:r>
      <w:r w:rsidR="00AF5FC8" w:rsidRPr="00040CCF">
        <w:rPr>
          <w:rFonts w:ascii="Times New Roman" w:hAnsi="Times New Roman" w:cs="Times New Roman"/>
          <w:sz w:val="22"/>
          <w:szCs w:val="22"/>
        </w:rPr>
        <w:t xml:space="preserve">, we </w:t>
      </w:r>
      <w:r w:rsidR="00573776" w:rsidRPr="00040CCF">
        <w:rPr>
          <w:rFonts w:ascii="Times New Roman" w:hAnsi="Times New Roman" w:cs="Times New Roman"/>
          <w:sz w:val="22"/>
          <w:szCs w:val="22"/>
        </w:rPr>
        <w:t>conclude</w:t>
      </w:r>
      <w:r w:rsidR="00F530EC" w:rsidRPr="00040CCF">
        <w:rPr>
          <w:rFonts w:ascii="Times New Roman" w:hAnsi="Times New Roman" w:cs="Times New Roman"/>
          <w:sz w:val="22"/>
          <w:szCs w:val="22"/>
        </w:rPr>
        <w:t xml:space="preserve"> that </w:t>
      </w:r>
      <w:r w:rsidR="00573776" w:rsidRPr="00040CCF">
        <w:rPr>
          <w:rFonts w:ascii="Times New Roman" w:hAnsi="Times New Roman" w:cs="Times New Roman"/>
          <w:sz w:val="22"/>
          <w:szCs w:val="22"/>
        </w:rPr>
        <w:t>Ztark Communications, LLC</w:t>
      </w:r>
      <w:r w:rsidR="00DA5A89" w:rsidRPr="00040CCF">
        <w:rPr>
          <w:rFonts w:ascii="Times New Roman" w:hAnsi="Times New Roman" w:cs="Times New Roman"/>
          <w:sz w:val="22"/>
          <w:szCs w:val="22"/>
        </w:rPr>
        <w:t xml:space="preserve"> (</w:t>
      </w:r>
      <w:r w:rsidR="003B35A2" w:rsidRPr="00040CCF">
        <w:rPr>
          <w:rFonts w:ascii="Times New Roman" w:hAnsi="Times New Roman" w:cs="Times New Roman"/>
          <w:sz w:val="22"/>
          <w:szCs w:val="22"/>
        </w:rPr>
        <w:t>“</w:t>
      </w:r>
      <w:r w:rsidR="00DA5A89" w:rsidRPr="00040CCF">
        <w:rPr>
          <w:rFonts w:ascii="Times New Roman" w:hAnsi="Times New Roman" w:cs="Times New Roman"/>
          <w:sz w:val="22"/>
          <w:szCs w:val="22"/>
        </w:rPr>
        <w:t>Ztark</w:t>
      </w:r>
      <w:r w:rsidR="003B35A2" w:rsidRPr="00040CCF">
        <w:rPr>
          <w:rFonts w:ascii="Times New Roman" w:hAnsi="Times New Roman" w:cs="Times New Roman"/>
          <w:sz w:val="22"/>
          <w:szCs w:val="22"/>
        </w:rPr>
        <w:t>”</w:t>
      </w:r>
      <w:r w:rsidR="00DA5A89" w:rsidRPr="00040CCF">
        <w:rPr>
          <w:rFonts w:ascii="Times New Roman" w:hAnsi="Times New Roman" w:cs="Times New Roman"/>
          <w:sz w:val="22"/>
          <w:szCs w:val="22"/>
        </w:rPr>
        <w:t xml:space="preserve">) </w:t>
      </w:r>
      <w:r w:rsidR="00573776" w:rsidRPr="00040CCF">
        <w:rPr>
          <w:rFonts w:ascii="Times New Roman" w:hAnsi="Times New Roman" w:cs="Times New Roman"/>
          <w:sz w:val="22"/>
          <w:szCs w:val="22"/>
        </w:rPr>
        <w:t xml:space="preserve">has </w:t>
      </w:r>
      <w:r w:rsidR="008A08E3" w:rsidRPr="00040CCF">
        <w:rPr>
          <w:rFonts w:ascii="Times New Roman" w:hAnsi="Times New Roman" w:cs="Times New Roman"/>
          <w:sz w:val="22"/>
          <w:szCs w:val="22"/>
        </w:rPr>
        <w:t xml:space="preserve">failed to </w:t>
      </w:r>
      <w:r w:rsidR="00353FE1" w:rsidRPr="00040CCF">
        <w:rPr>
          <w:rFonts w:ascii="Times New Roman" w:hAnsi="Times New Roman" w:cs="Times New Roman"/>
          <w:sz w:val="22"/>
          <w:szCs w:val="22"/>
        </w:rPr>
        <w:t>demonstrate its eligibility for a</w:t>
      </w:r>
      <w:r w:rsidR="004B5DC2" w:rsidRPr="00040CCF">
        <w:rPr>
          <w:rFonts w:ascii="Times New Roman" w:hAnsi="Times New Roman" w:cs="Times New Roman"/>
          <w:sz w:val="22"/>
          <w:szCs w:val="22"/>
        </w:rPr>
        <w:t xml:space="preserve">n auction </w:t>
      </w:r>
      <w:r w:rsidR="00353FE1" w:rsidRPr="00040CCF">
        <w:rPr>
          <w:rFonts w:ascii="Times New Roman" w:hAnsi="Times New Roman" w:cs="Times New Roman"/>
          <w:sz w:val="22"/>
          <w:szCs w:val="22"/>
        </w:rPr>
        <w:t>bidding credit</w:t>
      </w:r>
      <w:r w:rsidR="003B35A2" w:rsidRPr="00040CCF">
        <w:rPr>
          <w:rFonts w:ascii="Times New Roman" w:hAnsi="Times New Roman" w:cs="Times New Roman"/>
          <w:sz w:val="22"/>
          <w:szCs w:val="22"/>
        </w:rPr>
        <w:t>.</w:t>
      </w:r>
      <w:r w:rsidR="00353FE1" w:rsidRPr="00040CCF">
        <w:rPr>
          <w:rFonts w:ascii="Times New Roman" w:hAnsi="Times New Roman" w:cs="Times New Roman"/>
          <w:sz w:val="22"/>
          <w:szCs w:val="22"/>
        </w:rPr>
        <w:t xml:space="preserve"> </w:t>
      </w:r>
      <w:r w:rsidR="005D4EA6" w:rsidRPr="00040CCF">
        <w:rPr>
          <w:rFonts w:ascii="Times New Roman" w:hAnsi="Times New Roman" w:cs="Times New Roman"/>
          <w:sz w:val="22"/>
          <w:szCs w:val="22"/>
        </w:rPr>
        <w:t xml:space="preserve"> </w:t>
      </w:r>
      <w:r w:rsidR="003B35A2" w:rsidRPr="00040CCF">
        <w:rPr>
          <w:rFonts w:ascii="Times New Roman" w:hAnsi="Times New Roman" w:cs="Times New Roman"/>
          <w:sz w:val="22"/>
          <w:szCs w:val="22"/>
        </w:rPr>
        <w:t>Ztark</w:t>
      </w:r>
      <w:r w:rsidR="00353FE1" w:rsidRPr="00040CCF">
        <w:rPr>
          <w:rFonts w:ascii="Times New Roman" w:hAnsi="Times New Roman" w:cs="Times New Roman"/>
          <w:sz w:val="22"/>
          <w:szCs w:val="22"/>
        </w:rPr>
        <w:t xml:space="preserve"> has not provided gross revenue information for </w:t>
      </w:r>
      <w:r w:rsidR="00D61014" w:rsidRPr="00040CCF">
        <w:rPr>
          <w:rFonts w:ascii="Times New Roman" w:hAnsi="Times New Roman" w:cs="Times New Roman"/>
          <w:sz w:val="22"/>
          <w:szCs w:val="22"/>
        </w:rPr>
        <w:t>Douglas Kratz</w:t>
      </w:r>
      <w:r w:rsidR="008A08E3" w:rsidRPr="00040CCF">
        <w:rPr>
          <w:rFonts w:ascii="Times New Roman" w:hAnsi="Times New Roman" w:cs="Times New Roman"/>
          <w:sz w:val="22"/>
          <w:szCs w:val="22"/>
        </w:rPr>
        <w:t>, the father of Ztark’s owner Tyler Kratz</w:t>
      </w:r>
      <w:r w:rsidR="00353FE1" w:rsidRPr="00040CCF">
        <w:rPr>
          <w:rFonts w:ascii="Times New Roman" w:hAnsi="Times New Roman" w:cs="Times New Roman"/>
          <w:sz w:val="22"/>
          <w:szCs w:val="22"/>
        </w:rPr>
        <w:t>.</w:t>
      </w:r>
      <w:r w:rsidR="00573776" w:rsidRPr="00040CCF">
        <w:rPr>
          <w:rFonts w:ascii="Times New Roman" w:hAnsi="Times New Roman" w:cs="Times New Roman"/>
          <w:sz w:val="22"/>
          <w:szCs w:val="22"/>
        </w:rPr>
        <w:t xml:space="preserve"> </w:t>
      </w:r>
      <w:r w:rsidR="00353FE1" w:rsidRPr="00040CCF">
        <w:rPr>
          <w:rFonts w:ascii="Times New Roman" w:hAnsi="Times New Roman" w:cs="Times New Roman"/>
          <w:sz w:val="22"/>
          <w:szCs w:val="22"/>
        </w:rPr>
        <w:t xml:space="preserve"> </w:t>
      </w:r>
      <w:r w:rsidR="00CC5201" w:rsidRPr="00040CCF">
        <w:rPr>
          <w:rFonts w:ascii="Times New Roman" w:hAnsi="Times New Roman" w:cs="Times New Roman"/>
          <w:sz w:val="22"/>
          <w:szCs w:val="22"/>
        </w:rPr>
        <w:t xml:space="preserve">Douglas Kratz’s </w:t>
      </w:r>
      <w:r w:rsidR="00353FE1" w:rsidRPr="00040CCF">
        <w:rPr>
          <w:rFonts w:ascii="Times New Roman" w:hAnsi="Times New Roman" w:cs="Times New Roman"/>
          <w:sz w:val="22"/>
          <w:szCs w:val="22"/>
        </w:rPr>
        <w:t xml:space="preserve">gross revenues </w:t>
      </w:r>
      <w:r w:rsidR="008A08E3" w:rsidRPr="00040CCF">
        <w:rPr>
          <w:rFonts w:ascii="Times New Roman" w:hAnsi="Times New Roman" w:cs="Times New Roman"/>
          <w:sz w:val="22"/>
          <w:szCs w:val="22"/>
        </w:rPr>
        <w:t xml:space="preserve">are attributable to </w:t>
      </w:r>
      <w:r w:rsidR="006925E3" w:rsidRPr="00040CCF">
        <w:rPr>
          <w:rFonts w:ascii="Times New Roman" w:hAnsi="Times New Roman" w:cs="Times New Roman"/>
          <w:sz w:val="22"/>
          <w:szCs w:val="22"/>
        </w:rPr>
        <w:t>Ztark</w:t>
      </w:r>
      <w:r w:rsidR="00353FE1" w:rsidRPr="00040CCF">
        <w:rPr>
          <w:rFonts w:ascii="Times New Roman" w:hAnsi="Times New Roman" w:cs="Times New Roman"/>
          <w:sz w:val="22"/>
          <w:szCs w:val="22"/>
        </w:rPr>
        <w:t xml:space="preserve"> </w:t>
      </w:r>
      <w:r w:rsidR="00CC5201" w:rsidRPr="00040CCF">
        <w:rPr>
          <w:rFonts w:ascii="Times New Roman" w:hAnsi="Times New Roman" w:cs="Times New Roman"/>
          <w:sz w:val="22"/>
          <w:szCs w:val="22"/>
        </w:rPr>
        <w:t xml:space="preserve">because </w:t>
      </w:r>
      <w:r w:rsidR="00FF6B17" w:rsidRPr="00040CCF">
        <w:rPr>
          <w:rFonts w:ascii="Times New Roman" w:hAnsi="Times New Roman" w:cs="Times New Roman"/>
          <w:sz w:val="22"/>
          <w:szCs w:val="22"/>
        </w:rPr>
        <w:t xml:space="preserve">we find </w:t>
      </w:r>
      <w:r w:rsidR="00CC5201" w:rsidRPr="00040CCF">
        <w:rPr>
          <w:rFonts w:ascii="Times New Roman" w:hAnsi="Times New Roman" w:cs="Times New Roman"/>
          <w:sz w:val="22"/>
          <w:szCs w:val="22"/>
        </w:rPr>
        <w:t>Ztark has f</w:t>
      </w:r>
      <w:r w:rsidR="00353FE1" w:rsidRPr="00040CCF">
        <w:rPr>
          <w:rFonts w:ascii="Times New Roman" w:hAnsi="Times New Roman" w:cs="Times New Roman"/>
          <w:sz w:val="22"/>
          <w:szCs w:val="22"/>
        </w:rPr>
        <w:t xml:space="preserve">ailed to rebut the presumption in the Commission’s </w:t>
      </w:r>
      <w:r w:rsidR="00FF6B17" w:rsidRPr="00040CCF">
        <w:rPr>
          <w:rFonts w:ascii="Times New Roman" w:hAnsi="Times New Roman" w:cs="Times New Roman"/>
          <w:sz w:val="22"/>
          <w:szCs w:val="22"/>
        </w:rPr>
        <w:t xml:space="preserve">kinship affiliation </w:t>
      </w:r>
      <w:r w:rsidR="00353FE1" w:rsidRPr="00040CCF">
        <w:rPr>
          <w:rFonts w:ascii="Times New Roman" w:hAnsi="Times New Roman" w:cs="Times New Roman"/>
          <w:sz w:val="22"/>
          <w:szCs w:val="22"/>
        </w:rPr>
        <w:t>rule that makes them attributable.  W</w:t>
      </w:r>
      <w:r w:rsidR="00573776" w:rsidRPr="00040CCF">
        <w:rPr>
          <w:rFonts w:ascii="Times New Roman" w:hAnsi="Times New Roman" w:cs="Times New Roman"/>
          <w:sz w:val="22"/>
          <w:szCs w:val="22"/>
        </w:rPr>
        <w:t xml:space="preserve">e </w:t>
      </w:r>
      <w:r w:rsidR="00353FE1" w:rsidRPr="00040CCF">
        <w:rPr>
          <w:rFonts w:ascii="Times New Roman" w:hAnsi="Times New Roman" w:cs="Times New Roman"/>
          <w:sz w:val="22"/>
          <w:szCs w:val="22"/>
        </w:rPr>
        <w:t xml:space="preserve">therefore </w:t>
      </w:r>
      <w:r w:rsidR="00573776" w:rsidRPr="00040CCF">
        <w:rPr>
          <w:rFonts w:ascii="Times New Roman" w:hAnsi="Times New Roman" w:cs="Times New Roman"/>
          <w:sz w:val="22"/>
          <w:szCs w:val="22"/>
        </w:rPr>
        <w:t xml:space="preserve">deny Ztark’s </w:t>
      </w:r>
      <w:r w:rsidR="00DA5A89" w:rsidRPr="00040CCF">
        <w:rPr>
          <w:rFonts w:ascii="Times New Roman" w:hAnsi="Times New Roman" w:cs="Times New Roman"/>
          <w:sz w:val="22"/>
          <w:szCs w:val="22"/>
        </w:rPr>
        <w:t>request for a</w:t>
      </w:r>
      <w:r w:rsidR="00063EB8" w:rsidRPr="00040CCF">
        <w:rPr>
          <w:rFonts w:ascii="Times New Roman" w:hAnsi="Times New Roman" w:cs="Times New Roman"/>
          <w:sz w:val="22"/>
          <w:szCs w:val="22"/>
        </w:rPr>
        <w:t>n entrepreneur</w:t>
      </w:r>
      <w:r w:rsidR="00DA5A89" w:rsidRPr="00040CCF">
        <w:rPr>
          <w:rFonts w:ascii="Times New Roman" w:hAnsi="Times New Roman" w:cs="Times New Roman"/>
          <w:sz w:val="22"/>
          <w:szCs w:val="22"/>
        </w:rPr>
        <w:t xml:space="preserve"> bidding credit towards its winning bids in </w:t>
      </w:r>
      <w:r w:rsidR="00345B0A" w:rsidRPr="00040CCF">
        <w:rPr>
          <w:rFonts w:ascii="Times New Roman" w:hAnsi="Times New Roman" w:cs="Times New Roman"/>
          <w:sz w:val="22"/>
          <w:szCs w:val="22"/>
        </w:rPr>
        <w:t xml:space="preserve">Auction 86 for </w:t>
      </w:r>
      <w:r w:rsidR="00DA5A89" w:rsidRPr="00040CCF">
        <w:rPr>
          <w:rFonts w:ascii="Times New Roman" w:hAnsi="Times New Roman" w:cs="Times New Roman"/>
          <w:sz w:val="22"/>
          <w:szCs w:val="22"/>
        </w:rPr>
        <w:t>Br</w:t>
      </w:r>
      <w:r w:rsidR="00345B0A" w:rsidRPr="00040CCF">
        <w:rPr>
          <w:rFonts w:ascii="Times New Roman" w:hAnsi="Times New Roman" w:cs="Times New Roman"/>
          <w:sz w:val="22"/>
          <w:szCs w:val="22"/>
        </w:rPr>
        <w:t xml:space="preserve">oadband Radio Service </w:t>
      </w:r>
      <w:r w:rsidR="00063EB8" w:rsidRPr="00040CCF">
        <w:rPr>
          <w:rFonts w:ascii="Times New Roman" w:hAnsi="Times New Roman" w:cs="Times New Roman"/>
          <w:sz w:val="22"/>
          <w:szCs w:val="22"/>
        </w:rPr>
        <w:t xml:space="preserve">(“BRS”) </w:t>
      </w:r>
      <w:r w:rsidR="00345B0A" w:rsidRPr="00040CCF">
        <w:rPr>
          <w:rFonts w:ascii="Times New Roman" w:hAnsi="Times New Roman" w:cs="Times New Roman"/>
          <w:sz w:val="22"/>
          <w:szCs w:val="22"/>
        </w:rPr>
        <w:t>licenses</w:t>
      </w:r>
      <w:r w:rsidR="00DA5A89" w:rsidRPr="00040CCF">
        <w:rPr>
          <w:rFonts w:ascii="Times New Roman" w:hAnsi="Times New Roman" w:cs="Times New Roman"/>
          <w:sz w:val="22"/>
          <w:szCs w:val="22"/>
        </w:rPr>
        <w:t xml:space="preserve">. </w:t>
      </w:r>
    </w:p>
    <w:p w:rsidR="00221F6E" w:rsidRPr="00040CCF" w:rsidRDefault="00221F6E" w:rsidP="00040CCF">
      <w:pPr>
        <w:pStyle w:val="BalloonText"/>
        <w:widowControl/>
        <w:numPr>
          <w:ilvl w:val="0"/>
          <w:numId w:val="0"/>
        </w:numPr>
        <w:ind w:firstLine="720"/>
        <w:rPr>
          <w:rFonts w:ascii="Times New Roman" w:hAnsi="Times New Roman" w:cs="Times New Roman"/>
          <w:sz w:val="22"/>
          <w:szCs w:val="22"/>
        </w:rPr>
      </w:pPr>
    </w:p>
    <w:p w:rsidR="00DD0749" w:rsidRPr="00DD0749" w:rsidRDefault="00B64862" w:rsidP="00040CCF">
      <w:pPr>
        <w:pStyle w:val="Heading1"/>
        <w:widowControl/>
      </w:pPr>
      <w:r>
        <w:t>Background</w:t>
      </w:r>
    </w:p>
    <w:p w:rsidR="00797ECF" w:rsidRPr="00305772" w:rsidRDefault="00D22F9B" w:rsidP="00040CCF">
      <w:pPr>
        <w:widowControl/>
        <w:numPr>
          <w:ilvl w:val="0"/>
          <w:numId w:val="4"/>
        </w:numPr>
        <w:tabs>
          <w:tab w:val="clear" w:pos="1080"/>
          <w:tab w:val="num" w:pos="1440"/>
        </w:tabs>
      </w:pPr>
      <w:r w:rsidRPr="004D5245">
        <w:rPr>
          <w:snapToGrid/>
          <w:kern w:val="0"/>
          <w:szCs w:val="22"/>
        </w:rPr>
        <w:t>On October 30, 2</w:t>
      </w:r>
      <w:r w:rsidR="004D5245">
        <w:rPr>
          <w:snapToGrid/>
          <w:kern w:val="0"/>
          <w:szCs w:val="22"/>
        </w:rPr>
        <w:t xml:space="preserve">009, the </w:t>
      </w:r>
      <w:r w:rsidRPr="004D5245">
        <w:rPr>
          <w:snapToGrid/>
          <w:kern w:val="0"/>
          <w:szCs w:val="22"/>
        </w:rPr>
        <w:t xml:space="preserve">Commission completed </w:t>
      </w:r>
      <w:r w:rsidRPr="004D5245">
        <w:rPr>
          <w:bCs/>
          <w:snapToGrid/>
          <w:kern w:val="0"/>
          <w:szCs w:val="22"/>
        </w:rPr>
        <w:t>Auction</w:t>
      </w:r>
      <w:r w:rsidRPr="004D5245">
        <w:rPr>
          <w:snapToGrid/>
          <w:kern w:val="0"/>
          <w:szCs w:val="22"/>
        </w:rPr>
        <w:t xml:space="preserve"> </w:t>
      </w:r>
      <w:r w:rsidRPr="004D5245">
        <w:rPr>
          <w:bCs/>
          <w:snapToGrid/>
          <w:kern w:val="0"/>
          <w:szCs w:val="22"/>
        </w:rPr>
        <w:t>86</w:t>
      </w:r>
      <w:r w:rsidRPr="004D5245">
        <w:rPr>
          <w:snapToGrid/>
          <w:kern w:val="0"/>
          <w:szCs w:val="22"/>
        </w:rPr>
        <w:t xml:space="preserve"> for </w:t>
      </w:r>
      <w:r w:rsidR="00063EB8">
        <w:rPr>
          <w:snapToGrid/>
          <w:kern w:val="0"/>
          <w:szCs w:val="22"/>
        </w:rPr>
        <w:t xml:space="preserve">BRS </w:t>
      </w:r>
      <w:r w:rsidRPr="004D5245">
        <w:rPr>
          <w:snapToGrid/>
          <w:kern w:val="0"/>
          <w:szCs w:val="22"/>
        </w:rPr>
        <w:t>licenses in the 2496-2502, 2602-2615, and 2616-2673.5 MHz bands.</w:t>
      </w:r>
      <w:r w:rsidR="00573776">
        <w:rPr>
          <w:rStyle w:val="FootnoteReference"/>
          <w:snapToGrid/>
          <w:kern w:val="0"/>
          <w:szCs w:val="22"/>
        </w:rPr>
        <w:footnoteReference w:id="2"/>
      </w:r>
      <w:r>
        <w:rPr>
          <w:rFonts w:ascii="Verdana" w:hAnsi="Verdana" w:cs="Verdana"/>
          <w:snapToGrid/>
          <w:kern w:val="0"/>
          <w:sz w:val="32"/>
          <w:szCs w:val="32"/>
        </w:rPr>
        <w:t xml:space="preserve"> </w:t>
      </w:r>
      <w:r w:rsidR="00573776">
        <w:rPr>
          <w:rFonts w:ascii="Verdana" w:hAnsi="Verdana" w:cs="Verdana"/>
          <w:snapToGrid/>
          <w:kern w:val="0"/>
          <w:sz w:val="32"/>
          <w:szCs w:val="32"/>
        </w:rPr>
        <w:t xml:space="preserve"> </w:t>
      </w:r>
      <w:r w:rsidR="0062597A">
        <w:rPr>
          <w:snapToGrid/>
          <w:kern w:val="0"/>
          <w:szCs w:val="22"/>
        </w:rPr>
        <w:t xml:space="preserve">Pursuant to the Commission’s </w:t>
      </w:r>
      <w:r w:rsidR="00F353F0">
        <w:rPr>
          <w:snapToGrid/>
          <w:kern w:val="0"/>
          <w:szCs w:val="22"/>
        </w:rPr>
        <w:t>d</w:t>
      </w:r>
      <w:r w:rsidR="0062597A">
        <w:rPr>
          <w:snapToGrid/>
          <w:kern w:val="0"/>
          <w:szCs w:val="22"/>
        </w:rPr>
        <w:t xml:space="preserve">esignated </w:t>
      </w:r>
      <w:r w:rsidR="00F353F0">
        <w:rPr>
          <w:snapToGrid/>
          <w:kern w:val="0"/>
          <w:szCs w:val="22"/>
        </w:rPr>
        <w:t>e</w:t>
      </w:r>
      <w:r w:rsidR="0062597A">
        <w:rPr>
          <w:snapToGrid/>
          <w:kern w:val="0"/>
          <w:szCs w:val="22"/>
        </w:rPr>
        <w:t>ntity (</w:t>
      </w:r>
      <w:r w:rsidR="0026373E">
        <w:rPr>
          <w:snapToGrid/>
          <w:kern w:val="0"/>
          <w:szCs w:val="22"/>
        </w:rPr>
        <w:t>“</w:t>
      </w:r>
      <w:r w:rsidR="0062597A">
        <w:rPr>
          <w:snapToGrid/>
          <w:kern w:val="0"/>
          <w:szCs w:val="22"/>
        </w:rPr>
        <w:t>DE</w:t>
      </w:r>
      <w:r w:rsidR="0026373E">
        <w:rPr>
          <w:snapToGrid/>
          <w:kern w:val="0"/>
          <w:szCs w:val="22"/>
        </w:rPr>
        <w:t>”</w:t>
      </w:r>
      <w:r w:rsidR="0062597A">
        <w:rPr>
          <w:snapToGrid/>
          <w:kern w:val="0"/>
          <w:szCs w:val="22"/>
        </w:rPr>
        <w:t xml:space="preserve">) rules, </w:t>
      </w:r>
      <w:r w:rsidR="00571EF3">
        <w:rPr>
          <w:snapToGrid/>
          <w:kern w:val="0"/>
          <w:szCs w:val="22"/>
        </w:rPr>
        <w:t>which are designed</w:t>
      </w:r>
      <w:r w:rsidR="00735705">
        <w:rPr>
          <w:snapToGrid/>
          <w:kern w:val="0"/>
          <w:szCs w:val="22"/>
        </w:rPr>
        <w:t xml:space="preserve"> to encourage </w:t>
      </w:r>
      <w:r w:rsidR="00E53798">
        <w:rPr>
          <w:snapToGrid/>
          <w:kern w:val="0"/>
          <w:szCs w:val="22"/>
        </w:rPr>
        <w:t xml:space="preserve">auction </w:t>
      </w:r>
      <w:r w:rsidR="00735705">
        <w:rPr>
          <w:snapToGrid/>
          <w:kern w:val="0"/>
          <w:szCs w:val="22"/>
        </w:rPr>
        <w:t xml:space="preserve">participation </w:t>
      </w:r>
      <w:r w:rsidR="00E53798">
        <w:rPr>
          <w:snapToGrid/>
          <w:kern w:val="0"/>
          <w:szCs w:val="22"/>
        </w:rPr>
        <w:t xml:space="preserve">by </w:t>
      </w:r>
      <w:r w:rsidR="00735705">
        <w:rPr>
          <w:snapToGrid/>
          <w:kern w:val="0"/>
          <w:szCs w:val="22"/>
        </w:rPr>
        <w:t>small business</w:t>
      </w:r>
      <w:r w:rsidR="00573776">
        <w:rPr>
          <w:snapToGrid/>
          <w:kern w:val="0"/>
          <w:szCs w:val="22"/>
        </w:rPr>
        <w:t>es</w:t>
      </w:r>
      <w:r w:rsidR="00735705">
        <w:rPr>
          <w:snapToGrid/>
          <w:kern w:val="0"/>
          <w:szCs w:val="22"/>
        </w:rPr>
        <w:t xml:space="preserve">, </w:t>
      </w:r>
      <w:r w:rsidR="0062597A">
        <w:rPr>
          <w:snapToGrid/>
          <w:kern w:val="0"/>
          <w:szCs w:val="22"/>
        </w:rPr>
        <w:t>eligible bidder</w:t>
      </w:r>
      <w:r w:rsidR="0062597A" w:rsidRPr="0062597A">
        <w:rPr>
          <w:snapToGrid/>
          <w:kern w:val="0"/>
          <w:szCs w:val="22"/>
        </w:rPr>
        <w:t xml:space="preserve">s in Auction 86 were permitted to </w:t>
      </w:r>
      <w:r w:rsidR="00E53798">
        <w:rPr>
          <w:snapToGrid/>
          <w:kern w:val="0"/>
          <w:szCs w:val="22"/>
        </w:rPr>
        <w:t>apply for bidding credits</w:t>
      </w:r>
      <w:r w:rsidR="00E53798" w:rsidRPr="0062597A">
        <w:rPr>
          <w:snapToGrid/>
          <w:kern w:val="0"/>
          <w:szCs w:val="22"/>
        </w:rPr>
        <w:t xml:space="preserve"> </w:t>
      </w:r>
      <w:r w:rsidR="00573776">
        <w:rPr>
          <w:snapToGrid/>
          <w:kern w:val="0"/>
          <w:szCs w:val="22"/>
        </w:rPr>
        <w:t xml:space="preserve">as </w:t>
      </w:r>
      <w:r w:rsidR="0062597A" w:rsidRPr="0062597A">
        <w:rPr>
          <w:snapToGrid/>
          <w:kern w:val="0"/>
          <w:szCs w:val="22"/>
        </w:rPr>
        <w:t>entrepreneur</w:t>
      </w:r>
      <w:r w:rsidR="00573776">
        <w:rPr>
          <w:snapToGrid/>
          <w:kern w:val="0"/>
          <w:szCs w:val="22"/>
        </w:rPr>
        <w:t xml:space="preserve">s, </w:t>
      </w:r>
      <w:r w:rsidR="0062597A" w:rsidRPr="0062597A">
        <w:rPr>
          <w:snapToGrid/>
          <w:kern w:val="0"/>
          <w:szCs w:val="22"/>
        </w:rPr>
        <w:t>small business</w:t>
      </w:r>
      <w:r w:rsidR="00573776">
        <w:rPr>
          <w:snapToGrid/>
          <w:kern w:val="0"/>
          <w:szCs w:val="22"/>
        </w:rPr>
        <w:t>es</w:t>
      </w:r>
      <w:r w:rsidR="0062597A" w:rsidRPr="0062597A">
        <w:rPr>
          <w:snapToGrid/>
          <w:kern w:val="0"/>
          <w:szCs w:val="22"/>
        </w:rPr>
        <w:t>, or very small busin</w:t>
      </w:r>
      <w:r w:rsidR="0062597A">
        <w:rPr>
          <w:snapToGrid/>
          <w:kern w:val="0"/>
          <w:szCs w:val="22"/>
        </w:rPr>
        <w:t>ess</w:t>
      </w:r>
      <w:r w:rsidR="00573776">
        <w:rPr>
          <w:snapToGrid/>
          <w:kern w:val="0"/>
          <w:szCs w:val="22"/>
        </w:rPr>
        <w:t>es</w:t>
      </w:r>
      <w:r w:rsidR="00735705">
        <w:rPr>
          <w:snapToGrid/>
          <w:kern w:val="0"/>
          <w:szCs w:val="22"/>
        </w:rPr>
        <w:t xml:space="preserve">, depending on their </w:t>
      </w:r>
      <w:r w:rsidR="0026373E">
        <w:rPr>
          <w:snapToGrid/>
          <w:kern w:val="0"/>
          <w:szCs w:val="22"/>
        </w:rPr>
        <w:t xml:space="preserve">attributed </w:t>
      </w:r>
      <w:r w:rsidR="00735705">
        <w:rPr>
          <w:snapToGrid/>
          <w:kern w:val="0"/>
          <w:szCs w:val="22"/>
        </w:rPr>
        <w:t>average annual gross revenues for the three years immediately preceding the auction</w:t>
      </w:r>
      <w:r w:rsidR="0062597A" w:rsidRPr="0062597A">
        <w:rPr>
          <w:snapToGrid/>
          <w:kern w:val="0"/>
          <w:szCs w:val="22"/>
        </w:rPr>
        <w:t>.</w:t>
      </w:r>
      <w:r w:rsidR="0062597A">
        <w:rPr>
          <w:rStyle w:val="FootnoteReference"/>
          <w:snapToGrid/>
          <w:kern w:val="0"/>
          <w:szCs w:val="22"/>
        </w:rPr>
        <w:footnoteReference w:id="3"/>
      </w:r>
      <w:r w:rsidR="00D744E2">
        <w:t xml:space="preserve">  </w:t>
      </w:r>
    </w:p>
    <w:p w:rsidR="000D4313" w:rsidRPr="00305772" w:rsidRDefault="00613EA5" w:rsidP="00040CCF">
      <w:pPr>
        <w:widowControl/>
        <w:numPr>
          <w:ilvl w:val="0"/>
          <w:numId w:val="4"/>
        </w:numPr>
        <w:tabs>
          <w:tab w:val="clear" w:pos="1080"/>
          <w:tab w:val="num" w:pos="1440"/>
        </w:tabs>
      </w:pPr>
      <w:r w:rsidRPr="00E40473">
        <w:lastRenderedPageBreak/>
        <w:t>Z</w:t>
      </w:r>
      <w:r>
        <w:t>tark was the winning bidder in Auction 86 for BRS licenses in the Albuquerque, New Mexico and Las Cruces, New Mexico Basic Trading Areas (BTA).</w:t>
      </w:r>
      <w:r>
        <w:rPr>
          <w:rStyle w:val="FootnoteReference"/>
        </w:rPr>
        <w:footnoteReference w:id="4"/>
      </w:r>
      <w:r>
        <w:t xml:space="preserve">  </w:t>
      </w:r>
      <w:r w:rsidR="00725972">
        <w:t>Under the Commission’s rules, an applicant must timely submit a short</w:t>
      </w:r>
      <w:r w:rsidR="004C5F31">
        <w:t xml:space="preserve"> </w:t>
      </w:r>
      <w:r w:rsidR="00725972">
        <w:t>form application in order to bid at an auction.</w:t>
      </w:r>
      <w:r w:rsidR="00725972">
        <w:rPr>
          <w:rStyle w:val="FootnoteReference"/>
        </w:rPr>
        <w:footnoteReference w:id="5"/>
      </w:r>
      <w:r w:rsidR="00725972">
        <w:t xml:space="preserve">  Once </w:t>
      </w:r>
      <w:r w:rsidR="004C5F31">
        <w:t>an applicant is notified that it is a high bidder, it must also submit an additional long form application containing additional information.</w:t>
      </w:r>
      <w:r w:rsidR="004C5F31">
        <w:rPr>
          <w:rStyle w:val="FootnoteReference"/>
        </w:rPr>
        <w:footnoteReference w:id="6"/>
      </w:r>
      <w:r w:rsidR="004C5F31">
        <w:t xml:space="preserve">  Ztark timely submitted its long form application on November 23, 2009.</w:t>
      </w:r>
      <w:r w:rsidR="004C5F31">
        <w:rPr>
          <w:rStyle w:val="FootnoteReference"/>
        </w:rPr>
        <w:footnoteReference w:id="7"/>
      </w:r>
      <w:r w:rsidR="004C5F31">
        <w:t xml:space="preserve">  </w:t>
      </w:r>
      <w:r w:rsidR="00EF3FE9" w:rsidRPr="00E40473">
        <w:t>Ztark</w:t>
      </w:r>
      <w:r w:rsidR="00E53798">
        <w:t>’s long form application</w:t>
      </w:r>
      <w:r>
        <w:t>, as amended,</w:t>
      </w:r>
      <w:r w:rsidR="00E53798">
        <w:t xml:space="preserve"> indicates that it </w:t>
      </w:r>
      <w:r w:rsidR="00571EF3" w:rsidRPr="00E40473">
        <w:t>is a limited liability company owned by Tyler Kratz, its sole member and manager.</w:t>
      </w:r>
      <w:r w:rsidR="001C749C" w:rsidRPr="00E40473">
        <w:rPr>
          <w:rStyle w:val="FootnoteReference"/>
        </w:rPr>
        <w:footnoteReference w:id="8"/>
      </w:r>
      <w:r w:rsidR="00571EF3" w:rsidRPr="00E40473">
        <w:t xml:space="preserve"> </w:t>
      </w:r>
      <w:r w:rsidR="002B2097" w:rsidRPr="00E40473">
        <w:t xml:space="preserve"> </w:t>
      </w:r>
      <w:r w:rsidR="0062597A">
        <w:t>In its</w:t>
      </w:r>
      <w:r w:rsidR="00292643">
        <w:t xml:space="preserve"> long form</w:t>
      </w:r>
      <w:r w:rsidR="0062597A">
        <w:t xml:space="preserve"> application, Ztark </w:t>
      </w:r>
      <w:r w:rsidR="00E53798">
        <w:t xml:space="preserve">certified to </w:t>
      </w:r>
      <w:r w:rsidR="00C0450D">
        <w:t xml:space="preserve">average gross revenues of </w:t>
      </w:r>
      <w:r w:rsidR="00C0450D" w:rsidRPr="00797ECF">
        <w:rPr>
          <w:snapToGrid/>
          <w:color w:val="000000"/>
          <w:kern w:val="0"/>
          <w:szCs w:val="22"/>
          <w:shd w:val="clear" w:color="auto" w:fill="F7F5FF"/>
        </w:rPr>
        <w:t>$</w:t>
      </w:r>
      <w:r w:rsidR="00763676" w:rsidRPr="00763676">
        <w:rPr>
          <w:snapToGrid/>
          <w:color w:val="000000"/>
          <w:kern w:val="0"/>
          <w:szCs w:val="22"/>
          <w:shd w:val="clear" w:color="auto" w:fill="F7F5FF"/>
        </w:rPr>
        <w:t>579,335.84</w:t>
      </w:r>
      <w:r w:rsidR="0033285B">
        <w:rPr>
          <w:snapToGrid/>
          <w:color w:val="000000"/>
          <w:kern w:val="0"/>
          <w:szCs w:val="22"/>
          <w:shd w:val="clear" w:color="auto" w:fill="F7F5FF"/>
        </w:rPr>
        <w:t xml:space="preserve"> for itself and all its affiliates for the three years preceding the auction (</w:t>
      </w:r>
      <w:r w:rsidR="0033285B">
        <w:rPr>
          <w:i/>
          <w:snapToGrid/>
          <w:color w:val="000000"/>
          <w:kern w:val="0"/>
          <w:szCs w:val="22"/>
          <w:shd w:val="clear" w:color="auto" w:fill="F7F5FF"/>
        </w:rPr>
        <w:t>i.e.</w:t>
      </w:r>
      <w:r w:rsidR="0033285B">
        <w:rPr>
          <w:snapToGrid/>
          <w:color w:val="000000"/>
          <w:kern w:val="0"/>
          <w:szCs w:val="22"/>
          <w:shd w:val="clear" w:color="auto" w:fill="F7F5FF"/>
        </w:rPr>
        <w:t>, 2006, 2007, and 2008)</w:t>
      </w:r>
      <w:r w:rsidR="00571EF3">
        <w:t>,</w:t>
      </w:r>
      <w:r w:rsidR="00063EB8">
        <w:rPr>
          <w:rStyle w:val="FootnoteReference"/>
        </w:rPr>
        <w:footnoteReference w:id="9"/>
      </w:r>
      <w:r w:rsidR="00571EF3">
        <w:t xml:space="preserve"> and </w:t>
      </w:r>
      <w:r w:rsidR="0062597A">
        <w:t>sought</w:t>
      </w:r>
      <w:r w:rsidR="00EF3FE9">
        <w:t xml:space="preserve"> </w:t>
      </w:r>
      <w:r w:rsidR="00DD0749">
        <w:t xml:space="preserve">a 35% </w:t>
      </w:r>
      <w:r w:rsidR="004B5DC2">
        <w:t>e</w:t>
      </w:r>
      <w:r w:rsidR="00DD0749">
        <w:t xml:space="preserve">ntrepreneur </w:t>
      </w:r>
      <w:r w:rsidR="00E53798">
        <w:t xml:space="preserve">bidding </w:t>
      </w:r>
      <w:r w:rsidR="00DD0749">
        <w:t>credit</w:t>
      </w:r>
      <w:r w:rsidR="00E50905">
        <w:t xml:space="preserve">, which was available to entities with </w:t>
      </w:r>
      <w:r w:rsidR="00DD0749">
        <w:t>average gross</w:t>
      </w:r>
      <w:r w:rsidR="00E50905">
        <w:t xml:space="preserve"> revenues of $3,000,000 or less for the three years immediately preceding the auction</w:t>
      </w:r>
      <w:r w:rsidR="00DD0749">
        <w:t>.</w:t>
      </w:r>
      <w:r w:rsidR="00A331C1">
        <w:rPr>
          <w:rStyle w:val="FootnoteReference"/>
        </w:rPr>
        <w:footnoteReference w:id="10"/>
      </w:r>
      <w:r w:rsidR="00DD0749">
        <w:t xml:space="preserve">  </w:t>
      </w:r>
      <w:r w:rsidR="00E53798">
        <w:t xml:space="preserve">Among the average gross revenues Ztark certified to in its long form application were those of its </w:t>
      </w:r>
      <w:r w:rsidR="007B2B7C">
        <w:t xml:space="preserve">controlling interest </w:t>
      </w:r>
      <w:r w:rsidR="00A6702C">
        <w:t xml:space="preserve">holder </w:t>
      </w:r>
      <w:r w:rsidR="007B2B7C" w:rsidRPr="00797ECF">
        <w:rPr>
          <w:szCs w:val="22"/>
        </w:rPr>
        <w:t>Tyler Kratz</w:t>
      </w:r>
      <w:r w:rsidR="00D50819" w:rsidRPr="00797ECF">
        <w:rPr>
          <w:szCs w:val="22"/>
        </w:rPr>
        <w:t>, whose average gross revenues were reported as</w:t>
      </w:r>
      <w:r w:rsidR="00A77491" w:rsidRPr="00797ECF">
        <w:rPr>
          <w:szCs w:val="22"/>
        </w:rPr>
        <w:t xml:space="preserve"> </w:t>
      </w:r>
      <w:r w:rsidR="00A77491" w:rsidRPr="00797ECF">
        <w:rPr>
          <w:snapToGrid/>
          <w:color w:val="000000"/>
          <w:kern w:val="0"/>
          <w:szCs w:val="22"/>
          <w:shd w:val="clear" w:color="auto" w:fill="F7F5FF"/>
        </w:rPr>
        <w:t>$</w:t>
      </w:r>
      <w:r w:rsidR="00763676" w:rsidRPr="00763676">
        <w:rPr>
          <w:snapToGrid/>
          <w:color w:val="000000"/>
          <w:kern w:val="0"/>
          <w:szCs w:val="22"/>
          <w:shd w:val="clear" w:color="auto" w:fill="F7F5FF"/>
        </w:rPr>
        <w:t>3,925.33</w:t>
      </w:r>
      <w:r w:rsidR="00A77491" w:rsidRPr="00797ECF">
        <w:rPr>
          <w:snapToGrid/>
          <w:kern w:val="0"/>
          <w:szCs w:val="22"/>
        </w:rPr>
        <w:t>.</w:t>
      </w:r>
      <w:r w:rsidR="002F7D0B">
        <w:rPr>
          <w:rStyle w:val="FootnoteReference"/>
          <w:szCs w:val="22"/>
        </w:rPr>
        <w:footnoteReference w:id="11"/>
      </w:r>
      <w:r w:rsidR="00A77491" w:rsidRPr="00797ECF">
        <w:rPr>
          <w:szCs w:val="22"/>
        </w:rPr>
        <w:t xml:space="preserve"> </w:t>
      </w:r>
      <w:r w:rsidR="002F7D0B">
        <w:rPr>
          <w:szCs w:val="22"/>
        </w:rPr>
        <w:t xml:space="preserve"> </w:t>
      </w:r>
      <w:r w:rsidR="00D50819" w:rsidRPr="00797ECF">
        <w:rPr>
          <w:szCs w:val="22"/>
        </w:rPr>
        <w:t>Ztark’s application also listed</w:t>
      </w:r>
      <w:r w:rsidR="009E676F" w:rsidRPr="00797ECF">
        <w:rPr>
          <w:snapToGrid/>
          <w:kern w:val="0"/>
          <w:szCs w:val="22"/>
        </w:rPr>
        <w:t xml:space="preserve"> Ztark Broadband Corp</w:t>
      </w:r>
      <w:r w:rsidR="002F7D0B">
        <w:rPr>
          <w:snapToGrid/>
          <w:kern w:val="0"/>
          <w:szCs w:val="22"/>
        </w:rPr>
        <w:t>.</w:t>
      </w:r>
      <w:r w:rsidR="009E676F" w:rsidRPr="00797ECF">
        <w:rPr>
          <w:snapToGrid/>
          <w:kern w:val="0"/>
          <w:szCs w:val="22"/>
        </w:rPr>
        <w:t xml:space="preserve"> as an affiliate</w:t>
      </w:r>
      <w:r w:rsidR="00A77491" w:rsidRPr="00797ECF">
        <w:rPr>
          <w:snapToGrid/>
          <w:kern w:val="0"/>
          <w:szCs w:val="22"/>
        </w:rPr>
        <w:t xml:space="preserve">, </w:t>
      </w:r>
      <w:r w:rsidR="009E676F" w:rsidRPr="00797ECF">
        <w:rPr>
          <w:szCs w:val="22"/>
        </w:rPr>
        <w:t xml:space="preserve">with average gross revenues of </w:t>
      </w:r>
      <w:r w:rsidR="009E676F" w:rsidRPr="00797ECF">
        <w:rPr>
          <w:snapToGrid/>
          <w:color w:val="000000"/>
          <w:kern w:val="0"/>
          <w:szCs w:val="22"/>
          <w:shd w:val="clear" w:color="auto" w:fill="F7F5FF"/>
        </w:rPr>
        <w:t xml:space="preserve">$1,832.80, and </w:t>
      </w:r>
      <w:r w:rsidR="00FD75F5" w:rsidRPr="00797ECF">
        <w:rPr>
          <w:snapToGrid/>
          <w:color w:val="000000"/>
          <w:kern w:val="0"/>
          <w:szCs w:val="22"/>
          <w:shd w:val="clear" w:color="auto" w:fill="F7F5FF"/>
        </w:rPr>
        <w:t xml:space="preserve">further listed </w:t>
      </w:r>
      <w:r w:rsidR="009E676F" w:rsidRPr="00797ECF">
        <w:rPr>
          <w:snapToGrid/>
          <w:color w:val="000000"/>
          <w:kern w:val="0"/>
          <w:szCs w:val="22"/>
          <w:shd w:val="clear" w:color="auto" w:fill="F7F5FF"/>
        </w:rPr>
        <w:t>Ztark Sp</w:t>
      </w:r>
      <w:r w:rsidR="00FD75F5" w:rsidRPr="00797ECF">
        <w:rPr>
          <w:snapToGrid/>
          <w:color w:val="000000"/>
          <w:kern w:val="0"/>
          <w:szCs w:val="22"/>
          <w:shd w:val="clear" w:color="auto" w:fill="F7F5FF"/>
        </w:rPr>
        <w:t>ectrum</w:t>
      </w:r>
      <w:r w:rsidR="0033285B">
        <w:rPr>
          <w:snapToGrid/>
          <w:color w:val="000000"/>
          <w:kern w:val="0"/>
          <w:szCs w:val="22"/>
          <w:shd w:val="clear" w:color="auto" w:fill="F7F5FF"/>
        </w:rPr>
        <w:t>, LLC</w:t>
      </w:r>
      <w:r w:rsidR="00FD75F5" w:rsidRPr="00797ECF">
        <w:rPr>
          <w:snapToGrid/>
          <w:color w:val="000000"/>
          <w:kern w:val="0"/>
          <w:szCs w:val="22"/>
          <w:shd w:val="clear" w:color="auto" w:fill="F7F5FF"/>
        </w:rPr>
        <w:t xml:space="preserve"> and Ztark Broadband LLC as affiliates </w:t>
      </w:r>
      <w:r w:rsidR="009E676F" w:rsidRPr="00797ECF">
        <w:rPr>
          <w:snapToGrid/>
          <w:color w:val="000000"/>
          <w:kern w:val="0"/>
          <w:szCs w:val="22"/>
          <w:shd w:val="clear" w:color="auto" w:fill="F7F5FF"/>
        </w:rPr>
        <w:t xml:space="preserve">with no </w:t>
      </w:r>
      <w:r w:rsidR="00573776">
        <w:rPr>
          <w:snapToGrid/>
          <w:color w:val="000000"/>
          <w:kern w:val="0"/>
          <w:szCs w:val="22"/>
          <w:shd w:val="clear" w:color="auto" w:fill="F7F5FF"/>
        </w:rPr>
        <w:t xml:space="preserve">gross </w:t>
      </w:r>
      <w:r w:rsidR="009E676F" w:rsidRPr="00797ECF">
        <w:rPr>
          <w:snapToGrid/>
          <w:color w:val="000000"/>
          <w:kern w:val="0"/>
          <w:szCs w:val="22"/>
          <w:shd w:val="clear" w:color="auto" w:fill="F7F5FF"/>
        </w:rPr>
        <w:t>revenues.</w:t>
      </w:r>
      <w:r w:rsidR="00DD4991">
        <w:rPr>
          <w:rStyle w:val="FootnoteReference"/>
          <w:snapToGrid/>
          <w:kern w:val="0"/>
          <w:szCs w:val="22"/>
          <w:shd w:val="clear" w:color="auto" w:fill="F7F5FF"/>
        </w:rPr>
        <w:footnoteReference w:id="12"/>
      </w:r>
    </w:p>
    <w:p w:rsidR="00305772" w:rsidRDefault="00305772" w:rsidP="00040CCF">
      <w:pPr>
        <w:widowControl/>
        <w:tabs>
          <w:tab w:val="num" w:pos="1440"/>
        </w:tabs>
      </w:pPr>
    </w:p>
    <w:p w:rsidR="00BF42C4" w:rsidRDefault="00E40473" w:rsidP="00040CCF">
      <w:pPr>
        <w:widowControl/>
        <w:numPr>
          <w:ilvl w:val="0"/>
          <w:numId w:val="4"/>
        </w:numPr>
        <w:tabs>
          <w:tab w:val="clear" w:pos="1080"/>
          <w:tab w:val="num" w:pos="1440"/>
        </w:tabs>
        <w:spacing w:after="220"/>
      </w:pPr>
      <w:r w:rsidRPr="004B5DC2">
        <w:t xml:space="preserve">In adopting rules to determine eligibility for small business benefits, </w:t>
      </w:r>
      <w:r w:rsidRPr="004F7411">
        <w:t>t</w:t>
      </w:r>
      <w:r w:rsidR="00D97599" w:rsidRPr="004F7411">
        <w:t xml:space="preserve">he Commission </w:t>
      </w:r>
      <w:r w:rsidR="00A6702C">
        <w:t xml:space="preserve">adopted rules to ensure </w:t>
      </w:r>
      <w:r w:rsidR="00D97599" w:rsidRPr="00DD2C45">
        <w:t xml:space="preserve">that </w:t>
      </w:r>
      <w:r w:rsidR="00CE3DC9" w:rsidRPr="00F6225F">
        <w:t xml:space="preserve">family members </w:t>
      </w:r>
      <w:r w:rsidR="00D97599" w:rsidRPr="00F6225F">
        <w:t xml:space="preserve">could </w:t>
      </w:r>
      <w:r w:rsidR="00A6702C">
        <w:t xml:space="preserve">not </w:t>
      </w:r>
      <w:r w:rsidR="00D97599" w:rsidRPr="00F6225F">
        <w:t>be used to evade its bidding credit eligibility requirements.</w:t>
      </w:r>
      <w:r w:rsidR="00D97599" w:rsidRPr="004B5DC2">
        <w:rPr>
          <w:rStyle w:val="FootnoteReference"/>
        </w:rPr>
        <w:footnoteReference w:id="13"/>
      </w:r>
      <w:r w:rsidR="00D97599" w:rsidRPr="004B5DC2">
        <w:t xml:space="preserve">  The Commission therefore adopted a rule that immediate family members will be presumed to have an identity of interest</w:t>
      </w:r>
      <w:r w:rsidRPr="004F7411">
        <w:t xml:space="preserve"> with an applicant or its controlling interest</w:t>
      </w:r>
      <w:r w:rsidR="00D97599" w:rsidRPr="004F7411">
        <w:t>.</w:t>
      </w:r>
      <w:r w:rsidR="00D97599" w:rsidRPr="004B5DC2">
        <w:rPr>
          <w:rStyle w:val="FootnoteReference"/>
        </w:rPr>
        <w:footnoteReference w:id="14"/>
      </w:r>
      <w:r w:rsidR="00D97599" w:rsidRPr="004B5DC2">
        <w:t xml:space="preserve">  </w:t>
      </w:r>
      <w:r w:rsidR="00BF42C4">
        <w:t>The rule states:</w:t>
      </w:r>
    </w:p>
    <w:p w:rsidR="00BF42C4" w:rsidRDefault="00BF42C4" w:rsidP="00040CCF">
      <w:pPr>
        <w:widowControl/>
        <w:ind w:left="720" w:right="720"/>
      </w:pPr>
      <w:r w:rsidRPr="00BF42C4">
        <w:t xml:space="preserve">(B) Kinship affiliation. Immediate family members will be presumed to own or control or have the power to control interests owned or controlled by other immediate family </w:t>
      </w:r>
      <w:r w:rsidRPr="00BF42C4">
        <w:lastRenderedPageBreak/>
        <w:t>members. In this context “immediate family member” means father, mother, husband, wife, son, daughter, brother, sister, father- or mother-in-law, son- or daughter-in-law, brother- or sister-in-law, step-father or -mother, step-brother or -sister, step-son or -daughter, half brother or sister. This presumption may be rebutted by showing that the family members are estranged, the family ties are remote, or the family members are not closely involved with each other in business matters.</w:t>
      </w:r>
      <w:r>
        <w:rPr>
          <w:rStyle w:val="FootnoteReference"/>
        </w:rPr>
        <w:footnoteReference w:id="15"/>
      </w:r>
    </w:p>
    <w:p w:rsidR="00BF42C4" w:rsidRDefault="00BF42C4" w:rsidP="00040CCF">
      <w:pPr>
        <w:widowControl/>
        <w:ind w:left="720" w:right="720"/>
      </w:pPr>
    </w:p>
    <w:p w:rsidR="00D97599" w:rsidRDefault="009D161D" w:rsidP="00040CCF">
      <w:pPr>
        <w:widowControl/>
        <w:numPr>
          <w:ilvl w:val="0"/>
          <w:numId w:val="4"/>
        </w:numPr>
        <w:tabs>
          <w:tab w:val="clear" w:pos="1080"/>
          <w:tab w:val="num" w:pos="1440"/>
        </w:tabs>
        <w:spacing w:after="220"/>
      </w:pPr>
      <w:r w:rsidRPr="004F7411">
        <w:t>The</w:t>
      </w:r>
      <w:r w:rsidR="005941F9" w:rsidRPr="004F7411">
        <w:t xml:space="preserve"> father </w:t>
      </w:r>
      <w:r w:rsidRPr="004F7411">
        <w:t xml:space="preserve">of an applicant’s controlling interest </w:t>
      </w:r>
      <w:r w:rsidR="005941F9" w:rsidRPr="008069BE">
        <w:t>falls within th</w:t>
      </w:r>
      <w:r w:rsidR="005941F9" w:rsidRPr="00DD2C45">
        <w:t>e definition of “immediate family member</w:t>
      </w:r>
      <w:r w:rsidR="005941F9">
        <w:t>.”</w:t>
      </w:r>
      <w:r w:rsidR="005941F9">
        <w:rPr>
          <w:rStyle w:val="FootnoteReference"/>
        </w:rPr>
        <w:footnoteReference w:id="16"/>
      </w:r>
      <w:r w:rsidR="005941F9">
        <w:t xml:space="preserve">  </w:t>
      </w:r>
      <w:r w:rsidR="00D97599">
        <w:t>When a person has an “identity of interest” with an applicant, that person is considered an affiliate of the applicant,</w:t>
      </w:r>
      <w:r w:rsidR="00D97599">
        <w:rPr>
          <w:rStyle w:val="FootnoteReference"/>
        </w:rPr>
        <w:footnoteReference w:id="17"/>
      </w:r>
      <w:r w:rsidR="00FC1C4F">
        <w:t xml:space="preserve"> and that person’s gross revenues </w:t>
      </w:r>
      <w:r w:rsidR="00BF42C4">
        <w:t xml:space="preserve">(including the gross revenues of that person’s affiliates) </w:t>
      </w:r>
      <w:r w:rsidR="00FC1C4F">
        <w:t xml:space="preserve">must be attributed to the applicant and disclosed on </w:t>
      </w:r>
      <w:r w:rsidR="004F7411">
        <w:t xml:space="preserve">its auction and license </w:t>
      </w:r>
      <w:r w:rsidR="00FC1C4F">
        <w:t>application</w:t>
      </w:r>
      <w:r w:rsidR="004F7411">
        <w:t>s</w:t>
      </w:r>
      <w:r w:rsidR="00FC1C4F">
        <w:t>.</w:t>
      </w:r>
      <w:r w:rsidR="00FC1C4F">
        <w:rPr>
          <w:rStyle w:val="FootnoteReference"/>
        </w:rPr>
        <w:footnoteReference w:id="18"/>
      </w:r>
      <w:r w:rsidR="00CE3DC9">
        <w:t xml:space="preserve">  </w:t>
      </w:r>
      <w:r w:rsidR="004F7411">
        <w:t>Recognizing that not all kinship relationships present the same potential for abuse, however, t</w:t>
      </w:r>
      <w:r w:rsidR="00CE3DC9">
        <w:t xml:space="preserve">he Commission </w:t>
      </w:r>
      <w:r w:rsidR="00882268">
        <w:t>does allow</w:t>
      </w:r>
      <w:r w:rsidR="00E23C3B">
        <w:t xml:space="preserve"> applicants </w:t>
      </w:r>
      <w:r w:rsidR="00B1230B">
        <w:t xml:space="preserve">the opportunity </w:t>
      </w:r>
      <w:r w:rsidR="00E23C3B">
        <w:t>to rebut the presumption of kinship affiliation “by showing that the family members are estranged, or that family ties are remote, or that the family members are not closely related in business matters.</w:t>
      </w:r>
      <w:r w:rsidR="002F7D0B">
        <w:t>”</w:t>
      </w:r>
      <w:r w:rsidR="00E23C3B">
        <w:rPr>
          <w:rStyle w:val="FootnoteReference"/>
        </w:rPr>
        <w:footnoteReference w:id="19"/>
      </w:r>
      <w:r w:rsidR="00E23C3B">
        <w:t xml:space="preserve">  </w:t>
      </w:r>
      <w:r w:rsidR="00AB626F">
        <w:t>The Commission noted that the Small Business Administration (“SBA”) used this standard when interpreting its “identity of interest” rule.</w:t>
      </w:r>
      <w:r w:rsidR="00AB626F">
        <w:rPr>
          <w:rStyle w:val="FootnoteReference"/>
        </w:rPr>
        <w:footnoteReference w:id="20"/>
      </w:r>
      <w:r w:rsidR="00AB626F">
        <w:t xml:space="preserve">  </w:t>
      </w:r>
      <w:r w:rsidR="00E23C3B">
        <w:t xml:space="preserve">The Commission </w:t>
      </w:r>
      <w:r w:rsidR="00B1230B">
        <w:t>has stated that</w:t>
      </w:r>
      <w:r w:rsidR="00E23C3B">
        <w:t xml:space="preserve"> </w:t>
      </w:r>
      <w:r w:rsidR="00B1230B">
        <w:t>“</w:t>
      </w:r>
      <w:r w:rsidR="00E23C3B">
        <w:t xml:space="preserve">an applicant should be able to rebut the presumption regarding kinship affiliation with relative ease, simply by demonstrating that the applicant has no close relationship in business matters </w:t>
      </w:r>
      <w:r w:rsidR="00533193">
        <w:t>with the relevant family members.”</w:t>
      </w:r>
      <w:r w:rsidR="00533193">
        <w:rPr>
          <w:rStyle w:val="FootnoteReference"/>
        </w:rPr>
        <w:footnoteReference w:id="21"/>
      </w:r>
    </w:p>
    <w:p w:rsidR="007865A8" w:rsidRPr="007865A8" w:rsidRDefault="007B2B7C" w:rsidP="00040CCF">
      <w:pPr>
        <w:widowControl/>
        <w:numPr>
          <w:ilvl w:val="0"/>
          <w:numId w:val="4"/>
        </w:numPr>
        <w:tabs>
          <w:tab w:val="clear" w:pos="1080"/>
          <w:tab w:val="num" w:pos="1440"/>
        </w:tabs>
        <w:spacing w:after="220"/>
      </w:pPr>
      <w:r>
        <w:t>In the course of processing</w:t>
      </w:r>
      <w:r w:rsidR="009D1ABA">
        <w:t xml:space="preserve"> Ztark’s </w:t>
      </w:r>
      <w:r w:rsidR="008E6F34">
        <w:t xml:space="preserve">Auction 86 </w:t>
      </w:r>
      <w:r w:rsidR="009D1ABA">
        <w:t>long form application, the Wireless Telecommunications Bureau’s (</w:t>
      </w:r>
      <w:r w:rsidR="00221F6E">
        <w:t>“</w:t>
      </w:r>
      <w:r w:rsidR="007A5BE5">
        <w:t>Bureau</w:t>
      </w:r>
      <w:r w:rsidR="00221F6E">
        <w:t>”</w:t>
      </w:r>
      <w:r w:rsidR="009D1ABA">
        <w:t>) Broadband Division (</w:t>
      </w:r>
      <w:r w:rsidR="007A5BE5">
        <w:t>“</w:t>
      </w:r>
      <w:r w:rsidR="009D1ABA">
        <w:t>Division</w:t>
      </w:r>
      <w:r w:rsidR="00221F6E">
        <w:t>”</w:t>
      </w:r>
      <w:r w:rsidR="009D1ABA">
        <w:t>)</w:t>
      </w:r>
      <w:r w:rsidR="00042767">
        <w:t xml:space="preserve"> </w:t>
      </w:r>
      <w:r w:rsidR="00573776">
        <w:t xml:space="preserve">requested additional information from </w:t>
      </w:r>
      <w:r w:rsidR="000D4313">
        <w:t xml:space="preserve">Ztark about ownership of other companies owned by Tyler Kratz and his immediate family members.  </w:t>
      </w:r>
      <w:r w:rsidR="00573776">
        <w:t>In response, Ztark</w:t>
      </w:r>
      <w:r w:rsidR="000D4313">
        <w:t xml:space="preserve"> </w:t>
      </w:r>
      <w:r w:rsidR="00026052">
        <w:t>requested a ruling that it had rebutted the presumption that Tyler Kratz has an identity of interest with his father Douglas Kratz.</w:t>
      </w:r>
      <w:r w:rsidR="00026052">
        <w:rPr>
          <w:rStyle w:val="FootnoteReference"/>
        </w:rPr>
        <w:footnoteReference w:id="22"/>
      </w:r>
      <w:r w:rsidR="00026052">
        <w:t xml:space="preserve">  </w:t>
      </w:r>
      <w:r w:rsidR="00E45D9B" w:rsidRPr="007F40AB">
        <w:rPr>
          <w:snapToGrid/>
          <w:kern w:val="0"/>
          <w:szCs w:val="22"/>
        </w:rPr>
        <w:t xml:space="preserve">Ztark </w:t>
      </w:r>
      <w:r w:rsidR="00E45D9B">
        <w:rPr>
          <w:snapToGrid/>
          <w:kern w:val="0"/>
          <w:szCs w:val="22"/>
        </w:rPr>
        <w:t xml:space="preserve">argued </w:t>
      </w:r>
      <w:r w:rsidR="00E45D9B" w:rsidRPr="007F40AB">
        <w:rPr>
          <w:snapToGrid/>
          <w:kern w:val="0"/>
          <w:szCs w:val="22"/>
        </w:rPr>
        <w:t>that “Mr. Douglas Kratz, or an entity controlled by him: (1) does not control any entities in the same line of business as Tyler Kratz; (2) does not own any stock in or have any other financial interest in Tyler Kratz’s companies; (3) is not now, nor has ever been, a director, shareholder or board member of any of Tyler Kratz’s companies; (4) does not have contractual obligations, ongoing business arrangements or joint business proposals with any of Tyler Kratz’s companies; (5) does not have any employees in common with or share any administrative affinities with Tyler Kratz; (6) has never provided any subcontracts, subcontracting, or technical assistance to Tyler Kratz; and, (7) does not provide financial assistance to Tyler Kratz.”</w:t>
      </w:r>
      <w:r w:rsidR="002F7D0B">
        <w:rPr>
          <w:rStyle w:val="FootnoteReference"/>
          <w:snapToGrid/>
          <w:kern w:val="0"/>
          <w:szCs w:val="22"/>
        </w:rPr>
        <w:footnoteReference w:id="23"/>
      </w:r>
      <w:r w:rsidR="00E45D9B" w:rsidRPr="007F40AB">
        <w:rPr>
          <w:snapToGrid/>
          <w:kern w:val="0"/>
          <w:szCs w:val="22"/>
        </w:rPr>
        <w:t xml:space="preserve">  </w:t>
      </w:r>
      <w:r w:rsidR="008F7460">
        <w:rPr>
          <w:snapToGrid/>
          <w:kern w:val="0"/>
          <w:szCs w:val="22"/>
        </w:rPr>
        <w:t xml:space="preserve">The Division subsequently requested additional information from Ztark, including </w:t>
      </w:r>
      <w:r w:rsidR="00B1230B">
        <w:rPr>
          <w:snapToGrid/>
          <w:kern w:val="0"/>
          <w:szCs w:val="22"/>
        </w:rPr>
        <w:t xml:space="preserve">written responses to </w:t>
      </w:r>
      <w:r w:rsidR="008F7460">
        <w:rPr>
          <w:snapToGrid/>
          <w:kern w:val="0"/>
          <w:szCs w:val="22"/>
        </w:rPr>
        <w:t xml:space="preserve">a </w:t>
      </w:r>
      <w:r w:rsidR="00042C45">
        <w:rPr>
          <w:snapToGrid/>
          <w:kern w:val="0"/>
          <w:szCs w:val="22"/>
        </w:rPr>
        <w:t xml:space="preserve">letter of inquiry pursuant to </w:t>
      </w:r>
      <w:r w:rsidR="006B46D2">
        <w:rPr>
          <w:snapToGrid/>
          <w:kern w:val="0"/>
          <w:szCs w:val="22"/>
        </w:rPr>
        <w:t xml:space="preserve">section </w:t>
      </w:r>
      <w:r w:rsidR="00042C45">
        <w:rPr>
          <w:snapToGrid/>
          <w:kern w:val="0"/>
          <w:szCs w:val="22"/>
        </w:rPr>
        <w:t>308(b) of the Communications Act.</w:t>
      </w:r>
      <w:r w:rsidR="00042C45">
        <w:rPr>
          <w:rStyle w:val="FootnoteReference"/>
          <w:snapToGrid/>
          <w:kern w:val="0"/>
          <w:szCs w:val="22"/>
        </w:rPr>
        <w:footnoteReference w:id="24"/>
      </w:r>
    </w:p>
    <w:p w:rsidR="00404B38" w:rsidRDefault="00FF3A8E" w:rsidP="00040CCF">
      <w:pPr>
        <w:widowControl/>
        <w:numPr>
          <w:ilvl w:val="0"/>
          <w:numId w:val="4"/>
        </w:numPr>
        <w:tabs>
          <w:tab w:val="clear" w:pos="1080"/>
          <w:tab w:val="num" w:pos="1440"/>
        </w:tabs>
        <w:spacing w:after="220"/>
      </w:pPr>
      <w:bookmarkStart w:id="8" w:name="_Ref370111871"/>
      <w:r>
        <w:t xml:space="preserve">The record contains </w:t>
      </w:r>
      <w:r w:rsidR="007865A8">
        <w:t xml:space="preserve">the following information concerning </w:t>
      </w:r>
      <w:r w:rsidR="00404B38">
        <w:t xml:space="preserve">the relationship between </w:t>
      </w:r>
      <w:r w:rsidR="00B1230B">
        <w:t xml:space="preserve">the applicant </w:t>
      </w:r>
      <w:r w:rsidR="00404B38">
        <w:t xml:space="preserve">Ztark, </w:t>
      </w:r>
      <w:r w:rsidR="00B1230B">
        <w:t xml:space="preserve">its controlling interest </w:t>
      </w:r>
      <w:r w:rsidR="00404B38">
        <w:t xml:space="preserve">Tyler Kratz, and </w:t>
      </w:r>
      <w:r w:rsidR="00B1230B">
        <w:t xml:space="preserve">his father </w:t>
      </w:r>
      <w:r w:rsidR="00404B38">
        <w:t>Douglas Kratz:</w:t>
      </w:r>
      <w:bookmarkEnd w:id="8"/>
    </w:p>
    <w:p w:rsidR="003B4893" w:rsidRPr="003B4893" w:rsidRDefault="003B4893" w:rsidP="00040CCF">
      <w:pPr>
        <w:widowControl/>
        <w:numPr>
          <w:ilvl w:val="0"/>
          <w:numId w:val="6"/>
        </w:numPr>
        <w:spacing w:after="220"/>
        <w:ind w:left="1440" w:hanging="720"/>
      </w:pPr>
      <w:r>
        <w:rPr>
          <w:b/>
        </w:rPr>
        <w:t>[REDACTED]</w:t>
      </w:r>
    </w:p>
    <w:p w:rsidR="00404B38" w:rsidRDefault="00404B38" w:rsidP="003B4893">
      <w:pPr>
        <w:widowControl/>
        <w:spacing w:after="220"/>
        <w:ind w:left="1440"/>
      </w:pPr>
      <w:r>
        <w:rPr>
          <w:rStyle w:val="FootnoteReference"/>
        </w:rPr>
        <w:footnoteReference w:id="25"/>
      </w:r>
      <w:r>
        <w:t xml:space="preserve">  </w:t>
      </w:r>
      <w:r>
        <w:rPr>
          <w:rStyle w:val="FootnoteReference"/>
        </w:rPr>
        <w:footnoteReference w:id="26"/>
      </w:r>
    </w:p>
    <w:p w:rsidR="00E864C0" w:rsidRDefault="00E52717" w:rsidP="00040CCF">
      <w:pPr>
        <w:widowControl/>
        <w:numPr>
          <w:ilvl w:val="0"/>
          <w:numId w:val="6"/>
        </w:numPr>
        <w:spacing w:after="220"/>
        <w:ind w:left="1440" w:hanging="720"/>
      </w:pPr>
      <w:r>
        <w:t>The address originally provided for Ztark in its long form application is Ztark Communications, LLC, c/o The National Bank 852 Middle Rd, Bettendorf, IA 52722, ATTN:  Tyler M. Kratz.</w:t>
      </w:r>
      <w:r>
        <w:rPr>
          <w:rStyle w:val="FootnoteReference"/>
        </w:rPr>
        <w:footnoteReference w:id="27"/>
      </w:r>
      <w:r>
        <w:t xml:space="preserve">  Douglas Kratz is a co-founder of The National Bank</w:t>
      </w:r>
      <w:r>
        <w:rPr>
          <w:rStyle w:val="FootnoteReference"/>
        </w:rPr>
        <w:footnoteReference w:id="28"/>
      </w:r>
      <w:r>
        <w:t xml:space="preserve"> and, during the relevant time period, a shareholder of The National Bank.</w:t>
      </w:r>
      <w:r>
        <w:rPr>
          <w:rStyle w:val="FootnoteReference"/>
        </w:rPr>
        <w:footnoteReference w:id="29"/>
      </w:r>
    </w:p>
    <w:p w:rsidR="00E52717" w:rsidRDefault="00E52717" w:rsidP="00E52717">
      <w:pPr>
        <w:widowControl/>
        <w:numPr>
          <w:ilvl w:val="0"/>
          <w:numId w:val="6"/>
        </w:numPr>
        <w:spacing w:after="220"/>
        <w:ind w:left="1440" w:hanging="720"/>
      </w:pPr>
      <w:r>
        <w:t>Both wire transfers for payments to the Commission on Ztark’s behalf were initiated by an employee of The National Bank.</w:t>
      </w:r>
      <w:r>
        <w:rPr>
          <w:rStyle w:val="FootnoteReference"/>
        </w:rPr>
        <w:footnoteReference w:id="30"/>
      </w:r>
      <w:r>
        <w:t xml:space="preserve">  Tyler Kratz was out of the country when those wire transfers were made.</w:t>
      </w:r>
      <w:r>
        <w:rPr>
          <w:rStyle w:val="FootnoteReference"/>
        </w:rPr>
        <w:footnoteReference w:id="31"/>
      </w:r>
      <w:r>
        <w:t xml:space="preserve"> </w:t>
      </w:r>
    </w:p>
    <w:p w:rsidR="00E864C0" w:rsidRDefault="00E864C0" w:rsidP="00040CCF">
      <w:pPr>
        <w:widowControl/>
        <w:numPr>
          <w:ilvl w:val="0"/>
          <w:numId w:val="6"/>
        </w:numPr>
        <w:spacing w:after="220"/>
        <w:ind w:left="1440" w:hanging="720"/>
      </w:pPr>
      <w:r>
        <w:t>In the wire transfer for the initial down payment to the Commission, Ztark’s address is listed as a post office box</w:t>
      </w:r>
      <w:r w:rsidR="00BB68F1">
        <w:t xml:space="preserve"> </w:t>
      </w:r>
      <w:r>
        <w:t>in Rock Island, I</w:t>
      </w:r>
      <w:r w:rsidR="00BB68F1">
        <w:t>llinois</w:t>
      </w:r>
      <w:r>
        <w:t xml:space="preserve">.  This </w:t>
      </w:r>
      <w:r w:rsidR="001C749C">
        <w:t xml:space="preserve">post office box </w:t>
      </w:r>
      <w:r>
        <w:t>has also been used as the address for two businesses, APX Management and Rickey Corporation</w:t>
      </w:r>
      <w:r w:rsidR="00695B24">
        <w:t>, which Douglas Kratz has an ownership interest in</w:t>
      </w:r>
      <w:r>
        <w:t>.</w:t>
      </w:r>
      <w:r w:rsidR="00243D73">
        <w:rPr>
          <w:rStyle w:val="FootnoteReference"/>
        </w:rPr>
        <w:footnoteReference w:id="32"/>
      </w:r>
      <w:r>
        <w:t xml:space="preserve">  Douglas Kratz has also used this post office box as his personal address when making political contributions.</w:t>
      </w:r>
      <w:r w:rsidR="00695B24">
        <w:rPr>
          <w:rStyle w:val="FootnoteReference"/>
        </w:rPr>
        <w:footnoteReference w:id="33"/>
      </w:r>
      <w:r>
        <w:t xml:space="preserve">   </w:t>
      </w:r>
    </w:p>
    <w:p w:rsidR="00753425" w:rsidRPr="00BF0153" w:rsidRDefault="00987808" w:rsidP="00040CCF">
      <w:pPr>
        <w:widowControl/>
        <w:numPr>
          <w:ilvl w:val="0"/>
          <w:numId w:val="6"/>
        </w:numPr>
        <w:spacing w:after="220"/>
        <w:ind w:left="1440" w:hanging="720"/>
      </w:pPr>
      <w:r>
        <w:t xml:space="preserve">Tyler Kratz was a </w:t>
      </w:r>
      <w:r w:rsidR="000D4313">
        <w:t>limited partner</w:t>
      </w:r>
      <w:r>
        <w:t xml:space="preserve"> with a 33 percent ownership interest</w:t>
      </w:r>
      <w:r w:rsidR="000D4313">
        <w:t xml:space="preserve"> in K Family, LP.</w:t>
      </w:r>
      <w:r w:rsidR="001C24A9">
        <w:rPr>
          <w:rStyle w:val="FootnoteReference"/>
        </w:rPr>
        <w:footnoteReference w:id="34"/>
      </w:r>
      <w:r w:rsidR="000D4313">
        <w:t xml:space="preserve">  </w:t>
      </w:r>
      <w:r w:rsidR="00A505E5">
        <w:t>Ztark reports that K Family, LP was controlled or operated by Douglas Kratz.</w:t>
      </w:r>
      <w:r w:rsidR="00A505E5">
        <w:rPr>
          <w:rStyle w:val="FootnoteReference"/>
        </w:rPr>
        <w:footnoteReference w:id="35"/>
      </w:r>
      <w:r w:rsidR="00A505E5">
        <w:t xml:space="preserve">  </w:t>
      </w:r>
      <w:r w:rsidR="00753425">
        <w:rPr>
          <w:b/>
        </w:rPr>
        <w:t>[REDACTED]</w:t>
      </w:r>
      <w:r w:rsidR="005C046F">
        <w:rPr>
          <w:rStyle w:val="FootnoteReference"/>
        </w:rPr>
        <w:footnoteReference w:id="36"/>
      </w:r>
    </w:p>
    <w:p w:rsidR="00BF0153" w:rsidRPr="00445860" w:rsidRDefault="00445860" w:rsidP="00BF0153">
      <w:pPr>
        <w:widowControl/>
        <w:spacing w:after="220"/>
        <w:ind w:left="1440"/>
        <w:rPr>
          <w:b/>
        </w:rPr>
      </w:pPr>
      <w:r>
        <w:rPr>
          <w:b/>
        </w:rPr>
        <w:t>[REDACTED]</w:t>
      </w:r>
    </w:p>
    <w:p w:rsidR="00753425" w:rsidRPr="00445860" w:rsidRDefault="005C046F" w:rsidP="00753425">
      <w:pPr>
        <w:widowControl/>
        <w:spacing w:after="220"/>
        <w:ind w:left="1440"/>
        <w:rPr>
          <w:b/>
        </w:rPr>
      </w:pPr>
      <w:r>
        <w:rPr>
          <w:rStyle w:val="FootnoteReference"/>
        </w:rPr>
        <w:footnoteReference w:id="37"/>
      </w:r>
      <w:r w:rsidR="000D4313">
        <w:t xml:space="preserve">  </w:t>
      </w:r>
      <w:r w:rsidR="00445860">
        <w:rPr>
          <w:b/>
        </w:rPr>
        <w:t>[REDACTED]</w:t>
      </w:r>
    </w:p>
    <w:p w:rsidR="001C306C" w:rsidRDefault="005C046F" w:rsidP="00753425">
      <w:pPr>
        <w:widowControl/>
        <w:spacing w:after="220"/>
        <w:ind w:left="1440"/>
      </w:pPr>
      <w:r>
        <w:rPr>
          <w:rStyle w:val="FootnoteReference"/>
        </w:rPr>
        <w:footnoteReference w:id="38"/>
      </w:r>
      <w:r w:rsidR="00042767">
        <w:t xml:space="preserve">  </w:t>
      </w:r>
      <w:r w:rsidR="00A75E83">
        <w:t>Tyler Kratz received $</w:t>
      </w:r>
      <w:r w:rsidR="00753425">
        <w:rPr>
          <w:b/>
        </w:rPr>
        <w:t>[REDACTED]</w:t>
      </w:r>
      <w:r w:rsidR="00A75E83">
        <w:t xml:space="preserve"> in distributions from the business dealings of K Family, L.P.</w:t>
      </w:r>
      <w:r w:rsidR="00A75E83">
        <w:rPr>
          <w:rStyle w:val="FootnoteReference"/>
        </w:rPr>
        <w:footnoteReference w:id="39"/>
      </w:r>
      <w:r w:rsidR="00A75E83">
        <w:t xml:space="preserve">  Ztark represents </w:t>
      </w:r>
      <w:r w:rsidR="0068049A">
        <w:t>that K Family, L.P. last conducted business in 2007.</w:t>
      </w:r>
      <w:r w:rsidR="0068049A">
        <w:rPr>
          <w:rStyle w:val="FootnoteReference"/>
        </w:rPr>
        <w:footnoteReference w:id="40"/>
      </w:r>
    </w:p>
    <w:p w:rsidR="000D4313" w:rsidRDefault="001C306C" w:rsidP="00040CCF">
      <w:pPr>
        <w:widowControl/>
        <w:numPr>
          <w:ilvl w:val="0"/>
          <w:numId w:val="6"/>
        </w:numPr>
        <w:spacing w:after="220"/>
        <w:ind w:left="1440" w:hanging="720"/>
      </w:pPr>
      <w:r>
        <w:t xml:space="preserve">Ztark </w:t>
      </w:r>
      <w:r w:rsidR="00D67708">
        <w:t xml:space="preserve">has not provided gross revenue information for </w:t>
      </w:r>
      <w:r w:rsidR="00FF3A8E">
        <w:t>Douglas Kratz</w:t>
      </w:r>
      <w:r w:rsidR="00D67708">
        <w:t xml:space="preserve"> or companies controlled by Douglas Kratz</w:t>
      </w:r>
      <w:r>
        <w:t>.</w:t>
      </w:r>
      <w:r w:rsidR="00FB6C7E">
        <w:rPr>
          <w:rStyle w:val="FootnoteReference"/>
        </w:rPr>
        <w:footnoteReference w:id="41"/>
      </w:r>
    </w:p>
    <w:p w:rsidR="00305772" w:rsidRDefault="004D3EEE" w:rsidP="00040CCF">
      <w:pPr>
        <w:pStyle w:val="Heading1"/>
        <w:widowControl/>
      </w:pPr>
      <w:r>
        <w:t>Discussion</w:t>
      </w:r>
    </w:p>
    <w:p w:rsidR="00042767" w:rsidRPr="00981520" w:rsidRDefault="003C179A" w:rsidP="00981520">
      <w:pPr>
        <w:pStyle w:val="BalloonText"/>
        <w:widowControl/>
        <w:numPr>
          <w:ilvl w:val="0"/>
          <w:numId w:val="10"/>
        </w:numPr>
        <w:tabs>
          <w:tab w:val="clear" w:pos="1080"/>
          <w:tab w:val="num" w:pos="1440"/>
        </w:tabs>
        <w:rPr>
          <w:rFonts w:ascii="Times New Roman" w:hAnsi="Times New Roman" w:cs="Times New Roman"/>
          <w:sz w:val="22"/>
          <w:szCs w:val="22"/>
        </w:rPr>
      </w:pPr>
      <w:r w:rsidRPr="00981520">
        <w:rPr>
          <w:rFonts w:ascii="Times New Roman" w:hAnsi="Times New Roman" w:cs="Times New Roman"/>
          <w:sz w:val="22"/>
          <w:szCs w:val="22"/>
        </w:rPr>
        <w:t xml:space="preserve">We find that </w:t>
      </w:r>
      <w:r w:rsidR="00042767" w:rsidRPr="00981520">
        <w:rPr>
          <w:rFonts w:ascii="Times New Roman" w:hAnsi="Times New Roman" w:cs="Times New Roman"/>
          <w:sz w:val="22"/>
          <w:szCs w:val="22"/>
        </w:rPr>
        <w:t xml:space="preserve">Ztark </w:t>
      </w:r>
      <w:r w:rsidRPr="00981520">
        <w:rPr>
          <w:rFonts w:ascii="Times New Roman" w:hAnsi="Times New Roman" w:cs="Times New Roman"/>
          <w:sz w:val="22"/>
          <w:szCs w:val="22"/>
        </w:rPr>
        <w:t xml:space="preserve">has not </w:t>
      </w:r>
      <w:r w:rsidR="00042767" w:rsidRPr="00981520">
        <w:rPr>
          <w:rFonts w:ascii="Times New Roman" w:hAnsi="Times New Roman" w:cs="Times New Roman"/>
          <w:sz w:val="22"/>
          <w:szCs w:val="22"/>
        </w:rPr>
        <w:t xml:space="preserve">rebutted </w:t>
      </w:r>
      <w:r w:rsidR="001C306C" w:rsidRPr="00981520">
        <w:rPr>
          <w:rFonts w:ascii="Times New Roman" w:hAnsi="Times New Roman" w:cs="Times New Roman"/>
          <w:sz w:val="22"/>
          <w:szCs w:val="22"/>
        </w:rPr>
        <w:t xml:space="preserve">the presumption </w:t>
      </w:r>
      <w:r w:rsidR="00B1230B" w:rsidRPr="00981520">
        <w:rPr>
          <w:rFonts w:ascii="Times New Roman" w:hAnsi="Times New Roman" w:cs="Times New Roman"/>
          <w:sz w:val="22"/>
          <w:szCs w:val="22"/>
        </w:rPr>
        <w:t xml:space="preserve">of the Commission’s kinship affiliation rule </w:t>
      </w:r>
      <w:r w:rsidR="001C306C" w:rsidRPr="00981520">
        <w:rPr>
          <w:rFonts w:ascii="Times New Roman" w:hAnsi="Times New Roman" w:cs="Times New Roman"/>
          <w:sz w:val="22"/>
          <w:szCs w:val="22"/>
        </w:rPr>
        <w:t>that Tyler Kratz’ father, Douglas Kratz</w:t>
      </w:r>
      <w:r w:rsidR="00CD3B4E" w:rsidRPr="00981520">
        <w:rPr>
          <w:rFonts w:ascii="Times New Roman" w:hAnsi="Times New Roman" w:cs="Times New Roman"/>
          <w:sz w:val="22"/>
          <w:szCs w:val="22"/>
        </w:rPr>
        <w:t>,</w:t>
      </w:r>
      <w:r w:rsidR="001C306C" w:rsidRPr="00981520">
        <w:rPr>
          <w:rFonts w:ascii="Times New Roman" w:hAnsi="Times New Roman" w:cs="Times New Roman"/>
          <w:sz w:val="22"/>
          <w:szCs w:val="22"/>
        </w:rPr>
        <w:t xml:space="preserve"> </w:t>
      </w:r>
      <w:r w:rsidR="00EF2B3A" w:rsidRPr="00981520">
        <w:rPr>
          <w:rFonts w:ascii="Times New Roman" w:hAnsi="Times New Roman" w:cs="Times New Roman"/>
          <w:sz w:val="22"/>
          <w:szCs w:val="22"/>
        </w:rPr>
        <w:t>has</w:t>
      </w:r>
      <w:r w:rsidR="007A5BE5" w:rsidRPr="00981520">
        <w:rPr>
          <w:rFonts w:ascii="Times New Roman" w:hAnsi="Times New Roman" w:cs="Times New Roman"/>
          <w:sz w:val="22"/>
          <w:szCs w:val="22"/>
        </w:rPr>
        <w:t xml:space="preserve"> an identity of interest with </w:t>
      </w:r>
      <w:r w:rsidR="00B1230B" w:rsidRPr="00981520">
        <w:rPr>
          <w:rFonts w:ascii="Times New Roman" w:hAnsi="Times New Roman" w:cs="Times New Roman"/>
          <w:sz w:val="22"/>
          <w:szCs w:val="22"/>
        </w:rPr>
        <w:t>the applicant Ztark and its controlling interest</w:t>
      </w:r>
      <w:r w:rsidR="00A6702C" w:rsidRPr="00981520">
        <w:rPr>
          <w:rFonts w:ascii="Times New Roman" w:hAnsi="Times New Roman" w:cs="Times New Roman"/>
          <w:sz w:val="22"/>
          <w:szCs w:val="22"/>
        </w:rPr>
        <w:t xml:space="preserve"> holder</w:t>
      </w:r>
      <w:r w:rsidR="00B1230B" w:rsidRPr="00981520">
        <w:rPr>
          <w:rFonts w:ascii="Times New Roman" w:hAnsi="Times New Roman" w:cs="Times New Roman"/>
          <w:sz w:val="22"/>
          <w:szCs w:val="22"/>
        </w:rPr>
        <w:t xml:space="preserve">, his son, </w:t>
      </w:r>
      <w:r w:rsidR="007A5BE5" w:rsidRPr="00981520">
        <w:rPr>
          <w:rFonts w:ascii="Times New Roman" w:hAnsi="Times New Roman" w:cs="Times New Roman"/>
          <w:sz w:val="22"/>
          <w:szCs w:val="22"/>
        </w:rPr>
        <w:t>Tyler Kratz</w:t>
      </w:r>
      <w:r w:rsidR="00274187" w:rsidRPr="00981520">
        <w:rPr>
          <w:rFonts w:ascii="Times New Roman" w:hAnsi="Times New Roman" w:cs="Times New Roman"/>
          <w:sz w:val="22"/>
          <w:szCs w:val="22"/>
        </w:rPr>
        <w:t>.  B</w:t>
      </w:r>
      <w:r w:rsidR="00B95F8E" w:rsidRPr="00981520">
        <w:rPr>
          <w:rFonts w:ascii="Times New Roman" w:hAnsi="Times New Roman" w:cs="Times New Roman"/>
          <w:sz w:val="22"/>
          <w:szCs w:val="22"/>
        </w:rPr>
        <w:t xml:space="preserve">ecause Ztark has not provided Douglas Kratz’ </w:t>
      </w:r>
      <w:r w:rsidR="00274187" w:rsidRPr="00981520">
        <w:rPr>
          <w:rFonts w:ascii="Times New Roman" w:hAnsi="Times New Roman" w:cs="Times New Roman"/>
          <w:sz w:val="22"/>
          <w:szCs w:val="22"/>
        </w:rPr>
        <w:t xml:space="preserve">gross </w:t>
      </w:r>
      <w:r w:rsidR="00B95F8E" w:rsidRPr="00981520">
        <w:rPr>
          <w:rFonts w:ascii="Times New Roman" w:hAnsi="Times New Roman" w:cs="Times New Roman"/>
          <w:sz w:val="22"/>
          <w:szCs w:val="22"/>
        </w:rPr>
        <w:t>revenues, we are unable to conclude</w:t>
      </w:r>
      <w:r w:rsidR="00EF2B3A" w:rsidRPr="00981520">
        <w:rPr>
          <w:rFonts w:ascii="Times New Roman" w:hAnsi="Times New Roman" w:cs="Times New Roman"/>
          <w:sz w:val="22"/>
          <w:szCs w:val="22"/>
        </w:rPr>
        <w:t xml:space="preserve"> that Ztark is eligible for an </w:t>
      </w:r>
      <w:r w:rsidR="00B72A40" w:rsidRPr="00981520">
        <w:rPr>
          <w:rFonts w:ascii="Times New Roman" w:hAnsi="Times New Roman" w:cs="Times New Roman"/>
          <w:sz w:val="22"/>
          <w:szCs w:val="22"/>
        </w:rPr>
        <w:t>e</w:t>
      </w:r>
      <w:r w:rsidR="00EF2B3A" w:rsidRPr="00981520">
        <w:rPr>
          <w:rFonts w:ascii="Times New Roman" w:hAnsi="Times New Roman" w:cs="Times New Roman"/>
          <w:sz w:val="22"/>
          <w:szCs w:val="22"/>
        </w:rPr>
        <w:t xml:space="preserve">ntrepreneur </w:t>
      </w:r>
      <w:r w:rsidR="00B1230B" w:rsidRPr="00981520">
        <w:rPr>
          <w:rFonts w:ascii="Times New Roman" w:hAnsi="Times New Roman" w:cs="Times New Roman"/>
          <w:sz w:val="22"/>
          <w:szCs w:val="22"/>
        </w:rPr>
        <w:t>bidding credit in Auction 86</w:t>
      </w:r>
      <w:r w:rsidR="00B95F8E" w:rsidRPr="00981520">
        <w:rPr>
          <w:rFonts w:ascii="Times New Roman" w:hAnsi="Times New Roman" w:cs="Times New Roman"/>
          <w:sz w:val="22"/>
          <w:szCs w:val="22"/>
        </w:rPr>
        <w:t xml:space="preserve">.  </w:t>
      </w:r>
      <w:r w:rsidRPr="00981520">
        <w:rPr>
          <w:rFonts w:ascii="Times New Roman" w:hAnsi="Times New Roman" w:cs="Times New Roman"/>
          <w:sz w:val="22"/>
          <w:szCs w:val="22"/>
        </w:rPr>
        <w:t>We discuss these findings in detail below.</w:t>
      </w:r>
      <w:bookmarkStart w:id="9" w:name="_Ref336596169"/>
    </w:p>
    <w:p w:rsidR="00B1230B" w:rsidRPr="00EF2B3A" w:rsidRDefault="00B1230B" w:rsidP="00040CCF">
      <w:pPr>
        <w:pStyle w:val="BalloonText"/>
        <w:widowControl/>
        <w:numPr>
          <w:ilvl w:val="0"/>
          <w:numId w:val="0"/>
        </w:numPr>
        <w:ind w:left="720"/>
        <w:rPr>
          <w:rFonts w:ascii="Times New Roman" w:hAnsi="Times New Roman" w:cs="Times New Roman"/>
          <w:sz w:val="22"/>
          <w:szCs w:val="22"/>
        </w:rPr>
      </w:pPr>
    </w:p>
    <w:p w:rsidR="00A42099" w:rsidRPr="00040CCF" w:rsidRDefault="00A028FC"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z w:val="22"/>
          <w:szCs w:val="22"/>
        </w:rPr>
        <w:t xml:space="preserve">To demonstrate </w:t>
      </w:r>
      <w:r w:rsidR="00454D09" w:rsidRPr="00040CCF">
        <w:rPr>
          <w:rFonts w:ascii="Times New Roman" w:hAnsi="Times New Roman" w:cs="Times New Roman"/>
          <w:sz w:val="22"/>
          <w:szCs w:val="22"/>
        </w:rPr>
        <w:t xml:space="preserve">eligibility for a </w:t>
      </w:r>
      <w:r w:rsidR="0053097D" w:rsidRPr="00040CCF">
        <w:rPr>
          <w:rFonts w:ascii="Times New Roman" w:hAnsi="Times New Roman" w:cs="Times New Roman"/>
          <w:sz w:val="22"/>
          <w:szCs w:val="22"/>
        </w:rPr>
        <w:t>small business bidding</w:t>
      </w:r>
      <w:r w:rsidR="00454D09" w:rsidRPr="00040CCF">
        <w:rPr>
          <w:rFonts w:ascii="Times New Roman" w:hAnsi="Times New Roman" w:cs="Times New Roman"/>
          <w:sz w:val="22"/>
          <w:szCs w:val="22"/>
        </w:rPr>
        <w:t xml:space="preserve"> credit in Auction 86, specifically, </w:t>
      </w:r>
      <w:r w:rsidR="0053097D" w:rsidRPr="00040CCF">
        <w:rPr>
          <w:rFonts w:ascii="Times New Roman" w:hAnsi="Times New Roman" w:cs="Times New Roman"/>
          <w:sz w:val="22"/>
          <w:szCs w:val="22"/>
        </w:rPr>
        <w:t>for a 35 percent</w:t>
      </w:r>
      <w:r w:rsidR="00454D09" w:rsidRPr="00040CCF">
        <w:rPr>
          <w:rFonts w:ascii="Times New Roman" w:hAnsi="Times New Roman" w:cs="Times New Roman"/>
          <w:sz w:val="22"/>
          <w:szCs w:val="22"/>
        </w:rPr>
        <w:t xml:space="preserve"> entrepreneur </w:t>
      </w:r>
      <w:r w:rsidR="0053097D" w:rsidRPr="00040CCF">
        <w:rPr>
          <w:rFonts w:ascii="Times New Roman" w:hAnsi="Times New Roman" w:cs="Times New Roman"/>
          <w:sz w:val="22"/>
          <w:szCs w:val="22"/>
        </w:rPr>
        <w:t xml:space="preserve">bidding </w:t>
      </w:r>
      <w:r w:rsidR="00454D09" w:rsidRPr="00040CCF">
        <w:rPr>
          <w:rFonts w:ascii="Times New Roman" w:hAnsi="Times New Roman" w:cs="Times New Roman"/>
          <w:sz w:val="22"/>
          <w:szCs w:val="22"/>
        </w:rPr>
        <w:t>credit, Ztark must show that the average gross revenues for itself, its controlling interest</w:t>
      </w:r>
      <w:r w:rsidR="00A6702C" w:rsidRPr="00040CCF">
        <w:rPr>
          <w:rFonts w:ascii="Times New Roman" w:hAnsi="Times New Roman" w:cs="Times New Roman"/>
          <w:sz w:val="22"/>
          <w:szCs w:val="22"/>
        </w:rPr>
        <w:t xml:space="preserve"> holders</w:t>
      </w:r>
      <w:r w:rsidR="00454D09" w:rsidRPr="00040CCF">
        <w:rPr>
          <w:rFonts w:ascii="Times New Roman" w:hAnsi="Times New Roman" w:cs="Times New Roman"/>
          <w:sz w:val="22"/>
          <w:szCs w:val="22"/>
        </w:rPr>
        <w:t xml:space="preserve"> and its affiliates </w:t>
      </w:r>
      <w:r w:rsidR="0053097D" w:rsidRPr="00040CCF">
        <w:rPr>
          <w:rFonts w:ascii="Times New Roman" w:hAnsi="Times New Roman" w:cs="Times New Roman"/>
          <w:sz w:val="22"/>
          <w:szCs w:val="22"/>
        </w:rPr>
        <w:t>did</w:t>
      </w:r>
      <w:r w:rsidR="00454D09" w:rsidRPr="00040CCF">
        <w:rPr>
          <w:rFonts w:ascii="Times New Roman" w:hAnsi="Times New Roman" w:cs="Times New Roman"/>
          <w:sz w:val="22"/>
          <w:szCs w:val="22"/>
        </w:rPr>
        <w:t xml:space="preserve"> not exceed </w:t>
      </w:r>
      <w:r w:rsidR="0014346E" w:rsidRPr="00040CCF">
        <w:rPr>
          <w:rFonts w:ascii="Times New Roman" w:hAnsi="Times New Roman" w:cs="Times New Roman"/>
          <w:sz w:val="22"/>
          <w:szCs w:val="22"/>
        </w:rPr>
        <w:t xml:space="preserve">an aggregate of </w:t>
      </w:r>
      <w:r w:rsidR="00454D09" w:rsidRPr="00040CCF">
        <w:rPr>
          <w:rFonts w:ascii="Times New Roman" w:hAnsi="Times New Roman" w:cs="Times New Roman"/>
          <w:sz w:val="22"/>
          <w:szCs w:val="22"/>
        </w:rPr>
        <w:t>$3,000,000 for the three years immediately preceding the filing of its long form application.</w:t>
      </w:r>
      <w:r w:rsidR="00274187" w:rsidRPr="00040CCF">
        <w:rPr>
          <w:rStyle w:val="FootnoteReference"/>
          <w:rFonts w:cs="Times New Roman"/>
          <w:szCs w:val="22"/>
        </w:rPr>
        <w:footnoteReference w:id="42"/>
      </w:r>
      <w:r w:rsidR="00454D09" w:rsidRPr="00040CCF">
        <w:rPr>
          <w:rFonts w:ascii="Times New Roman" w:hAnsi="Times New Roman" w:cs="Times New Roman"/>
          <w:sz w:val="22"/>
          <w:szCs w:val="22"/>
        </w:rPr>
        <w:t xml:space="preserve">  The Commission’s </w:t>
      </w:r>
      <w:r w:rsidR="001B490C" w:rsidRPr="00040CCF">
        <w:rPr>
          <w:rFonts w:ascii="Times New Roman" w:hAnsi="Times New Roman" w:cs="Times New Roman"/>
          <w:sz w:val="22"/>
          <w:szCs w:val="22"/>
        </w:rPr>
        <w:t xml:space="preserve">attribution </w:t>
      </w:r>
      <w:r w:rsidR="00454D09" w:rsidRPr="00040CCF">
        <w:rPr>
          <w:rFonts w:ascii="Times New Roman" w:hAnsi="Times New Roman" w:cs="Times New Roman"/>
          <w:sz w:val="22"/>
          <w:szCs w:val="22"/>
        </w:rPr>
        <w:t xml:space="preserve">rules </w:t>
      </w:r>
      <w:r w:rsidR="001B490C" w:rsidRPr="00040CCF">
        <w:rPr>
          <w:rFonts w:ascii="Times New Roman" w:hAnsi="Times New Roman" w:cs="Times New Roman"/>
          <w:sz w:val="22"/>
          <w:szCs w:val="22"/>
        </w:rPr>
        <w:t xml:space="preserve">for </w:t>
      </w:r>
      <w:r w:rsidR="00B1230B" w:rsidRPr="00040CCF">
        <w:rPr>
          <w:rFonts w:ascii="Times New Roman" w:hAnsi="Times New Roman" w:cs="Times New Roman"/>
          <w:sz w:val="22"/>
          <w:szCs w:val="22"/>
        </w:rPr>
        <w:t>entities that are eligible for small business benefits</w:t>
      </w:r>
      <w:r w:rsidR="001B490C" w:rsidRPr="00040CCF">
        <w:rPr>
          <w:rFonts w:ascii="Times New Roman" w:hAnsi="Times New Roman" w:cs="Times New Roman"/>
          <w:sz w:val="22"/>
          <w:szCs w:val="22"/>
        </w:rPr>
        <w:t xml:space="preserve"> </w:t>
      </w:r>
      <w:r w:rsidR="00454D09" w:rsidRPr="00040CCF">
        <w:rPr>
          <w:rFonts w:ascii="Times New Roman" w:hAnsi="Times New Roman" w:cs="Times New Roman"/>
          <w:sz w:val="22"/>
          <w:szCs w:val="22"/>
        </w:rPr>
        <w:t xml:space="preserve">set forth a presumption that </w:t>
      </w:r>
      <w:r w:rsidR="00454D09" w:rsidRPr="00040CCF">
        <w:rPr>
          <w:rFonts w:ascii="Times New Roman" w:hAnsi="Times New Roman" w:cs="Times New Roman"/>
          <w:snapToGrid/>
          <w:kern w:val="0"/>
          <w:sz w:val="22"/>
          <w:szCs w:val="22"/>
        </w:rPr>
        <w:t>immediate family members own or control or have the power to control interests owned or controlled by other immediate family members</w:t>
      </w:r>
      <w:r w:rsidR="00454D09" w:rsidRPr="00040CCF">
        <w:rPr>
          <w:rFonts w:ascii="Times New Roman" w:hAnsi="Times New Roman" w:cs="Times New Roman"/>
          <w:sz w:val="22"/>
          <w:szCs w:val="22"/>
        </w:rPr>
        <w:t>.</w:t>
      </w:r>
      <w:r w:rsidR="00454D09" w:rsidRPr="00040CCF">
        <w:rPr>
          <w:rStyle w:val="FootnoteReference"/>
          <w:rFonts w:cs="Times New Roman"/>
          <w:szCs w:val="22"/>
        </w:rPr>
        <w:footnoteReference w:id="43"/>
      </w:r>
      <w:r w:rsidR="00454D09" w:rsidRPr="00040CCF">
        <w:rPr>
          <w:rFonts w:ascii="Times New Roman" w:hAnsi="Times New Roman" w:cs="Times New Roman"/>
          <w:sz w:val="22"/>
          <w:szCs w:val="22"/>
        </w:rPr>
        <w:t xml:space="preserve">  This kinship affiliation rule can be rebutted with evidence that </w:t>
      </w:r>
      <w:r w:rsidR="00454D09" w:rsidRPr="00040CCF">
        <w:rPr>
          <w:rFonts w:ascii="Times New Roman" w:hAnsi="Times New Roman" w:cs="Times New Roman"/>
          <w:snapToGrid/>
          <w:kern w:val="0"/>
          <w:sz w:val="22"/>
          <w:szCs w:val="22"/>
        </w:rPr>
        <w:t>the family members are estranged, the family ties are remote, or the family members are not closely involved with each other in business matters.</w:t>
      </w:r>
      <w:r w:rsidR="003D65E0" w:rsidRPr="00040CCF">
        <w:rPr>
          <w:rStyle w:val="FootnoteReference"/>
          <w:rFonts w:cs="Times New Roman"/>
          <w:snapToGrid/>
          <w:kern w:val="0"/>
          <w:szCs w:val="22"/>
        </w:rPr>
        <w:footnoteReference w:id="44"/>
      </w:r>
      <w:r w:rsidR="008528B6" w:rsidRPr="00040CCF">
        <w:rPr>
          <w:rFonts w:ascii="Times New Roman" w:hAnsi="Times New Roman" w:cs="Times New Roman"/>
          <w:snapToGrid/>
          <w:kern w:val="0"/>
          <w:sz w:val="22"/>
          <w:szCs w:val="22"/>
        </w:rPr>
        <w:t xml:space="preserve">  If the kinship affiliation rule is not rebutted, then an applicant for a </w:t>
      </w:r>
      <w:r w:rsidR="00B1230B" w:rsidRPr="00040CCF">
        <w:rPr>
          <w:rFonts w:ascii="Times New Roman" w:hAnsi="Times New Roman" w:cs="Times New Roman"/>
          <w:snapToGrid/>
          <w:kern w:val="0"/>
          <w:sz w:val="22"/>
          <w:szCs w:val="22"/>
        </w:rPr>
        <w:t xml:space="preserve">small business bidding credit </w:t>
      </w:r>
      <w:r w:rsidR="008528B6" w:rsidRPr="00040CCF">
        <w:rPr>
          <w:rFonts w:ascii="Times New Roman" w:hAnsi="Times New Roman" w:cs="Times New Roman"/>
          <w:snapToGrid/>
          <w:kern w:val="0"/>
          <w:sz w:val="22"/>
          <w:szCs w:val="22"/>
        </w:rPr>
        <w:t xml:space="preserve">must report the immediate relative as a controlling interest holder or </w:t>
      </w:r>
      <w:r w:rsidR="00BA6A43" w:rsidRPr="00040CCF">
        <w:rPr>
          <w:rFonts w:ascii="Times New Roman" w:hAnsi="Times New Roman" w:cs="Times New Roman"/>
          <w:snapToGrid/>
          <w:kern w:val="0"/>
          <w:sz w:val="22"/>
          <w:szCs w:val="22"/>
        </w:rPr>
        <w:t xml:space="preserve">an </w:t>
      </w:r>
      <w:r w:rsidR="008528B6" w:rsidRPr="00040CCF">
        <w:rPr>
          <w:rFonts w:ascii="Times New Roman" w:hAnsi="Times New Roman" w:cs="Times New Roman"/>
          <w:snapToGrid/>
          <w:kern w:val="0"/>
          <w:sz w:val="22"/>
          <w:szCs w:val="22"/>
        </w:rPr>
        <w:t>affiliate</w:t>
      </w:r>
      <w:r w:rsidR="00BA6A43" w:rsidRPr="00040CCF">
        <w:rPr>
          <w:rFonts w:ascii="Times New Roman" w:hAnsi="Times New Roman" w:cs="Times New Roman"/>
          <w:snapToGrid/>
          <w:kern w:val="0"/>
          <w:sz w:val="22"/>
          <w:szCs w:val="22"/>
        </w:rPr>
        <w:t xml:space="preserve"> of the applicant</w:t>
      </w:r>
      <w:r w:rsidR="008528B6" w:rsidRPr="00040CCF">
        <w:rPr>
          <w:rFonts w:ascii="Times New Roman" w:hAnsi="Times New Roman" w:cs="Times New Roman"/>
          <w:snapToGrid/>
          <w:kern w:val="0"/>
          <w:sz w:val="22"/>
          <w:szCs w:val="22"/>
        </w:rPr>
        <w:t>, and must provide the family member’s gross revenues for the relevant time period.</w:t>
      </w:r>
      <w:r w:rsidR="00063EB8" w:rsidRPr="00040CCF">
        <w:rPr>
          <w:rStyle w:val="FootnoteReference"/>
          <w:rFonts w:cs="Times New Roman"/>
          <w:snapToGrid/>
          <w:kern w:val="0"/>
          <w:szCs w:val="22"/>
        </w:rPr>
        <w:footnoteReference w:id="45"/>
      </w:r>
    </w:p>
    <w:bookmarkEnd w:id="9"/>
    <w:p w:rsidR="00BF0153" w:rsidRPr="00BF0153" w:rsidRDefault="008E295D" w:rsidP="00BF0153">
      <w:pPr>
        <w:pStyle w:val="BalloonText"/>
        <w:widowControl/>
        <w:tabs>
          <w:tab w:val="clear" w:pos="1080"/>
          <w:tab w:val="num" w:pos="1440"/>
        </w:tabs>
        <w:spacing w:after="220"/>
        <w:rPr>
          <w:rFonts w:ascii="Times New Roman" w:hAnsi="Times New Roman" w:cs="Times New Roman"/>
          <w:snapToGrid/>
          <w:kern w:val="0"/>
          <w:sz w:val="22"/>
          <w:szCs w:val="22"/>
        </w:rPr>
      </w:pPr>
      <w:r w:rsidRPr="00040CCF">
        <w:rPr>
          <w:rFonts w:ascii="Times New Roman" w:hAnsi="Times New Roman" w:cs="Times New Roman"/>
          <w:sz w:val="22"/>
          <w:szCs w:val="22"/>
        </w:rPr>
        <w:t>Ztark</w:t>
      </w:r>
      <w:r w:rsidRPr="00040CCF">
        <w:rPr>
          <w:rFonts w:ascii="Times New Roman" w:hAnsi="Times New Roman" w:cs="Times New Roman"/>
          <w:snapToGrid/>
          <w:kern w:val="0"/>
          <w:sz w:val="22"/>
          <w:szCs w:val="22"/>
        </w:rPr>
        <w:t xml:space="preserve"> </w:t>
      </w:r>
      <w:r w:rsidR="00BA6A43" w:rsidRPr="00040CCF">
        <w:rPr>
          <w:rFonts w:ascii="Times New Roman" w:hAnsi="Times New Roman" w:cs="Times New Roman"/>
          <w:snapToGrid/>
          <w:kern w:val="0"/>
          <w:sz w:val="22"/>
          <w:szCs w:val="22"/>
        </w:rPr>
        <w:t>claims</w:t>
      </w:r>
      <w:r w:rsidRPr="00040CCF">
        <w:rPr>
          <w:rFonts w:ascii="Times New Roman" w:hAnsi="Times New Roman" w:cs="Times New Roman"/>
          <w:snapToGrid/>
          <w:kern w:val="0"/>
          <w:sz w:val="22"/>
          <w:szCs w:val="22"/>
        </w:rPr>
        <w:t xml:space="preserve"> that</w:t>
      </w:r>
      <w:r w:rsidR="005B4A56" w:rsidRPr="00040CCF">
        <w:rPr>
          <w:rFonts w:ascii="Times New Roman" w:hAnsi="Times New Roman" w:cs="Times New Roman"/>
          <w:snapToGrid/>
          <w:kern w:val="0"/>
          <w:sz w:val="22"/>
          <w:szCs w:val="22"/>
        </w:rPr>
        <w:t xml:space="preserve"> neither it nor</w:t>
      </w:r>
      <w:r w:rsidRPr="00040CCF">
        <w:rPr>
          <w:rFonts w:ascii="Times New Roman" w:hAnsi="Times New Roman" w:cs="Times New Roman"/>
          <w:snapToGrid/>
          <w:kern w:val="0"/>
          <w:sz w:val="22"/>
          <w:szCs w:val="22"/>
        </w:rPr>
        <w:t xml:space="preserve"> Tyler Kratz</w:t>
      </w:r>
      <w:r w:rsidR="005B4A56" w:rsidRPr="00040CCF">
        <w:rPr>
          <w:rFonts w:ascii="Times New Roman" w:hAnsi="Times New Roman" w:cs="Times New Roman"/>
          <w:snapToGrid/>
          <w:kern w:val="0"/>
          <w:sz w:val="22"/>
          <w:szCs w:val="22"/>
        </w:rPr>
        <w:t xml:space="preserve"> has</w:t>
      </w:r>
      <w:r w:rsidR="00A42099" w:rsidRPr="00040CCF">
        <w:rPr>
          <w:rFonts w:ascii="Times New Roman" w:hAnsi="Times New Roman" w:cs="Times New Roman"/>
          <w:snapToGrid/>
          <w:kern w:val="0"/>
          <w:sz w:val="22"/>
          <w:szCs w:val="22"/>
        </w:rPr>
        <w:t xml:space="preserve"> any relationship with any of the entities controlled by Douglas Kratz, and </w:t>
      </w:r>
      <w:r w:rsidR="005B4A56" w:rsidRPr="00040CCF">
        <w:rPr>
          <w:rFonts w:ascii="Times New Roman" w:hAnsi="Times New Roman" w:cs="Times New Roman"/>
          <w:snapToGrid/>
          <w:kern w:val="0"/>
          <w:sz w:val="22"/>
          <w:szCs w:val="22"/>
        </w:rPr>
        <w:t xml:space="preserve">that </w:t>
      </w:r>
      <w:r w:rsidR="00A42099" w:rsidRPr="00040CCF">
        <w:rPr>
          <w:rFonts w:ascii="Times New Roman" w:hAnsi="Times New Roman" w:cs="Times New Roman"/>
          <w:snapToGrid/>
          <w:kern w:val="0"/>
          <w:sz w:val="22"/>
          <w:szCs w:val="22"/>
        </w:rPr>
        <w:t xml:space="preserve">Tyler and Douglas Kratz have no ability to control or influence </w:t>
      </w:r>
      <w:r w:rsidR="000A60DE" w:rsidRPr="00040CCF">
        <w:rPr>
          <w:rFonts w:ascii="Times New Roman" w:hAnsi="Times New Roman" w:cs="Times New Roman"/>
          <w:snapToGrid/>
          <w:kern w:val="0"/>
          <w:sz w:val="22"/>
          <w:szCs w:val="22"/>
        </w:rPr>
        <w:t>the operations of each other</w:t>
      </w:r>
      <w:r w:rsidR="00A42099" w:rsidRPr="00040CCF">
        <w:rPr>
          <w:rFonts w:ascii="Times New Roman" w:hAnsi="Times New Roman" w:cs="Times New Roman"/>
          <w:snapToGrid/>
          <w:kern w:val="0"/>
          <w:sz w:val="22"/>
          <w:szCs w:val="22"/>
        </w:rPr>
        <w:t>’s entities.</w:t>
      </w:r>
      <w:r w:rsidRPr="00040CCF">
        <w:rPr>
          <w:rStyle w:val="FootnoteReference"/>
          <w:rFonts w:cs="Times New Roman"/>
          <w:snapToGrid/>
          <w:kern w:val="0"/>
          <w:szCs w:val="22"/>
        </w:rPr>
        <w:footnoteReference w:id="46"/>
      </w:r>
      <w:r w:rsidR="00A42099" w:rsidRPr="00040CCF">
        <w:rPr>
          <w:rFonts w:ascii="Times New Roman" w:hAnsi="Times New Roman" w:cs="Times New Roman"/>
          <w:snapToGrid/>
          <w:kern w:val="0"/>
          <w:sz w:val="22"/>
          <w:szCs w:val="22"/>
        </w:rPr>
        <w:t xml:space="preserve"> </w:t>
      </w:r>
      <w:r w:rsidR="007A5BE5" w:rsidRPr="00040CCF">
        <w:rPr>
          <w:rFonts w:ascii="Times New Roman" w:hAnsi="Times New Roman" w:cs="Times New Roman"/>
          <w:snapToGrid/>
          <w:kern w:val="0"/>
          <w:sz w:val="22"/>
          <w:szCs w:val="22"/>
        </w:rPr>
        <w:t xml:space="preserve"> </w:t>
      </w:r>
      <w:r w:rsidR="00844CDE" w:rsidRPr="00040CCF">
        <w:rPr>
          <w:rFonts w:ascii="Times New Roman" w:hAnsi="Times New Roman" w:cs="Times New Roman"/>
          <w:snapToGrid/>
          <w:kern w:val="0"/>
          <w:sz w:val="22"/>
          <w:szCs w:val="22"/>
        </w:rPr>
        <w:t xml:space="preserve">We </w:t>
      </w:r>
      <w:r w:rsidR="00BA6A43" w:rsidRPr="00040CCF">
        <w:rPr>
          <w:rFonts w:ascii="Times New Roman" w:hAnsi="Times New Roman" w:cs="Times New Roman"/>
          <w:snapToGrid/>
          <w:kern w:val="0"/>
          <w:sz w:val="22"/>
          <w:szCs w:val="22"/>
        </w:rPr>
        <w:t xml:space="preserve">conclude, however, that Ztark has failed to demonstrate that </w:t>
      </w:r>
      <w:r w:rsidR="0030668B" w:rsidRPr="00040CCF">
        <w:rPr>
          <w:rFonts w:ascii="Times New Roman" w:hAnsi="Times New Roman" w:cs="Times New Roman"/>
          <w:sz w:val="22"/>
          <w:szCs w:val="22"/>
        </w:rPr>
        <w:t xml:space="preserve">Douglas Kratz </w:t>
      </w:r>
      <w:r w:rsidR="00BA6A43" w:rsidRPr="00040CCF">
        <w:rPr>
          <w:rFonts w:ascii="Times New Roman" w:hAnsi="Times New Roman" w:cs="Times New Roman"/>
          <w:snapToGrid/>
          <w:kern w:val="0"/>
          <w:sz w:val="22"/>
          <w:szCs w:val="22"/>
        </w:rPr>
        <w:t>and the applicant do not have a close relationship in business matters</w:t>
      </w:r>
      <w:r w:rsidR="00844CDE" w:rsidRPr="00040CCF">
        <w:rPr>
          <w:rFonts w:ascii="Times New Roman" w:hAnsi="Times New Roman" w:cs="Times New Roman"/>
          <w:snapToGrid/>
          <w:kern w:val="0"/>
          <w:sz w:val="22"/>
          <w:szCs w:val="22"/>
        </w:rPr>
        <w:t>.</w:t>
      </w:r>
      <w:r w:rsidR="00BA6A43" w:rsidRPr="00040CCF">
        <w:rPr>
          <w:rFonts w:ascii="Times New Roman" w:hAnsi="Times New Roman" w:cs="Times New Roman"/>
          <w:snapToGrid/>
          <w:kern w:val="0"/>
          <w:sz w:val="22"/>
          <w:szCs w:val="22"/>
        </w:rPr>
        <w:t xml:space="preserve">  Furthermore, Ztark has made no attempt to show that Tyler Kratz and Douglas Kratz are estranged or have remote family ties. </w:t>
      </w:r>
      <w:r w:rsidR="0030668B" w:rsidRPr="00040CCF">
        <w:rPr>
          <w:rFonts w:ascii="Times New Roman" w:hAnsi="Times New Roman" w:cs="Times New Roman"/>
          <w:snapToGrid/>
          <w:kern w:val="0"/>
          <w:sz w:val="22"/>
          <w:szCs w:val="22"/>
        </w:rPr>
        <w:t xml:space="preserve"> </w:t>
      </w:r>
      <w:r w:rsidR="00BF0153">
        <w:rPr>
          <w:rFonts w:ascii="Times New Roman" w:hAnsi="Times New Roman" w:cs="Times New Roman"/>
          <w:b/>
          <w:snapToGrid/>
          <w:kern w:val="0"/>
          <w:sz w:val="22"/>
          <w:szCs w:val="22"/>
        </w:rPr>
        <w:t>[REDACTED]</w:t>
      </w:r>
    </w:p>
    <w:p w:rsidR="00BF0153" w:rsidRPr="00BF0153" w:rsidRDefault="00AC25C0" w:rsidP="00BF0153">
      <w:pPr>
        <w:pStyle w:val="BalloonText"/>
        <w:widowControl/>
        <w:numPr>
          <w:ilvl w:val="0"/>
          <w:numId w:val="0"/>
        </w:numPr>
        <w:spacing w:after="220"/>
        <w:rPr>
          <w:rFonts w:ascii="Times New Roman" w:hAnsi="Times New Roman" w:cs="Times New Roman"/>
          <w:b/>
          <w:snapToGrid/>
          <w:kern w:val="0"/>
          <w:sz w:val="22"/>
          <w:szCs w:val="22"/>
        </w:rPr>
      </w:pPr>
      <w:r w:rsidRPr="00040CCF">
        <w:rPr>
          <w:rFonts w:ascii="Times New Roman" w:hAnsi="Times New Roman" w:cs="Times New Roman"/>
          <w:snapToGrid/>
          <w:kern w:val="0"/>
          <w:sz w:val="22"/>
          <w:szCs w:val="22"/>
        </w:rPr>
        <w:t>.</w:t>
      </w:r>
      <w:r w:rsidR="00057EE3" w:rsidRPr="00040CCF">
        <w:rPr>
          <w:rStyle w:val="FootnoteReference"/>
          <w:rFonts w:cs="Times New Roman"/>
          <w:snapToGrid/>
          <w:kern w:val="0"/>
          <w:szCs w:val="22"/>
        </w:rPr>
        <w:footnoteReference w:id="47"/>
      </w:r>
      <w:r w:rsidRPr="00040CCF">
        <w:rPr>
          <w:rFonts w:ascii="Times New Roman" w:hAnsi="Times New Roman" w:cs="Times New Roman"/>
          <w:snapToGrid/>
          <w:kern w:val="0"/>
          <w:sz w:val="22"/>
          <w:szCs w:val="22"/>
        </w:rPr>
        <w:t xml:space="preserve">  </w:t>
      </w:r>
      <w:r w:rsidR="00BF0153">
        <w:rPr>
          <w:rFonts w:ascii="Times New Roman" w:hAnsi="Times New Roman" w:cs="Times New Roman"/>
          <w:b/>
          <w:snapToGrid/>
          <w:kern w:val="0"/>
          <w:sz w:val="22"/>
          <w:szCs w:val="22"/>
        </w:rPr>
        <w:t>[REDACTED]</w:t>
      </w:r>
    </w:p>
    <w:p w:rsidR="00C7308D" w:rsidRPr="00040CCF" w:rsidRDefault="0098003D" w:rsidP="00BF0153">
      <w:pPr>
        <w:pStyle w:val="BalloonText"/>
        <w:widowControl/>
        <w:numPr>
          <w:ilvl w:val="0"/>
          <w:numId w:val="0"/>
        </w:numPr>
        <w:spacing w:after="220"/>
        <w:rPr>
          <w:rFonts w:ascii="Times New Roman" w:hAnsi="Times New Roman" w:cs="Times New Roman"/>
          <w:snapToGrid/>
          <w:kern w:val="0"/>
          <w:sz w:val="22"/>
          <w:szCs w:val="22"/>
        </w:rPr>
      </w:pPr>
      <w:r w:rsidRPr="00040CCF">
        <w:rPr>
          <w:rFonts w:ascii="Times New Roman" w:hAnsi="Times New Roman" w:cs="Times New Roman"/>
          <w:snapToGrid/>
          <w:kern w:val="0"/>
          <w:sz w:val="22"/>
          <w:szCs w:val="22"/>
        </w:rPr>
        <w:t xml:space="preserve">As noted in paragraph </w:t>
      </w:r>
      <w:r w:rsidRPr="00040CCF">
        <w:rPr>
          <w:rFonts w:ascii="Times New Roman" w:hAnsi="Times New Roman" w:cs="Times New Roman"/>
          <w:snapToGrid/>
          <w:kern w:val="0"/>
          <w:sz w:val="22"/>
          <w:szCs w:val="22"/>
        </w:rPr>
        <w:fldChar w:fldCharType="begin"/>
      </w:r>
      <w:r w:rsidRPr="00040CCF">
        <w:rPr>
          <w:rFonts w:ascii="Times New Roman" w:hAnsi="Times New Roman" w:cs="Times New Roman"/>
          <w:snapToGrid/>
          <w:kern w:val="0"/>
          <w:sz w:val="22"/>
          <w:szCs w:val="22"/>
        </w:rPr>
        <w:instrText xml:space="preserve"> REF _Ref370111871 \r \h </w:instrText>
      </w:r>
      <w:r w:rsidR="00040CCF" w:rsidRPr="00040CCF">
        <w:rPr>
          <w:rFonts w:ascii="Times New Roman" w:hAnsi="Times New Roman" w:cs="Times New Roman"/>
          <w:snapToGrid/>
          <w:kern w:val="0"/>
          <w:sz w:val="22"/>
          <w:szCs w:val="22"/>
        </w:rPr>
        <w:instrText xml:space="preserve"> \* MERGEFORMAT </w:instrText>
      </w:r>
      <w:r w:rsidRPr="00040CCF">
        <w:rPr>
          <w:rFonts w:ascii="Times New Roman" w:hAnsi="Times New Roman" w:cs="Times New Roman"/>
          <w:snapToGrid/>
          <w:kern w:val="0"/>
          <w:sz w:val="22"/>
          <w:szCs w:val="22"/>
        </w:rPr>
      </w:r>
      <w:r w:rsidRPr="00040CCF">
        <w:rPr>
          <w:rFonts w:ascii="Times New Roman" w:hAnsi="Times New Roman" w:cs="Times New Roman"/>
          <w:snapToGrid/>
          <w:kern w:val="0"/>
          <w:sz w:val="22"/>
          <w:szCs w:val="22"/>
        </w:rPr>
        <w:fldChar w:fldCharType="separate"/>
      </w:r>
      <w:r w:rsidRPr="00040CCF">
        <w:rPr>
          <w:rFonts w:ascii="Times New Roman" w:hAnsi="Times New Roman" w:cs="Times New Roman"/>
          <w:snapToGrid/>
          <w:kern w:val="0"/>
          <w:sz w:val="22"/>
          <w:szCs w:val="22"/>
        </w:rPr>
        <w:t>7</w:t>
      </w:r>
      <w:r w:rsidRPr="00040CCF">
        <w:rPr>
          <w:rFonts w:ascii="Times New Roman" w:hAnsi="Times New Roman" w:cs="Times New Roman"/>
          <w:snapToGrid/>
          <w:kern w:val="0"/>
          <w:sz w:val="22"/>
          <w:szCs w:val="22"/>
        </w:rPr>
        <w:fldChar w:fldCharType="end"/>
      </w:r>
      <w:r w:rsidRPr="00040CCF">
        <w:rPr>
          <w:rFonts w:ascii="Times New Roman" w:hAnsi="Times New Roman" w:cs="Times New Roman"/>
          <w:snapToGrid/>
          <w:kern w:val="0"/>
          <w:sz w:val="22"/>
          <w:szCs w:val="22"/>
        </w:rPr>
        <w:t xml:space="preserve">, </w:t>
      </w:r>
      <w:r w:rsidRPr="00040CCF">
        <w:rPr>
          <w:rFonts w:ascii="Times New Roman" w:hAnsi="Times New Roman" w:cs="Times New Roman"/>
          <w:i/>
          <w:snapToGrid/>
          <w:kern w:val="0"/>
          <w:sz w:val="22"/>
          <w:szCs w:val="22"/>
        </w:rPr>
        <w:t>supra</w:t>
      </w:r>
      <w:r w:rsidRPr="00040CCF">
        <w:rPr>
          <w:rFonts w:ascii="Times New Roman" w:hAnsi="Times New Roman" w:cs="Times New Roman"/>
          <w:snapToGrid/>
          <w:kern w:val="0"/>
          <w:sz w:val="22"/>
          <w:szCs w:val="22"/>
        </w:rPr>
        <w:t>,</w:t>
      </w:r>
      <w:r w:rsidRPr="00040CCF">
        <w:rPr>
          <w:rFonts w:ascii="Times New Roman" w:hAnsi="Times New Roman" w:cs="Times New Roman"/>
          <w:i/>
          <w:snapToGrid/>
          <w:kern w:val="0"/>
          <w:sz w:val="22"/>
          <w:szCs w:val="22"/>
        </w:rPr>
        <w:t xml:space="preserve"> </w:t>
      </w:r>
      <w:r w:rsidRPr="00040CCF">
        <w:rPr>
          <w:rFonts w:ascii="Times New Roman" w:hAnsi="Times New Roman" w:cs="Times New Roman"/>
          <w:snapToGrid/>
          <w:kern w:val="0"/>
          <w:sz w:val="22"/>
          <w:szCs w:val="22"/>
        </w:rPr>
        <w:t>t</w:t>
      </w:r>
      <w:r w:rsidR="00533FE0" w:rsidRPr="00040CCF">
        <w:rPr>
          <w:rFonts w:ascii="Times New Roman" w:hAnsi="Times New Roman" w:cs="Times New Roman"/>
          <w:snapToGrid/>
          <w:kern w:val="0"/>
          <w:sz w:val="22"/>
          <w:szCs w:val="22"/>
        </w:rPr>
        <w:t xml:space="preserve">here is </w:t>
      </w:r>
      <w:r w:rsidR="00AC25C0" w:rsidRPr="00040CCF">
        <w:rPr>
          <w:rFonts w:ascii="Times New Roman" w:hAnsi="Times New Roman" w:cs="Times New Roman"/>
          <w:snapToGrid/>
          <w:kern w:val="0"/>
          <w:sz w:val="22"/>
          <w:szCs w:val="22"/>
        </w:rPr>
        <w:t xml:space="preserve">also some </w:t>
      </w:r>
      <w:r w:rsidR="00533FE0" w:rsidRPr="00040CCF">
        <w:rPr>
          <w:rFonts w:ascii="Times New Roman" w:hAnsi="Times New Roman" w:cs="Times New Roman"/>
          <w:snapToGrid/>
          <w:kern w:val="0"/>
          <w:sz w:val="22"/>
          <w:szCs w:val="22"/>
        </w:rPr>
        <w:t xml:space="preserve">evidence </w:t>
      </w:r>
      <w:r w:rsidR="0027375D" w:rsidRPr="00040CCF">
        <w:rPr>
          <w:rFonts w:ascii="Times New Roman" w:hAnsi="Times New Roman" w:cs="Times New Roman"/>
          <w:snapToGrid/>
          <w:kern w:val="0"/>
          <w:sz w:val="22"/>
          <w:szCs w:val="22"/>
        </w:rPr>
        <w:t xml:space="preserve">that companies in which Douglas Kratz has an interest have provided assistance to Ztark </w:t>
      </w:r>
      <w:r w:rsidR="00DB3F36" w:rsidRPr="00040CCF">
        <w:rPr>
          <w:rFonts w:ascii="Times New Roman" w:hAnsi="Times New Roman" w:cs="Times New Roman"/>
          <w:snapToGrid/>
          <w:kern w:val="0"/>
          <w:sz w:val="22"/>
          <w:szCs w:val="22"/>
        </w:rPr>
        <w:t xml:space="preserve">by </w:t>
      </w:r>
      <w:r w:rsidR="0027375D" w:rsidRPr="00040CCF">
        <w:rPr>
          <w:rFonts w:ascii="Times New Roman" w:hAnsi="Times New Roman" w:cs="Times New Roman"/>
          <w:snapToGrid/>
          <w:kern w:val="0"/>
          <w:sz w:val="22"/>
          <w:szCs w:val="22"/>
        </w:rPr>
        <w:t xml:space="preserve">providing a contact point </w:t>
      </w:r>
      <w:r w:rsidR="00306759" w:rsidRPr="00040CCF">
        <w:rPr>
          <w:rFonts w:ascii="Times New Roman" w:hAnsi="Times New Roman" w:cs="Times New Roman"/>
          <w:snapToGrid/>
          <w:kern w:val="0"/>
          <w:sz w:val="22"/>
          <w:szCs w:val="22"/>
        </w:rPr>
        <w:t xml:space="preserve">for </w:t>
      </w:r>
      <w:r w:rsidR="0027375D" w:rsidRPr="00040CCF">
        <w:rPr>
          <w:rFonts w:ascii="Times New Roman" w:hAnsi="Times New Roman" w:cs="Times New Roman"/>
          <w:snapToGrid/>
          <w:kern w:val="0"/>
          <w:sz w:val="22"/>
          <w:szCs w:val="22"/>
        </w:rPr>
        <w:t xml:space="preserve">or </w:t>
      </w:r>
      <w:r w:rsidR="00306759" w:rsidRPr="00040CCF">
        <w:rPr>
          <w:rFonts w:ascii="Times New Roman" w:hAnsi="Times New Roman" w:cs="Times New Roman"/>
          <w:snapToGrid/>
          <w:kern w:val="0"/>
          <w:sz w:val="22"/>
          <w:szCs w:val="22"/>
        </w:rPr>
        <w:t xml:space="preserve">arranging for </w:t>
      </w:r>
      <w:r w:rsidR="0027375D" w:rsidRPr="00040CCF">
        <w:rPr>
          <w:rFonts w:ascii="Times New Roman" w:hAnsi="Times New Roman" w:cs="Times New Roman"/>
          <w:snapToGrid/>
          <w:kern w:val="0"/>
          <w:sz w:val="22"/>
          <w:szCs w:val="22"/>
        </w:rPr>
        <w:t xml:space="preserve">payments </w:t>
      </w:r>
      <w:r w:rsidR="00306759" w:rsidRPr="00040CCF">
        <w:rPr>
          <w:rFonts w:ascii="Times New Roman" w:hAnsi="Times New Roman" w:cs="Times New Roman"/>
          <w:snapToGrid/>
          <w:kern w:val="0"/>
          <w:sz w:val="22"/>
          <w:szCs w:val="22"/>
        </w:rPr>
        <w:t xml:space="preserve">on behalf of </w:t>
      </w:r>
      <w:r w:rsidR="0027375D" w:rsidRPr="00040CCF">
        <w:rPr>
          <w:rFonts w:ascii="Times New Roman" w:hAnsi="Times New Roman" w:cs="Times New Roman"/>
          <w:snapToGrid/>
          <w:kern w:val="0"/>
          <w:sz w:val="22"/>
          <w:szCs w:val="22"/>
        </w:rPr>
        <w:t>Ztark</w:t>
      </w:r>
      <w:r w:rsidR="00DB3F36" w:rsidRPr="00040CCF">
        <w:rPr>
          <w:rFonts w:ascii="Times New Roman" w:hAnsi="Times New Roman" w:cs="Times New Roman"/>
          <w:snapToGrid/>
          <w:kern w:val="0"/>
          <w:sz w:val="22"/>
          <w:szCs w:val="22"/>
        </w:rPr>
        <w:t>, and that such companies may share common facilities with Ztark</w:t>
      </w:r>
      <w:r w:rsidR="0027375D" w:rsidRPr="00040CCF">
        <w:rPr>
          <w:rFonts w:ascii="Times New Roman" w:hAnsi="Times New Roman" w:cs="Times New Roman"/>
          <w:snapToGrid/>
          <w:kern w:val="0"/>
          <w:sz w:val="22"/>
          <w:szCs w:val="22"/>
        </w:rPr>
        <w:t xml:space="preserve">.  </w:t>
      </w:r>
      <w:r w:rsidRPr="00040CCF">
        <w:rPr>
          <w:rFonts w:ascii="Times New Roman" w:hAnsi="Times New Roman" w:cs="Times New Roman"/>
          <w:snapToGrid/>
          <w:kern w:val="0"/>
          <w:sz w:val="22"/>
          <w:szCs w:val="22"/>
        </w:rPr>
        <w:t xml:space="preserve">As also noted in paragraph </w:t>
      </w:r>
      <w:r w:rsidRPr="00040CCF">
        <w:rPr>
          <w:rFonts w:ascii="Times New Roman" w:hAnsi="Times New Roman" w:cs="Times New Roman"/>
          <w:snapToGrid/>
          <w:kern w:val="0"/>
          <w:sz w:val="22"/>
          <w:szCs w:val="22"/>
        </w:rPr>
        <w:fldChar w:fldCharType="begin"/>
      </w:r>
      <w:r w:rsidRPr="00040CCF">
        <w:rPr>
          <w:rFonts w:ascii="Times New Roman" w:hAnsi="Times New Roman" w:cs="Times New Roman"/>
          <w:snapToGrid/>
          <w:kern w:val="0"/>
          <w:sz w:val="22"/>
          <w:szCs w:val="22"/>
        </w:rPr>
        <w:instrText xml:space="preserve"> REF _Ref370111871 \r \h </w:instrText>
      </w:r>
      <w:r w:rsidR="00040CCF" w:rsidRPr="00040CCF">
        <w:rPr>
          <w:rFonts w:ascii="Times New Roman" w:hAnsi="Times New Roman" w:cs="Times New Roman"/>
          <w:snapToGrid/>
          <w:kern w:val="0"/>
          <w:sz w:val="22"/>
          <w:szCs w:val="22"/>
        </w:rPr>
        <w:instrText xml:space="preserve"> \* MERGEFORMAT </w:instrText>
      </w:r>
      <w:r w:rsidRPr="00040CCF">
        <w:rPr>
          <w:rFonts w:ascii="Times New Roman" w:hAnsi="Times New Roman" w:cs="Times New Roman"/>
          <w:snapToGrid/>
          <w:kern w:val="0"/>
          <w:sz w:val="22"/>
          <w:szCs w:val="22"/>
        </w:rPr>
      </w:r>
      <w:r w:rsidRPr="00040CCF">
        <w:rPr>
          <w:rFonts w:ascii="Times New Roman" w:hAnsi="Times New Roman" w:cs="Times New Roman"/>
          <w:snapToGrid/>
          <w:kern w:val="0"/>
          <w:sz w:val="22"/>
          <w:szCs w:val="22"/>
        </w:rPr>
        <w:fldChar w:fldCharType="separate"/>
      </w:r>
      <w:r w:rsidRPr="00040CCF">
        <w:rPr>
          <w:rFonts w:ascii="Times New Roman" w:hAnsi="Times New Roman" w:cs="Times New Roman"/>
          <w:snapToGrid/>
          <w:kern w:val="0"/>
          <w:sz w:val="22"/>
          <w:szCs w:val="22"/>
        </w:rPr>
        <w:t>7</w:t>
      </w:r>
      <w:r w:rsidRPr="00040CCF">
        <w:rPr>
          <w:rFonts w:ascii="Times New Roman" w:hAnsi="Times New Roman" w:cs="Times New Roman"/>
          <w:snapToGrid/>
          <w:kern w:val="0"/>
          <w:sz w:val="22"/>
          <w:szCs w:val="22"/>
        </w:rPr>
        <w:fldChar w:fldCharType="end"/>
      </w:r>
      <w:r w:rsidRPr="00040CCF">
        <w:rPr>
          <w:rFonts w:ascii="Times New Roman" w:hAnsi="Times New Roman" w:cs="Times New Roman"/>
          <w:snapToGrid/>
          <w:kern w:val="0"/>
          <w:sz w:val="22"/>
          <w:szCs w:val="22"/>
        </w:rPr>
        <w:t xml:space="preserve">, </w:t>
      </w:r>
      <w:r w:rsidRPr="00040CCF">
        <w:rPr>
          <w:rFonts w:ascii="Times New Roman" w:hAnsi="Times New Roman" w:cs="Times New Roman"/>
          <w:i/>
          <w:snapToGrid/>
          <w:kern w:val="0"/>
          <w:sz w:val="22"/>
          <w:szCs w:val="22"/>
        </w:rPr>
        <w:t xml:space="preserve">supra, </w:t>
      </w:r>
      <w:r w:rsidR="00306759" w:rsidRPr="00040CCF">
        <w:rPr>
          <w:rFonts w:ascii="Times New Roman" w:hAnsi="Times New Roman" w:cs="Times New Roman"/>
          <w:snapToGrid/>
          <w:kern w:val="0"/>
          <w:sz w:val="22"/>
          <w:szCs w:val="22"/>
        </w:rPr>
        <w:t xml:space="preserve">Tyler Kratz also </w:t>
      </w:r>
      <w:r w:rsidR="00D132E6" w:rsidRPr="00040CCF">
        <w:rPr>
          <w:rFonts w:ascii="Times New Roman" w:hAnsi="Times New Roman" w:cs="Times New Roman"/>
          <w:snapToGrid/>
          <w:kern w:val="0"/>
          <w:sz w:val="22"/>
          <w:szCs w:val="22"/>
        </w:rPr>
        <w:t xml:space="preserve">had </w:t>
      </w:r>
      <w:r w:rsidR="00306759" w:rsidRPr="00040CCF">
        <w:rPr>
          <w:rFonts w:ascii="Times New Roman" w:hAnsi="Times New Roman" w:cs="Times New Roman"/>
          <w:snapToGrid/>
          <w:kern w:val="0"/>
          <w:sz w:val="22"/>
          <w:szCs w:val="22"/>
        </w:rPr>
        <w:t xml:space="preserve">interests in </w:t>
      </w:r>
      <w:r w:rsidR="00221F6E" w:rsidRPr="00040CCF">
        <w:rPr>
          <w:rFonts w:ascii="Times New Roman" w:hAnsi="Times New Roman" w:cs="Times New Roman"/>
          <w:snapToGrid/>
          <w:kern w:val="0"/>
          <w:sz w:val="22"/>
          <w:szCs w:val="22"/>
        </w:rPr>
        <w:t>K Family LP</w:t>
      </w:r>
      <w:r w:rsidR="00B9456E" w:rsidRPr="00040CCF">
        <w:rPr>
          <w:rFonts w:ascii="Times New Roman" w:hAnsi="Times New Roman" w:cs="Times New Roman"/>
          <w:snapToGrid/>
          <w:kern w:val="0"/>
          <w:sz w:val="22"/>
          <w:szCs w:val="22"/>
        </w:rPr>
        <w:t xml:space="preserve"> and</w:t>
      </w:r>
      <w:r w:rsidR="00BF0153">
        <w:rPr>
          <w:rFonts w:ascii="Times New Roman" w:hAnsi="Times New Roman" w:cs="Times New Roman"/>
          <w:snapToGrid/>
          <w:kern w:val="0"/>
          <w:sz w:val="22"/>
          <w:szCs w:val="22"/>
        </w:rPr>
        <w:t xml:space="preserve"> </w:t>
      </w:r>
      <w:r w:rsidR="00BF0153">
        <w:rPr>
          <w:rFonts w:ascii="Times New Roman" w:hAnsi="Times New Roman" w:cs="Times New Roman"/>
          <w:b/>
          <w:snapToGrid/>
          <w:kern w:val="0"/>
          <w:sz w:val="22"/>
          <w:szCs w:val="22"/>
        </w:rPr>
        <w:t>[REDACTED]</w:t>
      </w:r>
      <w:r w:rsidR="00306759" w:rsidRPr="00040CCF">
        <w:rPr>
          <w:rFonts w:ascii="Times New Roman" w:hAnsi="Times New Roman" w:cs="Times New Roman"/>
          <w:snapToGrid/>
          <w:kern w:val="0"/>
          <w:sz w:val="22"/>
          <w:szCs w:val="22"/>
        </w:rPr>
        <w:t>, which are</w:t>
      </w:r>
      <w:r w:rsidR="00B9456E" w:rsidRPr="00040CCF">
        <w:rPr>
          <w:rFonts w:ascii="Times New Roman" w:hAnsi="Times New Roman" w:cs="Times New Roman"/>
          <w:snapToGrid/>
          <w:kern w:val="0"/>
          <w:sz w:val="22"/>
          <w:szCs w:val="22"/>
        </w:rPr>
        <w:t xml:space="preserve"> </w:t>
      </w:r>
      <w:r w:rsidR="00DB3F36" w:rsidRPr="00040CCF">
        <w:rPr>
          <w:rFonts w:ascii="Times New Roman" w:hAnsi="Times New Roman" w:cs="Times New Roman"/>
          <w:snapToGrid/>
          <w:kern w:val="0"/>
          <w:sz w:val="22"/>
          <w:szCs w:val="22"/>
        </w:rPr>
        <w:t xml:space="preserve">entities that are </w:t>
      </w:r>
      <w:r w:rsidR="00B9456E" w:rsidRPr="00040CCF">
        <w:rPr>
          <w:rFonts w:ascii="Times New Roman" w:hAnsi="Times New Roman" w:cs="Times New Roman"/>
          <w:snapToGrid/>
          <w:kern w:val="0"/>
          <w:sz w:val="22"/>
          <w:szCs w:val="22"/>
        </w:rPr>
        <w:t>controlled and managed by Douglas Kratz.</w:t>
      </w:r>
      <w:r w:rsidR="003713F3" w:rsidRPr="00040CCF">
        <w:rPr>
          <w:rFonts w:ascii="Times New Roman" w:hAnsi="Times New Roman" w:cs="Times New Roman"/>
          <w:snapToGrid/>
          <w:kern w:val="0"/>
          <w:sz w:val="22"/>
          <w:szCs w:val="22"/>
        </w:rPr>
        <w:t xml:space="preserve">  </w:t>
      </w:r>
      <w:r w:rsidR="00AD5539" w:rsidRPr="00040CCF">
        <w:rPr>
          <w:rFonts w:ascii="Times New Roman" w:hAnsi="Times New Roman" w:cs="Times New Roman"/>
          <w:snapToGrid/>
          <w:kern w:val="0"/>
          <w:sz w:val="22"/>
          <w:szCs w:val="22"/>
        </w:rPr>
        <w:t>Under th</w:t>
      </w:r>
      <w:r w:rsidR="00F6225F" w:rsidRPr="00040CCF">
        <w:rPr>
          <w:rFonts w:ascii="Times New Roman" w:hAnsi="Times New Roman" w:cs="Times New Roman"/>
          <w:snapToGrid/>
          <w:kern w:val="0"/>
          <w:sz w:val="22"/>
          <w:szCs w:val="22"/>
        </w:rPr>
        <w:t>e</w:t>
      </w:r>
      <w:r w:rsidR="00AD5539" w:rsidRPr="00040CCF">
        <w:rPr>
          <w:rFonts w:ascii="Times New Roman" w:hAnsi="Times New Roman" w:cs="Times New Roman"/>
          <w:snapToGrid/>
          <w:kern w:val="0"/>
          <w:sz w:val="22"/>
          <w:szCs w:val="22"/>
        </w:rPr>
        <w:t xml:space="preserve">se circumstances, we conclude that Douglas Kratz and Tyler Kratz </w:t>
      </w:r>
      <w:r w:rsidR="00F6225F" w:rsidRPr="00040CCF">
        <w:rPr>
          <w:rFonts w:ascii="Times New Roman" w:hAnsi="Times New Roman" w:cs="Times New Roman"/>
          <w:sz w:val="22"/>
          <w:szCs w:val="22"/>
        </w:rPr>
        <w:t xml:space="preserve">have a </w:t>
      </w:r>
      <w:r w:rsidR="00AD5539" w:rsidRPr="00040CCF">
        <w:rPr>
          <w:rFonts w:ascii="Times New Roman" w:hAnsi="Times New Roman" w:cs="Times New Roman"/>
          <w:sz w:val="22"/>
          <w:szCs w:val="22"/>
        </w:rPr>
        <w:t xml:space="preserve">close </w:t>
      </w:r>
      <w:r w:rsidR="00F6225F" w:rsidRPr="00040CCF">
        <w:rPr>
          <w:rFonts w:ascii="Times New Roman" w:hAnsi="Times New Roman" w:cs="Times New Roman"/>
          <w:sz w:val="22"/>
          <w:szCs w:val="22"/>
        </w:rPr>
        <w:t xml:space="preserve">relationship </w:t>
      </w:r>
      <w:r w:rsidR="00AD5539" w:rsidRPr="00040CCF">
        <w:rPr>
          <w:rFonts w:ascii="Times New Roman" w:hAnsi="Times New Roman" w:cs="Times New Roman"/>
          <w:sz w:val="22"/>
          <w:szCs w:val="22"/>
        </w:rPr>
        <w:t xml:space="preserve">in business matters, particularly with respect to Ztark.  </w:t>
      </w:r>
      <w:r w:rsidR="00EA3020" w:rsidRPr="00040CCF">
        <w:rPr>
          <w:rFonts w:ascii="Times New Roman" w:hAnsi="Times New Roman" w:cs="Times New Roman"/>
          <w:sz w:val="22"/>
          <w:szCs w:val="22"/>
        </w:rPr>
        <w:t>The record does not support Ztark’s initial claims that companies controlled by Douglas Kratz were not involved in Ztark’s affairs.</w:t>
      </w:r>
      <w:r w:rsidR="00EA3020" w:rsidRPr="00040CCF">
        <w:rPr>
          <w:rStyle w:val="FootnoteReference"/>
          <w:rFonts w:cs="Times New Roman"/>
          <w:szCs w:val="22"/>
        </w:rPr>
        <w:footnoteReference w:id="48"/>
      </w:r>
      <w:r w:rsidR="00EA3020" w:rsidRPr="00040CCF">
        <w:rPr>
          <w:rFonts w:ascii="Times New Roman" w:hAnsi="Times New Roman" w:cs="Times New Roman"/>
          <w:sz w:val="22"/>
          <w:szCs w:val="22"/>
        </w:rPr>
        <w:t xml:space="preserve">  </w:t>
      </w:r>
      <w:r w:rsidR="00D60D64" w:rsidRPr="00040CCF">
        <w:rPr>
          <w:rFonts w:ascii="Times New Roman" w:hAnsi="Times New Roman" w:cs="Times New Roman"/>
          <w:sz w:val="22"/>
          <w:szCs w:val="22"/>
        </w:rPr>
        <w:t xml:space="preserve">We therefore conclude that Ztark has failed to rebut the </w:t>
      </w:r>
      <w:r w:rsidR="00D60D64" w:rsidRPr="00040CCF">
        <w:rPr>
          <w:rFonts w:ascii="Times New Roman" w:hAnsi="Times New Roman" w:cs="Times New Roman"/>
          <w:snapToGrid/>
          <w:kern w:val="0"/>
          <w:sz w:val="22"/>
          <w:szCs w:val="22"/>
        </w:rPr>
        <w:t xml:space="preserve">presumption </w:t>
      </w:r>
      <w:r w:rsidR="00F6225F" w:rsidRPr="00040CCF">
        <w:rPr>
          <w:rFonts w:ascii="Times New Roman" w:hAnsi="Times New Roman" w:cs="Times New Roman"/>
          <w:snapToGrid/>
          <w:kern w:val="0"/>
          <w:sz w:val="22"/>
          <w:szCs w:val="22"/>
        </w:rPr>
        <w:t>of the kinship affiliation rule</w:t>
      </w:r>
      <w:r w:rsidR="00727471" w:rsidRPr="00040CCF">
        <w:rPr>
          <w:rFonts w:ascii="Times New Roman" w:hAnsi="Times New Roman" w:cs="Times New Roman"/>
          <w:snapToGrid/>
          <w:kern w:val="0"/>
          <w:sz w:val="22"/>
          <w:szCs w:val="22"/>
        </w:rPr>
        <w:t>, and Ztark must therefore disclose the gross revenues of Douglas Kratz and his affiliates</w:t>
      </w:r>
      <w:r w:rsidR="00D60D64" w:rsidRPr="00040CCF">
        <w:rPr>
          <w:rFonts w:ascii="Times New Roman" w:hAnsi="Times New Roman" w:cs="Times New Roman"/>
          <w:snapToGrid/>
          <w:kern w:val="0"/>
          <w:sz w:val="22"/>
          <w:szCs w:val="22"/>
        </w:rPr>
        <w:t>.</w:t>
      </w:r>
    </w:p>
    <w:p w:rsidR="004D3EEE" w:rsidRPr="00040CCF" w:rsidRDefault="00844CDE"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napToGrid/>
          <w:kern w:val="0"/>
          <w:sz w:val="22"/>
          <w:szCs w:val="22"/>
        </w:rPr>
        <w:t>T</w:t>
      </w:r>
      <w:r w:rsidRPr="00040CCF">
        <w:rPr>
          <w:rFonts w:ascii="Times New Roman" w:hAnsi="Times New Roman" w:cs="Times New Roman"/>
          <w:sz w:val="22"/>
          <w:szCs w:val="22"/>
        </w:rPr>
        <w:t>his case is distinguishable</w:t>
      </w:r>
      <w:r w:rsidR="00C7308D" w:rsidRPr="00040CCF">
        <w:rPr>
          <w:rFonts w:ascii="Times New Roman" w:hAnsi="Times New Roman" w:cs="Times New Roman"/>
          <w:sz w:val="22"/>
          <w:szCs w:val="22"/>
        </w:rPr>
        <w:t xml:space="preserve"> from </w:t>
      </w:r>
      <w:r w:rsidR="00A03CBB" w:rsidRPr="00040CCF">
        <w:rPr>
          <w:rFonts w:ascii="Times New Roman" w:hAnsi="Times New Roman" w:cs="Times New Roman"/>
          <w:sz w:val="22"/>
          <w:szCs w:val="22"/>
        </w:rPr>
        <w:t xml:space="preserve">the </w:t>
      </w:r>
      <w:r w:rsidR="00DF1D95" w:rsidRPr="00040CCF">
        <w:rPr>
          <w:rFonts w:ascii="Times New Roman" w:hAnsi="Times New Roman" w:cs="Times New Roman"/>
          <w:sz w:val="22"/>
          <w:szCs w:val="22"/>
        </w:rPr>
        <w:t xml:space="preserve">SBA </w:t>
      </w:r>
      <w:r w:rsidR="00C7308D" w:rsidRPr="00040CCF">
        <w:rPr>
          <w:rFonts w:ascii="Times New Roman" w:hAnsi="Times New Roman" w:cs="Times New Roman"/>
          <w:sz w:val="22"/>
          <w:szCs w:val="22"/>
        </w:rPr>
        <w:t>cases Ztark</w:t>
      </w:r>
      <w:r w:rsidR="000C0449" w:rsidRPr="00040CCF">
        <w:rPr>
          <w:rFonts w:ascii="Times New Roman" w:hAnsi="Times New Roman" w:cs="Times New Roman"/>
          <w:sz w:val="22"/>
          <w:szCs w:val="22"/>
        </w:rPr>
        <w:t xml:space="preserve"> cites</w:t>
      </w:r>
      <w:r w:rsidR="004B6C6B" w:rsidRPr="00040CCF">
        <w:rPr>
          <w:rStyle w:val="FootnoteReference"/>
          <w:rFonts w:cs="Times New Roman"/>
          <w:szCs w:val="22"/>
        </w:rPr>
        <w:footnoteReference w:id="49"/>
      </w:r>
      <w:r w:rsidR="00C7308D" w:rsidRPr="00040CCF">
        <w:rPr>
          <w:rFonts w:ascii="Times New Roman" w:hAnsi="Times New Roman" w:cs="Times New Roman"/>
          <w:sz w:val="22"/>
          <w:szCs w:val="22"/>
        </w:rPr>
        <w:t xml:space="preserve"> </w:t>
      </w:r>
      <w:r w:rsidR="00DF1D95" w:rsidRPr="00040CCF">
        <w:rPr>
          <w:rFonts w:ascii="Times New Roman" w:hAnsi="Times New Roman" w:cs="Times New Roman"/>
          <w:sz w:val="22"/>
          <w:szCs w:val="22"/>
        </w:rPr>
        <w:t xml:space="preserve">in its attempt to rebut the presumption </w:t>
      </w:r>
      <w:r w:rsidR="00C7308D" w:rsidRPr="00040CCF">
        <w:rPr>
          <w:rFonts w:ascii="Times New Roman" w:hAnsi="Times New Roman" w:cs="Times New Roman"/>
          <w:sz w:val="22"/>
          <w:szCs w:val="22"/>
        </w:rPr>
        <w:t xml:space="preserve">that </w:t>
      </w:r>
      <w:r w:rsidR="004B6C6B" w:rsidRPr="00040CCF">
        <w:rPr>
          <w:rFonts w:ascii="Times New Roman" w:hAnsi="Times New Roman" w:cs="Times New Roman"/>
          <w:sz w:val="22"/>
          <w:szCs w:val="22"/>
        </w:rPr>
        <w:t xml:space="preserve">an identity of interest </w:t>
      </w:r>
      <w:r w:rsidR="00624E1C" w:rsidRPr="00040CCF">
        <w:rPr>
          <w:rFonts w:ascii="Times New Roman" w:hAnsi="Times New Roman" w:cs="Times New Roman"/>
          <w:sz w:val="22"/>
          <w:szCs w:val="22"/>
        </w:rPr>
        <w:t xml:space="preserve">exists </w:t>
      </w:r>
      <w:r w:rsidR="00DF1D95" w:rsidRPr="00040CCF">
        <w:rPr>
          <w:rFonts w:ascii="Times New Roman" w:hAnsi="Times New Roman" w:cs="Times New Roman"/>
          <w:sz w:val="22"/>
          <w:szCs w:val="22"/>
        </w:rPr>
        <w:t xml:space="preserve">between </w:t>
      </w:r>
      <w:r w:rsidR="00CC6067" w:rsidRPr="00040CCF">
        <w:rPr>
          <w:rFonts w:ascii="Times New Roman" w:hAnsi="Times New Roman" w:cs="Times New Roman"/>
          <w:sz w:val="22"/>
          <w:szCs w:val="22"/>
        </w:rPr>
        <w:t>Douglas</w:t>
      </w:r>
      <w:r w:rsidR="00DF1D95" w:rsidRPr="00040CCF">
        <w:rPr>
          <w:rFonts w:ascii="Times New Roman" w:hAnsi="Times New Roman" w:cs="Times New Roman"/>
          <w:sz w:val="22"/>
          <w:szCs w:val="22"/>
        </w:rPr>
        <w:t xml:space="preserve"> and Tyler </w:t>
      </w:r>
      <w:r w:rsidR="00C7308D" w:rsidRPr="00040CCF">
        <w:rPr>
          <w:rFonts w:ascii="Times New Roman" w:hAnsi="Times New Roman" w:cs="Times New Roman"/>
          <w:sz w:val="22"/>
          <w:szCs w:val="22"/>
        </w:rPr>
        <w:t>Kratz</w:t>
      </w:r>
      <w:r w:rsidR="00D474D1" w:rsidRPr="00040CCF">
        <w:rPr>
          <w:rFonts w:ascii="Times New Roman" w:hAnsi="Times New Roman" w:cs="Times New Roman"/>
          <w:sz w:val="22"/>
          <w:szCs w:val="22"/>
        </w:rPr>
        <w:t>.</w:t>
      </w:r>
      <w:r w:rsidR="00CC6067" w:rsidRPr="00040CCF">
        <w:rPr>
          <w:rStyle w:val="FootnoteReference"/>
          <w:rFonts w:cs="Times New Roman"/>
          <w:szCs w:val="22"/>
        </w:rPr>
        <w:footnoteReference w:id="50"/>
      </w:r>
      <w:r w:rsidR="00C7308D" w:rsidRPr="00040CCF">
        <w:rPr>
          <w:rFonts w:ascii="Times New Roman" w:hAnsi="Times New Roman" w:cs="Times New Roman"/>
          <w:sz w:val="22"/>
          <w:szCs w:val="22"/>
        </w:rPr>
        <w:t xml:space="preserve">  </w:t>
      </w:r>
      <w:r w:rsidR="00AF418E" w:rsidRPr="00040CCF">
        <w:rPr>
          <w:rFonts w:ascii="Times New Roman" w:hAnsi="Times New Roman" w:cs="Times New Roman"/>
          <w:snapToGrid/>
          <w:kern w:val="0"/>
          <w:sz w:val="22"/>
          <w:szCs w:val="22"/>
        </w:rPr>
        <w:t xml:space="preserve">These cases involve instances where the SBA found </w:t>
      </w:r>
      <w:r w:rsidR="00742945" w:rsidRPr="00040CCF">
        <w:rPr>
          <w:rFonts w:ascii="Times New Roman" w:hAnsi="Times New Roman" w:cs="Times New Roman"/>
          <w:snapToGrid/>
          <w:kern w:val="0"/>
          <w:sz w:val="22"/>
          <w:szCs w:val="22"/>
        </w:rPr>
        <w:t>a “</w:t>
      </w:r>
      <w:r w:rsidR="00C7308D" w:rsidRPr="00040CCF">
        <w:rPr>
          <w:rFonts w:ascii="Times New Roman" w:hAnsi="Times New Roman" w:cs="Times New Roman"/>
          <w:snapToGrid/>
          <w:kern w:val="0"/>
          <w:sz w:val="22"/>
          <w:szCs w:val="22"/>
        </w:rPr>
        <w:t>clear fracture</w:t>
      </w:r>
      <w:r w:rsidR="00742945" w:rsidRPr="00040CCF">
        <w:rPr>
          <w:rFonts w:ascii="Times New Roman" w:hAnsi="Times New Roman" w:cs="Times New Roman"/>
          <w:snapToGrid/>
          <w:kern w:val="0"/>
          <w:sz w:val="22"/>
          <w:szCs w:val="22"/>
        </w:rPr>
        <w:t>”</w:t>
      </w:r>
      <w:r w:rsidR="00C7308D" w:rsidRPr="00040CCF">
        <w:rPr>
          <w:rFonts w:ascii="Times New Roman" w:hAnsi="Times New Roman" w:cs="Times New Roman"/>
          <w:snapToGrid/>
          <w:kern w:val="0"/>
          <w:sz w:val="22"/>
          <w:szCs w:val="22"/>
        </w:rPr>
        <w:t xml:space="preserve"> </w:t>
      </w:r>
      <w:r w:rsidR="003A4CA5" w:rsidRPr="00040CCF">
        <w:rPr>
          <w:rFonts w:ascii="Times New Roman" w:hAnsi="Times New Roman" w:cs="Times New Roman"/>
          <w:snapToGrid/>
          <w:kern w:val="0"/>
          <w:sz w:val="22"/>
          <w:szCs w:val="22"/>
        </w:rPr>
        <w:t xml:space="preserve">between relatives </w:t>
      </w:r>
      <w:r w:rsidR="00AF418E" w:rsidRPr="00040CCF">
        <w:rPr>
          <w:rFonts w:ascii="Times New Roman" w:hAnsi="Times New Roman" w:cs="Times New Roman"/>
          <w:snapToGrid/>
          <w:kern w:val="0"/>
          <w:sz w:val="22"/>
          <w:szCs w:val="22"/>
        </w:rPr>
        <w:t>who had ownership interests in each other’s companies.</w:t>
      </w:r>
      <w:r w:rsidR="006F3547" w:rsidRPr="00040CCF">
        <w:rPr>
          <w:rStyle w:val="FootnoteReference"/>
          <w:rFonts w:cs="Times New Roman"/>
          <w:szCs w:val="22"/>
        </w:rPr>
        <w:footnoteReference w:id="51"/>
      </w:r>
      <w:r w:rsidR="00AF418E" w:rsidRPr="00040CCF">
        <w:rPr>
          <w:rFonts w:ascii="Times New Roman" w:hAnsi="Times New Roman" w:cs="Times New Roman"/>
          <w:snapToGrid/>
          <w:kern w:val="0"/>
          <w:sz w:val="22"/>
          <w:szCs w:val="22"/>
        </w:rPr>
        <w:t xml:space="preserve">  </w:t>
      </w:r>
      <w:r w:rsidR="004B6C6B" w:rsidRPr="00040CCF">
        <w:rPr>
          <w:rFonts w:ascii="Times New Roman" w:hAnsi="Times New Roman" w:cs="Times New Roman"/>
          <w:snapToGrid/>
          <w:kern w:val="0"/>
          <w:sz w:val="22"/>
          <w:szCs w:val="22"/>
        </w:rPr>
        <w:t>N</w:t>
      </w:r>
      <w:r w:rsidR="00552D1E" w:rsidRPr="00040CCF">
        <w:rPr>
          <w:rFonts w:ascii="Times New Roman" w:hAnsi="Times New Roman" w:cs="Times New Roman"/>
          <w:sz w:val="22"/>
          <w:szCs w:val="22"/>
        </w:rPr>
        <w:t>one of the</w:t>
      </w:r>
      <w:r w:rsidR="00AF418E" w:rsidRPr="00040CCF">
        <w:rPr>
          <w:rFonts w:ascii="Times New Roman" w:hAnsi="Times New Roman" w:cs="Times New Roman"/>
          <w:sz w:val="22"/>
          <w:szCs w:val="22"/>
        </w:rPr>
        <w:t>se cases involved circumstances where an immediate relative</w:t>
      </w:r>
      <w:r w:rsidR="00742945" w:rsidRPr="00040CCF">
        <w:rPr>
          <w:rFonts w:ascii="Times New Roman" w:hAnsi="Times New Roman" w:cs="Times New Roman"/>
          <w:sz w:val="22"/>
          <w:szCs w:val="22"/>
        </w:rPr>
        <w:t xml:space="preserve">’s company </w:t>
      </w:r>
      <w:r w:rsidR="00BF0153">
        <w:rPr>
          <w:rFonts w:ascii="Times New Roman" w:hAnsi="Times New Roman" w:cs="Times New Roman"/>
          <w:b/>
          <w:sz w:val="22"/>
          <w:szCs w:val="22"/>
        </w:rPr>
        <w:t xml:space="preserve">[REDACTED]                                                                                                             </w:t>
      </w:r>
      <w:r w:rsidR="008C45C0">
        <w:rPr>
          <w:rFonts w:ascii="Times New Roman" w:hAnsi="Times New Roman" w:cs="Times New Roman"/>
          <w:b/>
          <w:sz w:val="22"/>
          <w:szCs w:val="22"/>
        </w:rPr>
        <w:t xml:space="preserve">        </w:t>
      </w:r>
      <w:r w:rsidR="00E735D7" w:rsidRPr="00040CCF">
        <w:rPr>
          <w:rFonts w:ascii="Times New Roman" w:hAnsi="Times New Roman" w:cs="Times New Roman"/>
          <w:sz w:val="22"/>
          <w:szCs w:val="22"/>
        </w:rPr>
        <w:t>,</w:t>
      </w:r>
      <w:r w:rsidR="00861E01" w:rsidRPr="00040CCF">
        <w:rPr>
          <w:rFonts w:ascii="Times New Roman" w:hAnsi="Times New Roman" w:cs="Times New Roman"/>
          <w:sz w:val="22"/>
          <w:szCs w:val="22"/>
        </w:rPr>
        <w:t xml:space="preserve"> as is the case </w:t>
      </w:r>
      <w:r w:rsidR="00E735D7" w:rsidRPr="00040CCF">
        <w:rPr>
          <w:rFonts w:ascii="Times New Roman" w:hAnsi="Times New Roman" w:cs="Times New Roman"/>
          <w:sz w:val="22"/>
          <w:szCs w:val="22"/>
        </w:rPr>
        <w:t xml:space="preserve">here </w:t>
      </w:r>
      <w:r w:rsidR="00861E01" w:rsidRPr="00040CCF">
        <w:rPr>
          <w:rFonts w:ascii="Times New Roman" w:hAnsi="Times New Roman" w:cs="Times New Roman"/>
          <w:sz w:val="22"/>
          <w:szCs w:val="22"/>
        </w:rPr>
        <w:t>between Ztark and Douglas Kratz</w:t>
      </w:r>
      <w:r w:rsidR="00531CCA" w:rsidRPr="00040CCF">
        <w:rPr>
          <w:rFonts w:ascii="Times New Roman" w:hAnsi="Times New Roman" w:cs="Times New Roman"/>
          <w:sz w:val="22"/>
          <w:szCs w:val="22"/>
        </w:rPr>
        <w:t xml:space="preserve">.  </w:t>
      </w:r>
      <w:r w:rsidR="00F73720" w:rsidRPr="00040CCF">
        <w:rPr>
          <w:rFonts w:ascii="Times New Roman" w:hAnsi="Times New Roman" w:cs="Times New Roman"/>
          <w:sz w:val="22"/>
          <w:szCs w:val="22"/>
        </w:rPr>
        <w:t xml:space="preserve">We believe this case is more analogous to </w:t>
      </w:r>
      <w:r w:rsidR="00F73720" w:rsidRPr="00040CCF">
        <w:rPr>
          <w:rFonts w:ascii="Times New Roman" w:hAnsi="Times New Roman" w:cs="Times New Roman"/>
          <w:i/>
          <w:sz w:val="22"/>
          <w:szCs w:val="22"/>
        </w:rPr>
        <w:t>Size Appeal of Jenn-Kans, Inc.</w:t>
      </w:r>
      <w:r w:rsidR="00F73720" w:rsidRPr="00040CCF">
        <w:rPr>
          <w:rFonts w:ascii="Times New Roman" w:hAnsi="Times New Roman" w:cs="Times New Roman"/>
          <w:sz w:val="22"/>
          <w:szCs w:val="22"/>
        </w:rPr>
        <w:t>,</w:t>
      </w:r>
      <w:r w:rsidR="00F73720" w:rsidRPr="00040CCF">
        <w:rPr>
          <w:rStyle w:val="FootnoteReference"/>
          <w:rFonts w:cs="Times New Roman"/>
          <w:szCs w:val="22"/>
        </w:rPr>
        <w:footnoteReference w:id="52"/>
      </w:r>
      <w:r w:rsidR="00F73720" w:rsidRPr="00040CCF">
        <w:rPr>
          <w:rFonts w:ascii="Times New Roman" w:hAnsi="Times New Roman" w:cs="Times New Roman"/>
          <w:sz w:val="22"/>
          <w:szCs w:val="22"/>
        </w:rPr>
        <w:t xml:space="preserve"> where SBA found that there was no “clear fracture” between two businesses owned by siblings because </w:t>
      </w:r>
      <w:r w:rsidR="008C45C0">
        <w:rPr>
          <w:rFonts w:ascii="Times New Roman" w:hAnsi="Times New Roman" w:cs="Times New Roman"/>
          <w:b/>
          <w:sz w:val="22"/>
          <w:szCs w:val="22"/>
        </w:rPr>
        <w:t xml:space="preserve">[REDACTED]                                                                   </w:t>
      </w:r>
      <w:r w:rsidR="00F73720" w:rsidRPr="00040CCF">
        <w:rPr>
          <w:rFonts w:ascii="Times New Roman" w:hAnsi="Times New Roman" w:cs="Times New Roman"/>
          <w:sz w:val="22"/>
          <w:szCs w:val="22"/>
        </w:rPr>
        <w:t>and there was continuing cooperation between the firms.</w:t>
      </w:r>
    </w:p>
    <w:p w:rsidR="001C6C2E" w:rsidRPr="00040CCF" w:rsidRDefault="00DD2C45"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napToGrid/>
          <w:kern w:val="0"/>
          <w:sz w:val="22"/>
          <w:szCs w:val="22"/>
        </w:rPr>
        <w:t xml:space="preserve">Where questions of </w:t>
      </w:r>
      <w:r w:rsidR="00FE7983" w:rsidRPr="00040CCF">
        <w:rPr>
          <w:rFonts w:ascii="Times New Roman" w:hAnsi="Times New Roman" w:cs="Times New Roman"/>
          <w:snapToGrid/>
          <w:kern w:val="0"/>
          <w:sz w:val="22"/>
          <w:szCs w:val="22"/>
        </w:rPr>
        <w:t xml:space="preserve">kinship </w:t>
      </w:r>
      <w:r w:rsidRPr="00040CCF">
        <w:rPr>
          <w:rFonts w:ascii="Times New Roman" w:hAnsi="Times New Roman" w:cs="Times New Roman"/>
          <w:snapToGrid/>
          <w:kern w:val="0"/>
          <w:sz w:val="22"/>
          <w:szCs w:val="22"/>
        </w:rPr>
        <w:t>affiliation arise, the burden is on the applicant</w:t>
      </w:r>
      <w:r w:rsidR="00B115B9" w:rsidRPr="00040CCF">
        <w:rPr>
          <w:rFonts w:ascii="Times New Roman" w:hAnsi="Times New Roman" w:cs="Times New Roman"/>
          <w:snapToGrid/>
          <w:kern w:val="0"/>
          <w:sz w:val="22"/>
          <w:szCs w:val="22"/>
        </w:rPr>
        <w:t xml:space="preserve"> </w:t>
      </w:r>
      <w:r w:rsidRPr="00040CCF">
        <w:rPr>
          <w:rFonts w:ascii="Times New Roman" w:hAnsi="Times New Roman" w:cs="Times New Roman"/>
          <w:snapToGrid/>
          <w:kern w:val="0"/>
          <w:sz w:val="22"/>
          <w:szCs w:val="22"/>
        </w:rPr>
        <w:t xml:space="preserve">to rebut the presumption.  If an </w:t>
      </w:r>
      <w:r w:rsidRPr="00040CCF">
        <w:rPr>
          <w:rFonts w:ascii="Times New Roman" w:hAnsi="Times New Roman" w:cs="Times New Roman"/>
          <w:sz w:val="22"/>
          <w:szCs w:val="22"/>
        </w:rPr>
        <w:t>applicant</w:t>
      </w:r>
      <w:r w:rsidRPr="00040CCF">
        <w:rPr>
          <w:rFonts w:ascii="Times New Roman" w:hAnsi="Times New Roman" w:cs="Times New Roman"/>
          <w:snapToGrid/>
          <w:kern w:val="0"/>
          <w:sz w:val="22"/>
          <w:szCs w:val="22"/>
        </w:rPr>
        <w:t xml:space="preserve"> fails to do so, it</w:t>
      </w:r>
      <w:r w:rsidR="00454D09" w:rsidRPr="00040CCF">
        <w:rPr>
          <w:rFonts w:ascii="Times New Roman" w:hAnsi="Times New Roman" w:cs="Times New Roman"/>
          <w:snapToGrid/>
          <w:kern w:val="0"/>
          <w:sz w:val="22"/>
          <w:szCs w:val="22"/>
        </w:rPr>
        <w:t xml:space="preserve"> must provide gross revenue</w:t>
      </w:r>
      <w:r w:rsidR="004D3EEE" w:rsidRPr="00040CCF">
        <w:rPr>
          <w:rFonts w:ascii="Times New Roman" w:hAnsi="Times New Roman" w:cs="Times New Roman"/>
          <w:snapToGrid/>
          <w:kern w:val="0"/>
          <w:sz w:val="22"/>
          <w:szCs w:val="22"/>
        </w:rPr>
        <w:t>s for the relatives in question</w:t>
      </w:r>
      <w:r w:rsidR="00454D09" w:rsidRPr="00040CCF">
        <w:rPr>
          <w:rFonts w:ascii="Times New Roman" w:hAnsi="Times New Roman" w:cs="Times New Roman"/>
          <w:snapToGrid/>
          <w:kern w:val="0"/>
          <w:sz w:val="22"/>
          <w:szCs w:val="22"/>
        </w:rPr>
        <w:t>.</w:t>
      </w:r>
      <w:r w:rsidR="008457A6" w:rsidRPr="00040CCF">
        <w:rPr>
          <w:rStyle w:val="FootnoteReference"/>
          <w:rFonts w:cs="Times New Roman"/>
          <w:snapToGrid/>
          <w:kern w:val="0"/>
          <w:szCs w:val="22"/>
        </w:rPr>
        <w:footnoteReference w:id="53"/>
      </w:r>
      <w:r w:rsidR="007144D7" w:rsidRPr="00040CCF">
        <w:rPr>
          <w:rFonts w:ascii="Times New Roman" w:hAnsi="Times New Roman" w:cs="Times New Roman"/>
          <w:snapToGrid/>
          <w:kern w:val="0"/>
          <w:sz w:val="22"/>
          <w:szCs w:val="22"/>
        </w:rPr>
        <w:t xml:space="preserve">  </w:t>
      </w:r>
      <w:r w:rsidR="00D474D1" w:rsidRPr="00040CCF">
        <w:rPr>
          <w:rFonts w:ascii="Times New Roman" w:hAnsi="Times New Roman" w:cs="Times New Roman"/>
          <w:snapToGrid/>
          <w:kern w:val="0"/>
          <w:sz w:val="22"/>
          <w:szCs w:val="22"/>
        </w:rPr>
        <w:t>Despite a request to do so,</w:t>
      </w:r>
      <w:r w:rsidR="00EA3020" w:rsidRPr="00040CCF">
        <w:rPr>
          <w:rStyle w:val="FootnoteReference"/>
          <w:rFonts w:cs="Times New Roman"/>
          <w:snapToGrid/>
          <w:kern w:val="0"/>
          <w:szCs w:val="22"/>
        </w:rPr>
        <w:footnoteReference w:id="54"/>
      </w:r>
      <w:r w:rsidR="00D474D1" w:rsidRPr="00040CCF">
        <w:rPr>
          <w:rFonts w:ascii="Times New Roman" w:hAnsi="Times New Roman" w:cs="Times New Roman"/>
          <w:snapToGrid/>
          <w:kern w:val="0"/>
          <w:sz w:val="22"/>
          <w:szCs w:val="22"/>
        </w:rPr>
        <w:t xml:space="preserve"> </w:t>
      </w:r>
      <w:r w:rsidR="007144D7" w:rsidRPr="00040CCF">
        <w:rPr>
          <w:rFonts w:ascii="Times New Roman" w:hAnsi="Times New Roman" w:cs="Times New Roman"/>
          <w:snapToGrid/>
          <w:kern w:val="0"/>
          <w:sz w:val="22"/>
          <w:szCs w:val="22"/>
        </w:rPr>
        <w:t xml:space="preserve">Ztark has </w:t>
      </w:r>
      <w:r w:rsidR="001C6C2E" w:rsidRPr="00040CCF">
        <w:rPr>
          <w:rFonts w:ascii="Times New Roman" w:hAnsi="Times New Roman" w:cs="Times New Roman"/>
          <w:snapToGrid/>
          <w:kern w:val="0"/>
          <w:sz w:val="22"/>
          <w:szCs w:val="22"/>
        </w:rPr>
        <w:t xml:space="preserve">not provided gross revenue information for </w:t>
      </w:r>
      <w:r w:rsidR="00D60D64" w:rsidRPr="00040CCF">
        <w:rPr>
          <w:rFonts w:ascii="Times New Roman" w:hAnsi="Times New Roman" w:cs="Times New Roman"/>
          <w:snapToGrid/>
          <w:kern w:val="0"/>
          <w:sz w:val="22"/>
          <w:szCs w:val="22"/>
        </w:rPr>
        <w:t>Douglas Kratz</w:t>
      </w:r>
      <w:r w:rsidR="007144D7" w:rsidRPr="00040CCF">
        <w:rPr>
          <w:rFonts w:ascii="Times New Roman" w:hAnsi="Times New Roman" w:cs="Times New Roman"/>
          <w:snapToGrid/>
          <w:kern w:val="0"/>
          <w:sz w:val="22"/>
          <w:szCs w:val="22"/>
        </w:rPr>
        <w:t xml:space="preserve">.  Because we cannot determine whether Ztark is eligible for a </w:t>
      </w:r>
      <w:r w:rsidR="001C6C2E" w:rsidRPr="00040CCF">
        <w:rPr>
          <w:rFonts w:ascii="Times New Roman" w:hAnsi="Times New Roman" w:cs="Times New Roman"/>
          <w:snapToGrid/>
          <w:kern w:val="0"/>
          <w:sz w:val="22"/>
          <w:szCs w:val="22"/>
        </w:rPr>
        <w:t xml:space="preserve">bidding </w:t>
      </w:r>
      <w:r w:rsidR="007144D7" w:rsidRPr="00040CCF">
        <w:rPr>
          <w:rFonts w:ascii="Times New Roman" w:hAnsi="Times New Roman" w:cs="Times New Roman"/>
          <w:snapToGrid/>
          <w:kern w:val="0"/>
          <w:sz w:val="22"/>
          <w:szCs w:val="22"/>
        </w:rPr>
        <w:t>credit without having all required gross revenue information</w:t>
      </w:r>
      <w:r w:rsidR="003A4CA5" w:rsidRPr="00040CCF">
        <w:rPr>
          <w:rFonts w:ascii="Times New Roman" w:hAnsi="Times New Roman" w:cs="Times New Roman"/>
          <w:snapToGrid/>
          <w:kern w:val="0"/>
          <w:sz w:val="22"/>
          <w:szCs w:val="22"/>
        </w:rPr>
        <w:t xml:space="preserve"> for all affiliates</w:t>
      </w:r>
      <w:r w:rsidR="007144D7" w:rsidRPr="00040CCF">
        <w:rPr>
          <w:rFonts w:ascii="Times New Roman" w:hAnsi="Times New Roman" w:cs="Times New Roman"/>
          <w:snapToGrid/>
          <w:kern w:val="0"/>
          <w:sz w:val="22"/>
          <w:szCs w:val="22"/>
        </w:rPr>
        <w:t xml:space="preserve">, we must deny Ztark’s request for a bidding credit.  </w:t>
      </w:r>
    </w:p>
    <w:p w:rsidR="00454D09" w:rsidRPr="00040CCF" w:rsidRDefault="00D60D64"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napToGrid/>
          <w:kern w:val="0"/>
          <w:sz w:val="22"/>
          <w:szCs w:val="22"/>
        </w:rPr>
        <w:t xml:space="preserve">Ztark must therefore pay </w:t>
      </w:r>
      <w:r w:rsidR="00742945" w:rsidRPr="00040CCF">
        <w:rPr>
          <w:rFonts w:ascii="Times New Roman" w:hAnsi="Times New Roman" w:cs="Times New Roman"/>
          <w:snapToGrid/>
          <w:kern w:val="0"/>
          <w:sz w:val="22"/>
          <w:szCs w:val="22"/>
        </w:rPr>
        <w:t>the full amount of its winning bid.</w:t>
      </w:r>
      <w:r w:rsidR="001C6C2E" w:rsidRPr="00040CCF">
        <w:rPr>
          <w:rFonts w:ascii="Times New Roman" w:hAnsi="Times New Roman" w:cs="Times New Roman"/>
          <w:snapToGrid/>
          <w:kern w:val="0"/>
          <w:sz w:val="22"/>
          <w:szCs w:val="22"/>
        </w:rPr>
        <w:t xml:space="preserve">  The difference between Ztark’s gross winning bid</w:t>
      </w:r>
      <w:r w:rsidR="004C4CF7" w:rsidRPr="00040CCF">
        <w:rPr>
          <w:rFonts w:ascii="Times New Roman" w:hAnsi="Times New Roman" w:cs="Times New Roman"/>
          <w:snapToGrid/>
          <w:kern w:val="0"/>
          <w:sz w:val="22"/>
          <w:szCs w:val="22"/>
        </w:rPr>
        <w:t>s</w:t>
      </w:r>
      <w:r w:rsidR="001C6C2E" w:rsidRPr="00040CCF">
        <w:rPr>
          <w:rFonts w:ascii="Times New Roman" w:hAnsi="Times New Roman" w:cs="Times New Roman"/>
          <w:snapToGrid/>
          <w:kern w:val="0"/>
          <w:sz w:val="22"/>
          <w:szCs w:val="22"/>
        </w:rPr>
        <w:t xml:space="preserve"> and its net winning bid</w:t>
      </w:r>
      <w:r w:rsidR="004C4CF7" w:rsidRPr="00040CCF">
        <w:rPr>
          <w:rFonts w:ascii="Times New Roman" w:hAnsi="Times New Roman" w:cs="Times New Roman"/>
          <w:snapToGrid/>
          <w:kern w:val="0"/>
          <w:sz w:val="22"/>
          <w:szCs w:val="22"/>
        </w:rPr>
        <w:t>s</w:t>
      </w:r>
      <w:r w:rsidR="001C6C2E" w:rsidRPr="00040CCF">
        <w:rPr>
          <w:rFonts w:ascii="Times New Roman" w:hAnsi="Times New Roman" w:cs="Times New Roman"/>
          <w:snapToGrid/>
          <w:kern w:val="0"/>
          <w:sz w:val="22"/>
          <w:szCs w:val="22"/>
        </w:rPr>
        <w:t xml:space="preserve"> is $413,700.</w:t>
      </w:r>
      <w:r w:rsidR="004C4CF7" w:rsidRPr="00040CCF">
        <w:rPr>
          <w:rStyle w:val="FootnoteReference"/>
          <w:rFonts w:cs="Times New Roman"/>
          <w:snapToGrid/>
          <w:kern w:val="0"/>
          <w:szCs w:val="22"/>
        </w:rPr>
        <w:footnoteReference w:id="55"/>
      </w:r>
      <w:r w:rsidR="0045320A" w:rsidRPr="00040CCF">
        <w:rPr>
          <w:rFonts w:ascii="Times New Roman" w:hAnsi="Times New Roman" w:cs="Times New Roman"/>
          <w:snapToGrid/>
          <w:kern w:val="0"/>
          <w:sz w:val="22"/>
          <w:szCs w:val="22"/>
        </w:rPr>
        <w:t xml:space="preserve">  Within </w:t>
      </w:r>
      <w:r w:rsidR="00636D45" w:rsidRPr="00040CCF">
        <w:rPr>
          <w:rFonts w:ascii="Times New Roman" w:hAnsi="Times New Roman" w:cs="Times New Roman"/>
          <w:snapToGrid/>
          <w:kern w:val="0"/>
          <w:sz w:val="22"/>
          <w:szCs w:val="22"/>
        </w:rPr>
        <w:t>30</w:t>
      </w:r>
      <w:r w:rsidR="0045320A" w:rsidRPr="00040CCF">
        <w:rPr>
          <w:rFonts w:ascii="Times New Roman" w:hAnsi="Times New Roman" w:cs="Times New Roman"/>
          <w:snapToGrid/>
          <w:kern w:val="0"/>
          <w:sz w:val="22"/>
          <w:szCs w:val="22"/>
        </w:rPr>
        <w:t xml:space="preserve"> days of the release of this </w:t>
      </w:r>
      <w:r w:rsidR="0045320A" w:rsidRPr="00040CCF">
        <w:rPr>
          <w:rFonts w:ascii="Times New Roman" w:hAnsi="Times New Roman" w:cs="Times New Roman"/>
          <w:i/>
          <w:snapToGrid/>
          <w:kern w:val="0"/>
          <w:sz w:val="22"/>
          <w:szCs w:val="22"/>
        </w:rPr>
        <w:t>Memorandum Opinion and Order</w:t>
      </w:r>
      <w:r w:rsidR="0045320A" w:rsidRPr="00040CCF">
        <w:rPr>
          <w:rFonts w:ascii="Times New Roman" w:hAnsi="Times New Roman" w:cs="Times New Roman"/>
          <w:snapToGrid/>
          <w:kern w:val="0"/>
          <w:sz w:val="22"/>
          <w:szCs w:val="22"/>
        </w:rPr>
        <w:t xml:space="preserve">, Ztark must submit payment of the remaining $413,700.  </w:t>
      </w:r>
      <w:r w:rsidR="00CF6FD7" w:rsidRPr="00040CCF">
        <w:rPr>
          <w:rFonts w:ascii="Times New Roman" w:hAnsi="Times New Roman" w:cs="Times New Roman"/>
          <w:snapToGrid/>
          <w:kern w:val="0"/>
          <w:sz w:val="22"/>
          <w:szCs w:val="22"/>
        </w:rPr>
        <w:t>Failure to</w:t>
      </w:r>
      <w:r w:rsidR="00CF6FD7" w:rsidRPr="00040CCF">
        <w:rPr>
          <w:rFonts w:ascii="Times New Roman" w:hAnsi="Times New Roman" w:cs="Times New Roman"/>
          <w:b/>
          <w:snapToGrid/>
          <w:kern w:val="0"/>
          <w:sz w:val="22"/>
          <w:szCs w:val="22"/>
        </w:rPr>
        <w:t xml:space="preserve"> </w:t>
      </w:r>
      <w:r w:rsidR="00CF6FD7" w:rsidRPr="00040CCF">
        <w:rPr>
          <w:rFonts w:ascii="Times New Roman" w:hAnsi="Times New Roman" w:cs="Times New Roman"/>
          <w:snapToGrid/>
          <w:kern w:val="0"/>
          <w:sz w:val="22"/>
          <w:szCs w:val="22"/>
        </w:rPr>
        <w:t xml:space="preserve">complete that payment </w:t>
      </w:r>
      <w:r w:rsidR="00D1337E" w:rsidRPr="00040CCF">
        <w:rPr>
          <w:rFonts w:ascii="Times New Roman" w:hAnsi="Times New Roman" w:cs="Times New Roman"/>
          <w:snapToGrid/>
          <w:kern w:val="0"/>
          <w:sz w:val="22"/>
          <w:szCs w:val="22"/>
        </w:rPr>
        <w:t>by 6:00 pm ET on</w:t>
      </w:r>
      <w:r w:rsidR="00636D45" w:rsidRPr="00040CCF">
        <w:rPr>
          <w:rFonts w:ascii="Times New Roman" w:hAnsi="Times New Roman" w:cs="Times New Roman"/>
          <w:snapToGrid/>
          <w:kern w:val="0"/>
          <w:sz w:val="22"/>
          <w:szCs w:val="22"/>
        </w:rPr>
        <w:t xml:space="preserve"> </w:t>
      </w:r>
      <w:r w:rsidR="001F2CC9">
        <w:rPr>
          <w:rFonts w:ascii="Times New Roman" w:hAnsi="Times New Roman" w:cs="Times New Roman"/>
          <w:snapToGrid/>
          <w:kern w:val="0"/>
          <w:sz w:val="22"/>
          <w:szCs w:val="22"/>
        </w:rPr>
        <w:t xml:space="preserve">November </w:t>
      </w:r>
      <w:r w:rsidR="00BA0E4A">
        <w:rPr>
          <w:rFonts w:ascii="Times New Roman" w:hAnsi="Times New Roman" w:cs="Times New Roman"/>
          <w:snapToGrid/>
          <w:kern w:val="0"/>
          <w:sz w:val="22"/>
          <w:szCs w:val="22"/>
        </w:rPr>
        <w:t>28</w:t>
      </w:r>
      <w:r w:rsidR="00636D45" w:rsidRPr="00040CCF">
        <w:rPr>
          <w:rFonts w:ascii="Times New Roman" w:hAnsi="Times New Roman" w:cs="Times New Roman"/>
          <w:snapToGrid/>
          <w:kern w:val="0"/>
          <w:sz w:val="22"/>
          <w:szCs w:val="22"/>
        </w:rPr>
        <w:t>, 2013</w:t>
      </w:r>
      <w:r w:rsidR="00D1337E" w:rsidRPr="00040CCF">
        <w:rPr>
          <w:rFonts w:ascii="Times New Roman" w:hAnsi="Times New Roman" w:cs="Times New Roman"/>
          <w:b/>
          <w:snapToGrid/>
          <w:kern w:val="0"/>
          <w:sz w:val="22"/>
          <w:szCs w:val="22"/>
        </w:rPr>
        <w:t xml:space="preserve"> </w:t>
      </w:r>
      <w:r w:rsidR="00CF6FD7" w:rsidRPr="00040CCF">
        <w:rPr>
          <w:rFonts w:ascii="Times New Roman" w:hAnsi="Times New Roman" w:cs="Times New Roman"/>
          <w:snapToGrid/>
          <w:kern w:val="0"/>
          <w:sz w:val="22"/>
          <w:szCs w:val="22"/>
        </w:rPr>
        <w:t xml:space="preserve">will result in </w:t>
      </w:r>
      <w:r w:rsidR="00D1337E" w:rsidRPr="00040CCF">
        <w:rPr>
          <w:rFonts w:ascii="Times New Roman" w:hAnsi="Times New Roman" w:cs="Times New Roman"/>
          <w:snapToGrid/>
          <w:kern w:val="0"/>
          <w:sz w:val="22"/>
          <w:szCs w:val="22"/>
        </w:rPr>
        <w:t>default.</w:t>
      </w:r>
      <w:r w:rsidR="00D1337E" w:rsidRPr="00040CCF">
        <w:rPr>
          <w:rStyle w:val="FootnoteReference"/>
          <w:rFonts w:cs="Times New Roman"/>
          <w:snapToGrid/>
          <w:kern w:val="0"/>
          <w:szCs w:val="22"/>
        </w:rPr>
        <w:footnoteReference w:id="56"/>
      </w:r>
    </w:p>
    <w:p w:rsidR="008B08C4" w:rsidRPr="00040CCF" w:rsidRDefault="008B08C4" w:rsidP="00040CCF">
      <w:pPr>
        <w:pStyle w:val="Heading1"/>
        <w:widowControl/>
        <w:numPr>
          <w:ilvl w:val="0"/>
          <w:numId w:val="1"/>
        </w:numPr>
        <w:ind w:left="0" w:firstLine="720"/>
        <w:rPr>
          <w:bCs/>
          <w:szCs w:val="22"/>
        </w:rPr>
      </w:pPr>
      <w:r w:rsidRPr="00040CCF">
        <w:rPr>
          <w:szCs w:val="22"/>
        </w:rPr>
        <w:t>CONCLUSION AND ORDERING CLAUSES</w:t>
      </w:r>
      <w:r w:rsidR="00B64862" w:rsidRPr="00040CCF">
        <w:rPr>
          <w:szCs w:val="22"/>
        </w:rPr>
        <w:t xml:space="preserve">     </w:t>
      </w:r>
    </w:p>
    <w:p w:rsidR="00EF3971" w:rsidRPr="00040CCF" w:rsidRDefault="00AF418E"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napToGrid/>
          <w:kern w:val="0"/>
          <w:sz w:val="22"/>
          <w:szCs w:val="22"/>
        </w:rPr>
        <w:t>Ztark</w:t>
      </w:r>
      <w:r w:rsidRPr="00040CCF">
        <w:rPr>
          <w:rFonts w:ascii="Times New Roman" w:hAnsi="Times New Roman" w:cs="Times New Roman"/>
          <w:sz w:val="22"/>
          <w:szCs w:val="22"/>
        </w:rPr>
        <w:t xml:space="preserve"> </w:t>
      </w:r>
      <w:r w:rsidRPr="00040CCF">
        <w:rPr>
          <w:rFonts w:ascii="Times New Roman" w:hAnsi="Times New Roman" w:cs="Times New Roman"/>
          <w:color w:val="000000"/>
          <w:sz w:val="22"/>
          <w:szCs w:val="22"/>
        </w:rPr>
        <w:t xml:space="preserve">has </w:t>
      </w:r>
      <w:r w:rsidR="00D132E6" w:rsidRPr="00040CCF">
        <w:rPr>
          <w:rFonts w:ascii="Times New Roman" w:hAnsi="Times New Roman" w:cs="Times New Roman"/>
          <w:color w:val="000000"/>
          <w:sz w:val="22"/>
          <w:szCs w:val="22"/>
        </w:rPr>
        <w:t xml:space="preserve">failed to </w:t>
      </w:r>
      <w:r w:rsidRPr="00040CCF">
        <w:rPr>
          <w:rFonts w:ascii="Times New Roman" w:hAnsi="Times New Roman" w:cs="Times New Roman"/>
          <w:color w:val="000000"/>
          <w:sz w:val="22"/>
          <w:szCs w:val="22"/>
        </w:rPr>
        <w:t>rebut</w:t>
      </w:r>
      <w:r w:rsidR="00D132E6" w:rsidRPr="00040CCF">
        <w:rPr>
          <w:rFonts w:ascii="Times New Roman" w:hAnsi="Times New Roman" w:cs="Times New Roman"/>
          <w:color w:val="000000"/>
          <w:sz w:val="22"/>
          <w:szCs w:val="22"/>
        </w:rPr>
        <w:t xml:space="preserve"> </w:t>
      </w:r>
      <w:r w:rsidRPr="00040CCF">
        <w:rPr>
          <w:rFonts w:ascii="Times New Roman" w:hAnsi="Times New Roman" w:cs="Times New Roman"/>
          <w:color w:val="000000"/>
          <w:sz w:val="22"/>
          <w:szCs w:val="22"/>
        </w:rPr>
        <w:t>the presumption that Douglas Kratz has</w:t>
      </w:r>
      <w:r w:rsidR="00D1337E" w:rsidRPr="00040CCF">
        <w:rPr>
          <w:rFonts w:ascii="Times New Roman" w:hAnsi="Times New Roman" w:cs="Times New Roman"/>
          <w:color w:val="000000"/>
          <w:sz w:val="22"/>
          <w:szCs w:val="22"/>
        </w:rPr>
        <w:t xml:space="preserve"> an ide</w:t>
      </w:r>
      <w:r w:rsidR="00871E2C" w:rsidRPr="00040CCF">
        <w:rPr>
          <w:rFonts w:ascii="Times New Roman" w:hAnsi="Times New Roman" w:cs="Times New Roman"/>
          <w:color w:val="000000"/>
          <w:sz w:val="22"/>
          <w:szCs w:val="22"/>
        </w:rPr>
        <w:t>n</w:t>
      </w:r>
      <w:r w:rsidR="00D1337E" w:rsidRPr="00040CCF">
        <w:rPr>
          <w:rFonts w:ascii="Times New Roman" w:hAnsi="Times New Roman" w:cs="Times New Roman"/>
          <w:color w:val="000000"/>
          <w:sz w:val="22"/>
          <w:szCs w:val="22"/>
        </w:rPr>
        <w:t xml:space="preserve">tity of interest with </w:t>
      </w:r>
      <w:r w:rsidR="00D132E6" w:rsidRPr="00040CCF">
        <w:rPr>
          <w:rFonts w:ascii="Times New Roman" w:hAnsi="Times New Roman" w:cs="Times New Roman"/>
          <w:color w:val="000000"/>
          <w:sz w:val="22"/>
          <w:szCs w:val="22"/>
        </w:rPr>
        <w:t xml:space="preserve">his son </w:t>
      </w:r>
      <w:r w:rsidR="00D1337E" w:rsidRPr="00040CCF">
        <w:rPr>
          <w:rFonts w:ascii="Times New Roman" w:hAnsi="Times New Roman" w:cs="Times New Roman"/>
          <w:color w:val="000000"/>
          <w:sz w:val="22"/>
          <w:szCs w:val="22"/>
        </w:rPr>
        <w:t>Tyler Kratz</w:t>
      </w:r>
      <w:r w:rsidR="00871E2C" w:rsidRPr="00040CCF">
        <w:rPr>
          <w:rFonts w:ascii="Times New Roman" w:hAnsi="Times New Roman" w:cs="Times New Roman"/>
          <w:color w:val="000000"/>
          <w:sz w:val="22"/>
          <w:szCs w:val="22"/>
        </w:rPr>
        <w:t xml:space="preserve"> and Ztark</w:t>
      </w:r>
      <w:r w:rsidRPr="00040CCF">
        <w:rPr>
          <w:rFonts w:ascii="Times New Roman" w:hAnsi="Times New Roman" w:cs="Times New Roman"/>
          <w:color w:val="000000"/>
          <w:sz w:val="22"/>
          <w:szCs w:val="22"/>
        </w:rPr>
        <w:t xml:space="preserve">.   Furthermore, </w:t>
      </w:r>
      <w:r w:rsidR="007144D7" w:rsidRPr="00040CCF">
        <w:rPr>
          <w:rFonts w:ascii="Times New Roman" w:hAnsi="Times New Roman" w:cs="Times New Roman"/>
          <w:sz w:val="22"/>
          <w:szCs w:val="22"/>
        </w:rPr>
        <w:t xml:space="preserve">Ztark has also failed to provide Douglas Kratz’ gross revenues.  </w:t>
      </w:r>
      <w:r w:rsidR="00ED2E70" w:rsidRPr="00040CCF">
        <w:rPr>
          <w:rFonts w:ascii="Times New Roman" w:hAnsi="Times New Roman" w:cs="Times New Roman"/>
          <w:sz w:val="22"/>
          <w:szCs w:val="22"/>
        </w:rPr>
        <w:t xml:space="preserve">Accordingly, </w:t>
      </w:r>
      <w:r w:rsidR="007144D7" w:rsidRPr="00040CCF">
        <w:rPr>
          <w:rFonts w:ascii="Times New Roman" w:hAnsi="Times New Roman" w:cs="Times New Roman"/>
          <w:sz w:val="22"/>
          <w:szCs w:val="22"/>
        </w:rPr>
        <w:t xml:space="preserve">Ztark has not demonstrated that it is </w:t>
      </w:r>
      <w:r w:rsidR="00055C05" w:rsidRPr="00040CCF">
        <w:rPr>
          <w:rFonts w:ascii="Times New Roman" w:hAnsi="Times New Roman" w:cs="Times New Roman"/>
          <w:sz w:val="22"/>
          <w:szCs w:val="22"/>
        </w:rPr>
        <w:t>eligible for a</w:t>
      </w:r>
      <w:r w:rsidR="00D1337E" w:rsidRPr="00040CCF">
        <w:rPr>
          <w:rFonts w:ascii="Times New Roman" w:hAnsi="Times New Roman" w:cs="Times New Roman"/>
          <w:sz w:val="22"/>
          <w:szCs w:val="22"/>
        </w:rPr>
        <w:t xml:space="preserve"> bidding credit</w:t>
      </w:r>
      <w:r w:rsidR="00055C05" w:rsidRPr="00040CCF">
        <w:rPr>
          <w:rFonts w:ascii="Times New Roman" w:hAnsi="Times New Roman" w:cs="Times New Roman"/>
          <w:sz w:val="22"/>
          <w:szCs w:val="22"/>
        </w:rPr>
        <w:t>.</w:t>
      </w:r>
    </w:p>
    <w:p w:rsidR="008B08C4" w:rsidRPr="00040CCF" w:rsidRDefault="00ED2E70"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napToGrid/>
          <w:kern w:val="0"/>
          <w:sz w:val="22"/>
          <w:szCs w:val="22"/>
        </w:rPr>
        <w:t>Accordingly</w:t>
      </w:r>
      <w:r w:rsidRPr="00040CCF">
        <w:rPr>
          <w:rFonts w:ascii="Times New Roman" w:hAnsi="Times New Roman" w:cs="Times New Roman"/>
          <w:sz w:val="22"/>
          <w:szCs w:val="22"/>
        </w:rPr>
        <w:t>, IT IS ORD</w:t>
      </w:r>
      <w:r w:rsidR="00EF3971" w:rsidRPr="00040CCF">
        <w:rPr>
          <w:rFonts w:ascii="Times New Roman" w:hAnsi="Times New Roman" w:cs="Times New Roman"/>
          <w:sz w:val="22"/>
          <w:szCs w:val="22"/>
        </w:rPr>
        <w:t>ERED</w:t>
      </w:r>
      <w:r w:rsidR="0026373E" w:rsidRPr="00040CCF">
        <w:rPr>
          <w:rFonts w:ascii="Times New Roman" w:hAnsi="Times New Roman" w:cs="Times New Roman"/>
          <w:sz w:val="22"/>
          <w:szCs w:val="22"/>
        </w:rPr>
        <w:t xml:space="preserve"> that</w:t>
      </w:r>
      <w:r w:rsidR="00EF3971" w:rsidRPr="00040CCF">
        <w:rPr>
          <w:rFonts w:ascii="Times New Roman" w:hAnsi="Times New Roman" w:cs="Times New Roman"/>
          <w:sz w:val="22"/>
          <w:szCs w:val="22"/>
        </w:rPr>
        <w:t xml:space="preserve">, pursuant to Sections </w:t>
      </w:r>
      <w:r w:rsidR="00D1337E" w:rsidRPr="00040CCF">
        <w:rPr>
          <w:rFonts w:ascii="Times New Roman" w:hAnsi="Times New Roman" w:cs="Times New Roman"/>
          <w:sz w:val="22"/>
          <w:szCs w:val="22"/>
        </w:rPr>
        <w:t>4(i)</w:t>
      </w:r>
      <w:r w:rsidR="00EF3971" w:rsidRPr="00040CCF">
        <w:rPr>
          <w:rFonts w:ascii="Times New Roman" w:hAnsi="Times New Roman" w:cs="Times New Roman"/>
          <w:sz w:val="22"/>
          <w:szCs w:val="22"/>
        </w:rPr>
        <w:t xml:space="preserve"> and </w:t>
      </w:r>
      <w:r w:rsidR="00D1337E" w:rsidRPr="00040CCF">
        <w:rPr>
          <w:rFonts w:ascii="Times New Roman" w:hAnsi="Times New Roman" w:cs="Times New Roman"/>
          <w:sz w:val="22"/>
          <w:szCs w:val="22"/>
        </w:rPr>
        <w:t>309(j)</w:t>
      </w:r>
      <w:r w:rsidR="00EF3971" w:rsidRPr="00040CCF">
        <w:rPr>
          <w:rFonts w:ascii="Times New Roman" w:hAnsi="Times New Roman" w:cs="Times New Roman"/>
          <w:sz w:val="22"/>
          <w:szCs w:val="22"/>
        </w:rPr>
        <w:t xml:space="preserve"> </w:t>
      </w:r>
      <w:r w:rsidRPr="00040CCF">
        <w:rPr>
          <w:rFonts w:ascii="Times New Roman" w:hAnsi="Times New Roman" w:cs="Times New Roman"/>
          <w:sz w:val="22"/>
          <w:szCs w:val="22"/>
        </w:rPr>
        <w:t>of the Communications Act of 1934, as amended, 47 U.S.C. §§</w:t>
      </w:r>
      <w:r w:rsidR="00D1337E" w:rsidRPr="00040CCF">
        <w:rPr>
          <w:rFonts w:ascii="Times New Roman" w:hAnsi="Times New Roman" w:cs="Times New Roman"/>
          <w:sz w:val="22"/>
          <w:szCs w:val="22"/>
        </w:rPr>
        <w:t xml:space="preserve"> 154(i)</w:t>
      </w:r>
      <w:r w:rsidRPr="00040CCF">
        <w:rPr>
          <w:rFonts w:ascii="Times New Roman" w:hAnsi="Times New Roman" w:cs="Times New Roman"/>
          <w:sz w:val="22"/>
          <w:szCs w:val="22"/>
        </w:rPr>
        <w:t xml:space="preserve">, </w:t>
      </w:r>
      <w:r w:rsidR="0049121A" w:rsidRPr="00040CCF">
        <w:rPr>
          <w:rFonts w:ascii="Times New Roman" w:hAnsi="Times New Roman" w:cs="Times New Roman"/>
          <w:sz w:val="22"/>
          <w:szCs w:val="22"/>
        </w:rPr>
        <w:t xml:space="preserve">309(j) </w:t>
      </w:r>
      <w:r w:rsidRPr="00040CCF">
        <w:rPr>
          <w:rFonts w:ascii="Times New Roman" w:hAnsi="Times New Roman" w:cs="Times New Roman"/>
          <w:sz w:val="22"/>
          <w:szCs w:val="22"/>
        </w:rPr>
        <w:t xml:space="preserve">and Section </w:t>
      </w:r>
      <w:r w:rsidR="0049121A" w:rsidRPr="00040CCF">
        <w:rPr>
          <w:rFonts w:ascii="Times New Roman" w:hAnsi="Times New Roman" w:cs="Times New Roman"/>
          <w:sz w:val="22"/>
          <w:szCs w:val="22"/>
        </w:rPr>
        <w:t xml:space="preserve">1.2110 </w:t>
      </w:r>
      <w:r w:rsidRPr="00040CCF">
        <w:rPr>
          <w:rFonts w:ascii="Times New Roman" w:hAnsi="Times New Roman" w:cs="Times New Roman"/>
          <w:sz w:val="22"/>
          <w:szCs w:val="22"/>
        </w:rPr>
        <w:t>of the Commission’s Rules, 47 C.F.R. §</w:t>
      </w:r>
      <w:r w:rsidR="0049121A" w:rsidRPr="00040CCF">
        <w:rPr>
          <w:rFonts w:ascii="Times New Roman" w:hAnsi="Times New Roman" w:cs="Times New Roman"/>
          <w:sz w:val="22"/>
          <w:szCs w:val="22"/>
        </w:rPr>
        <w:t xml:space="preserve"> 1.2110</w:t>
      </w:r>
      <w:r w:rsidRPr="00040CCF">
        <w:rPr>
          <w:rFonts w:ascii="Times New Roman" w:hAnsi="Times New Roman" w:cs="Times New Roman"/>
          <w:sz w:val="22"/>
          <w:szCs w:val="22"/>
        </w:rPr>
        <w:t xml:space="preserve">, </w:t>
      </w:r>
      <w:r w:rsidR="00EF3971" w:rsidRPr="00040CCF">
        <w:rPr>
          <w:rFonts w:ascii="Times New Roman" w:hAnsi="Times New Roman" w:cs="Times New Roman"/>
          <w:sz w:val="22"/>
          <w:szCs w:val="22"/>
        </w:rPr>
        <w:t xml:space="preserve">Ztark’s request for an entrepreneur designated entity bidding credit </w:t>
      </w:r>
      <w:r w:rsidR="0049121A" w:rsidRPr="00040CCF">
        <w:rPr>
          <w:rFonts w:ascii="Times New Roman" w:hAnsi="Times New Roman" w:cs="Times New Roman"/>
          <w:sz w:val="22"/>
          <w:szCs w:val="22"/>
        </w:rPr>
        <w:t xml:space="preserve">in connection with file number </w:t>
      </w:r>
      <w:r w:rsidR="00871E2C" w:rsidRPr="00040CCF">
        <w:rPr>
          <w:rFonts w:ascii="Times New Roman" w:hAnsi="Times New Roman" w:cs="Times New Roman"/>
          <w:spacing w:val="-2"/>
          <w:sz w:val="22"/>
          <w:szCs w:val="22"/>
        </w:rPr>
        <w:t xml:space="preserve">0004041872 IS </w:t>
      </w:r>
      <w:r w:rsidRPr="00040CCF">
        <w:rPr>
          <w:rFonts w:ascii="Times New Roman" w:hAnsi="Times New Roman" w:cs="Times New Roman"/>
          <w:sz w:val="22"/>
          <w:szCs w:val="22"/>
        </w:rPr>
        <w:t>DENIED.</w:t>
      </w:r>
    </w:p>
    <w:p w:rsidR="008B08C4" w:rsidRPr="00040CCF" w:rsidRDefault="00ED2E70"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z w:val="22"/>
          <w:szCs w:val="22"/>
        </w:rPr>
        <w:t xml:space="preserve">IT IS FURTHER ORDERED that, pursuant to </w:t>
      </w:r>
      <w:r w:rsidR="00CD3B4E" w:rsidRPr="00040CCF">
        <w:rPr>
          <w:rFonts w:ascii="Times New Roman" w:hAnsi="Times New Roman" w:cs="Times New Roman"/>
          <w:sz w:val="22"/>
          <w:szCs w:val="22"/>
        </w:rPr>
        <w:t>Sections 4(i) and 309(j)</w:t>
      </w:r>
      <w:r w:rsidRPr="00040CCF">
        <w:rPr>
          <w:rFonts w:ascii="Times New Roman" w:hAnsi="Times New Roman" w:cs="Times New Roman"/>
          <w:sz w:val="22"/>
          <w:szCs w:val="22"/>
        </w:rPr>
        <w:t xml:space="preserve"> of the Communications Act, as amended, 47 U.S.C. §§ </w:t>
      </w:r>
      <w:r w:rsidR="00CD3B4E" w:rsidRPr="00040CCF">
        <w:rPr>
          <w:rFonts w:ascii="Times New Roman" w:hAnsi="Times New Roman" w:cs="Times New Roman"/>
          <w:sz w:val="22"/>
          <w:szCs w:val="22"/>
        </w:rPr>
        <w:t>154(i), 309(j),</w:t>
      </w:r>
      <w:r w:rsidR="00EF3971" w:rsidRPr="00040CCF">
        <w:rPr>
          <w:rFonts w:ascii="Times New Roman" w:hAnsi="Times New Roman" w:cs="Times New Roman"/>
          <w:sz w:val="22"/>
          <w:szCs w:val="22"/>
        </w:rPr>
        <w:t xml:space="preserve"> </w:t>
      </w:r>
      <w:r w:rsidRPr="00040CCF">
        <w:rPr>
          <w:rFonts w:ascii="Times New Roman" w:hAnsi="Times New Roman" w:cs="Times New Roman"/>
          <w:sz w:val="22"/>
          <w:szCs w:val="22"/>
        </w:rPr>
        <w:t xml:space="preserve">and Section </w:t>
      </w:r>
      <w:r w:rsidR="00CD3B4E" w:rsidRPr="00040CCF">
        <w:rPr>
          <w:rFonts w:ascii="Times New Roman" w:hAnsi="Times New Roman" w:cs="Times New Roman"/>
          <w:sz w:val="22"/>
          <w:szCs w:val="22"/>
        </w:rPr>
        <w:t>1.2109(a)</w:t>
      </w:r>
      <w:r w:rsidR="00EF3971" w:rsidRPr="00040CCF">
        <w:rPr>
          <w:rFonts w:ascii="Times New Roman" w:hAnsi="Times New Roman" w:cs="Times New Roman"/>
          <w:sz w:val="22"/>
          <w:szCs w:val="22"/>
        </w:rPr>
        <w:t xml:space="preserve"> </w:t>
      </w:r>
      <w:r w:rsidRPr="00040CCF">
        <w:rPr>
          <w:rFonts w:ascii="Times New Roman" w:hAnsi="Times New Roman" w:cs="Times New Roman"/>
          <w:sz w:val="22"/>
          <w:szCs w:val="22"/>
        </w:rPr>
        <w:t xml:space="preserve">of the Commission’s Rules, 47 C.F.R. § </w:t>
      </w:r>
      <w:r w:rsidR="00CD3B4E" w:rsidRPr="00040CCF">
        <w:rPr>
          <w:rFonts w:ascii="Times New Roman" w:hAnsi="Times New Roman" w:cs="Times New Roman"/>
          <w:sz w:val="22"/>
          <w:szCs w:val="22"/>
        </w:rPr>
        <w:t>1.2109(a),</w:t>
      </w:r>
      <w:r w:rsidR="00EF3971" w:rsidRPr="00040CCF">
        <w:rPr>
          <w:rFonts w:ascii="Times New Roman" w:hAnsi="Times New Roman" w:cs="Times New Roman"/>
          <w:sz w:val="22"/>
          <w:szCs w:val="22"/>
        </w:rPr>
        <w:t xml:space="preserve"> that Ztark must pay</w:t>
      </w:r>
      <w:r w:rsidR="00CD3B4E" w:rsidRPr="00040CCF">
        <w:rPr>
          <w:rFonts w:ascii="Times New Roman" w:hAnsi="Times New Roman" w:cs="Times New Roman"/>
          <w:sz w:val="22"/>
          <w:szCs w:val="22"/>
        </w:rPr>
        <w:t xml:space="preserve"> $413,700 to the Commission, pursuant to the instructions contained in Paragraph</w:t>
      </w:r>
      <w:r w:rsidR="00BA0E4A">
        <w:rPr>
          <w:rFonts w:ascii="Times New Roman" w:hAnsi="Times New Roman" w:cs="Times New Roman"/>
          <w:sz w:val="22"/>
          <w:szCs w:val="22"/>
        </w:rPr>
        <w:t>s</w:t>
      </w:r>
      <w:r w:rsidR="00CD3B4E" w:rsidRPr="00040CCF">
        <w:rPr>
          <w:rFonts w:ascii="Times New Roman" w:hAnsi="Times New Roman" w:cs="Times New Roman"/>
          <w:sz w:val="22"/>
          <w:szCs w:val="22"/>
        </w:rPr>
        <w:t xml:space="preserve"> 1</w:t>
      </w:r>
      <w:r w:rsidR="00457F89" w:rsidRPr="00040CCF">
        <w:rPr>
          <w:rFonts w:ascii="Times New Roman" w:hAnsi="Times New Roman" w:cs="Times New Roman"/>
          <w:sz w:val="22"/>
          <w:szCs w:val="22"/>
        </w:rPr>
        <w:t>7</w:t>
      </w:r>
      <w:r w:rsidR="00BA0E4A">
        <w:rPr>
          <w:rFonts w:ascii="Times New Roman" w:hAnsi="Times New Roman" w:cs="Times New Roman"/>
          <w:sz w:val="22"/>
          <w:szCs w:val="22"/>
        </w:rPr>
        <w:t>-19</w:t>
      </w:r>
      <w:r w:rsidR="00CD3B4E" w:rsidRPr="00040CCF">
        <w:rPr>
          <w:rFonts w:ascii="Times New Roman" w:hAnsi="Times New Roman" w:cs="Times New Roman"/>
          <w:sz w:val="22"/>
          <w:szCs w:val="22"/>
        </w:rPr>
        <w:t xml:space="preserve">, </w:t>
      </w:r>
      <w:r w:rsidR="00CD3B4E" w:rsidRPr="00040CCF">
        <w:rPr>
          <w:rFonts w:ascii="Times New Roman" w:hAnsi="Times New Roman" w:cs="Times New Roman"/>
          <w:i/>
          <w:sz w:val="22"/>
          <w:szCs w:val="22"/>
        </w:rPr>
        <w:t>supra</w:t>
      </w:r>
      <w:r w:rsidR="00CD3B4E" w:rsidRPr="00040CCF">
        <w:rPr>
          <w:rFonts w:ascii="Times New Roman" w:hAnsi="Times New Roman" w:cs="Times New Roman"/>
          <w:sz w:val="22"/>
          <w:szCs w:val="22"/>
        </w:rPr>
        <w:t>, by 6:00 pm Eastern Time on</w:t>
      </w:r>
      <w:r w:rsidR="001F2CC9">
        <w:rPr>
          <w:rFonts w:ascii="Times New Roman" w:hAnsi="Times New Roman" w:cs="Times New Roman"/>
          <w:sz w:val="22"/>
          <w:szCs w:val="22"/>
        </w:rPr>
        <w:t xml:space="preserve"> November </w:t>
      </w:r>
      <w:r w:rsidR="00BA0E4A">
        <w:rPr>
          <w:rFonts w:ascii="Times New Roman" w:hAnsi="Times New Roman" w:cs="Times New Roman"/>
          <w:sz w:val="22"/>
          <w:szCs w:val="22"/>
        </w:rPr>
        <w:t>28</w:t>
      </w:r>
      <w:r w:rsidR="001F2CC9">
        <w:rPr>
          <w:rFonts w:ascii="Times New Roman" w:hAnsi="Times New Roman" w:cs="Times New Roman"/>
          <w:sz w:val="22"/>
          <w:szCs w:val="22"/>
        </w:rPr>
        <w:t>, 2013</w:t>
      </w:r>
      <w:r w:rsidRPr="00040CCF">
        <w:rPr>
          <w:rFonts w:ascii="Times New Roman" w:hAnsi="Times New Roman" w:cs="Times New Roman"/>
          <w:sz w:val="22"/>
          <w:szCs w:val="22"/>
        </w:rPr>
        <w:t>.</w:t>
      </w:r>
    </w:p>
    <w:p w:rsidR="008F3E42" w:rsidRPr="00040CCF" w:rsidRDefault="008F3E42"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z w:val="22"/>
          <w:szCs w:val="22"/>
        </w:rPr>
        <w:t>All payments must be in U.S. dollars and made in the form of a wire transfer.  No personal checks, credit card payments, automated clearing house (“ACH”), or other forms of payment will be accepted.  All payments must be accompanied by a completed FCC Form 159.  Questions concerning the calculation and submission of payments, and the FCC Form 159, should be directed to Gail Glasser at (202) 418-0578.</w:t>
      </w:r>
    </w:p>
    <w:p w:rsidR="008F3E42" w:rsidRPr="00040CCF" w:rsidRDefault="008F3E42"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z w:val="22"/>
          <w:szCs w:val="22"/>
        </w:rPr>
        <w:t>To submit funds by wire transfer, Ztark will need the following information:</w:t>
      </w:r>
    </w:p>
    <w:p w:rsidR="008F3E42" w:rsidRDefault="008F3E42" w:rsidP="00040CCF">
      <w:pPr>
        <w:pStyle w:val="TOAHeading"/>
        <w:keepNext/>
        <w:keepLines/>
        <w:widowControl/>
        <w:tabs>
          <w:tab w:val="clear" w:pos="9360"/>
        </w:tabs>
        <w:suppressAutoHyphens w:val="0"/>
        <w:ind w:left="720"/>
      </w:pPr>
      <w:r>
        <w:t xml:space="preserve">ABA Routing Number:  </w:t>
      </w:r>
      <w:r>
        <w:rPr>
          <w:b/>
        </w:rPr>
        <w:t>021030004</w:t>
      </w:r>
    </w:p>
    <w:p w:rsidR="008F3E42" w:rsidRDefault="008F3E42" w:rsidP="00040CCF">
      <w:pPr>
        <w:keepNext/>
        <w:keepLines/>
        <w:widowControl/>
        <w:tabs>
          <w:tab w:val="left" w:pos="2340"/>
        </w:tabs>
        <w:ind w:left="720"/>
      </w:pPr>
      <w:r>
        <w:t>Receiving Bank:</w:t>
      </w:r>
      <w:r>
        <w:tab/>
      </w:r>
      <w:r>
        <w:rPr>
          <w:b/>
        </w:rPr>
        <w:t>TREAS NYC</w:t>
      </w:r>
    </w:p>
    <w:p w:rsidR="008F3E42" w:rsidRDefault="008F3E42" w:rsidP="00040CCF">
      <w:pPr>
        <w:widowControl/>
        <w:tabs>
          <w:tab w:val="left" w:pos="2340"/>
        </w:tabs>
        <w:ind w:left="720"/>
      </w:pPr>
      <w:r>
        <w:tab/>
        <w:t>33 Liberty Street</w:t>
      </w:r>
    </w:p>
    <w:p w:rsidR="008F3E42" w:rsidRDefault="008F3E42" w:rsidP="00040CCF">
      <w:pPr>
        <w:widowControl/>
        <w:tabs>
          <w:tab w:val="left" w:pos="2340"/>
        </w:tabs>
        <w:ind w:left="720"/>
      </w:pPr>
      <w:r>
        <w:tab/>
        <w:t>New York, NY  10045</w:t>
      </w:r>
    </w:p>
    <w:p w:rsidR="008F3E42" w:rsidRDefault="008F3E42" w:rsidP="00040CCF">
      <w:pPr>
        <w:widowControl/>
        <w:ind w:left="720"/>
        <w:rPr>
          <w:b/>
        </w:rPr>
      </w:pPr>
      <w:r>
        <w:t xml:space="preserve">ACCOUNT NAME:  </w:t>
      </w:r>
      <w:r>
        <w:rPr>
          <w:b/>
        </w:rPr>
        <w:t>FCC</w:t>
      </w:r>
    </w:p>
    <w:p w:rsidR="008F3E42" w:rsidRDefault="008F3E42" w:rsidP="00040CCF">
      <w:pPr>
        <w:pStyle w:val="TOAHeading"/>
        <w:widowControl/>
        <w:tabs>
          <w:tab w:val="clear" w:pos="9360"/>
        </w:tabs>
        <w:suppressAutoHyphens w:val="0"/>
        <w:ind w:left="720"/>
      </w:pPr>
      <w:r>
        <w:t xml:space="preserve">ACCOUNT NUMBER:  </w:t>
      </w:r>
      <w:r>
        <w:rPr>
          <w:b/>
        </w:rPr>
        <w:t>27000001</w:t>
      </w:r>
      <w:r>
        <w:t xml:space="preserve"> </w:t>
      </w:r>
    </w:p>
    <w:p w:rsidR="008F3E42" w:rsidRDefault="008F3E42" w:rsidP="00040CCF">
      <w:pPr>
        <w:widowControl/>
        <w:ind w:left="720"/>
      </w:pPr>
      <w:r>
        <w:t>OBI Field:  (Skip one space between each information item) “AUCTIONPAY”</w:t>
      </w:r>
    </w:p>
    <w:p w:rsidR="008F3E42" w:rsidRDefault="008F3E42" w:rsidP="00040CCF">
      <w:pPr>
        <w:widowControl/>
        <w:ind w:left="720"/>
      </w:pPr>
      <w:r>
        <w:t>APPLICANT FRN:  (same as FCC Form 159, block 21)</w:t>
      </w:r>
    </w:p>
    <w:p w:rsidR="008F3E42" w:rsidRDefault="008F3E42" w:rsidP="00040CCF">
      <w:pPr>
        <w:widowControl/>
        <w:ind w:left="720"/>
      </w:pPr>
      <w:r>
        <w:t>PAYMENT TYPE CODE:  (same as FCC Form 159, block 24A: “A86D”)</w:t>
      </w:r>
    </w:p>
    <w:p w:rsidR="008F3E42" w:rsidRDefault="008F3E42" w:rsidP="00040CCF">
      <w:pPr>
        <w:widowControl/>
        <w:ind w:left="720"/>
      </w:pPr>
      <w:r>
        <w:t>FCC CODE 1:  (same as FCC Form 159, Block 28A:  “86”)</w:t>
      </w:r>
    </w:p>
    <w:p w:rsidR="008F3E42" w:rsidRDefault="008F3E42" w:rsidP="00040CCF">
      <w:pPr>
        <w:widowControl/>
        <w:ind w:left="720"/>
      </w:pPr>
      <w:r>
        <w:t>PAYOR NAME:  (same as FCC Form 159, Block 2)</w:t>
      </w:r>
    </w:p>
    <w:p w:rsidR="008F3E42" w:rsidRDefault="008F3E42" w:rsidP="00E52717">
      <w:pPr>
        <w:widowControl/>
        <w:spacing w:after="220"/>
        <w:ind w:left="720"/>
        <w:rPr>
          <w:b/>
        </w:rPr>
      </w:pPr>
      <w:r>
        <w:t>LOCKBOX NO.:  #</w:t>
      </w:r>
      <w:r>
        <w:rPr>
          <w:b/>
        </w:rPr>
        <w:t>979088</w:t>
      </w:r>
    </w:p>
    <w:p w:rsidR="008F3E42" w:rsidRPr="00040CCF" w:rsidRDefault="008F3E42"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z w:val="22"/>
          <w:szCs w:val="22"/>
        </w:rPr>
        <w:t>At least one hour before placing the order for the wire transfer (but on the same business day), a completed FCC Form 159 (Remittance Advice) must be faxed to U.S. Bank in St. Louis, Missouri, at (314) 418-4232.  Proper completion of the FCC Form 159 is critical to ensuring correct credit.</w:t>
      </w:r>
    </w:p>
    <w:p w:rsidR="00ED2E70" w:rsidRPr="00040CCF" w:rsidRDefault="00ED2E70" w:rsidP="00040CCF">
      <w:pPr>
        <w:pStyle w:val="BalloonText"/>
        <w:widowControl/>
        <w:tabs>
          <w:tab w:val="clear" w:pos="1080"/>
          <w:tab w:val="num" w:pos="1440"/>
        </w:tabs>
        <w:spacing w:after="220"/>
        <w:rPr>
          <w:rFonts w:ascii="Times New Roman" w:hAnsi="Times New Roman" w:cs="Times New Roman"/>
          <w:sz w:val="22"/>
          <w:szCs w:val="22"/>
        </w:rPr>
      </w:pPr>
      <w:r w:rsidRPr="00040CCF">
        <w:rPr>
          <w:rFonts w:ascii="Times New Roman" w:hAnsi="Times New Roman" w:cs="Times New Roman"/>
          <w:sz w:val="22"/>
          <w:szCs w:val="22"/>
        </w:rPr>
        <w:t>These actions are taken under delegated authority pursuant to Sections 0.131 and 0.331 of the Commission’s Rules, 47 C.F.R. §§ 0.131, 0.331.</w:t>
      </w:r>
    </w:p>
    <w:p w:rsidR="00B64862" w:rsidRDefault="00B64862" w:rsidP="00040CCF">
      <w:pPr>
        <w:pStyle w:val="TOAHeading"/>
        <w:widowControl/>
        <w:tabs>
          <w:tab w:val="clear" w:pos="9360"/>
          <w:tab w:val="left" w:pos="-1440"/>
          <w:tab w:val="left" w:pos="-720"/>
        </w:tabs>
        <w:spacing w:line="227" w:lineRule="auto"/>
      </w:pPr>
    </w:p>
    <w:p w:rsidR="00B64862" w:rsidRDefault="00B64862" w:rsidP="00040CCF">
      <w:pPr>
        <w:pStyle w:val="TOAHeading"/>
        <w:widowControl/>
        <w:tabs>
          <w:tab w:val="clear" w:pos="9360"/>
          <w:tab w:val="left" w:pos="-1440"/>
          <w:tab w:val="left" w:pos="-720"/>
        </w:tabs>
        <w:spacing w:line="227" w:lineRule="auto"/>
      </w:pPr>
      <w:r>
        <w:tab/>
      </w:r>
      <w:r>
        <w:tab/>
      </w:r>
      <w:r>
        <w:tab/>
      </w:r>
      <w:r>
        <w:tab/>
      </w:r>
      <w:r>
        <w:tab/>
      </w:r>
      <w:r>
        <w:tab/>
        <w:t>FEDERAL COMMUNICATIONS COMMISSION</w:t>
      </w:r>
    </w:p>
    <w:p w:rsidR="00B64862" w:rsidRDefault="00B64862" w:rsidP="00040CCF">
      <w:pPr>
        <w:widowControl/>
        <w:tabs>
          <w:tab w:val="left" w:pos="-1440"/>
          <w:tab w:val="left" w:pos="-720"/>
        </w:tabs>
        <w:suppressAutoHyphens/>
        <w:spacing w:line="227" w:lineRule="auto"/>
      </w:pPr>
    </w:p>
    <w:p w:rsidR="00B64862" w:rsidRDefault="00B64862" w:rsidP="00040CCF">
      <w:pPr>
        <w:pStyle w:val="TOAHeading"/>
        <w:widowControl/>
        <w:tabs>
          <w:tab w:val="clear" w:pos="9360"/>
          <w:tab w:val="left" w:pos="-1440"/>
          <w:tab w:val="left" w:pos="-720"/>
        </w:tabs>
        <w:spacing w:line="227" w:lineRule="auto"/>
      </w:pPr>
    </w:p>
    <w:p w:rsidR="00B64862" w:rsidRDefault="00B64862" w:rsidP="00040CCF">
      <w:pPr>
        <w:widowControl/>
        <w:tabs>
          <w:tab w:val="left" w:pos="-1440"/>
          <w:tab w:val="left" w:pos="-720"/>
        </w:tabs>
        <w:suppressAutoHyphens/>
        <w:spacing w:line="227" w:lineRule="auto"/>
      </w:pPr>
    </w:p>
    <w:p w:rsidR="00B64862" w:rsidRDefault="00B64862" w:rsidP="00040CCF">
      <w:pPr>
        <w:widowControl/>
        <w:tabs>
          <w:tab w:val="left" w:pos="-1440"/>
          <w:tab w:val="left" w:pos="-720"/>
        </w:tabs>
        <w:suppressAutoHyphens/>
        <w:spacing w:line="227" w:lineRule="auto"/>
      </w:pPr>
    </w:p>
    <w:p w:rsidR="00897A05" w:rsidRDefault="00B64862" w:rsidP="00040CCF">
      <w:pPr>
        <w:widowControl/>
        <w:tabs>
          <w:tab w:val="left" w:pos="-1440"/>
          <w:tab w:val="left" w:pos="-720"/>
        </w:tabs>
        <w:suppressAutoHyphens/>
        <w:spacing w:line="227" w:lineRule="auto"/>
      </w:pPr>
      <w:r>
        <w:tab/>
      </w:r>
      <w:r>
        <w:tab/>
      </w:r>
      <w:r>
        <w:tab/>
      </w:r>
      <w:r>
        <w:tab/>
      </w:r>
      <w:r>
        <w:tab/>
      </w:r>
      <w:r>
        <w:tab/>
      </w:r>
      <w:r w:rsidR="00897A05">
        <w:t>John J. Schauble</w:t>
      </w:r>
      <w:r>
        <w:tab/>
      </w:r>
      <w:r>
        <w:tab/>
      </w:r>
      <w:r>
        <w:tab/>
      </w:r>
      <w:r>
        <w:tab/>
      </w:r>
      <w:r>
        <w:tab/>
      </w:r>
      <w:r>
        <w:tab/>
        <w:t xml:space="preserve">      </w:t>
      </w:r>
      <w:r w:rsidR="00897A05">
        <w:tab/>
      </w:r>
      <w:r w:rsidR="00897A05">
        <w:tab/>
      </w:r>
      <w:r w:rsidR="00897A05">
        <w:tab/>
      </w:r>
      <w:r w:rsidR="00897A05">
        <w:tab/>
      </w:r>
      <w:r w:rsidR="00897A05">
        <w:tab/>
        <w:t xml:space="preserve">Deputy </w:t>
      </w:r>
      <w:r>
        <w:t>Chief,</w:t>
      </w:r>
      <w:r w:rsidR="00F34D01">
        <w:t xml:space="preserve"> </w:t>
      </w:r>
      <w:r w:rsidR="00897A05">
        <w:t>Broadband Division</w:t>
      </w:r>
    </w:p>
    <w:p w:rsidR="00B64862" w:rsidRDefault="00897A05" w:rsidP="00040CCF">
      <w:pPr>
        <w:widowControl/>
        <w:tabs>
          <w:tab w:val="left" w:pos="-1440"/>
          <w:tab w:val="left" w:pos="-720"/>
        </w:tabs>
        <w:suppressAutoHyphens/>
        <w:spacing w:line="227" w:lineRule="auto"/>
      </w:pPr>
      <w:r>
        <w:tab/>
      </w:r>
      <w:r>
        <w:tab/>
      </w:r>
      <w:r>
        <w:tab/>
      </w:r>
      <w:r>
        <w:tab/>
      </w:r>
      <w:r>
        <w:tab/>
      </w:r>
      <w:r>
        <w:tab/>
      </w:r>
      <w:r w:rsidR="00B64862">
        <w:t>Wireles</w:t>
      </w:r>
      <w:r w:rsidR="002D096D">
        <w:t>s Telecommunications Bureau</w:t>
      </w:r>
    </w:p>
    <w:p w:rsidR="00B64862" w:rsidRDefault="00B64862" w:rsidP="00040CCF">
      <w:pPr>
        <w:widowControl/>
        <w:tabs>
          <w:tab w:val="left" w:pos="-1440"/>
          <w:tab w:val="left" w:pos="-720"/>
        </w:tabs>
        <w:suppressAutoHyphens/>
        <w:spacing w:line="227" w:lineRule="auto"/>
      </w:pPr>
    </w:p>
    <w:sectPr w:rsidR="00B64862" w:rsidSect="00DA47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5D" w:rsidRDefault="00AC355D">
      <w:pPr>
        <w:spacing w:line="20" w:lineRule="exact"/>
      </w:pPr>
    </w:p>
  </w:endnote>
  <w:endnote w:type="continuationSeparator" w:id="0">
    <w:p w:rsidR="00AC355D" w:rsidRDefault="00AC355D">
      <w:r>
        <w:t xml:space="preserve"> </w:t>
      </w:r>
    </w:p>
  </w:endnote>
  <w:endnote w:type="continuationNotice" w:id="1">
    <w:p w:rsidR="00AC355D" w:rsidRDefault="00AC35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ld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F5" w:rsidRDefault="007A1CB9">
    <w:pPr>
      <w:pStyle w:val="Footer"/>
      <w:framePr w:wrap="around" w:vAnchor="text" w:hAnchor="margin" w:xAlign="center" w:y="1"/>
    </w:pPr>
    <w:r>
      <w:fldChar w:fldCharType="begin"/>
    </w:r>
    <w:r>
      <w:instrText xml:space="preserve">PAGE  </w:instrText>
    </w:r>
    <w:r>
      <w:fldChar w:fldCharType="separate"/>
    </w:r>
    <w:r w:rsidR="00EF22F5">
      <w:rPr>
        <w:noProof/>
      </w:rPr>
      <w:t>5</w:t>
    </w:r>
    <w:r>
      <w:rPr>
        <w:noProof/>
      </w:rPr>
      <w:fldChar w:fldCharType="end"/>
    </w:r>
  </w:p>
  <w:p w:rsidR="00EF22F5" w:rsidRDefault="00EF2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F5" w:rsidRDefault="007A1CB9">
    <w:pPr>
      <w:pStyle w:val="Footer"/>
      <w:framePr w:wrap="around" w:vAnchor="text" w:hAnchor="margin" w:xAlign="center" w:y="1"/>
    </w:pPr>
    <w:r>
      <w:fldChar w:fldCharType="begin"/>
    </w:r>
    <w:r>
      <w:instrText xml:space="preserve">PAGE  </w:instrText>
    </w:r>
    <w:r>
      <w:fldChar w:fldCharType="separate"/>
    </w:r>
    <w:r w:rsidR="00A548C5">
      <w:rPr>
        <w:noProof/>
      </w:rPr>
      <w:t>2</w:t>
    </w:r>
    <w:r>
      <w:rPr>
        <w:noProof/>
      </w:rPr>
      <w:fldChar w:fldCharType="end"/>
    </w:r>
  </w:p>
  <w:p w:rsidR="00EF22F5" w:rsidRDefault="00EF22F5">
    <w:pPr>
      <w:spacing w:before="140" w:line="100" w:lineRule="exact"/>
      <w:rPr>
        <w:sz w:val="10"/>
      </w:rPr>
    </w:pPr>
  </w:p>
  <w:p w:rsidR="00EF22F5" w:rsidRDefault="00EF22F5">
    <w:pPr>
      <w:suppressAutoHyphens/>
      <w:spacing w:line="227" w:lineRule="auto"/>
      <w:jc w:val="both"/>
    </w:pPr>
  </w:p>
  <w:p w:rsidR="00EF22F5" w:rsidRDefault="00EF22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F5" w:rsidRDefault="00EF22F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5D" w:rsidRDefault="00AC355D">
      <w:r>
        <w:separator/>
      </w:r>
    </w:p>
  </w:footnote>
  <w:footnote w:type="continuationSeparator" w:id="0">
    <w:p w:rsidR="00AC355D" w:rsidRDefault="00AC355D">
      <w:pPr>
        <w:rPr>
          <w:sz w:val="20"/>
        </w:rPr>
      </w:pPr>
      <w:r>
        <w:rPr>
          <w:sz w:val="20"/>
        </w:rPr>
        <w:t xml:space="preserve">(Continued from previous page)  </w:t>
      </w:r>
      <w:r>
        <w:rPr>
          <w:sz w:val="20"/>
        </w:rPr>
        <w:separator/>
      </w:r>
    </w:p>
  </w:footnote>
  <w:footnote w:type="continuationNotice" w:id="1">
    <w:p w:rsidR="00AC355D" w:rsidRDefault="00AC355D">
      <w:pPr>
        <w:rPr>
          <w:sz w:val="20"/>
        </w:rPr>
      </w:pPr>
      <w:r>
        <w:rPr>
          <w:sz w:val="20"/>
        </w:rPr>
        <w:t>(continued….)</w:t>
      </w:r>
    </w:p>
  </w:footnote>
  <w:footnote w:id="2">
    <w:p w:rsidR="00EF22F5" w:rsidRPr="00496B51" w:rsidRDefault="00EF22F5" w:rsidP="00F73720">
      <w:pPr>
        <w:spacing w:after="120"/>
        <w:rPr>
          <w:rFonts w:ascii="Verdana" w:hAnsi="Verdana"/>
          <w:snapToGrid/>
          <w:color w:val="000000"/>
          <w:kern w:val="0"/>
          <w:sz w:val="19"/>
          <w:szCs w:val="19"/>
        </w:rPr>
      </w:pPr>
      <w:r>
        <w:rPr>
          <w:rStyle w:val="FootnoteReference"/>
        </w:rPr>
        <w:footnoteRef/>
      </w:r>
      <w:r>
        <w:t xml:space="preserve"> </w:t>
      </w:r>
      <w:r w:rsidRPr="00496B51">
        <w:rPr>
          <w:i/>
          <w:sz w:val="20"/>
        </w:rPr>
        <w:t>See</w:t>
      </w:r>
      <w:r w:rsidRPr="00496B51">
        <w:rPr>
          <w:sz w:val="20"/>
        </w:rPr>
        <w:t xml:space="preserve"> </w:t>
      </w:r>
      <w:r w:rsidRPr="00496B51">
        <w:rPr>
          <w:snapToGrid/>
          <w:color w:val="000000"/>
          <w:kern w:val="0"/>
          <w:sz w:val="20"/>
        </w:rPr>
        <w:t>A</w:t>
      </w:r>
      <w:r>
        <w:rPr>
          <w:snapToGrid/>
          <w:color w:val="000000"/>
          <w:kern w:val="0"/>
          <w:sz w:val="20"/>
        </w:rPr>
        <w:t xml:space="preserve">uction of Broadband Radio Service Licenses Closes, Winning Bidders Announced For Auction </w:t>
      </w:r>
      <w:r w:rsidRPr="00496B51">
        <w:rPr>
          <w:snapToGrid/>
          <w:color w:val="000000"/>
          <w:kern w:val="0"/>
          <w:sz w:val="20"/>
        </w:rPr>
        <w:t xml:space="preserve">86, </w:t>
      </w:r>
      <w:r w:rsidRPr="00496B51">
        <w:rPr>
          <w:i/>
          <w:snapToGrid/>
          <w:color w:val="000000"/>
          <w:kern w:val="0"/>
          <w:sz w:val="20"/>
        </w:rPr>
        <w:t>Public Notice</w:t>
      </w:r>
      <w:r w:rsidRPr="00496B51">
        <w:rPr>
          <w:snapToGrid/>
          <w:color w:val="000000"/>
          <w:kern w:val="0"/>
          <w:sz w:val="20"/>
        </w:rPr>
        <w:t>, 24 FCC Rcd 13572 (WTB 2009)</w:t>
      </w:r>
      <w:r>
        <w:rPr>
          <w:snapToGrid/>
          <w:color w:val="000000"/>
          <w:kern w:val="0"/>
          <w:sz w:val="20"/>
        </w:rPr>
        <w:t xml:space="preserve"> </w:t>
      </w:r>
      <w:r w:rsidRPr="005115CC">
        <w:rPr>
          <w:sz w:val="20"/>
        </w:rPr>
        <w:t>(“</w:t>
      </w:r>
      <w:r>
        <w:rPr>
          <w:i/>
          <w:iCs/>
          <w:sz w:val="20"/>
        </w:rPr>
        <w:t>Auction 86 Closing</w:t>
      </w:r>
      <w:r w:rsidRPr="005115CC">
        <w:rPr>
          <w:i/>
          <w:iCs/>
          <w:sz w:val="20"/>
        </w:rPr>
        <w:t xml:space="preserve"> P</w:t>
      </w:r>
      <w:r>
        <w:rPr>
          <w:i/>
          <w:iCs/>
          <w:sz w:val="20"/>
        </w:rPr>
        <w:t>N</w:t>
      </w:r>
      <w:r w:rsidRPr="005115CC">
        <w:rPr>
          <w:sz w:val="20"/>
        </w:rPr>
        <w:t>”).</w:t>
      </w:r>
    </w:p>
  </w:footnote>
  <w:footnote w:id="3">
    <w:p w:rsidR="00EF22F5" w:rsidRPr="00B600A0" w:rsidRDefault="00EF22F5" w:rsidP="00F73720">
      <w:pPr>
        <w:spacing w:after="120"/>
        <w:rPr>
          <w:sz w:val="20"/>
        </w:rPr>
      </w:pPr>
      <w:r>
        <w:rPr>
          <w:rStyle w:val="FootnoteReference"/>
        </w:rPr>
        <w:footnoteRef/>
      </w:r>
      <w:r>
        <w:t xml:space="preserve"> </w:t>
      </w:r>
      <w:r w:rsidRPr="008637A1">
        <w:rPr>
          <w:i/>
          <w:sz w:val="20"/>
        </w:rPr>
        <w:t xml:space="preserve">See </w:t>
      </w:r>
      <w:hyperlink r:id="rId1" w:tgtFrame="_top" w:history="1">
        <w:r w:rsidRPr="005115CC">
          <w:rPr>
            <w:sz w:val="20"/>
          </w:rPr>
          <w:t>47 C.F.R. §</w:t>
        </w:r>
        <w:r>
          <w:rPr>
            <w:sz w:val="20"/>
          </w:rPr>
          <w:t xml:space="preserve"> 1.2110</w:t>
        </w:r>
      </w:hyperlink>
      <w:r>
        <w:rPr>
          <w:sz w:val="20"/>
        </w:rPr>
        <w:t xml:space="preserve">; </w:t>
      </w:r>
      <w:bookmarkStart w:id="1" w:name="SR;4197"/>
      <w:bookmarkStart w:id="2" w:name="SearchTerm"/>
      <w:bookmarkEnd w:id="1"/>
      <w:r>
        <w:rPr>
          <w:sz w:val="20"/>
        </w:rPr>
        <w:t>Auction</w:t>
      </w:r>
      <w:r w:rsidRPr="005115CC">
        <w:rPr>
          <w:sz w:val="20"/>
        </w:rPr>
        <w:t xml:space="preserve"> of Broadband Radio Service (</w:t>
      </w:r>
      <w:bookmarkStart w:id="3" w:name="SR;4202"/>
      <w:bookmarkEnd w:id="3"/>
      <w:r>
        <w:rPr>
          <w:sz w:val="20"/>
        </w:rPr>
        <w:t>BRS)</w:t>
      </w:r>
      <w:r w:rsidRPr="005115CC">
        <w:rPr>
          <w:sz w:val="20"/>
        </w:rPr>
        <w:t xml:space="preserve"> Licenses Scheduled for October 27, 2009; Notice and Filing Requirements, Minimum Opening Bids, Upfront Payments, and Other Procedures for</w:t>
      </w:r>
      <w:r>
        <w:rPr>
          <w:sz w:val="20"/>
        </w:rPr>
        <w:t xml:space="preserve"> Auction 86</w:t>
      </w:r>
      <w:bookmarkStart w:id="4" w:name="SR;4222"/>
      <w:bookmarkStart w:id="5" w:name="SR;4223"/>
      <w:bookmarkEnd w:id="4"/>
      <w:bookmarkEnd w:id="5"/>
      <w:r w:rsidRPr="005115CC">
        <w:rPr>
          <w:sz w:val="20"/>
        </w:rPr>
        <w:t xml:space="preserve">, </w:t>
      </w:r>
      <w:r w:rsidRPr="005115CC">
        <w:rPr>
          <w:i/>
          <w:iCs/>
          <w:sz w:val="20"/>
        </w:rPr>
        <w:t>Public Notice</w:t>
      </w:r>
      <w:r w:rsidRPr="005115CC">
        <w:rPr>
          <w:sz w:val="20"/>
        </w:rPr>
        <w:t>,  24 FCC Rcd 8277, 8</w:t>
      </w:r>
      <w:r>
        <w:rPr>
          <w:sz w:val="20"/>
        </w:rPr>
        <w:t>296</w:t>
      </w:r>
      <w:r w:rsidRPr="005115CC">
        <w:rPr>
          <w:sz w:val="20"/>
        </w:rPr>
        <w:t xml:space="preserve"> ¶</w:t>
      </w:r>
      <w:r>
        <w:rPr>
          <w:sz w:val="20"/>
        </w:rPr>
        <w:t xml:space="preserve"> 71</w:t>
      </w:r>
      <w:r w:rsidRPr="005115CC">
        <w:rPr>
          <w:sz w:val="20"/>
        </w:rPr>
        <w:t xml:space="preserve"> (</w:t>
      </w:r>
      <w:r>
        <w:rPr>
          <w:sz w:val="20"/>
        </w:rPr>
        <w:t xml:space="preserve">WTB </w:t>
      </w:r>
      <w:r w:rsidRPr="005115CC">
        <w:rPr>
          <w:sz w:val="20"/>
        </w:rPr>
        <w:t>2009)</w:t>
      </w:r>
      <w:bookmarkStart w:id="6" w:name="SR;4238"/>
      <w:bookmarkStart w:id="7" w:name="SR;4239"/>
      <w:bookmarkEnd w:id="2"/>
      <w:bookmarkEnd w:id="6"/>
      <w:bookmarkEnd w:id="7"/>
      <w:r>
        <w:rPr>
          <w:sz w:val="20"/>
        </w:rPr>
        <w:t xml:space="preserve"> (“</w:t>
      </w:r>
      <w:r>
        <w:rPr>
          <w:i/>
          <w:sz w:val="20"/>
        </w:rPr>
        <w:t>Auction 86 Procedures PN</w:t>
      </w:r>
      <w:r>
        <w:rPr>
          <w:sz w:val="20"/>
        </w:rPr>
        <w:t>”)</w:t>
      </w:r>
      <w:r w:rsidRPr="005115CC">
        <w:rPr>
          <w:sz w:val="20"/>
        </w:rPr>
        <w:t xml:space="preserve">. </w:t>
      </w:r>
      <w:r>
        <w:rPr>
          <w:sz w:val="20"/>
        </w:rPr>
        <w:t xml:space="preserve"> </w:t>
      </w:r>
      <w:r w:rsidRPr="00B600A0">
        <w:rPr>
          <w:sz w:val="20"/>
        </w:rPr>
        <w:t>The level of bidding credit was determined as follows:</w:t>
      </w:r>
    </w:p>
    <w:p w:rsidR="00EF22F5" w:rsidRPr="00B600A0" w:rsidRDefault="00EF22F5" w:rsidP="00F73720">
      <w:pPr>
        <w:spacing w:after="120"/>
        <w:rPr>
          <w:sz w:val="20"/>
        </w:rPr>
      </w:pPr>
      <w:r w:rsidRPr="00B600A0">
        <w:rPr>
          <w:sz w:val="20"/>
        </w:rPr>
        <w:t>• A bidder with attributed average annual gross revenues that exceeded $15 million but did not exceed $40 million for the preceding three years (“small business”) would receive a 15 percent discount on its winning bid.</w:t>
      </w:r>
    </w:p>
    <w:p w:rsidR="00EF22F5" w:rsidRPr="00B600A0" w:rsidRDefault="00EF22F5" w:rsidP="00F73720">
      <w:pPr>
        <w:spacing w:after="120"/>
        <w:rPr>
          <w:sz w:val="20"/>
        </w:rPr>
      </w:pPr>
      <w:r w:rsidRPr="00B600A0">
        <w:rPr>
          <w:sz w:val="20"/>
        </w:rPr>
        <w:t>• A bidder with attributed average annual gross revenues that exceeded $3 million but did not exceed $15 million for the preceding three years (“very small business”) would receive a 25 percent discount on its winning bid.</w:t>
      </w:r>
    </w:p>
    <w:p w:rsidR="00EF22F5" w:rsidRDefault="00EF22F5" w:rsidP="00F73720">
      <w:pPr>
        <w:spacing w:after="120"/>
        <w:rPr>
          <w:sz w:val="20"/>
        </w:rPr>
      </w:pPr>
      <w:r w:rsidRPr="00B600A0">
        <w:rPr>
          <w:sz w:val="20"/>
        </w:rPr>
        <w:t>• A bidder with attributed average annual gross revenues that did not exceed $3 million for the preceding three years (“entrepreneur”) would receive a 35 percent discount on its winning bid.</w:t>
      </w:r>
      <w:r>
        <w:rPr>
          <w:sz w:val="20"/>
        </w:rPr>
        <w:t xml:space="preserve">  </w:t>
      </w:r>
    </w:p>
    <w:p w:rsidR="00EF22F5" w:rsidRDefault="00EF22F5" w:rsidP="00F73720">
      <w:pPr>
        <w:spacing w:after="120"/>
      </w:pPr>
      <w:r>
        <w:rPr>
          <w:i/>
          <w:iCs/>
          <w:sz w:val="20"/>
        </w:rPr>
        <w:t xml:space="preserve">Auction 86 </w:t>
      </w:r>
      <w:r w:rsidRPr="005115CC">
        <w:rPr>
          <w:i/>
          <w:iCs/>
          <w:sz w:val="20"/>
        </w:rPr>
        <w:t>Procedures PN</w:t>
      </w:r>
      <w:r>
        <w:rPr>
          <w:i/>
          <w:iCs/>
          <w:sz w:val="20"/>
        </w:rPr>
        <w:t xml:space="preserve">, </w:t>
      </w:r>
      <w:r>
        <w:rPr>
          <w:sz w:val="20"/>
        </w:rPr>
        <w:t>24 FCC Rcd at 8296 ¶ 73.</w:t>
      </w:r>
    </w:p>
  </w:footnote>
  <w:footnote w:id="4">
    <w:p w:rsidR="00613EA5" w:rsidRDefault="00613EA5" w:rsidP="00F73720">
      <w:pPr>
        <w:pStyle w:val="FootnoteText"/>
        <w:spacing w:after="120"/>
      </w:pPr>
      <w:r>
        <w:rPr>
          <w:rStyle w:val="FootnoteReference"/>
        </w:rPr>
        <w:footnoteRef/>
      </w:r>
      <w:r>
        <w:t xml:space="preserve"> </w:t>
      </w:r>
      <w:r w:rsidRPr="00FE6538">
        <w:rPr>
          <w:i/>
        </w:rPr>
        <w:t>See</w:t>
      </w:r>
      <w:r>
        <w:rPr>
          <w:i/>
          <w:iCs/>
        </w:rPr>
        <w:t xml:space="preserve"> Auction 86 Closing</w:t>
      </w:r>
      <w:r w:rsidRPr="005115CC">
        <w:rPr>
          <w:i/>
          <w:iCs/>
        </w:rPr>
        <w:t xml:space="preserve"> P</w:t>
      </w:r>
      <w:r>
        <w:rPr>
          <w:i/>
          <w:iCs/>
        </w:rPr>
        <w:t>N</w:t>
      </w:r>
      <w:r>
        <w:rPr>
          <w:iCs/>
        </w:rPr>
        <w:t xml:space="preserve">, 24 FCC </w:t>
      </w:r>
      <w:r>
        <w:t>Rcd at 13582, 13583 Attachment A.</w:t>
      </w:r>
    </w:p>
  </w:footnote>
  <w:footnote w:id="5">
    <w:p w:rsidR="00725972" w:rsidRPr="00725972" w:rsidRDefault="00725972" w:rsidP="0014346E">
      <w:pPr>
        <w:pStyle w:val="FootnoteText"/>
        <w:spacing w:after="120"/>
      </w:pPr>
      <w:r>
        <w:rPr>
          <w:rStyle w:val="FootnoteReference"/>
        </w:rPr>
        <w:footnoteRef/>
      </w:r>
      <w:r>
        <w:t xml:space="preserve"> </w:t>
      </w:r>
      <w:r>
        <w:rPr>
          <w:i/>
        </w:rPr>
        <w:t>See</w:t>
      </w:r>
      <w:r>
        <w:t xml:space="preserve"> 47 C.F.R. § 1.2105(a).</w:t>
      </w:r>
    </w:p>
  </w:footnote>
  <w:footnote w:id="6">
    <w:p w:rsidR="004C5F31" w:rsidRPr="004C5F31" w:rsidRDefault="004C5F31" w:rsidP="0014346E">
      <w:pPr>
        <w:pStyle w:val="FootnoteText"/>
        <w:spacing w:after="120"/>
      </w:pPr>
      <w:r>
        <w:rPr>
          <w:rStyle w:val="FootnoteReference"/>
        </w:rPr>
        <w:footnoteRef/>
      </w:r>
      <w:r>
        <w:t xml:space="preserve"> </w:t>
      </w:r>
      <w:r>
        <w:rPr>
          <w:i/>
        </w:rPr>
        <w:t>See</w:t>
      </w:r>
      <w:r>
        <w:t xml:space="preserve"> 47 C.F.R. § 1.2107(c); </w:t>
      </w:r>
      <w:r>
        <w:rPr>
          <w:i/>
        </w:rPr>
        <w:t>Auction 86 Closing PN</w:t>
      </w:r>
      <w:r>
        <w:t>, 24 FCC Rcd at 13572.</w:t>
      </w:r>
    </w:p>
  </w:footnote>
  <w:footnote w:id="7">
    <w:p w:rsidR="004C5F31" w:rsidRPr="00613EA5" w:rsidRDefault="004C5F31" w:rsidP="0014346E">
      <w:pPr>
        <w:pStyle w:val="FootnoteText"/>
        <w:spacing w:after="120"/>
      </w:pPr>
      <w:r>
        <w:rPr>
          <w:rStyle w:val="FootnoteReference"/>
        </w:rPr>
        <w:footnoteRef/>
      </w:r>
      <w:r>
        <w:t xml:space="preserve"> </w:t>
      </w:r>
      <w:r w:rsidRPr="00FE6538">
        <w:t xml:space="preserve">Ztark Communications, LLC, File No. </w:t>
      </w:r>
      <w:r w:rsidRPr="0036168D">
        <w:rPr>
          <w:spacing w:val="-2"/>
        </w:rPr>
        <w:t>0004041872</w:t>
      </w:r>
      <w:r>
        <w:rPr>
          <w:spacing w:val="-2"/>
        </w:rPr>
        <w:t xml:space="preserve"> (filed Nov. 23, </w:t>
      </w:r>
      <w:r w:rsidR="00613EA5">
        <w:rPr>
          <w:spacing w:val="-2"/>
        </w:rPr>
        <w:t>2</w:t>
      </w:r>
      <w:r>
        <w:rPr>
          <w:spacing w:val="-2"/>
        </w:rPr>
        <w:t>009)</w:t>
      </w:r>
      <w:r w:rsidRPr="0093219D">
        <w:rPr>
          <w:i/>
        </w:rPr>
        <w:t xml:space="preserve"> </w:t>
      </w:r>
      <w:r w:rsidRPr="003F0003">
        <w:t>(“</w:t>
      </w:r>
      <w:r w:rsidRPr="00C84DC9">
        <w:t>Ztark Long Form App</w:t>
      </w:r>
      <w:r>
        <w:t>lication</w:t>
      </w:r>
      <w:r w:rsidRPr="003F0003">
        <w:t>”</w:t>
      </w:r>
      <w:r>
        <w:t>)</w:t>
      </w:r>
      <w:r w:rsidR="00613EA5">
        <w:t xml:space="preserve">; </w:t>
      </w:r>
      <w:r w:rsidR="00613EA5">
        <w:rPr>
          <w:i/>
        </w:rPr>
        <w:t>see also Auction 86 Closing PN</w:t>
      </w:r>
      <w:r w:rsidR="00613EA5">
        <w:t>, 24 FCC Rcd at 13572.</w:t>
      </w:r>
    </w:p>
  </w:footnote>
  <w:footnote w:id="8">
    <w:p w:rsidR="00EF22F5" w:rsidRDefault="00EF22F5" w:rsidP="00F73720">
      <w:pPr>
        <w:pStyle w:val="FootnoteText"/>
        <w:spacing w:after="120"/>
      </w:pPr>
      <w:r>
        <w:rPr>
          <w:rStyle w:val="FootnoteReference"/>
        </w:rPr>
        <w:footnoteRef/>
      </w:r>
      <w:r>
        <w:t xml:space="preserve"> </w:t>
      </w:r>
      <w:r w:rsidRPr="00FE6538">
        <w:rPr>
          <w:i/>
        </w:rPr>
        <w:t>See</w:t>
      </w:r>
      <w:r>
        <w:t xml:space="preserve"> </w:t>
      </w:r>
      <w:r w:rsidRPr="00FE6538">
        <w:t xml:space="preserve">Ztark Communications, LLC, File No. </w:t>
      </w:r>
      <w:r w:rsidRPr="0036168D">
        <w:rPr>
          <w:spacing w:val="-2"/>
        </w:rPr>
        <w:t>0004041872</w:t>
      </w:r>
      <w:r w:rsidRPr="0093219D">
        <w:rPr>
          <w:i/>
        </w:rPr>
        <w:t xml:space="preserve"> </w:t>
      </w:r>
      <w:r w:rsidRPr="003F0003">
        <w:t>(“</w:t>
      </w:r>
      <w:r w:rsidRPr="00C84DC9">
        <w:t>Ztark Long Form App</w:t>
      </w:r>
      <w:r>
        <w:t>lication</w:t>
      </w:r>
      <w:r w:rsidRPr="003F0003">
        <w:t>”</w:t>
      </w:r>
      <w:r>
        <w:t>), Exhibit C:  Designated Entities (filed Jan. 12, 2010)</w:t>
      </w:r>
      <w:r w:rsidRPr="00FE6538">
        <w:t>.</w:t>
      </w:r>
    </w:p>
  </w:footnote>
  <w:footnote w:id="9">
    <w:p w:rsidR="00EF22F5" w:rsidRPr="00063EB8" w:rsidRDefault="00EF22F5" w:rsidP="00EA3020">
      <w:pPr>
        <w:pStyle w:val="FootnoteText"/>
        <w:spacing w:after="120"/>
      </w:pPr>
      <w:r>
        <w:rPr>
          <w:rStyle w:val="FootnoteReference"/>
        </w:rPr>
        <w:footnoteRef/>
      </w:r>
      <w:r>
        <w:t xml:space="preserve"> </w:t>
      </w:r>
      <w:r>
        <w:rPr>
          <w:i/>
        </w:rPr>
        <w:t>Id.</w:t>
      </w:r>
      <w:r>
        <w:t>, Revenue Information.</w:t>
      </w:r>
    </w:p>
  </w:footnote>
  <w:footnote w:id="10">
    <w:p w:rsidR="00EF22F5" w:rsidRDefault="00EF22F5" w:rsidP="00716840">
      <w:pPr>
        <w:pStyle w:val="FootnoteText"/>
        <w:spacing w:after="120"/>
      </w:pPr>
      <w:r>
        <w:rPr>
          <w:rStyle w:val="FootnoteReference"/>
        </w:rPr>
        <w:footnoteRef/>
      </w:r>
      <w:r>
        <w:t xml:space="preserve"> Ztark’s gross winning bids totaled $1,182,000.  </w:t>
      </w:r>
      <w:r>
        <w:rPr>
          <w:i/>
          <w:iCs/>
        </w:rPr>
        <w:t>Auction 86 Closing</w:t>
      </w:r>
      <w:r w:rsidRPr="005115CC">
        <w:rPr>
          <w:i/>
          <w:iCs/>
        </w:rPr>
        <w:t xml:space="preserve"> P</w:t>
      </w:r>
      <w:r>
        <w:rPr>
          <w:i/>
          <w:iCs/>
        </w:rPr>
        <w:t>N</w:t>
      </w:r>
      <w:r>
        <w:rPr>
          <w:iCs/>
        </w:rPr>
        <w:t xml:space="preserve">, 24 FCC Rcd at </w:t>
      </w:r>
      <w:r>
        <w:t xml:space="preserve">13582, 13583 </w:t>
      </w:r>
      <w:r>
        <w:rPr>
          <w:iCs/>
        </w:rPr>
        <w:t>Attachment A.</w:t>
      </w:r>
      <w:r>
        <w:t xml:space="preserve">  Thus, a bidding credit received pursuant to the entrepreneur credit would equal $413,700.</w:t>
      </w:r>
    </w:p>
  </w:footnote>
  <w:footnote w:id="11">
    <w:p w:rsidR="00EF22F5" w:rsidRDefault="00EF22F5" w:rsidP="00716840">
      <w:pPr>
        <w:pStyle w:val="FootnoteText"/>
        <w:spacing w:after="120"/>
      </w:pPr>
      <w:r>
        <w:rPr>
          <w:rStyle w:val="FootnoteReference"/>
        </w:rPr>
        <w:footnoteRef/>
      </w:r>
      <w:r>
        <w:t xml:space="preserve"> </w:t>
      </w:r>
      <w:r w:rsidRPr="003F0003">
        <w:t>Ztark Long Form App</w:t>
      </w:r>
      <w:r>
        <w:t>lication, Revenue Information</w:t>
      </w:r>
      <w:r w:rsidRPr="003F0003">
        <w:t>.</w:t>
      </w:r>
      <w:r>
        <w:t xml:space="preserve">  Ztark later amended its revenue information to decrease Ztark’s average gross revenues to $480,372.49 and increase Tyler Kratz’ average gross revenues to $</w:t>
      </w:r>
      <w:r w:rsidRPr="00763676">
        <w:t>446,335.33</w:t>
      </w:r>
      <w:r>
        <w:t xml:space="preserve">.  </w:t>
      </w:r>
      <w:r w:rsidRPr="003F0003">
        <w:t>Ztark Long Form App</w:t>
      </w:r>
      <w:r>
        <w:t>lication, Amendment (filed Aug. 8, 2012), Revenue Information.</w:t>
      </w:r>
    </w:p>
  </w:footnote>
  <w:footnote w:id="12">
    <w:p w:rsidR="00EF22F5" w:rsidRPr="00063EB8" w:rsidRDefault="00EF22F5">
      <w:pPr>
        <w:pStyle w:val="FootnoteText"/>
        <w:spacing w:after="120"/>
      </w:pPr>
      <w:r>
        <w:rPr>
          <w:rStyle w:val="FootnoteReference"/>
        </w:rPr>
        <w:footnoteRef/>
      </w:r>
      <w:r>
        <w:rPr>
          <w:i/>
        </w:rPr>
        <w:t xml:space="preserve"> </w:t>
      </w:r>
      <w:r w:rsidRPr="003F0003">
        <w:t>Ztark Long Form App</w:t>
      </w:r>
      <w:r>
        <w:t>lication, Revenue Information</w:t>
      </w:r>
      <w:r w:rsidRPr="003F0003">
        <w:t>.</w:t>
      </w:r>
    </w:p>
  </w:footnote>
  <w:footnote w:id="13">
    <w:p w:rsidR="00EF22F5" w:rsidRPr="00D97599" w:rsidRDefault="00EF22F5">
      <w:pPr>
        <w:pStyle w:val="FootnoteText"/>
        <w:spacing w:after="120"/>
      </w:pPr>
      <w:r>
        <w:rPr>
          <w:rStyle w:val="FootnoteReference"/>
        </w:rPr>
        <w:footnoteRef/>
      </w:r>
      <w:r>
        <w:t xml:space="preserve"> </w:t>
      </w:r>
      <w:r>
        <w:rPr>
          <w:i/>
        </w:rPr>
        <w:t>See</w:t>
      </w:r>
      <w:r>
        <w:t xml:space="preserve"> Implementation  of Section 309(j) of the Communications Act – Competitive Bidding, PP Docket No. 93-253, </w:t>
      </w:r>
      <w:r>
        <w:rPr>
          <w:i/>
        </w:rPr>
        <w:t>Second Memorandum Opinion and Order</w:t>
      </w:r>
      <w:r>
        <w:t>, 9 FCC Rcd 7245, 7262 ¶ 102 (1994) (“</w:t>
      </w:r>
      <w:r>
        <w:rPr>
          <w:i/>
        </w:rPr>
        <w:t>Competitive Bidding 2</w:t>
      </w:r>
      <w:r w:rsidRPr="00D97599">
        <w:rPr>
          <w:i/>
          <w:vertAlign w:val="superscript"/>
        </w:rPr>
        <w:t>nd</w:t>
      </w:r>
      <w:r>
        <w:rPr>
          <w:i/>
        </w:rPr>
        <w:t xml:space="preserve"> MO&amp;O</w:t>
      </w:r>
      <w:r>
        <w:t>”).</w:t>
      </w:r>
    </w:p>
  </w:footnote>
  <w:footnote w:id="14">
    <w:p w:rsidR="00EF22F5" w:rsidRPr="00D97599" w:rsidRDefault="00EF22F5">
      <w:pPr>
        <w:pStyle w:val="FootnoteText"/>
        <w:spacing w:after="120"/>
      </w:pPr>
      <w:r>
        <w:rPr>
          <w:rStyle w:val="FootnoteReference"/>
        </w:rPr>
        <w:footnoteRef/>
      </w:r>
      <w:r>
        <w:t xml:space="preserve"> </w:t>
      </w:r>
      <w:r>
        <w:rPr>
          <w:i/>
        </w:rPr>
        <w:t>Id.</w:t>
      </w:r>
      <w:r>
        <w:t xml:space="preserve">, </w:t>
      </w:r>
      <w:r>
        <w:rPr>
          <w:i/>
        </w:rPr>
        <w:t>see</w:t>
      </w:r>
      <w:r>
        <w:t xml:space="preserve"> </w:t>
      </w:r>
      <w:r w:rsidRPr="002F6CD2">
        <w:rPr>
          <w:u w:color="0020F6"/>
        </w:rPr>
        <w:t>47 C.F.R. § 1.2110(c)(5)(iii)(B)</w:t>
      </w:r>
      <w:r>
        <w:t>.</w:t>
      </w:r>
    </w:p>
  </w:footnote>
  <w:footnote w:id="15">
    <w:p w:rsidR="00BF42C4" w:rsidRDefault="00BF42C4" w:rsidP="0014346E">
      <w:pPr>
        <w:pStyle w:val="FootnoteText"/>
        <w:spacing w:after="120"/>
      </w:pPr>
      <w:r>
        <w:rPr>
          <w:rStyle w:val="FootnoteReference"/>
        </w:rPr>
        <w:footnoteRef/>
      </w:r>
      <w:r>
        <w:t xml:space="preserve"> </w:t>
      </w:r>
      <w:r w:rsidRPr="002F6CD2">
        <w:rPr>
          <w:u w:color="0020F6"/>
        </w:rPr>
        <w:t>47 C.F.R. § 1.2110(c)(5)(iii)(B)</w:t>
      </w:r>
      <w:r>
        <w:t>.</w:t>
      </w:r>
    </w:p>
  </w:footnote>
  <w:footnote w:id="16">
    <w:p w:rsidR="00EF22F5" w:rsidRPr="005941F9" w:rsidRDefault="00EF22F5" w:rsidP="00F73720">
      <w:pPr>
        <w:pStyle w:val="FootnoteText"/>
        <w:spacing w:after="120"/>
      </w:pPr>
      <w:r>
        <w:rPr>
          <w:rStyle w:val="FootnoteReference"/>
        </w:rPr>
        <w:footnoteRef/>
      </w:r>
      <w:r>
        <w:t xml:space="preserve"> </w:t>
      </w:r>
      <w:r>
        <w:rPr>
          <w:i/>
        </w:rPr>
        <w:t>Id.</w:t>
      </w:r>
    </w:p>
  </w:footnote>
  <w:footnote w:id="17">
    <w:p w:rsidR="00EF22F5" w:rsidRPr="00D97599" w:rsidRDefault="00EF22F5" w:rsidP="00EA3020">
      <w:pPr>
        <w:pStyle w:val="FootnoteText"/>
        <w:spacing w:after="120"/>
      </w:pPr>
      <w:r>
        <w:rPr>
          <w:rStyle w:val="FootnoteReference"/>
        </w:rPr>
        <w:footnoteRef/>
      </w:r>
      <w:r>
        <w:t xml:space="preserve"> </w:t>
      </w:r>
      <w:r>
        <w:rPr>
          <w:i/>
        </w:rPr>
        <w:t>See</w:t>
      </w:r>
      <w:r>
        <w:t xml:space="preserve"> </w:t>
      </w:r>
      <w:r w:rsidRPr="002F6CD2">
        <w:rPr>
          <w:u w:color="0020F6"/>
        </w:rPr>
        <w:t>47 C.F.R. § 1.2110(c)(5)(i)(</w:t>
      </w:r>
      <w:r>
        <w:rPr>
          <w:u w:color="0020F6"/>
        </w:rPr>
        <w:t>D</w:t>
      </w:r>
      <w:r w:rsidRPr="002F6CD2">
        <w:rPr>
          <w:u w:color="0020F6"/>
        </w:rPr>
        <w:t>)</w:t>
      </w:r>
      <w:r>
        <w:rPr>
          <w:u w:color="0020F6"/>
        </w:rPr>
        <w:t>.</w:t>
      </w:r>
    </w:p>
  </w:footnote>
  <w:footnote w:id="18">
    <w:p w:rsidR="00EF22F5" w:rsidRDefault="00EF22F5" w:rsidP="00EA3020">
      <w:pPr>
        <w:pStyle w:val="FootnoteText"/>
        <w:spacing w:after="120"/>
      </w:pPr>
      <w:r>
        <w:rPr>
          <w:rStyle w:val="FootnoteReference"/>
        </w:rPr>
        <w:footnoteRef/>
      </w:r>
      <w:r>
        <w:t xml:space="preserve"> </w:t>
      </w:r>
      <w:r>
        <w:rPr>
          <w:i/>
        </w:rPr>
        <w:t>See</w:t>
      </w:r>
      <w:r>
        <w:t xml:space="preserve"> </w:t>
      </w:r>
      <w:r w:rsidRPr="002F6CD2">
        <w:rPr>
          <w:u w:color="0020F6"/>
        </w:rPr>
        <w:t>47 C.F.R. § 1.2110(</w:t>
      </w:r>
      <w:r>
        <w:rPr>
          <w:u w:color="0020F6"/>
        </w:rPr>
        <w:t>b</w:t>
      </w:r>
      <w:r w:rsidRPr="002F6CD2">
        <w:rPr>
          <w:u w:color="0020F6"/>
        </w:rPr>
        <w:t>)(</w:t>
      </w:r>
      <w:r>
        <w:rPr>
          <w:u w:color="0020F6"/>
        </w:rPr>
        <w:t>1</w:t>
      </w:r>
      <w:r w:rsidRPr="002F6CD2">
        <w:rPr>
          <w:u w:color="0020F6"/>
        </w:rPr>
        <w:t>)(i)</w:t>
      </w:r>
      <w:r>
        <w:rPr>
          <w:u w:color="0020F6"/>
        </w:rPr>
        <w:t>.</w:t>
      </w:r>
    </w:p>
  </w:footnote>
  <w:footnote w:id="19">
    <w:p w:rsidR="00EF22F5" w:rsidRPr="00E23C3B" w:rsidRDefault="00EF22F5" w:rsidP="00EA3020">
      <w:pPr>
        <w:pStyle w:val="FootnoteText"/>
        <w:spacing w:after="120"/>
      </w:pPr>
      <w:r>
        <w:rPr>
          <w:rStyle w:val="FootnoteReference"/>
        </w:rPr>
        <w:footnoteRef/>
      </w:r>
      <w:r>
        <w:t xml:space="preserve"> </w:t>
      </w:r>
      <w:r>
        <w:rPr>
          <w:i/>
        </w:rPr>
        <w:t>Id.</w:t>
      </w:r>
      <w:r>
        <w:t xml:space="preserve">  </w:t>
      </w:r>
      <w:r>
        <w:rPr>
          <w:i/>
        </w:rPr>
        <w:t xml:space="preserve">See also </w:t>
      </w:r>
      <w:r w:rsidRPr="002F6CD2">
        <w:rPr>
          <w:u w:color="0020F6"/>
        </w:rPr>
        <w:t>47 C.F.R. § 1.2110(c)(5)(iii)(B)</w:t>
      </w:r>
      <w:r>
        <w:t xml:space="preserve">. </w:t>
      </w:r>
    </w:p>
  </w:footnote>
  <w:footnote w:id="20">
    <w:p w:rsidR="00AB626F" w:rsidRDefault="00AB626F" w:rsidP="0014346E">
      <w:pPr>
        <w:pStyle w:val="FootnoteText"/>
        <w:spacing w:after="120"/>
      </w:pPr>
      <w:r>
        <w:rPr>
          <w:rStyle w:val="FootnoteReference"/>
        </w:rPr>
        <w:footnoteRef/>
      </w:r>
      <w:r>
        <w:t xml:space="preserve"> </w:t>
      </w:r>
      <w:r>
        <w:rPr>
          <w:i/>
        </w:rPr>
        <w:t>Competitive Bidding 2</w:t>
      </w:r>
      <w:r w:rsidRPr="00D97599">
        <w:rPr>
          <w:i/>
          <w:vertAlign w:val="superscript"/>
        </w:rPr>
        <w:t>nd</w:t>
      </w:r>
      <w:r>
        <w:rPr>
          <w:i/>
        </w:rPr>
        <w:t xml:space="preserve"> MO&amp;O</w:t>
      </w:r>
      <w:r>
        <w:t>, 9 FCC Rcd at 7262 ¶ 102.</w:t>
      </w:r>
    </w:p>
  </w:footnote>
  <w:footnote w:id="21">
    <w:p w:rsidR="00EF22F5" w:rsidRDefault="00EF22F5" w:rsidP="00F73720">
      <w:pPr>
        <w:pStyle w:val="FootnoteText"/>
        <w:spacing w:after="120"/>
      </w:pPr>
      <w:r>
        <w:rPr>
          <w:rStyle w:val="FootnoteReference"/>
        </w:rPr>
        <w:footnoteRef/>
      </w:r>
      <w:r>
        <w:t xml:space="preserve"> </w:t>
      </w:r>
      <w:r w:rsidR="00AB626F">
        <w:rPr>
          <w:i/>
        </w:rPr>
        <w:t>Id.</w:t>
      </w:r>
      <w:r w:rsidR="00AB626F">
        <w:t xml:space="preserve"> </w:t>
      </w:r>
      <w:r>
        <w:t>at 7262 ¶ 103.</w:t>
      </w:r>
    </w:p>
  </w:footnote>
  <w:footnote w:id="22">
    <w:p w:rsidR="00EF22F5" w:rsidRDefault="00EF22F5" w:rsidP="00F73720">
      <w:pPr>
        <w:pStyle w:val="FootnoteText"/>
        <w:spacing w:after="120"/>
      </w:pPr>
      <w:r>
        <w:rPr>
          <w:rStyle w:val="FootnoteReference"/>
        </w:rPr>
        <w:footnoteRef/>
      </w:r>
      <w:r>
        <w:t xml:space="preserve"> </w:t>
      </w:r>
      <w:r>
        <w:rPr>
          <w:i/>
        </w:rPr>
        <w:t>See</w:t>
      </w:r>
      <w:r>
        <w:t xml:space="preserve"> Ztark Long Form Application, Exhibit C, July 15, 2010 Supplemental Response.</w:t>
      </w:r>
    </w:p>
  </w:footnote>
  <w:footnote w:id="23">
    <w:p w:rsidR="00EF22F5" w:rsidRPr="002F7D0B" w:rsidRDefault="00EF22F5" w:rsidP="00EA3020">
      <w:pPr>
        <w:pStyle w:val="FootnoteText"/>
        <w:spacing w:after="120"/>
      </w:pPr>
      <w:r>
        <w:rPr>
          <w:rStyle w:val="FootnoteReference"/>
        </w:rPr>
        <w:footnoteRef/>
      </w:r>
      <w:r>
        <w:t xml:space="preserve"> </w:t>
      </w:r>
      <w:r>
        <w:rPr>
          <w:i/>
        </w:rPr>
        <w:t>Id.</w:t>
      </w:r>
      <w:r>
        <w:t xml:space="preserve"> at 3.</w:t>
      </w:r>
    </w:p>
  </w:footnote>
  <w:footnote w:id="24">
    <w:p w:rsidR="00EF22F5" w:rsidRPr="00042C45" w:rsidRDefault="00EF22F5" w:rsidP="00EA3020">
      <w:pPr>
        <w:pStyle w:val="FootnoteText"/>
        <w:spacing w:after="120"/>
      </w:pPr>
      <w:r>
        <w:rPr>
          <w:rStyle w:val="FootnoteReference"/>
        </w:rPr>
        <w:footnoteRef/>
      </w:r>
      <w:r>
        <w:t xml:space="preserve"> </w:t>
      </w:r>
      <w:r>
        <w:rPr>
          <w:i/>
        </w:rPr>
        <w:t>See</w:t>
      </w:r>
      <w:r>
        <w:t xml:space="preserve"> Letter from John J. Schauble, Deputy Chief, Broadband Division, Wireless Telecommunications Bureau to Mr. Tyler Kratz, Ztark Communications, LLC (Apr. 23, 2012)</w:t>
      </w:r>
      <w:r w:rsidR="00EA3020">
        <w:t xml:space="preserve"> (“308(b) Letter”)</w:t>
      </w:r>
      <w:r>
        <w:t>.  Ztark requested confidential treatment of its response (“Ztark 308(b) Response Letter”), which was filed on June 22, 2012.</w:t>
      </w:r>
      <w:r w:rsidR="00981520">
        <w:t xml:space="preserve">  </w:t>
      </w:r>
      <w:r w:rsidR="00981520" w:rsidRPr="00765230">
        <w:t xml:space="preserve">In this </w:t>
      </w:r>
      <w:r w:rsidR="00981520" w:rsidRPr="00E94132">
        <w:rPr>
          <w:i/>
        </w:rPr>
        <w:t>Memorandum Opinion and Order</w:t>
      </w:r>
      <w:r w:rsidR="00981520" w:rsidRPr="00765230">
        <w:t>, “[</w:t>
      </w:r>
      <w:r w:rsidR="00981520" w:rsidRPr="00765230">
        <w:rPr>
          <w:b/>
        </w:rPr>
        <w:t>REDACTED</w:t>
      </w:r>
      <w:r w:rsidR="00981520" w:rsidRPr="00765230">
        <w:t>]</w:t>
      </w:r>
      <w:r w:rsidR="00981520">
        <w:t xml:space="preserve">” </w:t>
      </w:r>
      <w:r w:rsidR="00981520" w:rsidRPr="00765230">
        <w:t xml:space="preserve">indicates </w:t>
      </w:r>
      <w:r w:rsidR="00981520">
        <w:t xml:space="preserve">information that Ztark has requested be treated as </w:t>
      </w:r>
      <w:r w:rsidR="00981520" w:rsidRPr="00765230">
        <w:t>confidential or proprietary information</w:t>
      </w:r>
      <w:r w:rsidR="00981520">
        <w:t>.</w:t>
      </w:r>
    </w:p>
  </w:footnote>
  <w:footnote w:id="25">
    <w:p w:rsidR="003B4893" w:rsidRDefault="00EF22F5" w:rsidP="003B4893">
      <w:pPr>
        <w:pStyle w:val="FootnoteText"/>
        <w:spacing w:after="0"/>
      </w:pPr>
      <w:r>
        <w:rPr>
          <w:rStyle w:val="FootnoteReference"/>
        </w:rPr>
        <w:footnoteRef/>
      </w:r>
      <w:r>
        <w:t xml:space="preserve"> Ztark 308(b) Response Letter at Exhibit B.  </w:t>
      </w:r>
      <w:r w:rsidR="00527CB0">
        <w:rPr>
          <w:b/>
        </w:rPr>
        <w:t>[RED</w:t>
      </w:r>
      <w:r w:rsidR="003B4893">
        <w:rPr>
          <w:b/>
        </w:rPr>
        <w:t>A</w:t>
      </w:r>
      <w:r w:rsidR="00527CB0">
        <w:rPr>
          <w:b/>
        </w:rPr>
        <w:t>C</w:t>
      </w:r>
      <w:r w:rsidR="003B4893">
        <w:rPr>
          <w:b/>
        </w:rPr>
        <w:t>TED]</w:t>
      </w:r>
      <w:r>
        <w:t>.</w:t>
      </w:r>
    </w:p>
    <w:p w:rsidR="00EF22F5" w:rsidRPr="00042C45" w:rsidRDefault="00EF22F5" w:rsidP="00EA3020">
      <w:pPr>
        <w:pStyle w:val="FootnoteText"/>
        <w:spacing w:after="120"/>
      </w:pPr>
      <w:r>
        <w:t xml:space="preserve">  </w:t>
      </w:r>
      <w:r w:rsidR="003B4893">
        <w:t xml:space="preserve">       </w:t>
      </w:r>
      <w:r>
        <w:rPr>
          <w:i/>
        </w:rPr>
        <w:t>Id.</w:t>
      </w:r>
      <w:r>
        <w:t xml:space="preserve"> at 1.</w:t>
      </w:r>
    </w:p>
  </w:footnote>
  <w:footnote w:id="26">
    <w:p w:rsidR="00EF22F5" w:rsidRDefault="00EF22F5" w:rsidP="00716840">
      <w:pPr>
        <w:pStyle w:val="FootnoteText"/>
        <w:spacing w:after="120"/>
      </w:pPr>
      <w:r>
        <w:rPr>
          <w:rStyle w:val="FootnoteReference"/>
        </w:rPr>
        <w:footnoteRef/>
      </w:r>
      <w:r>
        <w:t xml:space="preserve"> Ztark 308(b) Response Letter at 2.</w:t>
      </w:r>
    </w:p>
  </w:footnote>
  <w:footnote w:id="27">
    <w:p w:rsidR="00E52717" w:rsidRDefault="00E52717" w:rsidP="00E52717">
      <w:pPr>
        <w:pStyle w:val="FootnoteText"/>
        <w:spacing w:after="120"/>
      </w:pPr>
      <w:r>
        <w:rPr>
          <w:rStyle w:val="FootnoteReference"/>
        </w:rPr>
        <w:footnoteRef/>
      </w:r>
      <w:r>
        <w:t xml:space="preserve"> Ztark Long Form Application (filed Nov. 23, 2009).</w:t>
      </w:r>
    </w:p>
  </w:footnote>
  <w:footnote w:id="28">
    <w:p w:rsidR="00E52717" w:rsidRPr="00926E72" w:rsidRDefault="00E52717" w:rsidP="00E52717">
      <w:pPr>
        <w:pStyle w:val="FootnoteText"/>
        <w:spacing w:after="120"/>
      </w:pPr>
      <w:r>
        <w:rPr>
          <w:rStyle w:val="FootnoteReference"/>
        </w:rPr>
        <w:footnoteRef/>
      </w:r>
      <w:r>
        <w:t xml:space="preserve"> </w:t>
      </w:r>
      <w:r>
        <w:rPr>
          <w:i/>
        </w:rPr>
        <w:t>See</w:t>
      </w:r>
      <w:r>
        <w:t xml:space="preserve"> The National Bank, Company History (available at </w:t>
      </w:r>
      <w:hyperlink r:id="rId2" w:history="1">
        <w:r w:rsidRPr="00D67708">
          <w:rPr>
            <w:rStyle w:val="Hyperlink"/>
          </w:rPr>
          <w:t>http://www.thenb.com/about-us/company-history.html</w:t>
        </w:r>
      </w:hyperlink>
      <w:r>
        <w:t>) (last visited Oct. 23, 2013).</w:t>
      </w:r>
    </w:p>
  </w:footnote>
  <w:footnote w:id="29">
    <w:p w:rsidR="00E52717" w:rsidRDefault="00E52717" w:rsidP="00E52717">
      <w:pPr>
        <w:pStyle w:val="FootnoteText"/>
        <w:spacing w:after="120"/>
      </w:pPr>
      <w:r>
        <w:rPr>
          <w:rStyle w:val="FootnoteReference"/>
        </w:rPr>
        <w:footnoteRef/>
      </w:r>
      <w:r>
        <w:t xml:space="preserve"> </w:t>
      </w:r>
      <w:r>
        <w:rPr>
          <w:i/>
        </w:rPr>
        <w:t>See</w:t>
      </w:r>
      <w:r>
        <w:t xml:space="preserve"> Ztark Long Form Application, Exhibit C, May 3, 2011 Supplemental Response at 1.</w:t>
      </w:r>
    </w:p>
  </w:footnote>
  <w:footnote w:id="30">
    <w:p w:rsidR="00E52717" w:rsidRPr="00D75E53" w:rsidRDefault="00E52717" w:rsidP="00E52717">
      <w:pPr>
        <w:pStyle w:val="FootnoteText"/>
        <w:spacing w:after="120"/>
      </w:pPr>
      <w:r>
        <w:rPr>
          <w:rStyle w:val="FootnoteReference"/>
        </w:rPr>
        <w:footnoteRef/>
      </w:r>
      <w:r>
        <w:t xml:space="preserve"> </w:t>
      </w:r>
      <w:r>
        <w:rPr>
          <w:i/>
        </w:rPr>
        <w:t>See id</w:t>
      </w:r>
      <w:r>
        <w:t xml:space="preserve">.  </w:t>
      </w:r>
      <w:r>
        <w:rPr>
          <w:b/>
        </w:rPr>
        <w:t xml:space="preserve">[REDACTED]                                                                                                                                         </w:t>
      </w:r>
      <w:r>
        <w:t xml:space="preserve">  Ztark 308(b) Response Letter at 3.</w:t>
      </w:r>
    </w:p>
  </w:footnote>
  <w:footnote w:id="31">
    <w:p w:rsidR="00E52717" w:rsidRPr="006E14BC" w:rsidRDefault="00E52717" w:rsidP="00E52717">
      <w:pPr>
        <w:pStyle w:val="FootnoteText"/>
        <w:spacing w:after="120"/>
      </w:pPr>
      <w:r>
        <w:rPr>
          <w:rStyle w:val="FootnoteReference"/>
        </w:rPr>
        <w:footnoteRef/>
      </w:r>
      <w:r>
        <w:t xml:space="preserve"> </w:t>
      </w:r>
      <w:r w:rsidR="00445860">
        <w:rPr>
          <w:i/>
        </w:rPr>
        <w:t>See</w:t>
      </w:r>
      <w:r w:rsidR="00445860">
        <w:t xml:space="preserve"> Ztark Long Form Application, Exhibit C, May 3, 2011 Supplemental Response at 1</w:t>
      </w:r>
      <w:r>
        <w:rPr>
          <w:i/>
        </w:rPr>
        <w:t>.</w:t>
      </w:r>
    </w:p>
  </w:footnote>
  <w:footnote w:id="32">
    <w:p w:rsidR="00EF22F5" w:rsidRPr="00D67708" w:rsidRDefault="00EF22F5">
      <w:pPr>
        <w:pStyle w:val="FootnoteText"/>
        <w:spacing w:after="120"/>
        <w:rPr>
          <w:b/>
        </w:rPr>
      </w:pPr>
      <w:r>
        <w:rPr>
          <w:rStyle w:val="FootnoteReference"/>
        </w:rPr>
        <w:footnoteRef/>
      </w:r>
      <w:r>
        <w:rPr>
          <w:i/>
        </w:rPr>
        <w:t xml:space="preserve"> </w:t>
      </w:r>
      <w:r w:rsidRPr="00243D73">
        <w:rPr>
          <w:i/>
        </w:rPr>
        <w:t>See</w:t>
      </w:r>
      <w:r w:rsidRPr="00243D73">
        <w:t xml:space="preserve"> </w:t>
      </w:r>
      <w:hyperlink r:id="rId3" w:history="1">
        <w:r w:rsidRPr="00243D73">
          <w:rPr>
            <w:rStyle w:val="Hyperlink"/>
          </w:rPr>
          <w:t>http://www.corporationwiki.com/Illinois/Rock-Island/PO-Box-3813-Rock-Island-IL-61204-a17750258.aspx</w:t>
        </w:r>
      </w:hyperlink>
      <w:r w:rsidRPr="00243D73">
        <w:t xml:space="preserve">; (last visited </w:t>
      </w:r>
      <w:r w:rsidR="00A954B5">
        <w:t>Oct</w:t>
      </w:r>
      <w:r w:rsidRPr="00243D73">
        <w:t>. 2</w:t>
      </w:r>
      <w:r w:rsidR="00A954B5">
        <w:t>3</w:t>
      </w:r>
      <w:r w:rsidRPr="00243D73">
        <w:t>, 2013).</w:t>
      </w:r>
    </w:p>
  </w:footnote>
  <w:footnote w:id="33">
    <w:p w:rsidR="00EF22F5" w:rsidRPr="00D67708" w:rsidRDefault="00EF22F5">
      <w:pPr>
        <w:pStyle w:val="FootnoteText"/>
        <w:spacing w:after="120"/>
        <w:rPr>
          <w:b/>
        </w:rPr>
      </w:pPr>
      <w:r>
        <w:rPr>
          <w:rStyle w:val="FootnoteReference"/>
        </w:rPr>
        <w:footnoteRef/>
      </w:r>
      <w:r>
        <w:t xml:space="preserve"> </w:t>
      </w:r>
      <w:r w:rsidRPr="00243D73">
        <w:rPr>
          <w:i/>
        </w:rPr>
        <w:t xml:space="preserve">See </w:t>
      </w:r>
      <w:hyperlink r:id="rId4" w:history="1">
        <w:r w:rsidRPr="00243D73">
          <w:rPr>
            <w:rStyle w:val="Hyperlink"/>
          </w:rPr>
          <w:t>http://campaign-contributions.chicagocurrent.com/donors/206295-Douglas-M-Kratz</w:t>
        </w:r>
      </w:hyperlink>
      <w:r w:rsidRPr="00243D73">
        <w:t xml:space="preserve"> (last visited </w:t>
      </w:r>
      <w:r w:rsidR="00A954B5">
        <w:t>Oct</w:t>
      </w:r>
      <w:r w:rsidRPr="00243D73">
        <w:t>. 2</w:t>
      </w:r>
      <w:r w:rsidR="00A954B5">
        <w:t>3</w:t>
      </w:r>
      <w:r w:rsidRPr="00243D73">
        <w:t>, 2013).</w:t>
      </w:r>
    </w:p>
  </w:footnote>
  <w:footnote w:id="34">
    <w:p w:rsidR="00EF22F5" w:rsidRDefault="00EF22F5">
      <w:pPr>
        <w:pStyle w:val="FootnoteText"/>
        <w:spacing w:after="120"/>
      </w:pPr>
      <w:r>
        <w:rPr>
          <w:rStyle w:val="FootnoteReference"/>
        </w:rPr>
        <w:footnoteRef/>
      </w:r>
      <w:r>
        <w:t xml:space="preserve"> </w:t>
      </w:r>
      <w:r>
        <w:rPr>
          <w:i/>
        </w:rPr>
        <w:t>See</w:t>
      </w:r>
      <w:r>
        <w:t xml:space="preserve"> Ztark Long Form Application, Exhibit C, July 15, 2010 Supplemental Response at 2-3 n.12.</w:t>
      </w:r>
    </w:p>
  </w:footnote>
  <w:footnote w:id="35">
    <w:p w:rsidR="00A505E5" w:rsidRPr="00A505E5" w:rsidRDefault="00A505E5" w:rsidP="00527CB0">
      <w:pPr>
        <w:pStyle w:val="FootnoteText"/>
        <w:spacing w:after="120"/>
      </w:pPr>
      <w:r>
        <w:rPr>
          <w:rStyle w:val="FootnoteReference"/>
        </w:rPr>
        <w:footnoteRef/>
      </w:r>
      <w:r>
        <w:t xml:space="preserve"> </w:t>
      </w:r>
      <w:r>
        <w:rPr>
          <w:i/>
        </w:rPr>
        <w:t>Id.</w:t>
      </w:r>
    </w:p>
  </w:footnote>
  <w:footnote w:id="36">
    <w:p w:rsidR="00EF22F5" w:rsidRDefault="00EF22F5">
      <w:pPr>
        <w:pStyle w:val="FootnoteText"/>
        <w:spacing w:after="120"/>
      </w:pPr>
      <w:r>
        <w:rPr>
          <w:rStyle w:val="FootnoteReference"/>
        </w:rPr>
        <w:footnoteRef/>
      </w:r>
      <w:r w:rsidR="00753425">
        <w:t xml:space="preserve"> </w:t>
      </w:r>
      <w:r w:rsidR="00753425">
        <w:rPr>
          <w:b/>
        </w:rPr>
        <w:t>[REDACTED]</w:t>
      </w:r>
      <w:r>
        <w:t>.</w:t>
      </w:r>
    </w:p>
  </w:footnote>
  <w:footnote w:id="37">
    <w:p w:rsidR="00EF22F5" w:rsidRPr="00753425" w:rsidRDefault="00EF22F5">
      <w:pPr>
        <w:pStyle w:val="FootnoteText"/>
        <w:spacing w:after="120"/>
        <w:rPr>
          <w:b/>
        </w:rPr>
      </w:pPr>
      <w:r>
        <w:rPr>
          <w:rStyle w:val="FootnoteReference"/>
        </w:rPr>
        <w:footnoteRef/>
      </w:r>
      <w:r w:rsidR="00753425">
        <w:t xml:space="preserve"> </w:t>
      </w:r>
      <w:r w:rsidR="00753425">
        <w:rPr>
          <w:b/>
        </w:rPr>
        <w:t>[REDACTED].</w:t>
      </w:r>
    </w:p>
  </w:footnote>
  <w:footnote w:id="38">
    <w:p w:rsidR="00EF22F5" w:rsidRPr="005C046F" w:rsidRDefault="00EF22F5">
      <w:pPr>
        <w:pStyle w:val="FootnoteText"/>
        <w:spacing w:after="120"/>
      </w:pPr>
      <w:r>
        <w:rPr>
          <w:rStyle w:val="FootnoteReference"/>
        </w:rPr>
        <w:footnoteRef/>
      </w:r>
      <w:r>
        <w:t xml:space="preserve"> </w:t>
      </w:r>
      <w:r>
        <w:rPr>
          <w:i/>
        </w:rPr>
        <w:t>Id.</w:t>
      </w:r>
    </w:p>
  </w:footnote>
  <w:footnote w:id="39">
    <w:p w:rsidR="00EF22F5" w:rsidRDefault="00EF22F5">
      <w:pPr>
        <w:pStyle w:val="FootnoteText"/>
        <w:spacing w:after="120"/>
      </w:pPr>
      <w:r>
        <w:rPr>
          <w:rStyle w:val="FootnoteReference"/>
        </w:rPr>
        <w:footnoteRef/>
      </w:r>
      <w:r>
        <w:t xml:space="preserve"> Ztark Long Form Application, Confidential Attachment to Amended Exhibit C (filed July 15, 2010).</w:t>
      </w:r>
    </w:p>
  </w:footnote>
  <w:footnote w:id="40">
    <w:p w:rsidR="00EF22F5" w:rsidRDefault="00EF22F5">
      <w:pPr>
        <w:pStyle w:val="FootnoteText"/>
        <w:spacing w:after="120"/>
      </w:pPr>
      <w:r>
        <w:rPr>
          <w:rStyle w:val="FootnoteReference"/>
        </w:rPr>
        <w:footnoteRef/>
      </w:r>
      <w:r>
        <w:t xml:space="preserve"> </w:t>
      </w:r>
      <w:r>
        <w:rPr>
          <w:i/>
        </w:rPr>
        <w:t>See</w:t>
      </w:r>
      <w:r>
        <w:t xml:space="preserve"> Ztark Long Form Application, Exhibit C, July 15, 2010 Supplemental Response at 2-3 n.12.</w:t>
      </w:r>
    </w:p>
  </w:footnote>
  <w:footnote w:id="41">
    <w:p w:rsidR="00EF22F5" w:rsidRDefault="00EF22F5">
      <w:pPr>
        <w:pStyle w:val="FootnoteText"/>
        <w:spacing w:after="120"/>
      </w:pPr>
      <w:r>
        <w:rPr>
          <w:rStyle w:val="FootnoteReference"/>
        </w:rPr>
        <w:footnoteRef/>
      </w:r>
      <w:r w:rsidR="00753425">
        <w:t xml:space="preserve"> </w:t>
      </w:r>
      <w:r w:rsidR="00753425">
        <w:rPr>
          <w:b/>
        </w:rPr>
        <w:t>[REDACTED]</w:t>
      </w:r>
      <w:r>
        <w:t>.</w:t>
      </w:r>
    </w:p>
  </w:footnote>
  <w:footnote w:id="42">
    <w:p w:rsidR="00EF22F5" w:rsidRPr="00274187" w:rsidRDefault="00EF22F5">
      <w:pPr>
        <w:pStyle w:val="FootnoteText"/>
        <w:spacing w:after="120"/>
      </w:pPr>
      <w:r>
        <w:rPr>
          <w:rStyle w:val="FootnoteReference"/>
        </w:rPr>
        <w:footnoteRef/>
      </w:r>
      <w:r>
        <w:t xml:space="preserve"> </w:t>
      </w:r>
      <w:r>
        <w:rPr>
          <w:i/>
          <w:iCs/>
        </w:rPr>
        <w:t xml:space="preserve">Auction 86 </w:t>
      </w:r>
      <w:r w:rsidRPr="005115CC">
        <w:rPr>
          <w:i/>
          <w:iCs/>
        </w:rPr>
        <w:t>Procedures PN</w:t>
      </w:r>
      <w:r>
        <w:rPr>
          <w:i/>
          <w:iCs/>
        </w:rPr>
        <w:t xml:space="preserve">, </w:t>
      </w:r>
      <w:r>
        <w:t>24 FCC Rcd at 8296 ¶ 73.</w:t>
      </w:r>
    </w:p>
  </w:footnote>
  <w:footnote w:id="43">
    <w:p w:rsidR="00EF22F5" w:rsidRDefault="00EF22F5">
      <w:pPr>
        <w:pStyle w:val="FootnoteText"/>
        <w:spacing w:after="120"/>
        <w:jc w:val="both"/>
      </w:pPr>
      <w:r>
        <w:rPr>
          <w:rStyle w:val="FootnoteReference"/>
        </w:rPr>
        <w:footnoteRef/>
      </w:r>
      <w:r>
        <w:t xml:space="preserve"> </w:t>
      </w:r>
      <w:r w:rsidRPr="002F6CD2">
        <w:rPr>
          <w:u w:color="0020F6"/>
        </w:rPr>
        <w:t>47 C.F.R. § 1.2110(c)(5)(iii)(B)</w:t>
      </w:r>
      <w:r>
        <w:t>.</w:t>
      </w:r>
    </w:p>
  </w:footnote>
  <w:footnote w:id="44">
    <w:p w:rsidR="00EF22F5" w:rsidRPr="003D65E0" w:rsidRDefault="00EF22F5">
      <w:pPr>
        <w:pStyle w:val="FootnoteText"/>
        <w:spacing w:after="120"/>
        <w:rPr>
          <w:i/>
        </w:rPr>
      </w:pPr>
      <w:r>
        <w:rPr>
          <w:rStyle w:val="FootnoteReference"/>
        </w:rPr>
        <w:footnoteRef/>
      </w:r>
      <w:r>
        <w:t xml:space="preserve"> </w:t>
      </w:r>
      <w:r>
        <w:rPr>
          <w:i/>
        </w:rPr>
        <w:t>Id.</w:t>
      </w:r>
    </w:p>
  </w:footnote>
  <w:footnote w:id="45">
    <w:p w:rsidR="00EF22F5" w:rsidRDefault="00EF22F5">
      <w:pPr>
        <w:pStyle w:val="FootnoteText"/>
        <w:spacing w:after="120"/>
      </w:pPr>
      <w:r>
        <w:rPr>
          <w:rStyle w:val="FootnoteReference"/>
        </w:rPr>
        <w:footnoteRef/>
      </w:r>
      <w:r>
        <w:t xml:space="preserve"> </w:t>
      </w:r>
      <w:r>
        <w:rPr>
          <w:i/>
        </w:rPr>
        <w:t>See</w:t>
      </w:r>
      <w:r>
        <w:t xml:space="preserve"> </w:t>
      </w:r>
      <w:r w:rsidRPr="002F6CD2">
        <w:rPr>
          <w:u w:color="0020F6"/>
        </w:rPr>
        <w:t>47 C.F.R. § 1.2110(</w:t>
      </w:r>
      <w:r>
        <w:rPr>
          <w:u w:color="0020F6"/>
        </w:rPr>
        <w:t>b</w:t>
      </w:r>
      <w:r w:rsidRPr="002F6CD2">
        <w:rPr>
          <w:u w:color="0020F6"/>
        </w:rPr>
        <w:t>)(</w:t>
      </w:r>
      <w:r>
        <w:rPr>
          <w:u w:color="0020F6"/>
        </w:rPr>
        <w:t>1</w:t>
      </w:r>
      <w:r w:rsidRPr="002F6CD2">
        <w:rPr>
          <w:u w:color="0020F6"/>
        </w:rPr>
        <w:t>)(i)</w:t>
      </w:r>
      <w:r>
        <w:rPr>
          <w:u w:color="0020F6"/>
        </w:rPr>
        <w:t>.</w:t>
      </w:r>
    </w:p>
  </w:footnote>
  <w:footnote w:id="46">
    <w:p w:rsidR="00EF22F5" w:rsidRDefault="00EF22F5">
      <w:pPr>
        <w:pStyle w:val="FootnoteText"/>
        <w:spacing w:after="120"/>
      </w:pPr>
      <w:r>
        <w:rPr>
          <w:rStyle w:val="FootnoteReference"/>
        </w:rPr>
        <w:footnoteRef/>
      </w:r>
      <w:r>
        <w:t xml:space="preserve"> </w:t>
      </w:r>
      <w:r>
        <w:rPr>
          <w:i/>
        </w:rPr>
        <w:t>See</w:t>
      </w:r>
      <w:r>
        <w:t xml:space="preserve"> Ztark Long Form Application, Exhibit C, July 15, 2010 Supplemental Response at 3.</w:t>
      </w:r>
    </w:p>
  </w:footnote>
  <w:footnote w:id="47">
    <w:p w:rsidR="00EF22F5" w:rsidRDefault="00EF22F5" w:rsidP="0014346E">
      <w:pPr>
        <w:pStyle w:val="FootnoteText"/>
        <w:spacing w:after="120"/>
      </w:pPr>
      <w:r>
        <w:rPr>
          <w:rStyle w:val="FootnoteReference"/>
        </w:rPr>
        <w:footnoteRef/>
      </w:r>
      <w:r>
        <w:t xml:space="preserve"> Ztark 308(b) Response Letter at 2.</w:t>
      </w:r>
    </w:p>
  </w:footnote>
  <w:footnote w:id="48">
    <w:p w:rsidR="00EA3020" w:rsidRDefault="00EA3020" w:rsidP="0014346E">
      <w:pPr>
        <w:pStyle w:val="FootnoteText"/>
        <w:spacing w:after="120"/>
      </w:pPr>
      <w:r>
        <w:rPr>
          <w:rStyle w:val="FootnoteReference"/>
        </w:rPr>
        <w:footnoteRef/>
      </w:r>
      <w:r>
        <w:t xml:space="preserve"> </w:t>
      </w:r>
      <w:r>
        <w:rPr>
          <w:i/>
        </w:rPr>
        <w:t>See</w:t>
      </w:r>
      <w:r>
        <w:t xml:space="preserve"> Ztark Long Form Application, Exhibit C, July 15, 2010 Supplemental Response at 3.</w:t>
      </w:r>
    </w:p>
  </w:footnote>
  <w:footnote w:id="49">
    <w:p w:rsidR="00EF22F5" w:rsidRPr="004B6C6B" w:rsidRDefault="00EF22F5" w:rsidP="00F73720">
      <w:pPr>
        <w:pStyle w:val="FootnoteText"/>
        <w:spacing w:after="120"/>
      </w:pPr>
      <w:r>
        <w:rPr>
          <w:rStyle w:val="FootnoteReference"/>
        </w:rPr>
        <w:footnoteRef/>
      </w:r>
      <w:r>
        <w:t xml:space="preserve"> </w:t>
      </w:r>
      <w:r>
        <w:rPr>
          <w:i/>
        </w:rPr>
        <w:t>See</w:t>
      </w:r>
      <w:r>
        <w:t xml:space="preserve"> </w:t>
      </w:r>
      <w:r>
        <w:rPr>
          <w:i/>
        </w:rPr>
        <w:t xml:space="preserve">id. </w:t>
      </w:r>
      <w:r>
        <w:t>at 1-2</w:t>
      </w:r>
      <w:r w:rsidR="00A03CBB">
        <w:t>,</w:t>
      </w:r>
      <w:r>
        <w:t xml:space="preserve"> citing </w:t>
      </w:r>
      <w:r w:rsidR="00A03CBB">
        <w:t xml:space="preserve"> </w:t>
      </w:r>
      <w:r w:rsidR="00A03CBB" w:rsidRPr="006F3547" w:rsidDel="00A03CBB">
        <w:rPr>
          <w:i/>
        </w:rPr>
        <w:t>Size Appeal of Henderson Group Unlimited, Inc</w:t>
      </w:r>
      <w:r w:rsidR="00A03CBB" w:rsidDel="00A03CBB">
        <w:t xml:space="preserve">., SBA No. SIZ-5038 (2009); </w:t>
      </w:r>
      <w:r w:rsidR="00A03CBB" w:rsidRPr="00276CB0" w:rsidDel="00A03CBB">
        <w:rPr>
          <w:i/>
        </w:rPr>
        <w:t>Size Appeal of B.L. Harbert International LLC</w:t>
      </w:r>
      <w:r w:rsidR="00A03CBB" w:rsidRPr="005B608C" w:rsidDel="00A03CBB">
        <w:t xml:space="preserve">, </w:t>
      </w:r>
      <w:r w:rsidR="00A03CBB" w:rsidDel="00A03CBB">
        <w:t xml:space="preserve">SBA No. </w:t>
      </w:r>
      <w:r w:rsidR="00A03CBB" w:rsidRPr="00276CB0" w:rsidDel="00A03CBB">
        <w:t xml:space="preserve">SIZ-2002-09-12-42 </w:t>
      </w:r>
      <w:r w:rsidR="00A03CBB" w:rsidDel="00A03CBB">
        <w:t xml:space="preserve">(2002); </w:t>
      </w:r>
      <w:r w:rsidR="00A03CBB" w:rsidRPr="006F3547" w:rsidDel="00A03CBB">
        <w:rPr>
          <w:i/>
        </w:rPr>
        <w:t>Size Appeal of Bob Jones Realty Co.,</w:t>
      </w:r>
      <w:r w:rsidR="00A03CBB" w:rsidDel="00A03CBB">
        <w:t xml:space="preserve"> SBA No. SIZ-95-3-3-19 (1995).</w:t>
      </w:r>
      <w:r w:rsidR="00A03CBB" w:rsidRPr="00A03CBB">
        <w:rPr>
          <w:i/>
        </w:rPr>
        <w:t xml:space="preserve"> </w:t>
      </w:r>
      <w:r>
        <w:t>.</w:t>
      </w:r>
    </w:p>
  </w:footnote>
  <w:footnote w:id="50">
    <w:p w:rsidR="00EF22F5" w:rsidRDefault="00EF22F5" w:rsidP="00EA3020">
      <w:pPr>
        <w:pStyle w:val="FootnoteText"/>
        <w:spacing w:after="120"/>
      </w:pPr>
      <w:r>
        <w:rPr>
          <w:rStyle w:val="FootnoteReference"/>
        </w:rPr>
        <w:footnoteRef/>
      </w:r>
      <w:r>
        <w:t xml:space="preserve"> The Commission’s designated entity rules, including the kinship affiliation rule, were modeled after the SBA’s small business designation rules.  </w:t>
      </w:r>
      <w:r>
        <w:rPr>
          <w:i/>
        </w:rPr>
        <w:t>See Competitive Bidding 2</w:t>
      </w:r>
      <w:r w:rsidRPr="00276CB0">
        <w:rPr>
          <w:i/>
          <w:vertAlign w:val="superscript"/>
        </w:rPr>
        <w:t>nd</w:t>
      </w:r>
      <w:r>
        <w:rPr>
          <w:i/>
        </w:rPr>
        <w:t xml:space="preserve"> MO&amp;O</w:t>
      </w:r>
      <w:r>
        <w:t>, 9 FCC Rcd at 7262 ¶ 102.</w:t>
      </w:r>
      <w:r>
        <w:rPr>
          <w:i/>
        </w:rPr>
        <w:t xml:space="preserve"> </w:t>
      </w:r>
      <w:r>
        <w:t xml:space="preserve"> Therefore, SBA cases are often cited in cases that implicate the Commission’s DE rules.</w:t>
      </w:r>
    </w:p>
  </w:footnote>
  <w:footnote w:id="51">
    <w:p w:rsidR="00EF22F5" w:rsidRDefault="00EF22F5" w:rsidP="00EA3020">
      <w:pPr>
        <w:pStyle w:val="FootnoteText"/>
        <w:spacing w:after="120"/>
      </w:pPr>
      <w:r>
        <w:rPr>
          <w:rStyle w:val="FootnoteReference"/>
        </w:rPr>
        <w:footnoteRef/>
      </w:r>
      <w:r>
        <w:t xml:space="preserve"> </w:t>
      </w:r>
      <w:r w:rsidRPr="00D60D64">
        <w:rPr>
          <w:i/>
        </w:rPr>
        <w:t>See</w:t>
      </w:r>
      <w:r w:rsidRPr="006F3547">
        <w:t xml:space="preserve"> </w:t>
      </w:r>
      <w:r w:rsidRPr="006F3547" w:rsidDel="00A03CBB">
        <w:rPr>
          <w:i/>
        </w:rPr>
        <w:t>Size Appeal of Henderson Group Unlimited, Inc</w:t>
      </w:r>
      <w:r w:rsidDel="00A03CBB">
        <w:t xml:space="preserve">., SBA No. SIZ-5038 (2009); </w:t>
      </w:r>
      <w:r w:rsidRPr="00276CB0" w:rsidDel="00A03CBB">
        <w:rPr>
          <w:i/>
        </w:rPr>
        <w:t>Size Appeal of B.L. Harbert International LLC</w:t>
      </w:r>
      <w:r w:rsidRPr="005B608C" w:rsidDel="00A03CBB">
        <w:t xml:space="preserve">, </w:t>
      </w:r>
      <w:r w:rsidDel="00A03CBB">
        <w:t xml:space="preserve">SBA No. </w:t>
      </w:r>
      <w:r w:rsidRPr="00276CB0" w:rsidDel="00A03CBB">
        <w:t xml:space="preserve">SIZ-2002-09-12-42 </w:t>
      </w:r>
      <w:r w:rsidDel="00A03CBB">
        <w:t xml:space="preserve">(2002); </w:t>
      </w:r>
      <w:r w:rsidRPr="006F3547" w:rsidDel="00A03CBB">
        <w:rPr>
          <w:i/>
        </w:rPr>
        <w:t>Size Appeal of Bob Jones Realty Co.,</w:t>
      </w:r>
      <w:r w:rsidDel="00A03CBB">
        <w:t xml:space="preserve"> SBA No. SIZ-95-3-3-19 (1995).</w:t>
      </w:r>
    </w:p>
  </w:footnote>
  <w:footnote w:id="52">
    <w:p w:rsidR="00F73720" w:rsidRDefault="00F73720" w:rsidP="0014346E">
      <w:pPr>
        <w:pStyle w:val="FootnoteText"/>
        <w:spacing w:after="120"/>
      </w:pPr>
      <w:r>
        <w:rPr>
          <w:rStyle w:val="FootnoteReference"/>
        </w:rPr>
        <w:footnoteRef/>
      </w:r>
      <w:r>
        <w:t xml:space="preserve"> </w:t>
      </w:r>
      <w:r>
        <w:rPr>
          <w:i/>
          <w:szCs w:val="22"/>
        </w:rPr>
        <w:t>Size Appeal of Jenn-Kans, Inc.</w:t>
      </w:r>
      <w:r>
        <w:rPr>
          <w:szCs w:val="22"/>
        </w:rPr>
        <w:t>, SBA No. SIZ-5114 (2010).</w:t>
      </w:r>
    </w:p>
  </w:footnote>
  <w:footnote w:id="53">
    <w:p w:rsidR="00EF22F5" w:rsidRPr="008457A6" w:rsidRDefault="00EF22F5" w:rsidP="00F73720">
      <w:pPr>
        <w:pStyle w:val="FootnoteText"/>
        <w:spacing w:after="120"/>
      </w:pPr>
      <w:r>
        <w:rPr>
          <w:rStyle w:val="FootnoteReference"/>
        </w:rPr>
        <w:footnoteRef/>
      </w:r>
      <w:r>
        <w:t xml:space="preserve"> </w:t>
      </w:r>
      <w:r>
        <w:rPr>
          <w:i/>
        </w:rPr>
        <w:t xml:space="preserve">See </w:t>
      </w:r>
      <w:hyperlink r:id="rId5" w:history="1">
        <w:r>
          <w:rPr>
            <w:u w:color="0020F6"/>
          </w:rPr>
          <w:t xml:space="preserve">47 C.F.R. </w:t>
        </w:r>
        <w:r w:rsidRPr="00F06940">
          <w:t>§</w:t>
        </w:r>
        <w:r>
          <w:rPr>
            <w:u w:color="0020F6"/>
          </w:rPr>
          <w:t>§ 1.2110(b)(1)(i</w:t>
        </w:r>
        <w:r w:rsidRPr="002F6CD2">
          <w:rPr>
            <w:u w:color="0020F6"/>
          </w:rPr>
          <w:t>)</w:t>
        </w:r>
      </w:hyperlink>
      <w:r>
        <w:t xml:space="preserve"> &amp; (c)(5)(iii)(B).</w:t>
      </w:r>
    </w:p>
  </w:footnote>
  <w:footnote w:id="54">
    <w:p w:rsidR="00EA3020" w:rsidRDefault="00EA3020" w:rsidP="00E52717">
      <w:pPr>
        <w:pStyle w:val="FootnoteText"/>
        <w:spacing w:after="120"/>
      </w:pPr>
      <w:r>
        <w:rPr>
          <w:rStyle w:val="FootnoteReference"/>
        </w:rPr>
        <w:footnoteRef/>
      </w:r>
      <w:r>
        <w:t xml:space="preserve"> 308(b) Letter at 2</w:t>
      </w:r>
      <w:r w:rsidR="00E52717">
        <w:t>.</w:t>
      </w:r>
    </w:p>
  </w:footnote>
  <w:footnote w:id="55">
    <w:p w:rsidR="00EF22F5" w:rsidRPr="004C4CF7" w:rsidRDefault="00EF22F5" w:rsidP="00EA3020">
      <w:pPr>
        <w:pStyle w:val="FootnoteText"/>
        <w:spacing w:after="120"/>
      </w:pPr>
      <w:r>
        <w:rPr>
          <w:rStyle w:val="FootnoteReference"/>
        </w:rPr>
        <w:footnoteRef/>
      </w:r>
      <w:r>
        <w:t xml:space="preserve"> </w:t>
      </w:r>
      <w:r>
        <w:rPr>
          <w:i/>
        </w:rPr>
        <w:t>Auction 86 Closing PN</w:t>
      </w:r>
      <w:r>
        <w:t>, 24 FCC Rcd at 13582, 13583 Attachment A.</w:t>
      </w:r>
    </w:p>
  </w:footnote>
  <w:footnote w:id="56">
    <w:p w:rsidR="00EF22F5" w:rsidRPr="00D1337E" w:rsidRDefault="00EF22F5" w:rsidP="00EA3020">
      <w:pPr>
        <w:pStyle w:val="FootnoteText"/>
        <w:spacing w:after="120"/>
      </w:pPr>
      <w:r>
        <w:rPr>
          <w:rStyle w:val="FootnoteReference"/>
        </w:rPr>
        <w:footnoteRef/>
      </w:r>
      <w:r>
        <w:t xml:space="preserve"> </w:t>
      </w:r>
      <w:r>
        <w:rPr>
          <w:i/>
        </w:rPr>
        <w:t>See</w:t>
      </w:r>
      <w:r>
        <w:t xml:space="preserve"> 47 C.F.R. §§ 1.2104(g)(2), 1.2109(c).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3A" w:rsidRDefault="00F12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F5" w:rsidRDefault="00EF22F5">
    <w:pPr>
      <w:tabs>
        <w:tab w:val="center" w:pos="4680"/>
        <w:tab w:val="right" w:pos="9360"/>
      </w:tabs>
      <w:suppressAutoHyphens/>
      <w:spacing w:line="227" w:lineRule="auto"/>
      <w:jc w:val="both"/>
      <w:rPr>
        <w:spacing w:val="-2"/>
      </w:rPr>
    </w:pPr>
    <w:r>
      <w:rPr>
        <w:b/>
        <w:spacing w:val="-2"/>
      </w:rPr>
      <w:tab/>
      <w:t>Federal Communications Commission</w:t>
    </w:r>
    <w:r w:rsidR="00076090">
      <w:rPr>
        <w:b/>
        <w:spacing w:val="-2"/>
      </w:rPr>
      <w:t xml:space="preserve">  [REDACTED]</w:t>
    </w:r>
    <w:r>
      <w:rPr>
        <w:spacing w:val="-2"/>
      </w:rPr>
      <w:tab/>
    </w:r>
    <w:r w:rsidR="00DB40BB">
      <w:rPr>
        <w:b/>
        <w:spacing w:val="-2"/>
      </w:rPr>
      <w:t>DA 13-2088</w:t>
    </w:r>
  </w:p>
  <w:p w:rsidR="00EF22F5" w:rsidRDefault="00C717D7">
    <w:pPr>
      <w:tabs>
        <w:tab w:val="left" w:pos="-720"/>
      </w:tabs>
      <w:suppressAutoHyphens/>
      <w:spacing w:line="19" w:lineRule="exact"/>
      <w:jc w:val="both"/>
      <w:rPr>
        <w:spacing w:val="-2"/>
      </w:rPr>
    </w:pPr>
    <w:r>
      <w:rPr>
        <w:noProof/>
        <w:snapToGrid/>
      </w:rPr>
      <mc:AlternateContent>
        <mc:Choice Requires="wps">
          <w:drawing>
            <wp:anchor distT="0" distB="0" distL="114300" distR="114300" simplePos="0" relativeHeight="251657728" behindDoc="1" locked="0" layoutInCell="0" allowOverlap="1" wp14:anchorId="628C296C" wp14:editId="361E0B85">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EF22F5" w:rsidRDefault="00EF2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EF22F5" w:rsidRDefault="00EF22F5"/>
                </w:txbxContent>
              </v:textbox>
              <w10:wrap anchorx="margin"/>
            </v:rect>
          </w:pict>
        </mc:Fallback>
      </mc:AlternateContent>
    </w:r>
  </w:p>
  <w:p w:rsidR="00EF22F5" w:rsidRDefault="00EF22F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F5" w:rsidRDefault="00EF22F5">
    <w:pPr>
      <w:pStyle w:val="Header"/>
      <w:pBdr>
        <w:bottom w:val="single" w:sz="12" w:space="1" w:color="auto"/>
      </w:pBdr>
      <w:rPr>
        <w:b w:val="0"/>
      </w:rPr>
    </w:pPr>
    <w:r>
      <w:tab/>
      <w:t>Federal Communications Commission</w:t>
    </w:r>
    <w:r w:rsidR="00076090">
      <w:t xml:space="preserve">  [REDACTED]</w:t>
    </w:r>
    <w:r w:rsidR="00DB40BB">
      <w:tab/>
      <w:t xml:space="preserve"> DA 13-2088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0DC6C8C0"/>
    <w:lvl w:ilvl="0">
      <w:start w:val="1"/>
      <w:numFmt w:val="decimal"/>
      <w:pStyle w:val="BalloonText"/>
      <w:lvlText w:val="%1."/>
      <w:lvlJc w:val="left"/>
      <w:pPr>
        <w:tabs>
          <w:tab w:val="num" w:pos="1080"/>
        </w:tabs>
        <w:ind w:left="0" w:firstLine="720"/>
      </w:pPr>
      <w:rPr>
        <w:rFonts w:hint="default"/>
        <w:b w:val="0"/>
        <w:i w:val="0"/>
      </w:rPr>
    </w:lvl>
  </w:abstractNum>
  <w:abstractNum w:abstractNumId="1">
    <w:nsid w:val="1A100288"/>
    <w:multiLevelType w:val="singleLevel"/>
    <w:tmpl w:val="04090001"/>
    <w:lvl w:ilvl="0">
      <w:start w:val="1"/>
      <w:numFmt w:val="bullet"/>
      <w:lvlText w:val=""/>
      <w:lvlJc w:val="left"/>
      <w:pPr>
        <w:ind w:left="1080" w:hanging="360"/>
      </w:pPr>
      <w:rPr>
        <w:rFonts w:ascii="Symbol" w:hAnsi="Symbol" w:hint="default"/>
        <w:b w:val="0"/>
        <w:i w:val="0"/>
        <w:caps w:val="0"/>
        <w:strike w:val="0"/>
        <w:dstrike w:val="0"/>
        <w:vanish w:val="0"/>
        <w:sz w:val="22"/>
        <w:u w:val="none"/>
        <w:vertAlign w:val="baseline"/>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5ACCD1E6"/>
    <w:lvl w:ilvl="0">
      <w:start w:val="2"/>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6CD7516A"/>
    <w:multiLevelType w:val="hybridMultilevel"/>
    <w:tmpl w:val="1D3612D2"/>
    <w:lvl w:ilvl="0" w:tplc="61905C78">
      <w:start w:val="8"/>
      <w:numFmt w:val="decimal"/>
      <w:lvlText w:val="%1."/>
      <w:lvlJc w:val="left"/>
      <w:pPr>
        <w:ind w:left="1440" w:hanging="360"/>
      </w:pPr>
      <w:rPr>
        <w:rFonts w:ascii="Times New Roman" w:hAnsi="Times New Roman"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4"/>
  </w:num>
  <w:num w:numId="5">
    <w:abstractNumId w:val="0"/>
  </w:num>
  <w:num w:numId="6">
    <w:abstractNumId w:val="1"/>
  </w:num>
  <w:num w:numId="7">
    <w:abstractNumId w:val="0"/>
  </w:num>
  <w:num w:numId="8">
    <w:abstractNumId w:val="5"/>
  </w:num>
  <w:num w:numId="9">
    <w:abstractNumId w:val="0"/>
  </w:num>
  <w:num w:numId="10">
    <w:abstractNumId w:val="0"/>
    <w:lvlOverride w:ilvl="0">
      <w:startOverride w:val="8"/>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CB"/>
    <w:rsid w:val="0001219E"/>
    <w:rsid w:val="000165D4"/>
    <w:rsid w:val="00017B1F"/>
    <w:rsid w:val="00026052"/>
    <w:rsid w:val="000265B8"/>
    <w:rsid w:val="00040CCF"/>
    <w:rsid w:val="00042401"/>
    <w:rsid w:val="00042767"/>
    <w:rsid w:val="00042C45"/>
    <w:rsid w:val="00043527"/>
    <w:rsid w:val="00055C05"/>
    <w:rsid w:val="00057EE3"/>
    <w:rsid w:val="00063EB8"/>
    <w:rsid w:val="00065D2B"/>
    <w:rsid w:val="000715AC"/>
    <w:rsid w:val="00075247"/>
    <w:rsid w:val="00076090"/>
    <w:rsid w:val="000A60DE"/>
    <w:rsid w:val="000B35B3"/>
    <w:rsid w:val="000C0449"/>
    <w:rsid w:val="000D037A"/>
    <w:rsid w:val="000D4313"/>
    <w:rsid w:val="000F5021"/>
    <w:rsid w:val="000F6DBC"/>
    <w:rsid w:val="001065F1"/>
    <w:rsid w:val="0012262F"/>
    <w:rsid w:val="0014346E"/>
    <w:rsid w:val="00150695"/>
    <w:rsid w:val="001507D4"/>
    <w:rsid w:val="00154FBD"/>
    <w:rsid w:val="00180447"/>
    <w:rsid w:val="0019145E"/>
    <w:rsid w:val="001B490C"/>
    <w:rsid w:val="001C153D"/>
    <w:rsid w:val="001C24A9"/>
    <w:rsid w:val="001C2918"/>
    <w:rsid w:val="001C306C"/>
    <w:rsid w:val="001C63CA"/>
    <w:rsid w:val="001C6C2E"/>
    <w:rsid w:val="001C749C"/>
    <w:rsid w:val="001D27E2"/>
    <w:rsid w:val="001E5C0B"/>
    <w:rsid w:val="001E6EA9"/>
    <w:rsid w:val="001F14A0"/>
    <w:rsid w:val="001F2CC9"/>
    <w:rsid w:val="001F77C7"/>
    <w:rsid w:val="002031F1"/>
    <w:rsid w:val="00221F6E"/>
    <w:rsid w:val="00222045"/>
    <w:rsid w:val="002306FC"/>
    <w:rsid w:val="002342FC"/>
    <w:rsid w:val="00243D73"/>
    <w:rsid w:val="00252445"/>
    <w:rsid w:val="0026373E"/>
    <w:rsid w:val="002654EB"/>
    <w:rsid w:val="00273744"/>
    <w:rsid w:val="0027375D"/>
    <w:rsid w:val="00273F3D"/>
    <w:rsid w:val="00274187"/>
    <w:rsid w:val="00275AC3"/>
    <w:rsid w:val="00276CB0"/>
    <w:rsid w:val="0028099A"/>
    <w:rsid w:val="00284FD9"/>
    <w:rsid w:val="00286756"/>
    <w:rsid w:val="00292643"/>
    <w:rsid w:val="0029601D"/>
    <w:rsid w:val="002A48DA"/>
    <w:rsid w:val="002A507B"/>
    <w:rsid w:val="002B2097"/>
    <w:rsid w:val="002B2633"/>
    <w:rsid w:val="002D096D"/>
    <w:rsid w:val="002E753F"/>
    <w:rsid w:val="002F0277"/>
    <w:rsid w:val="002F6B16"/>
    <w:rsid w:val="002F6CD2"/>
    <w:rsid w:val="002F7D0B"/>
    <w:rsid w:val="00305772"/>
    <w:rsid w:val="0030668B"/>
    <w:rsid w:val="00306759"/>
    <w:rsid w:val="00325D73"/>
    <w:rsid w:val="0032669B"/>
    <w:rsid w:val="0033285B"/>
    <w:rsid w:val="003401AB"/>
    <w:rsid w:val="00343AD1"/>
    <w:rsid w:val="00345B0A"/>
    <w:rsid w:val="00353FE1"/>
    <w:rsid w:val="0036168D"/>
    <w:rsid w:val="00365A59"/>
    <w:rsid w:val="003713F3"/>
    <w:rsid w:val="00375FFF"/>
    <w:rsid w:val="00380C39"/>
    <w:rsid w:val="0038110F"/>
    <w:rsid w:val="003860EE"/>
    <w:rsid w:val="00397215"/>
    <w:rsid w:val="00397F56"/>
    <w:rsid w:val="003A1A50"/>
    <w:rsid w:val="003A4CA5"/>
    <w:rsid w:val="003B2B2B"/>
    <w:rsid w:val="003B35A2"/>
    <w:rsid w:val="003B4893"/>
    <w:rsid w:val="003C179A"/>
    <w:rsid w:val="003C77EB"/>
    <w:rsid w:val="003D65E0"/>
    <w:rsid w:val="003F0003"/>
    <w:rsid w:val="003F42C2"/>
    <w:rsid w:val="00404B38"/>
    <w:rsid w:val="00427FFD"/>
    <w:rsid w:val="00433FF5"/>
    <w:rsid w:val="00437F21"/>
    <w:rsid w:val="00441199"/>
    <w:rsid w:val="0044179E"/>
    <w:rsid w:val="00445860"/>
    <w:rsid w:val="0045320A"/>
    <w:rsid w:val="00454D09"/>
    <w:rsid w:val="00457F89"/>
    <w:rsid w:val="00465B5B"/>
    <w:rsid w:val="00467CE7"/>
    <w:rsid w:val="004726D2"/>
    <w:rsid w:val="0047403A"/>
    <w:rsid w:val="0049090E"/>
    <w:rsid w:val="0049121A"/>
    <w:rsid w:val="00496B51"/>
    <w:rsid w:val="00496C34"/>
    <w:rsid w:val="004B5DC2"/>
    <w:rsid w:val="004B6C6B"/>
    <w:rsid w:val="004B75F0"/>
    <w:rsid w:val="004C10A7"/>
    <w:rsid w:val="004C4CF7"/>
    <w:rsid w:val="004C5F31"/>
    <w:rsid w:val="004D14C8"/>
    <w:rsid w:val="004D3EEE"/>
    <w:rsid w:val="004D4CAC"/>
    <w:rsid w:val="004D5245"/>
    <w:rsid w:val="004D72C0"/>
    <w:rsid w:val="004F7411"/>
    <w:rsid w:val="00506024"/>
    <w:rsid w:val="005074BE"/>
    <w:rsid w:val="00510DA8"/>
    <w:rsid w:val="005115CC"/>
    <w:rsid w:val="00511F95"/>
    <w:rsid w:val="00526C58"/>
    <w:rsid w:val="00527CB0"/>
    <w:rsid w:val="0053097D"/>
    <w:rsid w:val="00531CCA"/>
    <w:rsid w:val="00533193"/>
    <w:rsid w:val="00533D79"/>
    <w:rsid w:val="00533FE0"/>
    <w:rsid w:val="00552D1E"/>
    <w:rsid w:val="00571EF3"/>
    <w:rsid w:val="00573776"/>
    <w:rsid w:val="00582A7C"/>
    <w:rsid w:val="005941F9"/>
    <w:rsid w:val="00595683"/>
    <w:rsid w:val="00597478"/>
    <w:rsid w:val="005A2D8E"/>
    <w:rsid w:val="005B453D"/>
    <w:rsid w:val="005B4A56"/>
    <w:rsid w:val="005B608C"/>
    <w:rsid w:val="005C046F"/>
    <w:rsid w:val="005D4EA6"/>
    <w:rsid w:val="005F0DCB"/>
    <w:rsid w:val="005F7A41"/>
    <w:rsid w:val="0060725C"/>
    <w:rsid w:val="00613EA5"/>
    <w:rsid w:val="00622AF2"/>
    <w:rsid w:val="00624E1C"/>
    <w:rsid w:val="0062597A"/>
    <w:rsid w:val="00636D45"/>
    <w:rsid w:val="0064685A"/>
    <w:rsid w:val="006710A6"/>
    <w:rsid w:val="0068049A"/>
    <w:rsid w:val="00687CDA"/>
    <w:rsid w:val="006901AF"/>
    <w:rsid w:val="006925E3"/>
    <w:rsid w:val="0069340E"/>
    <w:rsid w:val="00695B24"/>
    <w:rsid w:val="006A580D"/>
    <w:rsid w:val="006A65C1"/>
    <w:rsid w:val="006B46D2"/>
    <w:rsid w:val="006B6D10"/>
    <w:rsid w:val="006F3547"/>
    <w:rsid w:val="006F4926"/>
    <w:rsid w:val="006F7462"/>
    <w:rsid w:val="0070479A"/>
    <w:rsid w:val="00706C38"/>
    <w:rsid w:val="007144D7"/>
    <w:rsid w:val="00716840"/>
    <w:rsid w:val="00716ED0"/>
    <w:rsid w:val="00720070"/>
    <w:rsid w:val="00725972"/>
    <w:rsid w:val="00727471"/>
    <w:rsid w:val="00735705"/>
    <w:rsid w:val="00742945"/>
    <w:rsid w:val="00742D40"/>
    <w:rsid w:val="00751CB2"/>
    <w:rsid w:val="00753425"/>
    <w:rsid w:val="00753BFD"/>
    <w:rsid w:val="00763676"/>
    <w:rsid w:val="00771867"/>
    <w:rsid w:val="00782021"/>
    <w:rsid w:val="007865A8"/>
    <w:rsid w:val="00792C2D"/>
    <w:rsid w:val="00797ECF"/>
    <w:rsid w:val="007A1CB9"/>
    <w:rsid w:val="007A3894"/>
    <w:rsid w:val="007A5BE5"/>
    <w:rsid w:val="007B2B7C"/>
    <w:rsid w:val="007B5A62"/>
    <w:rsid w:val="007C5FC7"/>
    <w:rsid w:val="007E15DB"/>
    <w:rsid w:val="007E2947"/>
    <w:rsid w:val="007E67AC"/>
    <w:rsid w:val="007F40AB"/>
    <w:rsid w:val="008016C5"/>
    <w:rsid w:val="0080174C"/>
    <w:rsid w:val="008069BE"/>
    <w:rsid w:val="0082185D"/>
    <w:rsid w:val="00827DAA"/>
    <w:rsid w:val="00844CDE"/>
    <w:rsid w:val="008457A6"/>
    <w:rsid w:val="008528B6"/>
    <w:rsid w:val="00861E01"/>
    <w:rsid w:val="00863776"/>
    <w:rsid w:val="008637A1"/>
    <w:rsid w:val="00871E2C"/>
    <w:rsid w:val="00882268"/>
    <w:rsid w:val="008875A4"/>
    <w:rsid w:val="00897A05"/>
    <w:rsid w:val="008A08E3"/>
    <w:rsid w:val="008A31C7"/>
    <w:rsid w:val="008B08C4"/>
    <w:rsid w:val="008B3B38"/>
    <w:rsid w:val="008B597E"/>
    <w:rsid w:val="008C31AB"/>
    <w:rsid w:val="008C45C0"/>
    <w:rsid w:val="008D5775"/>
    <w:rsid w:val="008E1464"/>
    <w:rsid w:val="008E295D"/>
    <w:rsid w:val="008E4744"/>
    <w:rsid w:val="008E6F34"/>
    <w:rsid w:val="008F14B9"/>
    <w:rsid w:val="008F2190"/>
    <w:rsid w:val="008F2A04"/>
    <w:rsid w:val="008F3DD3"/>
    <w:rsid w:val="008F3E42"/>
    <w:rsid w:val="008F4C35"/>
    <w:rsid w:val="008F64E2"/>
    <w:rsid w:val="008F7460"/>
    <w:rsid w:val="0090247E"/>
    <w:rsid w:val="0092127B"/>
    <w:rsid w:val="00926E72"/>
    <w:rsid w:val="0093219D"/>
    <w:rsid w:val="00934ABC"/>
    <w:rsid w:val="009366EC"/>
    <w:rsid w:val="00954F0B"/>
    <w:rsid w:val="0096240E"/>
    <w:rsid w:val="009652C9"/>
    <w:rsid w:val="00967A43"/>
    <w:rsid w:val="0098003D"/>
    <w:rsid w:val="00981520"/>
    <w:rsid w:val="0098709B"/>
    <w:rsid w:val="00987408"/>
    <w:rsid w:val="00987808"/>
    <w:rsid w:val="009945EB"/>
    <w:rsid w:val="009A5AE6"/>
    <w:rsid w:val="009B2EA6"/>
    <w:rsid w:val="009C5DCC"/>
    <w:rsid w:val="009D161D"/>
    <w:rsid w:val="009D1ABA"/>
    <w:rsid w:val="009D31EA"/>
    <w:rsid w:val="009D7384"/>
    <w:rsid w:val="009E1976"/>
    <w:rsid w:val="009E511B"/>
    <w:rsid w:val="009E676F"/>
    <w:rsid w:val="009F362A"/>
    <w:rsid w:val="009F5796"/>
    <w:rsid w:val="00A028FC"/>
    <w:rsid w:val="00A038B9"/>
    <w:rsid w:val="00A03CBB"/>
    <w:rsid w:val="00A05AF4"/>
    <w:rsid w:val="00A11596"/>
    <w:rsid w:val="00A31441"/>
    <w:rsid w:val="00A331C1"/>
    <w:rsid w:val="00A42099"/>
    <w:rsid w:val="00A505E5"/>
    <w:rsid w:val="00A52F64"/>
    <w:rsid w:val="00A548C5"/>
    <w:rsid w:val="00A61B41"/>
    <w:rsid w:val="00A62485"/>
    <w:rsid w:val="00A6702C"/>
    <w:rsid w:val="00A75E83"/>
    <w:rsid w:val="00A77491"/>
    <w:rsid w:val="00A95104"/>
    <w:rsid w:val="00A954B5"/>
    <w:rsid w:val="00AA3AB7"/>
    <w:rsid w:val="00AB028B"/>
    <w:rsid w:val="00AB060F"/>
    <w:rsid w:val="00AB5783"/>
    <w:rsid w:val="00AB626F"/>
    <w:rsid w:val="00AC25C0"/>
    <w:rsid w:val="00AC355D"/>
    <w:rsid w:val="00AD5539"/>
    <w:rsid w:val="00AD661B"/>
    <w:rsid w:val="00AE16E2"/>
    <w:rsid w:val="00AF13C1"/>
    <w:rsid w:val="00AF418E"/>
    <w:rsid w:val="00AF5FC8"/>
    <w:rsid w:val="00AF7595"/>
    <w:rsid w:val="00B115B9"/>
    <w:rsid w:val="00B1230B"/>
    <w:rsid w:val="00B13705"/>
    <w:rsid w:val="00B25E09"/>
    <w:rsid w:val="00B26EC3"/>
    <w:rsid w:val="00B34182"/>
    <w:rsid w:val="00B3653F"/>
    <w:rsid w:val="00B574DA"/>
    <w:rsid w:val="00B600A0"/>
    <w:rsid w:val="00B64862"/>
    <w:rsid w:val="00B72A40"/>
    <w:rsid w:val="00B82F49"/>
    <w:rsid w:val="00B83829"/>
    <w:rsid w:val="00B9105B"/>
    <w:rsid w:val="00B915C8"/>
    <w:rsid w:val="00B9456E"/>
    <w:rsid w:val="00B95F8E"/>
    <w:rsid w:val="00BA0E4A"/>
    <w:rsid w:val="00BA6A43"/>
    <w:rsid w:val="00BA7588"/>
    <w:rsid w:val="00BA75C2"/>
    <w:rsid w:val="00BB68F1"/>
    <w:rsid w:val="00BC57F9"/>
    <w:rsid w:val="00BD0E35"/>
    <w:rsid w:val="00BD166A"/>
    <w:rsid w:val="00BE0857"/>
    <w:rsid w:val="00BE5F37"/>
    <w:rsid w:val="00BF0153"/>
    <w:rsid w:val="00BF25BD"/>
    <w:rsid w:val="00BF28A3"/>
    <w:rsid w:val="00BF42C4"/>
    <w:rsid w:val="00C0450D"/>
    <w:rsid w:val="00C110A1"/>
    <w:rsid w:val="00C24021"/>
    <w:rsid w:val="00C27B2A"/>
    <w:rsid w:val="00C50557"/>
    <w:rsid w:val="00C56023"/>
    <w:rsid w:val="00C61180"/>
    <w:rsid w:val="00C665AD"/>
    <w:rsid w:val="00C709F2"/>
    <w:rsid w:val="00C717D7"/>
    <w:rsid w:val="00C7308D"/>
    <w:rsid w:val="00C836A9"/>
    <w:rsid w:val="00C837AC"/>
    <w:rsid w:val="00C84DC9"/>
    <w:rsid w:val="00C908FF"/>
    <w:rsid w:val="00CA067C"/>
    <w:rsid w:val="00CB7573"/>
    <w:rsid w:val="00CC5201"/>
    <w:rsid w:val="00CC6067"/>
    <w:rsid w:val="00CD290A"/>
    <w:rsid w:val="00CD3B4E"/>
    <w:rsid w:val="00CE34F8"/>
    <w:rsid w:val="00CE3DC9"/>
    <w:rsid w:val="00CF537F"/>
    <w:rsid w:val="00CF6FD7"/>
    <w:rsid w:val="00CF7461"/>
    <w:rsid w:val="00D04929"/>
    <w:rsid w:val="00D058CF"/>
    <w:rsid w:val="00D11A3D"/>
    <w:rsid w:val="00D132E6"/>
    <w:rsid w:val="00D1337E"/>
    <w:rsid w:val="00D22F9B"/>
    <w:rsid w:val="00D240AE"/>
    <w:rsid w:val="00D309CD"/>
    <w:rsid w:val="00D310A7"/>
    <w:rsid w:val="00D31DFF"/>
    <w:rsid w:val="00D36139"/>
    <w:rsid w:val="00D474D1"/>
    <w:rsid w:val="00D50819"/>
    <w:rsid w:val="00D558E8"/>
    <w:rsid w:val="00D57BDE"/>
    <w:rsid w:val="00D60D64"/>
    <w:rsid w:val="00D61014"/>
    <w:rsid w:val="00D61DB4"/>
    <w:rsid w:val="00D66BB6"/>
    <w:rsid w:val="00D67708"/>
    <w:rsid w:val="00D71AB7"/>
    <w:rsid w:val="00D744E2"/>
    <w:rsid w:val="00D75E53"/>
    <w:rsid w:val="00D77313"/>
    <w:rsid w:val="00D82DAC"/>
    <w:rsid w:val="00D9709B"/>
    <w:rsid w:val="00D97599"/>
    <w:rsid w:val="00D977F2"/>
    <w:rsid w:val="00DA4782"/>
    <w:rsid w:val="00DA4845"/>
    <w:rsid w:val="00DA5A89"/>
    <w:rsid w:val="00DB3F36"/>
    <w:rsid w:val="00DB40BB"/>
    <w:rsid w:val="00DC404C"/>
    <w:rsid w:val="00DD0749"/>
    <w:rsid w:val="00DD2C45"/>
    <w:rsid w:val="00DD4991"/>
    <w:rsid w:val="00DE4D59"/>
    <w:rsid w:val="00DF1D95"/>
    <w:rsid w:val="00DF4268"/>
    <w:rsid w:val="00E02C9A"/>
    <w:rsid w:val="00E07242"/>
    <w:rsid w:val="00E10B70"/>
    <w:rsid w:val="00E160F6"/>
    <w:rsid w:val="00E166A4"/>
    <w:rsid w:val="00E23C3B"/>
    <w:rsid w:val="00E40473"/>
    <w:rsid w:val="00E45D57"/>
    <w:rsid w:val="00E45D9B"/>
    <w:rsid w:val="00E50905"/>
    <w:rsid w:val="00E52717"/>
    <w:rsid w:val="00E53798"/>
    <w:rsid w:val="00E55F72"/>
    <w:rsid w:val="00E6265A"/>
    <w:rsid w:val="00E627AE"/>
    <w:rsid w:val="00E735D7"/>
    <w:rsid w:val="00E825A1"/>
    <w:rsid w:val="00E864C0"/>
    <w:rsid w:val="00E8764C"/>
    <w:rsid w:val="00EA3020"/>
    <w:rsid w:val="00EB056A"/>
    <w:rsid w:val="00EB0D45"/>
    <w:rsid w:val="00EB4659"/>
    <w:rsid w:val="00EC4BE5"/>
    <w:rsid w:val="00EC6901"/>
    <w:rsid w:val="00ED2C38"/>
    <w:rsid w:val="00ED2E70"/>
    <w:rsid w:val="00ED3AF2"/>
    <w:rsid w:val="00ED5450"/>
    <w:rsid w:val="00ED6BBB"/>
    <w:rsid w:val="00EF22F5"/>
    <w:rsid w:val="00EF2B3A"/>
    <w:rsid w:val="00EF3971"/>
    <w:rsid w:val="00EF3FE9"/>
    <w:rsid w:val="00EF668C"/>
    <w:rsid w:val="00EF7295"/>
    <w:rsid w:val="00F12C3A"/>
    <w:rsid w:val="00F34D01"/>
    <w:rsid w:val="00F353F0"/>
    <w:rsid w:val="00F530EC"/>
    <w:rsid w:val="00F615F4"/>
    <w:rsid w:val="00F6225F"/>
    <w:rsid w:val="00F652DC"/>
    <w:rsid w:val="00F675A4"/>
    <w:rsid w:val="00F67865"/>
    <w:rsid w:val="00F73720"/>
    <w:rsid w:val="00F906EC"/>
    <w:rsid w:val="00F90AB3"/>
    <w:rsid w:val="00FB6C7E"/>
    <w:rsid w:val="00FC1C4F"/>
    <w:rsid w:val="00FD75F5"/>
    <w:rsid w:val="00FE6538"/>
    <w:rsid w:val="00FE6EB5"/>
    <w:rsid w:val="00FE7983"/>
    <w:rsid w:val="00FF3A8E"/>
    <w:rsid w:val="00FF3E5F"/>
    <w:rsid w:val="00FF6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82"/>
    <w:pPr>
      <w:widowControl w:val="0"/>
    </w:pPr>
    <w:rPr>
      <w:snapToGrid w:val="0"/>
      <w:kern w:val="28"/>
      <w:sz w:val="22"/>
    </w:rPr>
  </w:style>
  <w:style w:type="paragraph" w:styleId="Heading1">
    <w:name w:val="heading 1"/>
    <w:basedOn w:val="Normal"/>
    <w:next w:val="ParaNum"/>
    <w:link w:val="Heading1Char"/>
    <w:qFormat/>
    <w:rsid w:val="00DA4782"/>
    <w:pPr>
      <w:keepNext/>
      <w:numPr>
        <w:numId w:val="3"/>
      </w:numPr>
      <w:suppressAutoHyphens/>
      <w:spacing w:after="220"/>
      <w:outlineLvl w:val="0"/>
    </w:pPr>
    <w:rPr>
      <w:b/>
      <w:caps/>
    </w:rPr>
  </w:style>
  <w:style w:type="paragraph" w:styleId="Heading2">
    <w:name w:val="heading 2"/>
    <w:basedOn w:val="Normal"/>
    <w:next w:val="ParaNum"/>
    <w:qFormat/>
    <w:rsid w:val="00DA4782"/>
    <w:pPr>
      <w:keepNext/>
      <w:numPr>
        <w:ilvl w:val="1"/>
        <w:numId w:val="3"/>
      </w:numPr>
      <w:spacing w:after="220"/>
      <w:outlineLvl w:val="1"/>
    </w:pPr>
    <w:rPr>
      <w:b/>
    </w:rPr>
  </w:style>
  <w:style w:type="paragraph" w:styleId="Heading3">
    <w:name w:val="heading 3"/>
    <w:basedOn w:val="Normal"/>
    <w:next w:val="ParaNum"/>
    <w:qFormat/>
    <w:rsid w:val="00DA4782"/>
    <w:pPr>
      <w:keepNext/>
      <w:numPr>
        <w:ilvl w:val="2"/>
        <w:numId w:val="3"/>
      </w:numPr>
      <w:spacing w:after="220"/>
      <w:outlineLvl w:val="2"/>
    </w:pPr>
    <w:rPr>
      <w:b/>
    </w:rPr>
  </w:style>
  <w:style w:type="paragraph" w:styleId="Heading4">
    <w:name w:val="heading 4"/>
    <w:basedOn w:val="Normal"/>
    <w:next w:val="ParaNum"/>
    <w:qFormat/>
    <w:rsid w:val="00DA4782"/>
    <w:pPr>
      <w:keepNext/>
      <w:numPr>
        <w:ilvl w:val="3"/>
        <w:numId w:val="3"/>
      </w:numPr>
      <w:spacing w:after="220"/>
      <w:outlineLvl w:val="3"/>
    </w:pPr>
    <w:rPr>
      <w:b/>
    </w:rPr>
  </w:style>
  <w:style w:type="paragraph" w:styleId="Heading5">
    <w:name w:val="heading 5"/>
    <w:basedOn w:val="Normal"/>
    <w:next w:val="ParaNum"/>
    <w:qFormat/>
    <w:rsid w:val="00DA4782"/>
    <w:pPr>
      <w:keepNext/>
      <w:numPr>
        <w:ilvl w:val="4"/>
        <w:numId w:val="3"/>
      </w:numPr>
      <w:tabs>
        <w:tab w:val="left" w:pos="2880"/>
      </w:tabs>
      <w:suppressAutoHyphens/>
      <w:spacing w:after="220"/>
      <w:jc w:val="both"/>
      <w:outlineLvl w:val="4"/>
    </w:pPr>
    <w:rPr>
      <w:b/>
      <w:sz w:val="24"/>
    </w:rPr>
  </w:style>
  <w:style w:type="paragraph" w:styleId="Heading6">
    <w:name w:val="heading 6"/>
    <w:basedOn w:val="Normal"/>
    <w:next w:val="ParaNum"/>
    <w:qFormat/>
    <w:rsid w:val="00DA4782"/>
    <w:pPr>
      <w:numPr>
        <w:ilvl w:val="5"/>
        <w:numId w:val="3"/>
      </w:numPr>
      <w:tabs>
        <w:tab w:val="left" w:pos="2880"/>
      </w:tabs>
      <w:spacing w:after="220"/>
      <w:outlineLvl w:val="5"/>
    </w:pPr>
    <w:rPr>
      <w:b/>
    </w:rPr>
  </w:style>
  <w:style w:type="paragraph" w:styleId="Heading7">
    <w:name w:val="heading 7"/>
    <w:basedOn w:val="Normal"/>
    <w:next w:val="ParaNum"/>
    <w:qFormat/>
    <w:rsid w:val="00DA4782"/>
    <w:pPr>
      <w:numPr>
        <w:ilvl w:val="6"/>
        <w:numId w:val="3"/>
      </w:numPr>
      <w:spacing w:after="240"/>
      <w:outlineLvl w:val="6"/>
    </w:pPr>
    <w:rPr>
      <w:b/>
    </w:rPr>
  </w:style>
  <w:style w:type="paragraph" w:styleId="Heading8">
    <w:name w:val="heading 8"/>
    <w:basedOn w:val="Normal"/>
    <w:next w:val="ParaNum"/>
    <w:qFormat/>
    <w:rsid w:val="00DA4782"/>
    <w:pPr>
      <w:numPr>
        <w:ilvl w:val="7"/>
        <w:numId w:val="3"/>
      </w:numPr>
      <w:tabs>
        <w:tab w:val="left" w:pos="5040"/>
      </w:tabs>
      <w:spacing w:after="240"/>
      <w:outlineLvl w:val="7"/>
    </w:pPr>
    <w:rPr>
      <w:b/>
    </w:rPr>
  </w:style>
  <w:style w:type="paragraph" w:styleId="Heading9">
    <w:name w:val="heading 9"/>
    <w:basedOn w:val="Normal"/>
    <w:next w:val="ParaNum"/>
    <w:qFormat/>
    <w:rsid w:val="00DA4782"/>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A4782"/>
    <w:pPr>
      <w:numPr>
        <w:numId w:val="9"/>
      </w:numPr>
    </w:pPr>
    <w:rPr>
      <w:rFonts w:ascii="Tahoma" w:hAnsi="Tahoma" w:cs="Tahoma"/>
      <w:sz w:val="16"/>
      <w:szCs w:val="16"/>
    </w:rPr>
  </w:style>
  <w:style w:type="character" w:customStyle="1" w:styleId="BalloonTextChar">
    <w:name w:val="Balloon Text Char"/>
    <w:basedOn w:val="DefaultParagraphFont"/>
    <w:link w:val="BalloonText"/>
    <w:semiHidden/>
    <w:rsid w:val="00085E13"/>
    <w:rPr>
      <w:rFonts w:ascii="Tahoma" w:hAnsi="Tahoma" w:cs="Tahoma"/>
      <w:snapToGrid w:val="0"/>
      <w:kern w:val="28"/>
      <w:sz w:val="16"/>
      <w:szCs w:val="16"/>
    </w:rPr>
  </w:style>
  <w:style w:type="paragraph" w:customStyle="1" w:styleId="ParaNum">
    <w:name w:val="ParaNum"/>
    <w:basedOn w:val="Normal"/>
    <w:rsid w:val="00DA4782"/>
    <w:pPr>
      <w:tabs>
        <w:tab w:val="left" w:pos="1440"/>
      </w:tabs>
      <w:spacing w:after="220"/>
      <w:ind w:firstLine="720"/>
    </w:pPr>
  </w:style>
  <w:style w:type="paragraph" w:styleId="EndnoteText">
    <w:name w:val="endnote text"/>
    <w:basedOn w:val="Normal"/>
    <w:semiHidden/>
    <w:rsid w:val="00DA4782"/>
    <w:rPr>
      <w:sz w:val="20"/>
    </w:rPr>
  </w:style>
  <w:style w:type="character" w:styleId="EndnoteReference">
    <w:name w:val="endnote reference"/>
    <w:semiHidden/>
    <w:rsid w:val="00DA4782"/>
    <w:rPr>
      <w:vertAlign w:val="superscript"/>
    </w:r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semiHidden/>
    <w:rsid w:val="00DA4782"/>
    <w:pPr>
      <w:tabs>
        <w:tab w:val="left" w:pos="720"/>
        <w:tab w:val="left" w:pos="1440"/>
      </w:tabs>
      <w:spacing w:after="200"/>
    </w:pPr>
  </w:style>
  <w:style w:type="character" w:styleId="FootnoteReference">
    <w:name w:val="footnote reference"/>
    <w:aliases w:val="Appel note de bas de p,Style 12,(NECG) Footnote Reference,Style 13,Style 124,fr,o,Style 3,FR,Style 17,Style 6,Footnote Reference/"/>
    <w:semiHidden/>
    <w:rsid w:val="00DA4782"/>
    <w:rPr>
      <w:rFonts w:ascii="Times New Roman" w:hAnsi="Times New Roman"/>
      <w:dstrike w:val="0"/>
      <w:color w:val="auto"/>
      <w:sz w:val="22"/>
      <w:vertAlign w:val="superscript"/>
    </w:rPr>
  </w:style>
  <w:style w:type="paragraph" w:styleId="TOC1">
    <w:name w:val="toc 1"/>
    <w:basedOn w:val="Normal"/>
    <w:next w:val="Normal"/>
    <w:semiHidden/>
    <w:rsid w:val="00DA4782"/>
    <w:pPr>
      <w:tabs>
        <w:tab w:val="right" w:leader="dot" w:pos="9360"/>
      </w:tabs>
      <w:suppressAutoHyphens/>
      <w:spacing w:after="240"/>
      <w:ind w:left="720" w:right="720" w:hanging="720"/>
    </w:pPr>
  </w:style>
  <w:style w:type="paragraph" w:styleId="TOC2">
    <w:name w:val="toc 2"/>
    <w:basedOn w:val="Normal"/>
    <w:next w:val="Normal"/>
    <w:semiHidden/>
    <w:rsid w:val="00DA4782"/>
    <w:pPr>
      <w:tabs>
        <w:tab w:val="left" w:pos="1440"/>
        <w:tab w:val="right" w:leader="dot" w:pos="9360"/>
      </w:tabs>
      <w:suppressAutoHyphens/>
      <w:spacing w:after="240"/>
      <w:ind w:left="1440" w:right="720" w:hanging="720"/>
    </w:pPr>
  </w:style>
  <w:style w:type="paragraph" w:styleId="TOC3">
    <w:name w:val="toc 3"/>
    <w:basedOn w:val="Normal"/>
    <w:next w:val="Normal"/>
    <w:semiHidden/>
    <w:rsid w:val="00DA4782"/>
    <w:pPr>
      <w:tabs>
        <w:tab w:val="right" w:leader="dot" w:pos="9360"/>
      </w:tabs>
      <w:suppressAutoHyphens/>
      <w:ind w:left="2160" w:right="720" w:hanging="720"/>
    </w:pPr>
  </w:style>
  <w:style w:type="paragraph" w:styleId="TOC4">
    <w:name w:val="toc 4"/>
    <w:basedOn w:val="Normal"/>
    <w:next w:val="Normal"/>
    <w:autoRedefine/>
    <w:semiHidden/>
    <w:rsid w:val="00DA4782"/>
    <w:pPr>
      <w:tabs>
        <w:tab w:val="right" w:leader="dot" w:pos="9360"/>
      </w:tabs>
      <w:suppressAutoHyphens/>
      <w:ind w:left="2880" w:right="720" w:hanging="720"/>
    </w:pPr>
  </w:style>
  <w:style w:type="paragraph" w:styleId="TOC5">
    <w:name w:val="toc 5"/>
    <w:basedOn w:val="Normal"/>
    <w:next w:val="Normal"/>
    <w:autoRedefine/>
    <w:semiHidden/>
    <w:rsid w:val="00DA4782"/>
    <w:pPr>
      <w:tabs>
        <w:tab w:val="right" w:leader="dot" w:pos="9360"/>
      </w:tabs>
      <w:suppressAutoHyphens/>
      <w:ind w:left="3600" w:right="720" w:hanging="720"/>
    </w:pPr>
  </w:style>
  <w:style w:type="paragraph" w:styleId="TOC6">
    <w:name w:val="toc 6"/>
    <w:basedOn w:val="Normal"/>
    <w:next w:val="Normal"/>
    <w:autoRedefine/>
    <w:semiHidden/>
    <w:rsid w:val="00DA4782"/>
    <w:pPr>
      <w:tabs>
        <w:tab w:val="right" w:pos="9360"/>
      </w:tabs>
      <w:suppressAutoHyphens/>
      <w:ind w:left="720" w:hanging="720"/>
    </w:pPr>
  </w:style>
  <w:style w:type="paragraph" w:styleId="TOC7">
    <w:name w:val="toc 7"/>
    <w:basedOn w:val="Normal"/>
    <w:next w:val="Normal"/>
    <w:autoRedefine/>
    <w:semiHidden/>
    <w:rsid w:val="00DA4782"/>
    <w:pPr>
      <w:suppressAutoHyphens/>
      <w:ind w:left="720" w:hanging="720"/>
    </w:pPr>
  </w:style>
  <w:style w:type="paragraph" w:styleId="TOC8">
    <w:name w:val="toc 8"/>
    <w:basedOn w:val="Normal"/>
    <w:next w:val="Normal"/>
    <w:autoRedefine/>
    <w:semiHidden/>
    <w:rsid w:val="00DA4782"/>
    <w:pPr>
      <w:tabs>
        <w:tab w:val="right" w:pos="9360"/>
      </w:tabs>
      <w:suppressAutoHyphens/>
      <w:ind w:left="720" w:hanging="720"/>
    </w:pPr>
  </w:style>
  <w:style w:type="paragraph" w:styleId="TOC9">
    <w:name w:val="toc 9"/>
    <w:basedOn w:val="Normal"/>
    <w:next w:val="Normal"/>
    <w:autoRedefine/>
    <w:semiHidden/>
    <w:rsid w:val="00DA4782"/>
    <w:pPr>
      <w:tabs>
        <w:tab w:val="right" w:leader="dot" w:pos="9360"/>
      </w:tabs>
      <w:suppressAutoHyphens/>
      <w:ind w:left="720" w:hanging="720"/>
    </w:pPr>
  </w:style>
  <w:style w:type="paragraph" w:styleId="TOAHeading">
    <w:name w:val="toa heading"/>
    <w:basedOn w:val="Normal"/>
    <w:next w:val="Normal"/>
    <w:semiHidden/>
    <w:rsid w:val="00DA4782"/>
    <w:pPr>
      <w:tabs>
        <w:tab w:val="right" w:pos="9360"/>
      </w:tabs>
      <w:suppressAutoHyphens/>
    </w:pPr>
  </w:style>
  <w:style w:type="character" w:customStyle="1" w:styleId="EquationCaption">
    <w:name w:val="_Equation Caption"/>
    <w:rsid w:val="00DA4782"/>
  </w:style>
  <w:style w:type="paragraph" w:styleId="Header">
    <w:name w:val="header"/>
    <w:basedOn w:val="Normal"/>
    <w:autoRedefine/>
    <w:semiHidden/>
    <w:rsid w:val="00DA4782"/>
    <w:pPr>
      <w:tabs>
        <w:tab w:val="center" w:pos="4680"/>
        <w:tab w:val="right" w:pos="9360"/>
      </w:tabs>
    </w:pPr>
    <w:rPr>
      <w:b/>
    </w:rPr>
  </w:style>
  <w:style w:type="paragraph" w:styleId="Footer">
    <w:name w:val="footer"/>
    <w:basedOn w:val="Normal"/>
    <w:semiHidden/>
    <w:rsid w:val="00DA4782"/>
    <w:pPr>
      <w:tabs>
        <w:tab w:val="center" w:pos="4320"/>
        <w:tab w:val="right" w:pos="8640"/>
      </w:tabs>
    </w:pPr>
  </w:style>
  <w:style w:type="paragraph" w:styleId="Title">
    <w:name w:val="Title"/>
    <w:basedOn w:val="Normal"/>
    <w:next w:val="Heading1"/>
    <w:qFormat/>
    <w:rsid w:val="00DA4782"/>
    <w:pPr>
      <w:jc w:val="center"/>
      <w:outlineLvl w:val="0"/>
    </w:pPr>
    <w:rPr>
      <w:b/>
    </w:rPr>
  </w:style>
  <w:style w:type="paragraph" w:styleId="BlockText">
    <w:name w:val="Block Text"/>
    <w:basedOn w:val="Normal"/>
    <w:semiHidden/>
    <w:rsid w:val="00DA4782"/>
    <w:pPr>
      <w:spacing w:after="240"/>
      <w:ind w:left="1440" w:right="1440"/>
    </w:pPr>
  </w:style>
  <w:style w:type="paragraph" w:styleId="BodyTextIndent2">
    <w:name w:val="Body Text Indent 2"/>
    <w:basedOn w:val="Normal"/>
    <w:semiHidden/>
    <w:rsid w:val="00DA4782"/>
    <w:pPr>
      <w:tabs>
        <w:tab w:val="left" w:pos="720"/>
        <w:tab w:val="left" w:pos="1440"/>
        <w:tab w:val="left" w:pos="2160"/>
        <w:tab w:val="left" w:pos="2880"/>
        <w:tab w:val="left" w:pos="3600"/>
        <w:tab w:val="left" w:pos="5760"/>
      </w:tabs>
      <w:ind w:left="1440"/>
    </w:pPr>
    <w:rPr>
      <w:rFonts w:ascii="boldPS" w:hAnsi="boldPS"/>
      <w:kern w:val="0"/>
      <w:sz w:val="24"/>
    </w:rPr>
  </w:style>
  <w:style w:type="paragraph" w:customStyle="1" w:styleId="Bullet">
    <w:name w:val="Bullet"/>
    <w:basedOn w:val="Normal"/>
    <w:rsid w:val="00DA4782"/>
    <w:pPr>
      <w:numPr>
        <w:numId w:val="2"/>
      </w:numPr>
      <w:tabs>
        <w:tab w:val="clear" w:pos="360"/>
        <w:tab w:val="left" w:pos="2160"/>
      </w:tabs>
      <w:spacing w:after="220"/>
      <w:ind w:left="2160" w:hanging="720"/>
    </w:pPr>
  </w:style>
  <w:style w:type="paragraph" w:customStyle="1" w:styleId="TableFormat">
    <w:name w:val="TableFormat"/>
    <w:basedOn w:val="Bullet"/>
    <w:rsid w:val="00DA4782"/>
    <w:pPr>
      <w:numPr>
        <w:numId w:val="0"/>
      </w:numPr>
      <w:tabs>
        <w:tab w:val="clear" w:pos="2160"/>
        <w:tab w:val="left" w:pos="5040"/>
      </w:tabs>
      <w:ind w:left="5040" w:hanging="3600"/>
    </w:p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sid w:val="003C179A"/>
  </w:style>
  <w:style w:type="character" w:customStyle="1" w:styleId="Heading1Char">
    <w:name w:val="Heading 1 Char"/>
    <w:link w:val="Heading1"/>
    <w:rsid w:val="008B08C4"/>
    <w:rPr>
      <w:b/>
      <w:caps/>
      <w:snapToGrid w:val="0"/>
      <w:kern w:val="28"/>
      <w:sz w:val="22"/>
    </w:rPr>
  </w:style>
  <w:style w:type="character" w:styleId="Hyperlink">
    <w:name w:val="Hyperlink"/>
    <w:uiPriority w:val="99"/>
    <w:unhideWhenUsed/>
    <w:rsid w:val="0001219E"/>
    <w:rPr>
      <w:color w:val="0000FF"/>
      <w:u w:val="single"/>
    </w:rPr>
  </w:style>
  <w:style w:type="character" w:customStyle="1" w:styleId="apple-converted-space">
    <w:name w:val="apple-converted-space"/>
    <w:rsid w:val="0001219E"/>
  </w:style>
  <w:style w:type="character" w:customStyle="1" w:styleId="searchterm">
    <w:name w:val="searchterm"/>
    <w:rsid w:val="00343AD1"/>
  </w:style>
  <w:style w:type="paragraph" w:styleId="ListParagraph">
    <w:name w:val="List Paragraph"/>
    <w:basedOn w:val="Normal"/>
    <w:uiPriority w:val="34"/>
    <w:qFormat/>
    <w:rsid w:val="00D97599"/>
    <w:pPr>
      <w:ind w:left="720"/>
    </w:pPr>
  </w:style>
  <w:style w:type="character" w:styleId="CommentReference">
    <w:name w:val="annotation reference"/>
    <w:uiPriority w:val="99"/>
    <w:semiHidden/>
    <w:unhideWhenUsed/>
    <w:rsid w:val="00E40473"/>
    <w:rPr>
      <w:sz w:val="16"/>
      <w:szCs w:val="16"/>
    </w:rPr>
  </w:style>
  <w:style w:type="paragraph" w:styleId="CommentText">
    <w:name w:val="annotation text"/>
    <w:basedOn w:val="Normal"/>
    <w:link w:val="CommentTextChar"/>
    <w:uiPriority w:val="99"/>
    <w:semiHidden/>
    <w:unhideWhenUsed/>
    <w:rsid w:val="00E40473"/>
    <w:rPr>
      <w:sz w:val="20"/>
    </w:rPr>
  </w:style>
  <w:style w:type="character" w:customStyle="1" w:styleId="CommentTextChar">
    <w:name w:val="Comment Text Char"/>
    <w:link w:val="CommentText"/>
    <w:uiPriority w:val="99"/>
    <w:semiHidden/>
    <w:rsid w:val="00E40473"/>
    <w:rPr>
      <w:snapToGrid w:val="0"/>
      <w:kern w:val="28"/>
    </w:rPr>
  </w:style>
  <w:style w:type="paragraph" w:styleId="CommentSubject">
    <w:name w:val="annotation subject"/>
    <w:basedOn w:val="CommentText"/>
    <w:next w:val="CommentText"/>
    <w:link w:val="CommentSubjectChar"/>
    <w:uiPriority w:val="99"/>
    <w:semiHidden/>
    <w:unhideWhenUsed/>
    <w:rsid w:val="00E40473"/>
    <w:rPr>
      <w:b/>
      <w:bCs/>
    </w:rPr>
  </w:style>
  <w:style w:type="character" w:customStyle="1" w:styleId="CommentSubjectChar">
    <w:name w:val="Comment Subject Char"/>
    <w:link w:val="CommentSubject"/>
    <w:uiPriority w:val="99"/>
    <w:semiHidden/>
    <w:rsid w:val="00E40473"/>
    <w:rPr>
      <w:b/>
      <w:bCs/>
      <w:snapToGrid w:val="0"/>
      <w:kern w:val="28"/>
    </w:rPr>
  </w:style>
  <w:style w:type="paragraph" w:styleId="Revision">
    <w:name w:val="Revision"/>
    <w:hidden/>
    <w:uiPriority w:val="99"/>
    <w:semiHidden/>
    <w:rsid w:val="006B46D2"/>
    <w:rPr>
      <w:snapToGrid w:val="0"/>
      <w:kern w:val="28"/>
      <w:sz w:val="22"/>
    </w:rPr>
  </w:style>
  <w:style w:type="character" w:styleId="FollowedHyperlink">
    <w:name w:val="FollowedHyperlink"/>
    <w:basedOn w:val="DefaultParagraphFont"/>
    <w:uiPriority w:val="99"/>
    <w:semiHidden/>
    <w:unhideWhenUsed/>
    <w:rsid w:val="00A954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82"/>
    <w:pPr>
      <w:widowControl w:val="0"/>
    </w:pPr>
    <w:rPr>
      <w:snapToGrid w:val="0"/>
      <w:kern w:val="28"/>
      <w:sz w:val="22"/>
    </w:rPr>
  </w:style>
  <w:style w:type="paragraph" w:styleId="Heading1">
    <w:name w:val="heading 1"/>
    <w:basedOn w:val="Normal"/>
    <w:next w:val="ParaNum"/>
    <w:link w:val="Heading1Char"/>
    <w:qFormat/>
    <w:rsid w:val="00DA4782"/>
    <w:pPr>
      <w:keepNext/>
      <w:numPr>
        <w:numId w:val="3"/>
      </w:numPr>
      <w:suppressAutoHyphens/>
      <w:spacing w:after="220"/>
      <w:outlineLvl w:val="0"/>
    </w:pPr>
    <w:rPr>
      <w:b/>
      <w:caps/>
    </w:rPr>
  </w:style>
  <w:style w:type="paragraph" w:styleId="Heading2">
    <w:name w:val="heading 2"/>
    <w:basedOn w:val="Normal"/>
    <w:next w:val="ParaNum"/>
    <w:qFormat/>
    <w:rsid w:val="00DA4782"/>
    <w:pPr>
      <w:keepNext/>
      <w:numPr>
        <w:ilvl w:val="1"/>
        <w:numId w:val="3"/>
      </w:numPr>
      <w:spacing w:after="220"/>
      <w:outlineLvl w:val="1"/>
    </w:pPr>
    <w:rPr>
      <w:b/>
    </w:rPr>
  </w:style>
  <w:style w:type="paragraph" w:styleId="Heading3">
    <w:name w:val="heading 3"/>
    <w:basedOn w:val="Normal"/>
    <w:next w:val="ParaNum"/>
    <w:qFormat/>
    <w:rsid w:val="00DA4782"/>
    <w:pPr>
      <w:keepNext/>
      <w:numPr>
        <w:ilvl w:val="2"/>
        <w:numId w:val="3"/>
      </w:numPr>
      <w:spacing w:after="220"/>
      <w:outlineLvl w:val="2"/>
    </w:pPr>
    <w:rPr>
      <w:b/>
    </w:rPr>
  </w:style>
  <w:style w:type="paragraph" w:styleId="Heading4">
    <w:name w:val="heading 4"/>
    <w:basedOn w:val="Normal"/>
    <w:next w:val="ParaNum"/>
    <w:qFormat/>
    <w:rsid w:val="00DA4782"/>
    <w:pPr>
      <w:keepNext/>
      <w:numPr>
        <w:ilvl w:val="3"/>
        <w:numId w:val="3"/>
      </w:numPr>
      <w:spacing w:after="220"/>
      <w:outlineLvl w:val="3"/>
    </w:pPr>
    <w:rPr>
      <w:b/>
    </w:rPr>
  </w:style>
  <w:style w:type="paragraph" w:styleId="Heading5">
    <w:name w:val="heading 5"/>
    <w:basedOn w:val="Normal"/>
    <w:next w:val="ParaNum"/>
    <w:qFormat/>
    <w:rsid w:val="00DA4782"/>
    <w:pPr>
      <w:keepNext/>
      <w:numPr>
        <w:ilvl w:val="4"/>
        <w:numId w:val="3"/>
      </w:numPr>
      <w:tabs>
        <w:tab w:val="left" w:pos="2880"/>
      </w:tabs>
      <w:suppressAutoHyphens/>
      <w:spacing w:after="220"/>
      <w:jc w:val="both"/>
      <w:outlineLvl w:val="4"/>
    </w:pPr>
    <w:rPr>
      <w:b/>
      <w:sz w:val="24"/>
    </w:rPr>
  </w:style>
  <w:style w:type="paragraph" w:styleId="Heading6">
    <w:name w:val="heading 6"/>
    <w:basedOn w:val="Normal"/>
    <w:next w:val="ParaNum"/>
    <w:qFormat/>
    <w:rsid w:val="00DA4782"/>
    <w:pPr>
      <w:numPr>
        <w:ilvl w:val="5"/>
        <w:numId w:val="3"/>
      </w:numPr>
      <w:tabs>
        <w:tab w:val="left" w:pos="2880"/>
      </w:tabs>
      <w:spacing w:after="220"/>
      <w:outlineLvl w:val="5"/>
    </w:pPr>
    <w:rPr>
      <w:b/>
    </w:rPr>
  </w:style>
  <w:style w:type="paragraph" w:styleId="Heading7">
    <w:name w:val="heading 7"/>
    <w:basedOn w:val="Normal"/>
    <w:next w:val="ParaNum"/>
    <w:qFormat/>
    <w:rsid w:val="00DA4782"/>
    <w:pPr>
      <w:numPr>
        <w:ilvl w:val="6"/>
        <w:numId w:val="3"/>
      </w:numPr>
      <w:spacing w:after="240"/>
      <w:outlineLvl w:val="6"/>
    </w:pPr>
    <w:rPr>
      <w:b/>
    </w:rPr>
  </w:style>
  <w:style w:type="paragraph" w:styleId="Heading8">
    <w:name w:val="heading 8"/>
    <w:basedOn w:val="Normal"/>
    <w:next w:val="ParaNum"/>
    <w:qFormat/>
    <w:rsid w:val="00DA4782"/>
    <w:pPr>
      <w:numPr>
        <w:ilvl w:val="7"/>
        <w:numId w:val="3"/>
      </w:numPr>
      <w:tabs>
        <w:tab w:val="left" w:pos="5040"/>
      </w:tabs>
      <w:spacing w:after="240"/>
      <w:outlineLvl w:val="7"/>
    </w:pPr>
    <w:rPr>
      <w:b/>
    </w:rPr>
  </w:style>
  <w:style w:type="paragraph" w:styleId="Heading9">
    <w:name w:val="heading 9"/>
    <w:basedOn w:val="Normal"/>
    <w:next w:val="ParaNum"/>
    <w:qFormat/>
    <w:rsid w:val="00DA4782"/>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A4782"/>
    <w:pPr>
      <w:numPr>
        <w:numId w:val="9"/>
      </w:numPr>
    </w:pPr>
    <w:rPr>
      <w:rFonts w:ascii="Tahoma" w:hAnsi="Tahoma" w:cs="Tahoma"/>
      <w:sz w:val="16"/>
      <w:szCs w:val="16"/>
    </w:rPr>
  </w:style>
  <w:style w:type="character" w:customStyle="1" w:styleId="BalloonTextChar">
    <w:name w:val="Balloon Text Char"/>
    <w:basedOn w:val="DefaultParagraphFont"/>
    <w:link w:val="BalloonText"/>
    <w:semiHidden/>
    <w:rsid w:val="00085E13"/>
    <w:rPr>
      <w:rFonts w:ascii="Tahoma" w:hAnsi="Tahoma" w:cs="Tahoma"/>
      <w:snapToGrid w:val="0"/>
      <w:kern w:val="28"/>
      <w:sz w:val="16"/>
      <w:szCs w:val="16"/>
    </w:rPr>
  </w:style>
  <w:style w:type="paragraph" w:customStyle="1" w:styleId="ParaNum">
    <w:name w:val="ParaNum"/>
    <w:basedOn w:val="Normal"/>
    <w:rsid w:val="00DA4782"/>
    <w:pPr>
      <w:tabs>
        <w:tab w:val="left" w:pos="1440"/>
      </w:tabs>
      <w:spacing w:after="220"/>
      <w:ind w:firstLine="720"/>
    </w:pPr>
  </w:style>
  <w:style w:type="paragraph" w:styleId="EndnoteText">
    <w:name w:val="endnote text"/>
    <w:basedOn w:val="Normal"/>
    <w:semiHidden/>
    <w:rsid w:val="00DA4782"/>
    <w:rPr>
      <w:sz w:val="20"/>
    </w:rPr>
  </w:style>
  <w:style w:type="character" w:styleId="EndnoteReference">
    <w:name w:val="endnote reference"/>
    <w:semiHidden/>
    <w:rsid w:val="00DA4782"/>
    <w:rPr>
      <w:vertAlign w:val="superscript"/>
    </w:r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semiHidden/>
    <w:rsid w:val="00DA4782"/>
    <w:pPr>
      <w:tabs>
        <w:tab w:val="left" w:pos="720"/>
        <w:tab w:val="left" w:pos="1440"/>
      </w:tabs>
      <w:spacing w:after="200"/>
    </w:pPr>
  </w:style>
  <w:style w:type="character" w:styleId="FootnoteReference">
    <w:name w:val="footnote reference"/>
    <w:aliases w:val="Appel note de bas de p,Style 12,(NECG) Footnote Reference,Style 13,Style 124,fr,o,Style 3,FR,Style 17,Style 6,Footnote Reference/"/>
    <w:semiHidden/>
    <w:rsid w:val="00DA4782"/>
    <w:rPr>
      <w:rFonts w:ascii="Times New Roman" w:hAnsi="Times New Roman"/>
      <w:dstrike w:val="0"/>
      <w:color w:val="auto"/>
      <w:sz w:val="22"/>
      <w:vertAlign w:val="superscript"/>
    </w:rPr>
  </w:style>
  <w:style w:type="paragraph" w:styleId="TOC1">
    <w:name w:val="toc 1"/>
    <w:basedOn w:val="Normal"/>
    <w:next w:val="Normal"/>
    <w:semiHidden/>
    <w:rsid w:val="00DA4782"/>
    <w:pPr>
      <w:tabs>
        <w:tab w:val="right" w:leader="dot" w:pos="9360"/>
      </w:tabs>
      <w:suppressAutoHyphens/>
      <w:spacing w:after="240"/>
      <w:ind w:left="720" w:right="720" w:hanging="720"/>
    </w:pPr>
  </w:style>
  <w:style w:type="paragraph" w:styleId="TOC2">
    <w:name w:val="toc 2"/>
    <w:basedOn w:val="Normal"/>
    <w:next w:val="Normal"/>
    <w:semiHidden/>
    <w:rsid w:val="00DA4782"/>
    <w:pPr>
      <w:tabs>
        <w:tab w:val="left" w:pos="1440"/>
        <w:tab w:val="right" w:leader="dot" w:pos="9360"/>
      </w:tabs>
      <w:suppressAutoHyphens/>
      <w:spacing w:after="240"/>
      <w:ind w:left="1440" w:right="720" w:hanging="720"/>
    </w:pPr>
  </w:style>
  <w:style w:type="paragraph" w:styleId="TOC3">
    <w:name w:val="toc 3"/>
    <w:basedOn w:val="Normal"/>
    <w:next w:val="Normal"/>
    <w:semiHidden/>
    <w:rsid w:val="00DA4782"/>
    <w:pPr>
      <w:tabs>
        <w:tab w:val="right" w:leader="dot" w:pos="9360"/>
      </w:tabs>
      <w:suppressAutoHyphens/>
      <w:ind w:left="2160" w:right="720" w:hanging="720"/>
    </w:pPr>
  </w:style>
  <w:style w:type="paragraph" w:styleId="TOC4">
    <w:name w:val="toc 4"/>
    <w:basedOn w:val="Normal"/>
    <w:next w:val="Normal"/>
    <w:autoRedefine/>
    <w:semiHidden/>
    <w:rsid w:val="00DA4782"/>
    <w:pPr>
      <w:tabs>
        <w:tab w:val="right" w:leader="dot" w:pos="9360"/>
      </w:tabs>
      <w:suppressAutoHyphens/>
      <w:ind w:left="2880" w:right="720" w:hanging="720"/>
    </w:pPr>
  </w:style>
  <w:style w:type="paragraph" w:styleId="TOC5">
    <w:name w:val="toc 5"/>
    <w:basedOn w:val="Normal"/>
    <w:next w:val="Normal"/>
    <w:autoRedefine/>
    <w:semiHidden/>
    <w:rsid w:val="00DA4782"/>
    <w:pPr>
      <w:tabs>
        <w:tab w:val="right" w:leader="dot" w:pos="9360"/>
      </w:tabs>
      <w:suppressAutoHyphens/>
      <w:ind w:left="3600" w:right="720" w:hanging="720"/>
    </w:pPr>
  </w:style>
  <w:style w:type="paragraph" w:styleId="TOC6">
    <w:name w:val="toc 6"/>
    <w:basedOn w:val="Normal"/>
    <w:next w:val="Normal"/>
    <w:autoRedefine/>
    <w:semiHidden/>
    <w:rsid w:val="00DA4782"/>
    <w:pPr>
      <w:tabs>
        <w:tab w:val="right" w:pos="9360"/>
      </w:tabs>
      <w:suppressAutoHyphens/>
      <w:ind w:left="720" w:hanging="720"/>
    </w:pPr>
  </w:style>
  <w:style w:type="paragraph" w:styleId="TOC7">
    <w:name w:val="toc 7"/>
    <w:basedOn w:val="Normal"/>
    <w:next w:val="Normal"/>
    <w:autoRedefine/>
    <w:semiHidden/>
    <w:rsid w:val="00DA4782"/>
    <w:pPr>
      <w:suppressAutoHyphens/>
      <w:ind w:left="720" w:hanging="720"/>
    </w:pPr>
  </w:style>
  <w:style w:type="paragraph" w:styleId="TOC8">
    <w:name w:val="toc 8"/>
    <w:basedOn w:val="Normal"/>
    <w:next w:val="Normal"/>
    <w:autoRedefine/>
    <w:semiHidden/>
    <w:rsid w:val="00DA4782"/>
    <w:pPr>
      <w:tabs>
        <w:tab w:val="right" w:pos="9360"/>
      </w:tabs>
      <w:suppressAutoHyphens/>
      <w:ind w:left="720" w:hanging="720"/>
    </w:pPr>
  </w:style>
  <w:style w:type="paragraph" w:styleId="TOC9">
    <w:name w:val="toc 9"/>
    <w:basedOn w:val="Normal"/>
    <w:next w:val="Normal"/>
    <w:autoRedefine/>
    <w:semiHidden/>
    <w:rsid w:val="00DA4782"/>
    <w:pPr>
      <w:tabs>
        <w:tab w:val="right" w:leader="dot" w:pos="9360"/>
      </w:tabs>
      <w:suppressAutoHyphens/>
      <w:ind w:left="720" w:hanging="720"/>
    </w:pPr>
  </w:style>
  <w:style w:type="paragraph" w:styleId="TOAHeading">
    <w:name w:val="toa heading"/>
    <w:basedOn w:val="Normal"/>
    <w:next w:val="Normal"/>
    <w:semiHidden/>
    <w:rsid w:val="00DA4782"/>
    <w:pPr>
      <w:tabs>
        <w:tab w:val="right" w:pos="9360"/>
      </w:tabs>
      <w:suppressAutoHyphens/>
    </w:pPr>
  </w:style>
  <w:style w:type="character" w:customStyle="1" w:styleId="EquationCaption">
    <w:name w:val="_Equation Caption"/>
    <w:rsid w:val="00DA4782"/>
  </w:style>
  <w:style w:type="paragraph" w:styleId="Header">
    <w:name w:val="header"/>
    <w:basedOn w:val="Normal"/>
    <w:autoRedefine/>
    <w:semiHidden/>
    <w:rsid w:val="00DA4782"/>
    <w:pPr>
      <w:tabs>
        <w:tab w:val="center" w:pos="4680"/>
        <w:tab w:val="right" w:pos="9360"/>
      </w:tabs>
    </w:pPr>
    <w:rPr>
      <w:b/>
    </w:rPr>
  </w:style>
  <w:style w:type="paragraph" w:styleId="Footer">
    <w:name w:val="footer"/>
    <w:basedOn w:val="Normal"/>
    <w:semiHidden/>
    <w:rsid w:val="00DA4782"/>
    <w:pPr>
      <w:tabs>
        <w:tab w:val="center" w:pos="4320"/>
        <w:tab w:val="right" w:pos="8640"/>
      </w:tabs>
    </w:pPr>
  </w:style>
  <w:style w:type="paragraph" w:styleId="Title">
    <w:name w:val="Title"/>
    <w:basedOn w:val="Normal"/>
    <w:next w:val="Heading1"/>
    <w:qFormat/>
    <w:rsid w:val="00DA4782"/>
    <w:pPr>
      <w:jc w:val="center"/>
      <w:outlineLvl w:val="0"/>
    </w:pPr>
    <w:rPr>
      <w:b/>
    </w:rPr>
  </w:style>
  <w:style w:type="paragraph" w:styleId="BlockText">
    <w:name w:val="Block Text"/>
    <w:basedOn w:val="Normal"/>
    <w:semiHidden/>
    <w:rsid w:val="00DA4782"/>
    <w:pPr>
      <w:spacing w:after="240"/>
      <w:ind w:left="1440" w:right="1440"/>
    </w:pPr>
  </w:style>
  <w:style w:type="paragraph" w:styleId="BodyTextIndent2">
    <w:name w:val="Body Text Indent 2"/>
    <w:basedOn w:val="Normal"/>
    <w:semiHidden/>
    <w:rsid w:val="00DA4782"/>
    <w:pPr>
      <w:tabs>
        <w:tab w:val="left" w:pos="720"/>
        <w:tab w:val="left" w:pos="1440"/>
        <w:tab w:val="left" w:pos="2160"/>
        <w:tab w:val="left" w:pos="2880"/>
        <w:tab w:val="left" w:pos="3600"/>
        <w:tab w:val="left" w:pos="5760"/>
      </w:tabs>
      <w:ind w:left="1440"/>
    </w:pPr>
    <w:rPr>
      <w:rFonts w:ascii="boldPS" w:hAnsi="boldPS"/>
      <w:kern w:val="0"/>
      <w:sz w:val="24"/>
    </w:rPr>
  </w:style>
  <w:style w:type="paragraph" w:customStyle="1" w:styleId="Bullet">
    <w:name w:val="Bullet"/>
    <w:basedOn w:val="Normal"/>
    <w:rsid w:val="00DA4782"/>
    <w:pPr>
      <w:numPr>
        <w:numId w:val="2"/>
      </w:numPr>
      <w:tabs>
        <w:tab w:val="clear" w:pos="360"/>
        <w:tab w:val="left" w:pos="2160"/>
      </w:tabs>
      <w:spacing w:after="220"/>
      <w:ind w:left="2160" w:hanging="720"/>
    </w:pPr>
  </w:style>
  <w:style w:type="paragraph" w:customStyle="1" w:styleId="TableFormat">
    <w:name w:val="TableFormat"/>
    <w:basedOn w:val="Bullet"/>
    <w:rsid w:val="00DA4782"/>
    <w:pPr>
      <w:numPr>
        <w:numId w:val="0"/>
      </w:numPr>
      <w:tabs>
        <w:tab w:val="clear" w:pos="2160"/>
        <w:tab w:val="left" w:pos="5040"/>
      </w:tabs>
      <w:ind w:left="5040" w:hanging="3600"/>
    </w:p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sid w:val="003C179A"/>
  </w:style>
  <w:style w:type="character" w:customStyle="1" w:styleId="Heading1Char">
    <w:name w:val="Heading 1 Char"/>
    <w:link w:val="Heading1"/>
    <w:rsid w:val="008B08C4"/>
    <w:rPr>
      <w:b/>
      <w:caps/>
      <w:snapToGrid w:val="0"/>
      <w:kern w:val="28"/>
      <w:sz w:val="22"/>
    </w:rPr>
  </w:style>
  <w:style w:type="character" w:styleId="Hyperlink">
    <w:name w:val="Hyperlink"/>
    <w:uiPriority w:val="99"/>
    <w:unhideWhenUsed/>
    <w:rsid w:val="0001219E"/>
    <w:rPr>
      <w:color w:val="0000FF"/>
      <w:u w:val="single"/>
    </w:rPr>
  </w:style>
  <w:style w:type="character" w:customStyle="1" w:styleId="apple-converted-space">
    <w:name w:val="apple-converted-space"/>
    <w:rsid w:val="0001219E"/>
  </w:style>
  <w:style w:type="character" w:customStyle="1" w:styleId="searchterm">
    <w:name w:val="searchterm"/>
    <w:rsid w:val="00343AD1"/>
  </w:style>
  <w:style w:type="paragraph" w:styleId="ListParagraph">
    <w:name w:val="List Paragraph"/>
    <w:basedOn w:val="Normal"/>
    <w:uiPriority w:val="34"/>
    <w:qFormat/>
    <w:rsid w:val="00D97599"/>
    <w:pPr>
      <w:ind w:left="720"/>
    </w:pPr>
  </w:style>
  <w:style w:type="character" w:styleId="CommentReference">
    <w:name w:val="annotation reference"/>
    <w:uiPriority w:val="99"/>
    <w:semiHidden/>
    <w:unhideWhenUsed/>
    <w:rsid w:val="00E40473"/>
    <w:rPr>
      <w:sz w:val="16"/>
      <w:szCs w:val="16"/>
    </w:rPr>
  </w:style>
  <w:style w:type="paragraph" w:styleId="CommentText">
    <w:name w:val="annotation text"/>
    <w:basedOn w:val="Normal"/>
    <w:link w:val="CommentTextChar"/>
    <w:uiPriority w:val="99"/>
    <w:semiHidden/>
    <w:unhideWhenUsed/>
    <w:rsid w:val="00E40473"/>
    <w:rPr>
      <w:sz w:val="20"/>
    </w:rPr>
  </w:style>
  <w:style w:type="character" w:customStyle="1" w:styleId="CommentTextChar">
    <w:name w:val="Comment Text Char"/>
    <w:link w:val="CommentText"/>
    <w:uiPriority w:val="99"/>
    <w:semiHidden/>
    <w:rsid w:val="00E40473"/>
    <w:rPr>
      <w:snapToGrid w:val="0"/>
      <w:kern w:val="28"/>
    </w:rPr>
  </w:style>
  <w:style w:type="paragraph" w:styleId="CommentSubject">
    <w:name w:val="annotation subject"/>
    <w:basedOn w:val="CommentText"/>
    <w:next w:val="CommentText"/>
    <w:link w:val="CommentSubjectChar"/>
    <w:uiPriority w:val="99"/>
    <w:semiHidden/>
    <w:unhideWhenUsed/>
    <w:rsid w:val="00E40473"/>
    <w:rPr>
      <w:b/>
      <w:bCs/>
    </w:rPr>
  </w:style>
  <w:style w:type="character" w:customStyle="1" w:styleId="CommentSubjectChar">
    <w:name w:val="Comment Subject Char"/>
    <w:link w:val="CommentSubject"/>
    <w:uiPriority w:val="99"/>
    <w:semiHidden/>
    <w:rsid w:val="00E40473"/>
    <w:rPr>
      <w:b/>
      <w:bCs/>
      <w:snapToGrid w:val="0"/>
      <w:kern w:val="28"/>
    </w:rPr>
  </w:style>
  <w:style w:type="paragraph" w:styleId="Revision">
    <w:name w:val="Revision"/>
    <w:hidden/>
    <w:uiPriority w:val="99"/>
    <w:semiHidden/>
    <w:rsid w:val="006B46D2"/>
    <w:rPr>
      <w:snapToGrid w:val="0"/>
      <w:kern w:val="28"/>
      <w:sz w:val="22"/>
    </w:rPr>
  </w:style>
  <w:style w:type="character" w:styleId="FollowedHyperlink">
    <w:name w:val="FollowedHyperlink"/>
    <w:basedOn w:val="DefaultParagraphFont"/>
    <w:uiPriority w:val="99"/>
    <w:semiHidden/>
    <w:unhideWhenUsed/>
    <w:rsid w:val="00A95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084">
      <w:bodyDiv w:val="1"/>
      <w:marLeft w:val="0"/>
      <w:marRight w:val="0"/>
      <w:marTop w:val="0"/>
      <w:marBottom w:val="0"/>
      <w:divBdr>
        <w:top w:val="none" w:sz="0" w:space="0" w:color="auto"/>
        <w:left w:val="none" w:sz="0" w:space="0" w:color="auto"/>
        <w:bottom w:val="none" w:sz="0" w:space="0" w:color="auto"/>
        <w:right w:val="none" w:sz="0" w:space="0" w:color="auto"/>
      </w:divBdr>
    </w:div>
    <w:div w:id="199439630">
      <w:bodyDiv w:val="1"/>
      <w:marLeft w:val="0"/>
      <w:marRight w:val="0"/>
      <w:marTop w:val="0"/>
      <w:marBottom w:val="0"/>
      <w:divBdr>
        <w:top w:val="none" w:sz="0" w:space="0" w:color="auto"/>
        <w:left w:val="none" w:sz="0" w:space="0" w:color="auto"/>
        <w:bottom w:val="none" w:sz="0" w:space="0" w:color="auto"/>
        <w:right w:val="none" w:sz="0" w:space="0" w:color="auto"/>
      </w:divBdr>
    </w:div>
    <w:div w:id="373428933">
      <w:bodyDiv w:val="1"/>
      <w:marLeft w:val="0"/>
      <w:marRight w:val="0"/>
      <w:marTop w:val="0"/>
      <w:marBottom w:val="0"/>
      <w:divBdr>
        <w:top w:val="none" w:sz="0" w:space="0" w:color="auto"/>
        <w:left w:val="none" w:sz="0" w:space="0" w:color="auto"/>
        <w:bottom w:val="none" w:sz="0" w:space="0" w:color="auto"/>
        <w:right w:val="none" w:sz="0" w:space="0" w:color="auto"/>
      </w:divBdr>
    </w:div>
    <w:div w:id="577642086">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46873241">
      <w:bodyDiv w:val="1"/>
      <w:marLeft w:val="30"/>
      <w:marRight w:val="30"/>
      <w:marTop w:val="30"/>
      <w:marBottom w:val="30"/>
      <w:divBdr>
        <w:top w:val="none" w:sz="0" w:space="0" w:color="auto"/>
        <w:left w:val="none" w:sz="0" w:space="0" w:color="auto"/>
        <w:bottom w:val="none" w:sz="0" w:space="0" w:color="auto"/>
        <w:right w:val="none" w:sz="0" w:space="0" w:color="auto"/>
      </w:divBdr>
      <w:divsChild>
        <w:div w:id="1886259422">
          <w:marLeft w:val="0"/>
          <w:marRight w:val="0"/>
          <w:marTop w:val="0"/>
          <w:marBottom w:val="0"/>
          <w:divBdr>
            <w:top w:val="none" w:sz="0" w:space="0" w:color="auto"/>
            <w:left w:val="none" w:sz="0" w:space="0" w:color="auto"/>
            <w:bottom w:val="none" w:sz="0" w:space="0" w:color="auto"/>
            <w:right w:val="none" w:sz="0" w:space="0" w:color="auto"/>
          </w:divBdr>
          <w:divsChild>
            <w:div w:id="370346207">
              <w:marLeft w:val="45"/>
              <w:marRight w:val="45"/>
              <w:marTop w:val="45"/>
              <w:marBottom w:val="45"/>
              <w:divBdr>
                <w:top w:val="none" w:sz="0" w:space="0" w:color="auto"/>
                <w:left w:val="none" w:sz="0" w:space="0" w:color="auto"/>
                <w:bottom w:val="none" w:sz="0" w:space="0" w:color="auto"/>
                <w:right w:val="none" w:sz="0" w:space="0" w:color="auto"/>
              </w:divBdr>
              <w:divsChild>
                <w:div w:id="1930041643">
                  <w:marLeft w:val="0"/>
                  <w:marRight w:val="0"/>
                  <w:marTop w:val="0"/>
                  <w:marBottom w:val="0"/>
                  <w:divBdr>
                    <w:top w:val="none" w:sz="0" w:space="0" w:color="auto"/>
                    <w:left w:val="none" w:sz="0" w:space="0" w:color="auto"/>
                    <w:bottom w:val="none" w:sz="0" w:space="0" w:color="auto"/>
                    <w:right w:val="none" w:sz="0" w:space="0" w:color="auto"/>
                  </w:divBdr>
                  <w:divsChild>
                    <w:div w:id="678317031">
                      <w:marLeft w:val="0"/>
                      <w:marRight w:val="0"/>
                      <w:marTop w:val="0"/>
                      <w:marBottom w:val="0"/>
                      <w:divBdr>
                        <w:top w:val="none" w:sz="0" w:space="0" w:color="auto"/>
                        <w:left w:val="none" w:sz="0" w:space="0" w:color="auto"/>
                        <w:bottom w:val="none" w:sz="0" w:space="0" w:color="auto"/>
                        <w:right w:val="none" w:sz="0" w:space="0" w:color="auto"/>
                      </w:divBdr>
                    </w:div>
                    <w:div w:id="12205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28811">
      <w:bodyDiv w:val="1"/>
      <w:marLeft w:val="0"/>
      <w:marRight w:val="0"/>
      <w:marTop w:val="0"/>
      <w:marBottom w:val="0"/>
      <w:divBdr>
        <w:top w:val="none" w:sz="0" w:space="0" w:color="auto"/>
        <w:left w:val="none" w:sz="0" w:space="0" w:color="auto"/>
        <w:bottom w:val="none" w:sz="0" w:space="0" w:color="auto"/>
        <w:right w:val="none" w:sz="0" w:space="0" w:color="auto"/>
      </w:divBdr>
    </w:div>
    <w:div w:id="1063942064">
      <w:bodyDiv w:val="1"/>
      <w:marLeft w:val="0"/>
      <w:marRight w:val="0"/>
      <w:marTop w:val="0"/>
      <w:marBottom w:val="0"/>
      <w:divBdr>
        <w:top w:val="none" w:sz="0" w:space="0" w:color="auto"/>
        <w:left w:val="none" w:sz="0" w:space="0" w:color="auto"/>
        <w:bottom w:val="none" w:sz="0" w:space="0" w:color="auto"/>
        <w:right w:val="none" w:sz="0" w:space="0" w:color="auto"/>
      </w:divBdr>
    </w:div>
    <w:div w:id="1183711909">
      <w:bodyDiv w:val="1"/>
      <w:marLeft w:val="0"/>
      <w:marRight w:val="0"/>
      <w:marTop w:val="30"/>
      <w:marBottom w:val="750"/>
      <w:divBdr>
        <w:top w:val="none" w:sz="0" w:space="0" w:color="auto"/>
        <w:left w:val="none" w:sz="0" w:space="0" w:color="auto"/>
        <w:bottom w:val="none" w:sz="0" w:space="0" w:color="auto"/>
        <w:right w:val="none" w:sz="0" w:space="0" w:color="auto"/>
      </w:divBdr>
      <w:divsChild>
        <w:div w:id="1888494180">
          <w:marLeft w:val="0"/>
          <w:marRight w:val="0"/>
          <w:marTop w:val="0"/>
          <w:marBottom w:val="0"/>
          <w:divBdr>
            <w:top w:val="none" w:sz="0" w:space="0" w:color="auto"/>
            <w:left w:val="none" w:sz="0" w:space="0" w:color="auto"/>
            <w:bottom w:val="none" w:sz="0" w:space="0" w:color="auto"/>
            <w:right w:val="none" w:sz="0" w:space="0" w:color="auto"/>
          </w:divBdr>
        </w:div>
      </w:divsChild>
    </w:div>
    <w:div w:id="1280719646">
      <w:bodyDiv w:val="1"/>
      <w:marLeft w:val="0"/>
      <w:marRight w:val="0"/>
      <w:marTop w:val="0"/>
      <w:marBottom w:val="0"/>
      <w:divBdr>
        <w:top w:val="none" w:sz="0" w:space="0" w:color="auto"/>
        <w:left w:val="none" w:sz="0" w:space="0" w:color="auto"/>
        <w:bottom w:val="none" w:sz="0" w:space="0" w:color="auto"/>
        <w:right w:val="none" w:sz="0" w:space="0" w:color="auto"/>
      </w:divBdr>
    </w:div>
    <w:div w:id="1314480471">
      <w:bodyDiv w:val="1"/>
      <w:marLeft w:val="0"/>
      <w:marRight w:val="0"/>
      <w:marTop w:val="0"/>
      <w:marBottom w:val="0"/>
      <w:divBdr>
        <w:top w:val="none" w:sz="0" w:space="0" w:color="auto"/>
        <w:left w:val="none" w:sz="0" w:space="0" w:color="auto"/>
        <w:bottom w:val="none" w:sz="0" w:space="0" w:color="auto"/>
        <w:right w:val="none" w:sz="0" w:space="0" w:color="auto"/>
      </w:divBdr>
    </w:div>
    <w:div w:id="1339501684">
      <w:bodyDiv w:val="1"/>
      <w:marLeft w:val="0"/>
      <w:marRight w:val="0"/>
      <w:marTop w:val="0"/>
      <w:marBottom w:val="0"/>
      <w:divBdr>
        <w:top w:val="none" w:sz="0" w:space="0" w:color="auto"/>
        <w:left w:val="none" w:sz="0" w:space="0" w:color="auto"/>
        <w:bottom w:val="none" w:sz="0" w:space="0" w:color="auto"/>
        <w:right w:val="none" w:sz="0" w:space="0" w:color="auto"/>
      </w:divBdr>
    </w:div>
    <w:div w:id="16708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porationwiki.com/Illinois/Rock-Island/PO-Box-3813-Rock-Island-IL-61204-a17750258.aspx" TargetMode="External"/><Relationship Id="rId2" Type="http://schemas.openxmlformats.org/officeDocument/2006/relationships/hyperlink" Target="http://www.thenb.com/about-us/company-history.html" TargetMode="External"/><Relationship Id="rId1" Type="http://schemas.openxmlformats.org/officeDocument/2006/relationships/hyperlink" Target="http://web2.westlaw.com/find/default.wl?mt=26&amp;db=1000547&amp;docname=47CFRS1.2104&amp;rp=%2ffind%2fdefault.wl&amp;findtype=L&amp;ordoc=2020339202&amp;tc=-1&amp;vr=2.0&amp;fn=_top&amp;sv=Split&amp;tf=-1&amp;referencepositiontype=T&amp;pbc=B071E4B3&amp;referenceposition=SP%3b4d690000c9482&amp;rs=WLW13.01" TargetMode="External"/><Relationship Id="rId5" Type="http://schemas.openxmlformats.org/officeDocument/2006/relationships/hyperlink" Target="http://web2.westlaw.com/find/default.wl?mt=26&amp;db=1000547&amp;docname=47CFRS1.2110&amp;rp=%2ffind%2fdefault.wl&amp;findtype=L&amp;ordoc=2010730142&amp;tc=-1&amp;vr=2.0&amp;fn=_top&amp;sv=Split&amp;tf=-1&amp;referencepositiontype=T&amp;pbc=A428EDFD&amp;referenceposition=SP%3b867900004e6e3&amp;rs=WLW12.10" TargetMode="External"/><Relationship Id="rId4" Type="http://schemas.openxmlformats.org/officeDocument/2006/relationships/hyperlink" Target="http://campaign-contributions.chicagocurrent.com/donors/206295-Douglas-M-Kr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2412</Words>
  <Characters>13009</Characters>
  <Application>Microsoft Office Word</Application>
  <DocSecurity>0</DocSecurity>
  <Lines>225</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15674</CharactersWithSpaces>
  <SharedDoc>false</SharedDoc>
  <HyperlinkBase> </HyperlinkBase>
  <HLinks>
    <vt:vector size="30" baseType="variant">
      <vt:variant>
        <vt:i4>3014669</vt:i4>
      </vt:variant>
      <vt:variant>
        <vt:i4>12</vt:i4>
      </vt:variant>
      <vt:variant>
        <vt:i4>0</vt:i4>
      </vt:variant>
      <vt:variant>
        <vt:i4>5</vt:i4>
      </vt:variant>
      <vt:variant>
        <vt:lpwstr>http://web2.westlaw.com/find/default.wl?mt=26&amp;db=1000547&amp;docname=47CFRS1.2110&amp;rp=%2ffind%2fdefault.wl&amp;findtype=L&amp;ordoc=2010730142&amp;tc=-1&amp;vr=2.0&amp;fn=_top&amp;sv=Split&amp;tf=-1&amp;referencepositiontype=T&amp;pbc=A428EDFD&amp;referenceposition=SP%3b867900004e6e3&amp;rs=WLW12.10</vt:lpwstr>
      </vt:variant>
      <vt:variant>
        <vt:lpwstr/>
      </vt:variant>
      <vt:variant>
        <vt:i4>3211365</vt:i4>
      </vt:variant>
      <vt:variant>
        <vt:i4>9</vt:i4>
      </vt:variant>
      <vt:variant>
        <vt:i4>0</vt:i4>
      </vt:variant>
      <vt:variant>
        <vt:i4>5</vt:i4>
      </vt:variant>
      <vt:variant>
        <vt:lpwstr>http://campaign-contributions.chicagocurrent.com/donors/206295-Douglas-M-Kratz</vt:lpwstr>
      </vt:variant>
      <vt:variant>
        <vt:lpwstr/>
      </vt:variant>
      <vt:variant>
        <vt:i4>7077999</vt:i4>
      </vt:variant>
      <vt:variant>
        <vt:i4>6</vt:i4>
      </vt:variant>
      <vt:variant>
        <vt:i4>0</vt:i4>
      </vt:variant>
      <vt:variant>
        <vt:i4>5</vt:i4>
      </vt:variant>
      <vt:variant>
        <vt:lpwstr>http://www.corporationwiki.com/Illinois/Rock-Island/PO-Box-3813-Rock-Island-IL-61204-a17750258.aspx</vt:lpwstr>
      </vt:variant>
      <vt:variant>
        <vt:lpwstr/>
      </vt:variant>
      <vt:variant>
        <vt:i4>7536751</vt:i4>
      </vt:variant>
      <vt:variant>
        <vt:i4>3</vt:i4>
      </vt:variant>
      <vt:variant>
        <vt:i4>0</vt:i4>
      </vt:variant>
      <vt:variant>
        <vt:i4>5</vt:i4>
      </vt:variant>
      <vt:variant>
        <vt:lpwstr>http://www.thenb.com/about-us/company-history.html</vt:lpwstr>
      </vt:variant>
      <vt:variant>
        <vt:lpwstr/>
      </vt:variant>
      <vt:variant>
        <vt:i4>8126545</vt:i4>
      </vt:variant>
      <vt:variant>
        <vt:i4>0</vt:i4>
      </vt:variant>
      <vt:variant>
        <vt:i4>0</vt:i4>
      </vt:variant>
      <vt:variant>
        <vt:i4>5</vt:i4>
      </vt:variant>
      <vt:variant>
        <vt:lpwstr>http://web2.westlaw.com/find/default.wl?mt=26&amp;db=1000547&amp;docname=47CFRS1.2104&amp;rp=%2ffind%2fdefault.wl&amp;findtype=L&amp;ordoc=2020339202&amp;tc=-1&amp;vr=2.0&amp;fn=_top&amp;sv=Split&amp;tf=-1&amp;referencepositiontype=T&amp;pbc=B071E4B3&amp;referenceposition=SP%3b4d690000c9482&amp;rs=WLW13.01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2013-10-29T15:37:00Z</dcterms:created>
  <dcterms:modified xsi:type="dcterms:W3CDTF">2013-10-29T15:37:00Z</dcterms:modified>
  <cp:category> </cp:category>
  <cp:contentStatus> </cp:contentStatus>
</cp:coreProperties>
</file>