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82" w:rsidRPr="00504DA6" w:rsidRDefault="003564F5">
      <w:pPr>
        <w:rPr>
          <w:b/>
          <w:szCs w:val="22"/>
        </w:rPr>
      </w:pPr>
      <w:bookmarkStart w:id="0" w:name="_GoBack"/>
      <w:bookmarkEnd w:id="0"/>
      <w:r w:rsidRPr="00504DA6">
        <w:rPr>
          <w:b/>
          <w:szCs w:val="22"/>
        </w:rPr>
        <w:tab/>
      </w:r>
      <w:r w:rsidRPr="00504DA6">
        <w:rPr>
          <w:b/>
          <w:szCs w:val="22"/>
        </w:rPr>
        <w:tab/>
      </w:r>
      <w:r w:rsidRPr="00504DA6">
        <w:rPr>
          <w:b/>
          <w:szCs w:val="22"/>
        </w:rPr>
        <w:tab/>
      </w:r>
      <w:r w:rsidRPr="00504DA6">
        <w:rPr>
          <w:b/>
          <w:szCs w:val="22"/>
        </w:rPr>
        <w:tab/>
      </w:r>
      <w:r w:rsidRPr="00504DA6">
        <w:rPr>
          <w:b/>
          <w:szCs w:val="22"/>
        </w:rPr>
        <w:tab/>
      </w:r>
      <w:r w:rsidRPr="00504DA6">
        <w:rPr>
          <w:b/>
          <w:szCs w:val="22"/>
        </w:rPr>
        <w:tab/>
      </w:r>
      <w:r w:rsidRPr="00504DA6">
        <w:rPr>
          <w:b/>
          <w:szCs w:val="22"/>
        </w:rPr>
        <w:tab/>
      </w:r>
      <w:r w:rsidRPr="00504DA6">
        <w:rPr>
          <w:b/>
          <w:szCs w:val="22"/>
        </w:rPr>
        <w:tab/>
      </w:r>
      <w:r w:rsidRPr="00504DA6">
        <w:rPr>
          <w:b/>
          <w:szCs w:val="22"/>
        </w:rPr>
        <w:tab/>
      </w:r>
      <w:r w:rsidRPr="00504DA6">
        <w:rPr>
          <w:b/>
          <w:szCs w:val="22"/>
        </w:rPr>
        <w:tab/>
        <w:t>DA 1</w:t>
      </w:r>
      <w:r w:rsidR="007D5F36" w:rsidRPr="00504DA6">
        <w:rPr>
          <w:b/>
          <w:szCs w:val="22"/>
        </w:rPr>
        <w:t>3</w:t>
      </w:r>
      <w:r w:rsidRPr="00504DA6">
        <w:rPr>
          <w:b/>
          <w:szCs w:val="22"/>
        </w:rPr>
        <w:t>-</w:t>
      </w:r>
      <w:r w:rsidR="00E60D83">
        <w:rPr>
          <w:b/>
          <w:szCs w:val="22"/>
        </w:rPr>
        <w:t>2102</w:t>
      </w:r>
      <w:r w:rsidRPr="00504DA6">
        <w:rPr>
          <w:b/>
          <w:szCs w:val="22"/>
        </w:rPr>
        <w:tab/>
      </w:r>
      <w:r w:rsidRPr="00504DA6">
        <w:rPr>
          <w:b/>
          <w:szCs w:val="22"/>
        </w:rPr>
        <w:tab/>
      </w:r>
      <w:r w:rsidRPr="00504DA6">
        <w:rPr>
          <w:b/>
          <w:szCs w:val="22"/>
        </w:rPr>
        <w:tab/>
      </w:r>
      <w:r w:rsidRPr="00504DA6">
        <w:rPr>
          <w:b/>
          <w:szCs w:val="22"/>
        </w:rPr>
        <w:tab/>
      </w:r>
      <w:r w:rsidRPr="00504DA6">
        <w:rPr>
          <w:b/>
          <w:szCs w:val="22"/>
        </w:rPr>
        <w:tab/>
      </w:r>
      <w:r w:rsidRPr="00504DA6">
        <w:rPr>
          <w:b/>
          <w:szCs w:val="22"/>
        </w:rPr>
        <w:tab/>
      </w:r>
      <w:r w:rsidRPr="00504DA6">
        <w:rPr>
          <w:b/>
          <w:szCs w:val="22"/>
        </w:rPr>
        <w:tab/>
      </w:r>
      <w:r w:rsidRPr="00504DA6">
        <w:rPr>
          <w:b/>
          <w:szCs w:val="22"/>
        </w:rPr>
        <w:tab/>
      </w:r>
      <w:r w:rsidRPr="00504DA6">
        <w:rPr>
          <w:b/>
          <w:szCs w:val="22"/>
        </w:rPr>
        <w:tab/>
      </w:r>
      <w:r w:rsidRPr="00504DA6">
        <w:rPr>
          <w:b/>
          <w:szCs w:val="22"/>
        </w:rPr>
        <w:tab/>
      </w:r>
      <w:r w:rsidRPr="00504DA6">
        <w:rPr>
          <w:b/>
          <w:szCs w:val="22"/>
        </w:rPr>
        <w:tab/>
      </w:r>
      <w:r w:rsidRPr="00504DA6">
        <w:rPr>
          <w:b/>
          <w:szCs w:val="22"/>
        </w:rPr>
        <w:tab/>
      </w:r>
      <w:r w:rsidR="006C4B98" w:rsidRPr="00504DA6">
        <w:rPr>
          <w:b/>
          <w:szCs w:val="22"/>
        </w:rPr>
        <w:t xml:space="preserve">October </w:t>
      </w:r>
      <w:r w:rsidR="00E60D83">
        <w:rPr>
          <w:b/>
          <w:szCs w:val="22"/>
        </w:rPr>
        <w:t>30</w:t>
      </w:r>
      <w:r w:rsidR="006C4B98" w:rsidRPr="00504DA6">
        <w:rPr>
          <w:b/>
          <w:szCs w:val="22"/>
        </w:rPr>
        <w:t>, 2013</w:t>
      </w:r>
    </w:p>
    <w:p w:rsidR="00731E82" w:rsidRPr="00504DA6" w:rsidRDefault="00731E82">
      <w:pPr>
        <w:jc w:val="center"/>
        <w:rPr>
          <w:b/>
          <w:szCs w:val="22"/>
        </w:rPr>
      </w:pPr>
    </w:p>
    <w:p w:rsidR="00153F5D" w:rsidRPr="00504DA6" w:rsidRDefault="006C4B98">
      <w:pPr>
        <w:jc w:val="center"/>
        <w:rPr>
          <w:b/>
          <w:szCs w:val="22"/>
        </w:rPr>
      </w:pPr>
      <w:r w:rsidRPr="00504DA6">
        <w:rPr>
          <w:b/>
          <w:szCs w:val="22"/>
        </w:rPr>
        <w:t xml:space="preserve">INCENTIVE AUCTION TASK FORCE </w:t>
      </w:r>
      <w:r w:rsidR="000E4AC4">
        <w:rPr>
          <w:b/>
          <w:szCs w:val="22"/>
        </w:rPr>
        <w:t>ANNOUNCES</w:t>
      </w:r>
      <w:r w:rsidRPr="00504DA6">
        <w:rPr>
          <w:b/>
          <w:szCs w:val="22"/>
        </w:rPr>
        <w:t xml:space="preserve"> </w:t>
      </w:r>
      <w:r w:rsidR="00EF7648">
        <w:rPr>
          <w:b/>
          <w:szCs w:val="22"/>
        </w:rPr>
        <w:t xml:space="preserve">NEW </w:t>
      </w:r>
      <w:r w:rsidRPr="00504DA6">
        <w:rPr>
          <w:b/>
          <w:szCs w:val="22"/>
        </w:rPr>
        <w:t>DETAILS</w:t>
      </w:r>
      <w:r w:rsidR="00153F5D" w:rsidRPr="00504DA6">
        <w:rPr>
          <w:b/>
          <w:szCs w:val="22"/>
        </w:rPr>
        <w:t xml:space="preserve"> </w:t>
      </w:r>
      <w:r w:rsidR="00EF7648">
        <w:rPr>
          <w:b/>
          <w:szCs w:val="22"/>
        </w:rPr>
        <w:t>ON</w:t>
      </w:r>
      <w:r w:rsidR="00EF7648" w:rsidRPr="00504DA6">
        <w:rPr>
          <w:b/>
          <w:szCs w:val="22"/>
        </w:rPr>
        <w:t xml:space="preserve"> </w:t>
      </w:r>
    </w:p>
    <w:p w:rsidR="006C4B98" w:rsidRPr="00504DA6" w:rsidRDefault="00153F5D">
      <w:pPr>
        <w:jc w:val="center"/>
        <w:rPr>
          <w:b/>
          <w:szCs w:val="22"/>
        </w:rPr>
      </w:pPr>
      <w:r w:rsidRPr="00504DA6">
        <w:rPr>
          <w:b/>
          <w:szCs w:val="22"/>
        </w:rPr>
        <w:t xml:space="preserve">UPCOMING </w:t>
      </w:r>
      <w:r w:rsidR="006C4B98" w:rsidRPr="00504DA6">
        <w:rPr>
          <w:b/>
          <w:szCs w:val="22"/>
        </w:rPr>
        <w:t xml:space="preserve">WORKSHOP </w:t>
      </w:r>
      <w:r w:rsidR="00EF7648">
        <w:rPr>
          <w:b/>
          <w:szCs w:val="22"/>
        </w:rPr>
        <w:t>REGARDING</w:t>
      </w:r>
      <w:r w:rsidR="006C4B98" w:rsidRPr="00504DA6">
        <w:rPr>
          <w:b/>
          <w:szCs w:val="22"/>
        </w:rPr>
        <w:t xml:space="preserve"> UNLICENSED SPECTRUM ISSUES</w:t>
      </w:r>
    </w:p>
    <w:p w:rsidR="006C4B98" w:rsidRPr="00504DA6" w:rsidRDefault="006C4B98">
      <w:pPr>
        <w:jc w:val="center"/>
        <w:rPr>
          <w:b/>
          <w:szCs w:val="22"/>
        </w:rPr>
      </w:pPr>
    </w:p>
    <w:p w:rsidR="006C4B98" w:rsidRPr="00504DA6" w:rsidRDefault="006C4B98" w:rsidP="0026158E">
      <w:pPr>
        <w:tabs>
          <w:tab w:val="left" w:pos="720"/>
        </w:tabs>
        <w:jc w:val="center"/>
        <w:rPr>
          <w:b/>
          <w:szCs w:val="22"/>
        </w:rPr>
      </w:pPr>
      <w:r w:rsidRPr="00504DA6">
        <w:rPr>
          <w:b/>
          <w:szCs w:val="22"/>
        </w:rPr>
        <w:t>GN Docket No. 12-268</w:t>
      </w:r>
    </w:p>
    <w:p w:rsidR="00672EE6" w:rsidRPr="00504DA6" w:rsidRDefault="00672EE6" w:rsidP="00672EE6">
      <w:pPr>
        <w:tabs>
          <w:tab w:val="left" w:pos="720"/>
        </w:tabs>
        <w:rPr>
          <w:szCs w:val="22"/>
        </w:rPr>
      </w:pPr>
    </w:p>
    <w:p w:rsidR="006C4B98" w:rsidRPr="00504DA6" w:rsidRDefault="00112C43" w:rsidP="00672EE6">
      <w:pPr>
        <w:tabs>
          <w:tab w:val="left" w:pos="720"/>
        </w:tabs>
        <w:rPr>
          <w:szCs w:val="22"/>
        </w:rPr>
      </w:pPr>
      <w:r w:rsidRPr="00504DA6">
        <w:rPr>
          <w:szCs w:val="22"/>
        </w:rPr>
        <w:t>As part of its Learn Everything About Reverse-Auctions Now Program (LEARN), the Federal Communication</w:t>
      </w:r>
      <w:r w:rsidR="0022515F">
        <w:rPr>
          <w:szCs w:val="22"/>
        </w:rPr>
        <w:t>s</w:t>
      </w:r>
      <w:r w:rsidRPr="00504DA6">
        <w:rPr>
          <w:szCs w:val="22"/>
        </w:rPr>
        <w:t xml:space="preserve"> Commission (FCC) previously announced that it would host a workshop on </w:t>
      </w:r>
      <w:r w:rsidR="000131CF">
        <w:rPr>
          <w:szCs w:val="22"/>
        </w:rPr>
        <w:t>Friday</w:t>
      </w:r>
      <w:r w:rsidRPr="00504DA6">
        <w:rPr>
          <w:szCs w:val="22"/>
        </w:rPr>
        <w:t xml:space="preserve">, </w:t>
      </w:r>
      <w:r w:rsidR="000131CF">
        <w:rPr>
          <w:szCs w:val="22"/>
        </w:rPr>
        <w:t>November 8</w:t>
      </w:r>
      <w:r w:rsidRPr="00504DA6">
        <w:rPr>
          <w:szCs w:val="22"/>
        </w:rPr>
        <w:t>, 2013, to discuss unlicensed spectrum issues related to the broadcast television</w:t>
      </w:r>
      <w:r w:rsidR="0022515F">
        <w:rPr>
          <w:szCs w:val="22"/>
        </w:rPr>
        <w:t xml:space="preserve"> spectrum</w:t>
      </w:r>
      <w:r w:rsidRPr="00504DA6">
        <w:rPr>
          <w:szCs w:val="22"/>
        </w:rPr>
        <w:t xml:space="preserve"> incentive auction proceeding.</w:t>
      </w:r>
      <w:r w:rsidRPr="00504DA6">
        <w:rPr>
          <w:rStyle w:val="FootnoteReference"/>
          <w:szCs w:val="22"/>
        </w:rPr>
        <w:footnoteReference w:id="1"/>
      </w:r>
      <w:r w:rsidRPr="00504DA6">
        <w:rPr>
          <w:szCs w:val="22"/>
        </w:rPr>
        <w:t xml:space="preserve">  </w:t>
      </w:r>
      <w:r w:rsidR="008A2314" w:rsidRPr="00504DA6">
        <w:rPr>
          <w:szCs w:val="22"/>
        </w:rPr>
        <w:t>The workshop</w:t>
      </w:r>
      <w:r w:rsidR="00D923B6" w:rsidRPr="00504DA6">
        <w:rPr>
          <w:szCs w:val="22"/>
        </w:rPr>
        <w:t>, which will include two panels,</w:t>
      </w:r>
      <w:r w:rsidR="008A2314" w:rsidRPr="00504DA6">
        <w:rPr>
          <w:szCs w:val="22"/>
        </w:rPr>
        <w:t xml:space="preserve"> will take place</w:t>
      </w:r>
      <w:r w:rsidR="003564F5" w:rsidRPr="00504DA6">
        <w:rPr>
          <w:szCs w:val="22"/>
        </w:rPr>
        <w:t xml:space="preserve"> </w:t>
      </w:r>
      <w:r w:rsidR="006C4B98" w:rsidRPr="00504DA6">
        <w:rPr>
          <w:szCs w:val="22"/>
        </w:rPr>
        <w:t xml:space="preserve">from approximately 9:30 am to 12:30 pm </w:t>
      </w:r>
      <w:r w:rsidR="003564F5" w:rsidRPr="00504DA6">
        <w:rPr>
          <w:szCs w:val="22"/>
        </w:rPr>
        <w:t xml:space="preserve">at the Commission’s Headquarters in Washington, DC.  </w:t>
      </w:r>
    </w:p>
    <w:p w:rsidR="006C4B98" w:rsidRPr="00504DA6" w:rsidRDefault="006C4B98" w:rsidP="0026158E">
      <w:pPr>
        <w:tabs>
          <w:tab w:val="left" w:pos="720"/>
        </w:tabs>
        <w:ind w:firstLine="720"/>
        <w:rPr>
          <w:szCs w:val="22"/>
        </w:rPr>
      </w:pPr>
    </w:p>
    <w:p w:rsidR="00D923B6" w:rsidRPr="00504DA6" w:rsidRDefault="00D923B6" w:rsidP="0059608F">
      <w:pPr>
        <w:tabs>
          <w:tab w:val="left" w:pos="720"/>
        </w:tabs>
        <w:spacing w:after="120"/>
        <w:rPr>
          <w:szCs w:val="22"/>
        </w:rPr>
      </w:pPr>
      <w:r w:rsidRPr="00504DA6">
        <w:rPr>
          <w:szCs w:val="22"/>
        </w:rPr>
        <w:t xml:space="preserve">Panel 1 will address </w:t>
      </w:r>
      <w:r w:rsidR="000925CA">
        <w:rPr>
          <w:szCs w:val="22"/>
        </w:rPr>
        <w:t xml:space="preserve">the benefits and uses of </w:t>
      </w:r>
      <w:r w:rsidRPr="00504DA6">
        <w:rPr>
          <w:szCs w:val="22"/>
        </w:rPr>
        <w:t xml:space="preserve">unlicensed </w:t>
      </w:r>
      <w:r w:rsidR="00E82ABF">
        <w:rPr>
          <w:szCs w:val="22"/>
        </w:rPr>
        <w:t>spectrum</w:t>
      </w:r>
      <w:r w:rsidRPr="00504DA6">
        <w:rPr>
          <w:szCs w:val="22"/>
        </w:rPr>
        <w:t>, including:</w:t>
      </w:r>
    </w:p>
    <w:p w:rsidR="00D923B6" w:rsidRPr="00504DA6" w:rsidRDefault="00D923B6" w:rsidP="0059608F">
      <w:pPr>
        <w:pStyle w:val="ListParagraph"/>
        <w:numPr>
          <w:ilvl w:val="0"/>
          <w:numId w:val="19"/>
        </w:numPr>
        <w:tabs>
          <w:tab w:val="left" w:pos="630"/>
          <w:tab w:val="left" w:pos="720"/>
        </w:tabs>
        <w:spacing w:after="120"/>
        <w:ind w:left="1080"/>
        <w:rPr>
          <w:rFonts w:ascii="Times New Roman" w:hAnsi="Times New Roman" w:cs="Times New Roman"/>
        </w:rPr>
      </w:pPr>
      <w:r w:rsidRPr="00504DA6">
        <w:rPr>
          <w:rFonts w:ascii="Times New Roman" w:hAnsi="Times New Roman" w:cs="Times New Roman"/>
        </w:rPr>
        <w:t xml:space="preserve">Types and performance of current and future white spaces databases, equipment and deployments, and related economic benefits; </w:t>
      </w:r>
    </w:p>
    <w:p w:rsidR="00D923B6" w:rsidRPr="00504DA6" w:rsidRDefault="00D923B6" w:rsidP="0026158E">
      <w:pPr>
        <w:pStyle w:val="ListParagraph"/>
        <w:numPr>
          <w:ilvl w:val="0"/>
          <w:numId w:val="19"/>
        </w:numPr>
        <w:tabs>
          <w:tab w:val="left" w:pos="630"/>
          <w:tab w:val="left" w:pos="720"/>
        </w:tabs>
        <w:spacing w:after="120"/>
        <w:ind w:left="1080"/>
        <w:rPr>
          <w:rFonts w:ascii="Times New Roman" w:hAnsi="Times New Roman" w:cs="Times New Roman"/>
        </w:rPr>
      </w:pPr>
      <w:r w:rsidRPr="00504DA6">
        <w:rPr>
          <w:rFonts w:ascii="Times New Roman" w:hAnsi="Times New Roman" w:cs="Times New Roman"/>
        </w:rPr>
        <w:t xml:space="preserve">Opportunities for small businesses, women- and minority-owned businesses, and rural areas to benefit from </w:t>
      </w:r>
      <w:r w:rsidR="00CD438E">
        <w:rPr>
          <w:rFonts w:ascii="Times New Roman" w:hAnsi="Times New Roman" w:cs="Times New Roman"/>
        </w:rPr>
        <w:t>deployment of unlicensed devices</w:t>
      </w:r>
      <w:r w:rsidRPr="00504DA6">
        <w:rPr>
          <w:rFonts w:ascii="Times New Roman" w:hAnsi="Times New Roman" w:cs="Times New Roman"/>
        </w:rPr>
        <w:t>;</w:t>
      </w:r>
    </w:p>
    <w:p w:rsidR="00D923B6" w:rsidRPr="00504DA6" w:rsidRDefault="00D923B6" w:rsidP="0026158E">
      <w:pPr>
        <w:pStyle w:val="ListParagraph"/>
        <w:numPr>
          <w:ilvl w:val="0"/>
          <w:numId w:val="19"/>
        </w:numPr>
        <w:tabs>
          <w:tab w:val="left" w:pos="630"/>
          <w:tab w:val="left" w:pos="720"/>
        </w:tabs>
        <w:spacing w:after="120"/>
        <w:ind w:left="1080"/>
        <w:rPr>
          <w:rFonts w:ascii="Times New Roman" w:hAnsi="Times New Roman" w:cs="Times New Roman"/>
        </w:rPr>
      </w:pPr>
      <w:r w:rsidRPr="00504DA6">
        <w:rPr>
          <w:rFonts w:ascii="Times New Roman" w:hAnsi="Times New Roman" w:cs="Times New Roman"/>
        </w:rPr>
        <w:t xml:space="preserve">Examples of </w:t>
      </w:r>
      <w:r w:rsidR="00516ED7" w:rsidRPr="00504DA6">
        <w:rPr>
          <w:rFonts w:ascii="Times New Roman" w:hAnsi="Times New Roman" w:cs="Times New Roman"/>
        </w:rPr>
        <w:t xml:space="preserve">the </w:t>
      </w:r>
      <w:r w:rsidRPr="00504DA6">
        <w:rPr>
          <w:rFonts w:ascii="Times New Roman" w:hAnsi="Times New Roman" w:cs="Times New Roman"/>
        </w:rPr>
        <w:t>use</w:t>
      </w:r>
      <w:r w:rsidR="00516ED7" w:rsidRPr="00504DA6">
        <w:rPr>
          <w:rFonts w:ascii="Times New Roman" w:hAnsi="Times New Roman" w:cs="Times New Roman"/>
        </w:rPr>
        <w:t>s</w:t>
      </w:r>
      <w:r w:rsidRPr="00504DA6">
        <w:rPr>
          <w:rFonts w:ascii="Times New Roman" w:hAnsi="Times New Roman" w:cs="Times New Roman"/>
        </w:rPr>
        <w:t xml:space="preserve">  and beneficiaries of </w:t>
      </w:r>
      <w:r w:rsidR="00CD438E">
        <w:rPr>
          <w:rFonts w:ascii="Times New Roman" w:hAnsi="Times New Roman" w:cs="Times New Roman"/>
        </w:rPr>
        <w:t xml:space="preserve">unlicensed </w:t>
      </w:r>
      <w:r w:rsidR="0067125F">
        <w:rPr>
          <w:rFonts w:ascii="Times New Roman" w:hAnsi="Times New Roman" w:cs="Times New Roman"/>
        </w:rPr>
        <w:t>technologies</w:t>
      </w:r>
      <w:r w:rsidR="00CD438E">
        <w:rPr>
          <w:rFonts w:ascii="Times New Roman" w:hAnsi="Times New Roman" w:cs="Times New Roman"/>
        </w:rPr>
        <w:t xml:space="preserve">, including </w:t>
      </w:r>
      <w:r w:rsidRPr="00504DA6">
        <w:rPr>
          <w:rFonts w:ascii="Times New Roman" w:hAnsi="Times New Roman" w:cs="Times New Roman"/>
        </w:rPr>
        <w:t xml:space="preserve">white spaces technologies; </w:t>
      </w:r>
    </w:p>
    <w:p w:rsidR="00CD438E" w:rsidRDefault="00D923B6" w:rsidP="0026158E">
      <w:pPr>
        <w:pStyle w:val="ListParagraph"/>
        <w:numPr>
          <w:ilvl w:val="0"/>
          <w:numId w:val="19"/>
        </w:numPr>
        <w:tabs>
          <w:tab w:val="left" w:pos="630"/>
          <w:tab w:val="left" w:pos="720"/>
        </w:tabs>
        <w:spacing w:after="120"/>
        <w:ind w:left="1080"/>
        <w:rPr>
          <w:rFonts w:ascii="Times New Roman" w:hAnsi="Times New Roman" w:cs="Times New Roman"/>
        </w:rPr>
      </w:pPr>
      <w:r w:rsidRPr="00504DA6">
        <w:rPr>
          <w:rFonts w:ascii="Times New Roman" w:hAnsi="Times New Roman" w:cs="Times New Roman"/>
        </w:rPr>
        <w:t>Integration, technological characteristics and use differences among white space</w:t>
      </w:r>
      <w:r w:rsidR="00CD438E">
        <w:rPr>
          <w:rFonts w:ascii="Times New Roman" w:hAnsi="Times New Roman" w:cs="Times New Roman"/>
        </w:rPr>
        <w:t xml:space="preserve"> device</w:t>
      </w:r>
      <w:r w:rsidRPr="00504DA6">
        <w:rPr>
          <w:rFonts w:ascii="Times New Roman" w:hAnsi="Times New Roman" w:cs="Times New Roman"/>
        </w:rPr>
        <w:t xml:space="preserve">s and other unlicensed </w:t>
      </w:r>
      <w:r w:rsidR="00CD438E">
        <w:rPr>
          <w:rFonts w:ascii="Times New Roman" w:hAnsi="Times New Roman" w:cs="Times New Roman"/>
        </w:rPr>
        <w:t>devices</w:t>
      </w:r>
      <w:r w:rsidRPr="00504DA6">
        <w:rPr>
          <w:rFonts w:ascii="Times New Roman" w:hAnsi="Times New Roman" w:cs="Times New Roman"/>
        </w:rPr>
        <w:t xml:space="preserve">; </w:t>
      </w:r>
    </w:p>
    <w:p w:rsidR="00D923B6" w:rsidRPr="00504DA6" w:rsidRDefault="00CD438E" w:rsidP="0026158E">
      <w:pPr>
        <w:pStyle w:val="ListParagraph"/>
        <w:numPr>
          <w:ilvl w:val="0"/>
          <w:numId w:val="19"/>
        </w:numPr>
        <w:tabs>
          <w:tab w:val="left" w:pos="630"/>
          <w:tab w:val="left" w:pos="720"/>
        </w:tabs>
        <w:spacing w:after="120"/>
        <w:ind w:left="1080"/>
        <w:rPr>
          <w:rFonts w:ascii="Times New Roman" w:hAnsi="Times New Roman" w:cs="Times New Roman"/>
        </w:rPr>
      </w:pPr>
      <w:r>
        <w:rPr>
          <w:rFonts w:ascii="Times New Roman" w:hAnsi="Times New Roman" w:cs="Times New Roman"/>
        </w:rPr>
        <w:t xml:space="preserve">Trade-offs of deploying unlicensed devices in the TV bands versus other spectrum bands; </w:t>
      </w:r>
    </w:p>
    <w:p w:rsidR="00D923B6" w:rsidRDefault="00D923B6" w:rsidP="0026158E">
      <w:pPr>
        <w:pStyle w:val="ListParagraph"/>
        <w:numPr>
          <w:ilvl w:val="0"/>
          <w:numId w:val="19"/>
        </w:numPr>
        <w:tabs>
          <w:tab w:val="left" w:pos="630"/>
          <w:tab w:val="left" w:pos="720"/>
        </w:tabs>
        <w:spacing w:after="120"/>
        <w:ind w:left="1080"/>
        <w:rPr>
          <w:rFonts w:ascii="Times New Roman" w:hAnsi="Times New Roman" w:cs="Times New Roman"/>
        </w:rPr>
      </w:pPr>
      <w:r w:rsidRPr="00504DA6">
        <w:rPr>
          <w:rFonts w:ascii="Times New Roman" w:hAnsi="Times New Roman" w:cs="Times New Roman"/>
        </w:rPr>
        <w:t>International development of white spaces technologies</w:t>
      </w:r>
      <w:r w:rsidR="00197EE1">
        <w:rPr>
          <w:rFonts w:ascii="Times New Roman" w:hAnsi="Times New Roman" w:cs="Times New Roman"/>
        </w:rPr>
        <w:t>; and</w:t>
      </w:r>
      <w:r w:rsidRPr="00504DA6">
        <w:rPr>
          <w:rFonts w:ascii="Times New Roman" w:hAnsi="Times New Roman" w:cs="Times New Roman"/>
        </w:rPr>
        <w:t xml:space="preserve"> </w:t>
      </w:r>
    </w:p>
    <w:p w:rsidR="0022515F" w:rsidRPr="00504DA6" w:rsidRDefault="00CC6488" w:rsidP="0026158E">
      <w:pPr>
        <w:pStyle w:val="ListParagraph"/>
        <w:numPr>
          <w:ilvl w:val="0"/>
          <w:numId w:val="19"/>
        </w:numPr>
        <w:tabs>
          <w:tab w:val="left" w:pos="630"/>
          <w:tab w:val="left" w:pos="720"/>
        </w:tabs>
        <w:spacing w:after="120"/>
        <w:ind w:left="1080"/>
        <w:rPr>
          <w:rFonts w:ascii="Times New Roman" w:hAnsi="Times New Roman" w:cs="Times New Roman"/>
        </w:rPr>
      </w:pPr>
      <w:r>
        <w:rPr>
          <w:rFonts w:ascii="Times New Roman" w:hAnsi="Times New Roman" w:cs="Times New Roman"/>
        </w:rPr>
        <w:t>Policy</w:t>
      </w:r>
      <w:r w:rsidR="0022515F">
        <w:rPr>
          <w:rFonts w:ascii="Times New Roman" w:hAnsi="Times New Roman" w:cs="Times New Roman"/>
        </w:rPr>
        <w:t xml:space="preserve"> </w:t>
      </w:r>
      <w:r w:rsidR="00B55D3E">
        <w:rPr>
          <w:rFonts w:ascii="Times New Roman" w:hAnsi="Times New Roman" w:cs="Times New Roman"/>
        </w:rPr>
        <w:t>options</w:t>
      </w:r>
      <w:r w:rsidR="0022515F">
        <w:rPr>
          <w:rFonts w:ascii="Times New Roman" w:hAnsi="Times New Roman" w:cs="Times New Roman"/>
        </w:rPr>
        <w:t xml:space="preserve"> to promote future unlicensed innovation</w:t>
      </w:r>
    </w:p>
    <w:p w:rsidR="0059608F" w:rsidRDefault="0059608F" w:rsidP="00672EE6">
      <w:pPr>
        <w:tabs>
          <w:tab w:val="left" w:pos="720"/>
        </w:tabs>
        <w:spacing w:after="120"/>
        <w:rPr>
          <w:szCs w:val="22"/>
        </w:rPr>
      </w:pPr>
    </w:p>
    <w:p w:rsidR="00D923B6" w:rsidRPr="00504DA6" w:rsidRDefault="00D923B6" w:rsidP="00672EE6">
      <w:pPr>
        <w:tabs>
          <w:tab w:val="left" w:pos="720"/>
        </w:tabs>
        <w:spacing w:after="120"/>
        <w:rPr>
          <w:szCs w:val="22"/>
        </w:rPr>
      </w:pPr>
      <w:r w:rsidRPr="00504DA6">
        <w:rPr>
          <w:szCs w:val="22"/>
        </w:rPr>
        <w:t xml:space="preserve">Panel 2 will </w:t>
      </w:r>
      <w:r w:rsidR="00E82ABF">
        <w:rPr>
          <w:szCs w:val="22"/>
        </w:rPr>
        <w:t xml:space="preserve">address </w:t>
      </w:r>
      <w:r w:rsidR="00672EE6" w:rsidRPr="00504DA6">
        <w:rPr>
          <w:szCs w:val="22"/>
        </w:rPr>
        <w:t>technical aspects of unlicensed operations in the 600 MHz band, including:</w:t>
      </w:r>
    </w:p>
    <w:p w:rsidR="00672EE6" w:rsidRPr="00504DA6" w:rsidRDefault="006F2611" w:rsidP="00672EE6">
      <w:pPr>
        <w:pStyle w:val="ListParagraph"/>
        <w:numPr>
          <w:ilvl w:val="0"/>
          <w:numId w:val="20"/>
        </w:numPr>
        <w:spacing w:after="120"/>
        <w:ind w:left="1080"/>
        <w:rPr>
          <w:rFonts w:ascii="Times New Roman" w:hAnsi="Times New Roman" w:cs="Times New Roman"/>
        </w:rPr>
      </w:pPr>
      <w:r>
        <w:rPr>
          <w:rFonts w:ascii="Times New Roman" w:hAnsi="Times New Roman" w:cs="Times New Roman"/>
        </w:rPr>
        <w:t>T</w:t>
      </w:r>
      <w:r w:rsidRPr="00504DA6">
        <w:rPr>
          <w:rFonts w:ascii="Times New Roman" w:hAnsi="Times New Roman" w:cs="Times New Roman"/>
        </w:rPr>
        <w:t xml:space="preserve">echnical characteristics and potential uses </w:t>
      </w:r>
      <w:r>
        <w:rPr>
          <w:rFonts w:ascii="Times New Roman" w:hAnsi="Times New Roman" w:cs="Times New Roman"/>
        </w:rPr>
        <w:t xml:space="preserve">of </w:t>
      </w:r>
      <w:r w:rsidR="00672EE6" w:rsidRPr="00504DA6">
        <w:rPr>
          <w:rFonts w:ascii="Times New Roman" w:hAnsi="Times New Roman" w:cs="Times New Roman"/>
        </w:rPr>
        <w:t>600 MHz guard band spectrum</w:t>
      </w:r>
      <w:r>
        <w:rPr>
          <w:rFonts w:ascii="Times New Roman" w:hAnsi="Times New Roman" w:cs="Times New Roman"/>
        </w:rPr>
        <w:t xml:space="preserve"> for unlicensed devices and how it compares to TV white space</w:t>
      </w:r>
      <w:r w:rsidR="00E82ABF">
        <w:rPr>
          <w:rFonts w:ascii="Times New Roman" w:hAnsi="Times New Roman" w:cs="Times New Roman"/>
        </w:rPr>
        <w:t>s</w:t>
      </w:r>
      <w:r w:rsidR="00672EE6" w:rsidRPr="00504DA6">
        <w:rPr>
          <w:rFonts w:ascii="Times New Roman" w:hAnsi="Times New Roman" w:cs="Times New Roman"/>
        </w:rPr>
        <w:t>;</w:t>
      </w:r>
    </w:p>
    <w:p w:rsidR="00672EE6" w:rsidRPr="00504DA6" w:rsidRDefault="00672EE6" w:rsidP="00672EE6">
      <w:pPr>
        <w:pStyle w:val="ListParagraph"/>
        <w:numPr>
          <w:ilvl w:val="0"/>
          <w:numId w:val="20"/>
        </w:numPr>
        <w:spacing w:after="120"/>
        <w:ind w:left="1080"/>
        <w:rPr>
          <w:rFonts w:ascii="Times New Roman" w:hAnsi="Times New Roman" w:cs="Times New Roman"/>
        </w:rPr>
      </w:pPr>
      <w:r w:rsidRPr="00504DA6">
        <w:rPr>
          <w:rFonts w:ascii="Times New Roman" w:hAnsi="Times New Roman" w:cs="Times New Roman"/>
        </w:rPr>
        <w:t>Amount of spectrum necessary to enable unlicensed technologies</w:t>
      </w:r>
      <w:r w:rsidR="006F2611">
        <w:rPr>
          <w:rFonts w:ascii="Times New Roman" w:hAnsi="Times New Roman" w:cs="Times New Roman"/>
        </w:rPr>
        <w:t xml:space="preserve"> in the repacked TV bands</w:t>
      </w:r>
      <w:r w:rsidRPr="00504DA6">
        <w:rPr>
          <w:rFonts w:ascii="Times New Roman" w:hAnsi="Times New Roman" w:cs="Times New Roman"/>
        </w:rPr>
        <w:t>, including implications of channel bonding, and impact of consistent, nationwide availability;</w:t>
      </w:r>
    </w:p>
    <w:p w:rsidR="00672EE6" w:rsidRPr="00504DA6" w:rsidRDefault="00672EE6" w:rsidP="00672EE6">
      <w:pPr>
        <w:pStyle w:val="ListParagraph"/>
        <w:numPr>
          <w:ilvl w:val="0"/>
          <w:numId w:val="20"/>
        </w:numPr>
        <w:spacing w:after="120"/>
        <w:ind w:left="1080"/>
        <w:rPr>
          <w:rFonts w:ascii="Times New Roman" w:hAnsi="Times New Roman" w:cs="Times New Roman"/>
        </w:rPr>
      </w:pPr>
      <w:r w:rsidRPr="00504DA6">
        <w:rPr>
          <w:rFonts w:ascii="Times New Roman" w:hAnsi="Times New Roman" w:cs="Times New Roman"/>
        </w:rPr>
        <w:t>Technical considerations related to coexistence of multiple services in the 600 MHz band;</w:t>
      </w:r>
    </w:p>
    <w:p w:rsidR="00672EE6" w:rsidRPr="00504DA6" w:rsidRDefault="00672EE6" w:rsidP="00672EE6">
      <w:pPr>
        <w:pStyle w:val="ListParagraph"/>
        <w:numPr>
          <w:ilvl w:val="0"/>
          <w:numId w:val="20"/>
        </w:numPr>
        <w:spacing w:after="120"/>
        <w:ind w:left="1080"/>
        <w:rPr>
          <w:rFonts w:ascii="Times New Roman" w:hAnsi="Times New Roman" w:cs="Times New Roman"/>
        </w:rPr>
      </w:pPr>
      <w:r w:rsidRPr="00504DA6">
        <w:rPr>
          <w:rFonts w:ascii="Times New Roman" w:hAnsi="Times New Roman" w:cs="Times New Roman"/>
        </w:rPr>
        <w:lastRenderedPageBreak/>
        <w:t xml:space="preserve">Technical </w:t>
      </w:r>
      <w:r w:rsidR="006F2611">
        <w:rPr>
          <w:rFonts w:ascii="Times New Roman" w:hAnsi="Times New Roman" w:cs="Times New Roman"/>
        </w:rPr>
        <w:t xml:space="preserve">and operational </w:t>
      </w:r>
      <w:r w:rsidRPr="00504DA6">
        <w:rPr>
          <w:rFonts w:ascii="Times New Roman" w:hAnsi="Times New Roman" w:cs="Times New Roman"/>
        </w:rPr>
        <w:t>considerations related to enabling wireless microphones to successfully operate; and</w:t>
      </w:r>
    </w:p>
    <w:p w:rsidR="00672EE6" w:rsidRPr="00504DA6" w:rsidRDefault="00672EE6" w:rsidP="00672EE6">
      <w:pPr>
        <w:pStyle w:val="ListParagraph"/>
        <w:numPr>
          <w:ilvl w:val="0"/>
          <w:numId w:val="20"/>
        </w:numPr>
        <w:spacing w:after="120"/>
        <w:ind w:left="1080"/>
        <w:rPr>
          <w:rFonts w:ascii="Times New Roman" w:hAnsi="Times New Roman" w:cs="Times New Roman"/>
        </w:rPr>
      </w:pPr>
      <w:r w:rsidRPr="00504DA6">
        <w:rPr>
          <w:rFonts w:ascii="Times New Roman" w:hAnsi="Times New Roman" w:cs="Times New Roman"/>
        </w:rPr>
        <w:t>Implications of incumbent services in Channel 37</w:t>
      </w:r>
      <w:r w:rsidR="005B3588">
        <w:rPr>
          <w:rFonts w:ascii="Times New Roman" w:hAnsi="Times New Roman" w:cs="Times New Roman"/>
        </w:rPr>
        <w:t xml:space="preserve"> on design and deployment of wireless broadband systems in the 600 MHz band</w:t>
      </w:r>
    </w:p>
    <w:p w:rsidR="00D923B6" w:rsidRPr="006428B4" w:rsidRDefault="00D923B6" w:rsidP="0026158E">
      <w:pPr>
        <w:tabs>
          <w:tab w:val="left" w:pos="720"/>
        </w:tabs>
        <w:ind w:firstLine="720"/>
        <w:rPr>
          <w:sz w:val="8"/>
          <w:szCs w:val="8"/>
        </w:rPr>
      </w:pPr>
    </w:p>
    <w:p w:rsidR="00731E82" w:rsidRPr="00504DA6" w:rsidRDefault="00160116" w:rsidP="00672EE6">
      <w:pPr>
        <w:tabs>
          <w:tab w:val="left" w:pos="720"/>
        </w:tabs>
        <w:rPr>
          <w:szCs w:val="22"/>
        </w:rPr>
      </w:pPr>
      <w:r w:rsidRPr="00504DA6">
        <w:rPr>
          <w:szCs w:val="22"/>
        </w:rPr>
        <w:t xml:space="preserve">The tentative agenda is </w:t>
      </w:r>
      <w:r w:rsidR="00153F5D" w:rsidRPr="00504DA6">
        <w:rPr>
          <w:szCs w:val="22"/>
        </w:rPr>
        <w:t>outlined below:</w:t>
      </w:r>
    </w:p>
    <w:p w:rsidR="00731E82" w:rsidRPr="00504DA6" w:rsidRDefault="003564F5" w:rsidP="00D923B6">
      <w:pPr>
        <w:tabs>
          <w:tab w:val="left" w:pos="720"/>
        </w:tabs>
        <w:jc w:val="center"/>
        <w:rPr>
          <w:b/>
          <w:szCs w:val="22"/>
        </w:rPr>
      </w:pPr>
      <w:r w:rsidRPr="00504DA6">
        <w:rPr>
          <w:b/>
          <w:szCs w:val="22"/>
        </w:rPr>
        <w:t>Tentative Agenda</w:t>
      </w:r>
    </w:p>
    <w:p w:rsidR="00E63AA6" w:rsidRPr="00504DA6" w:rsidRDefault="00E63AA6" w:rsidP="00D923B6">
      <w:pPr>
        <w:tabs>
          <w:tab w:val="left" w:pos="720"/>
        </w:tabs>
        <w:rPr>
          <w:b/>
          <w:szCs w:val="22"/>
        </w:rPr>
      </w:pPr>
    </w:p>
    <w:tbl>
      <w:tblPr>
        <w:tblW w:w="9648" w:type="dxa"/>
        <w:tblLook w:val="01E0" w:firstRow="1" w:lastRow="1" w:firstColumn="1" w:lastColumn="1" w:noHBand="0" w:noVBand="0"/>
      </w:tblPr>
      <w:tblGrid>
        <w:gridCol w:w="1278"/>
        <w:gridCol w:w="8370"/>
      </w:tblGrid>
      <w:tr w:rsidR="00731E82" w:rsidRPr="00504DA6" w:rsidTr="007E096B">
        <w:tc>
          <w:tcPr>
            <w:tcW w:w="1278" w:type="dxa"/>
            <w:shd w:val="clear" w:color="auto" w:fill="auto"/>
          </w:tcPr>
          <w:p w:rsidR="00731E82" w:rsidRPr="00504DA6" w:rsidRDefault="0071098C" w:rsidP="00672EE6">
            <w:pPr>
              <w:tabs>
                <w:tab w:val="left" w:pos="720"/>
              </w:tabs>
              <w:rPr>
                <w:b/>
                <w:szCs w:val="22"/>
              </w:rPr>
            </w:pPr>
            <w:r w:rsidRPr="00504DA6">
              <w:rPr>
                <w:b/>
                <w:szCs w:val="22"/>
              </w:rPr>
              <w:t>9:</w:t>
            </w:r>
            <w:r w:rsidR="00672EE6" w:rsidRPr="00504DA6">
              <w:rPr>
                <w:b/>
                <w:szCs w:val="22"/>
              </w:rPr>
              <w:t>30</w:t>
            </w:r>
            <w:r w:rsidR="0070435A" w:rsidRPr="00504DA6">
              <w:rPr>
                <w:b/>
                <w:szCs w:val="22"/>
              </w:rPr>
              <w:t>am</w:t>
            </w:r>
          </w:p>
        </w:tc>
        <w:tc>
          <w:tcPr>
            <w:tcW w:w="8370" w:type="dxa"/>
            <w:shd w:val="clear" w:color="auto" w:fill="auto"/>
          </w:tcPr>
          <w:p w:rsidR="00731E82" w:rsidRPr="00504DA6" w:rsidRDefault="003564F5" w:rsidP="00D923B6">
            <w:pPr>
              <w:tabs>
                <w:tab w:val="left" w:pos="720"/>
              </w:tabs>
              <w:rPr>
                <w:b/>
                <w:szCs w:val="22"/>
              </w:rPr>
            </w:pPr>
            <w:r w:rsidRPr="00504DA6">
              <w:rPr>
                <w:b/>
                <w:szCs w:val="22"/>
              </w:rPr>
              <w:t>Opening Remarks</w:t>
            </w:r>
          </w:p>
          <w:p w:rsidR="007E096B" w:rsidRDefault="00203655" w:rsidP="00D923B6">
            <w:pPr>
              <w:tabs>
                <w:tab w:val="left" w:pos="720"/>
              </w:tabs>
              <w:rPr>
                <w:i/>
                <w:szCs w:val="22"/>
              </w:rPr>
            </w:pPr>
            <w:r w:rsidRPr="00504DA6">
              <w:rPr>
                <w:i/>
                <w:szCs w:val="22"/>
              </w:rPr>
              <w:t>Julius Knapp, Chief, Office of Engineering and Technology</w:t>
            </w:r>
          </w:p>
          <w:p w:rsidR="006428B4" w:rsidRPr="00504DA6" w:rsidRDefault="006428B4" w:rsidP="00D923B6">
            <w:pPr>
              <w:tabs>
                <w:tab w:val="left" w:pos="720"/>
              </w:tabs>
              <w:rPr>
                <w:i/>
                <w:szCs w:val="22"/>
              </w:rPr>
            </w:pPr>
          </w:p>
        </w:tc>
      </w:tr>
      <w:tr w:rsidR="00731E82" w:rsidRPr="00504DA6" w:rsidTr="007E096B">
        <w:tc>
          <w:tcPr>
            <w:tcW w:w="1278" w:type="dxa"/>
            <w:shd w:val="clear" w:color="auto" w:fill="auto"/>
          </w:tcPr>
          <w:p w:rsidR="00731E82" w:rsidRPr="00504DA6" w:rsidRDefault="00504DA6" w:rsidP="00D923B6">
            <w:pPr>
              <w:tabs>
                <w:tab w:val="left" w:pos="720"/>
              </w:tabs>
              <w:rPr>
                <w:b/>
                <w:szCs w:val="22"/>
              </w:rPr>
            </w:pPr>
            <w:r>
              <w:rPr>
                <w:b/>
                <w:szCs w:val="22"/>
              </w:rPr>
              <w:t>9:3</w:t>
            </w:r>
            <w:r w:rsidR="00672EE6" w:rsidRPr="00504DA6">
              <w:rPr>
                <w:b/>
                <w:szCs w:val="22"/>
              </w:rPr>
              <w:t>5am</w:t>
            </w:r>
          </w:p>
        </w:tc>
        <w:tc>
          <w:tcPr>
            <w:tcW w:w="8370" w:type="dxa"/>
            <w:shd w:val="clear" w:color="auto" w:fill="auto"/>
          </w:tcPr>
          <w:p w:rsidR="00672EE6" w:rsidRPr="00504DA6" w:rsidRDefault="00250D3C" w:rsidP="00D923B6">
            <w:pPr>
              <w:tabs>
                <w:tab w:val="left" w:pos="720"/>
              </w:tabs>
              <w:rPr>
                <w:b/>
                <w:szCs w:val="22"/>
              </w:rPr>
            </w:pPr>
            <w:r>
              <w:rPr>
                <w:b/>
                <w:szCs w:val="22"/>
              </w:rPr>
              <w:t xml:space="preserve">Panel </w:t>
            </w:r>
            <w:r w:rsidR="003564F5" w:rsidRPr="00504DA6">
              <w:rPr>
                <w:b/>
                <w:szCs w:val="22"/>
              </w:rPr>
              <w:t>1</w:t>
            </w:r>
          </w:p>
          <w:p w:rsidR="00504DA6" w:rsidRPr="00504DA6" w:rsidRDefault="00504DA6" w:rsidP="00504DA6">
            <w:pPr>
              <w:tabs>
                <w:tab w:val="left" w:pos="720"/>
              </w:tabs>
              <w:rPr>
                <w:szCs w:val="22"/>
              </w:rPr>
            </w:pPr>
            <w:r w:rsidRPr="00504DA6">
              <w:rPr>
                <w:szCs w:val="22"/>
              </w:rPr>
              <w:t>Andrew Afflerbach, Garrett County, MD</w:t>
            </w:r>
          </w:p>
          <w:p w:rsidR="00504DA6" w:rsidRPr="00504DA6" w:rsidRDefault="00504DA6" w:rsidP="00504DA6">
            <w:pPr>
              <w:tabs>
                <w:tab w:val="left" w:pos="720"/>
              </w:tabs>
              <w:rPr>
                <w:szCs w:val="22"/>
              </w:rPr>
            </w:pPr>
            <w:r>
              <w:rPr>
                <w:szCs w:val="22"/>
              </w:rPr>
              <w:t>Elizabeth Bowles, WISPA</w:t>
            </w:r>
          </w:p>
          <w:p w:rsidR="00504DA6" w:rsidRPr="00504DA6" w:rsidRDefault="00504DA6" w:rsidP="00504DA6">
            <w:pPr>
              <w:tabs>
                <w:tab w:val="left" w:pos="720"/>
              </w:tabs>
              <w:rPr>
                <w:szCs w:val="22"/>
              </w:rPr>
            </w:pPr>
            <w:r w:rsidRPr="00504DA6">
              <w:rPr>
                <w:szCs w:val="22"/>
              </w:rPr>
              <w:t>Jim Carlson, Carlson Wireless</w:t>
            </w:r>
          </w:p>
          <w:p w:rsidR="00504DA6" w:rsidRDefault="00504DA6" w:rsidP="00504DA6">
            <w:pPr>
              <w:tabs>
                <w:tab w:val="left" w:pos="720"/>
              </w:tabs>
              <w:rPr>
                <w:szCs w:val="22"/>
              </w:rPr>
            </w:pPr>
            <w:r>
              <w:rPr>
                <w:szCs w:val="22"/>
              </w:rPr>
              <w:t>Harold Feld, Public Kn</w:t>
            </w:r>
            <w:r w:rsidRPr="00504DA6">
              <w:rPr>
                <w:szCs w:val="22"/>
              </w:rPr>
              <w:t>owledge</w:t>
            </w:r>
          </w:p>
          <w:p w:rsidR="00515CBA" w:rsidRPr="00504DA6" w:rsidRDefault="00515CBA" w:rsidP="00504DA6">
            <w:pPr>
              <w:tabs>
                <w:tab w:val="left" w:pos="720"/>
              </w:tabs>
              <w:rPr>
                <w:szCs w:val="22"/>
              </w:rPr>
            </w:pPr>
            <w:r>
              <w:rPr>
                <w:szCs w:val="22"/>
              </w:rPr>
              <w:t>Paul Garnett, Microsoft</w:t>
            </w:r>
          </w:p>
          <w:p w:rsidR="00672EE6" w:rsidRPr="00504DA6" w:rsidRDefault="00504DA6" w:rsidP="00D923B6">
            <w:pPr>
              <w:tabs>
                <w:tab w:val="left" w:pos="720"/>
              </w:tabs>
              <w:rPr>
                <w:szCs w:val="22"/>
              </w:rPr>
            </w:pPr>
            <w:r>
              <w:rPr>
                <w:szCs w:val="22"/>
              </w:rPr>
              <w:t>Joanne Hovis,</w:t>
            </w:r>
            <w:r w:rsidR="00672EE6" w:rsidRPr="00504DA6">
              <w:rPr>
                <w:szCs w:val="22"/>
              </w:rPr>
              <w:t xml:space="preserve"> </w:t>
            </w:r>
            <w:r w:rsidR="00374E5A">
              <w:rPr>
                <w:szCs w:val="22"/>
              </w:rPr>
              <w:t>Gigabit Libraries</w:t>
            </w:r>
          </w:p>
          <w:p w:rsidR="00E404FD" w:rsidRDefault="00E404FD" w:rsidP="008766CE">
            <w:pPr>
              <w:tabs>
                <w:tab w:val="left" w:pos="720"/>
              </w:tabs>
              <w:rPr>
                <w:szCs w:val="22"/>
              </w:rPr>
            </w:pPr>
            <w:r w:rsidRPr="00E404FD">
              <w:rPr>
                <w:szCs w:val="22"/>
              </w:rPr>
              <w:t>Nicol Turner-Lee</w:t>
            </w:r>
            <w:r>
              <w:rPr>
                <w:szCs w:val="22"/>
              </w:rPr>
              <w:t>, MMTC</w:t>
            </w:r>
          </w:p>
          <w:p w:rsidR="008766CE" w:rsidRPr="00504DA6" w:rsidRDefault="008766CE" w:rsidP="008766CE">
            <w:pPr>
              <w:tabs>
                <w:tab w:val="left" w:pos="720"/>
              </w:tabs>
              <w:rPr>
                <w:szCs w:val="22"/>
              </w:rPr>
            </w:pPr>
            <w:r>
              <w:rPr>
                <w:szCs w:val="22"/>
              </w:rPr>
              <w:t>Robert Ru</w:t>
            </w:r>
            <w:r w:rsidR="00250D3C">
              <w:rPr>
                <w:szCs w:val="22"/>
              </w:rPr>
              <w:t xml:space="preserve">cker, United Negro College Fund and </w:t>
            </w:r>
            <w:r>
              <w:rPr>
                <w:szCs w:val="22"/>
              </w:rPr>
              <w:t>AirU</w:t>
            </w:r>
          </w:p>
          <w:p w:rsidR="00672EE6" w:rsidRPr="00504DA6" w:rsidRDefault="00672EE6" w:rsidP="00D923B6">
            <w:pPr>
              <w:tabs>
                <w:tab w:val="left" w:pos="720"/>
              </w:tabs>
              <w:rPr>
                <w:szCs w:val="22"/>
              </w:rPr>
            </w:pPr>
            <w:r w:rsidRPr="00504DA6">
              <w:rPr>
                <w:szCs w:val="22"/>
              </w:rPr>
              <w:t>Peter Stanforth, Spectrum Bridge</w:t>
            </w:r>
          </w:p>
          <w:p w:rsidR="007E096B" w:rsidRPr="00504DA6" w:rsidRDefault="007E096B" w:rsidP="00153F5D">
            <w:pPr>
              <w:tabs>
                <w:tab w:val="left" w:pos="720"/>
              </w:tabs>
              <w:rPr>
                <w:i/>
                <w:szCs w:val="22"/>
              </w:rPr>
            </w:pPr>
          </w:p>
        </w:tc>
      </w:tr>
      <w:tr w:rsidR="00672EE6" w:rsidRPr="00504DA6" w:rsidTr="006F63D7">
        <w:trPr>
          <w:trHeight w:val="749"/>
        </w:trPr>
        <w:tc>
          <w:tcPr>
            <w:tcW w:w="1278" w:type="dxa"/>
            <w:shd w:val="clear" w:color="auto" w:fill="auto"/>
          </w:tcPr>
          <w:p w:rsidR="00672EE6" w:rsidRPr="00504DA6" w:rsidRDefault="00504DA6" w:rsidP="00672EE6">
            <w:pPr>
              <w:tabs>
                <w:tab w:val="left" w:pos="720"/>
              </w:tabs>
              <w:rPr>
                <w:b/>
                <w:szCs w:val="22"/>
              </w:rPr>
            </w:pPr>
            <w:r>
              <w:rPr>
                <w:b/>
                <w:szCs w:val="22"/>
              </w:rPr>
              <w:t>11:15</w:t>
            </w:r>
            <w:r w:rsidR="00672EE6" w:rsidRPr="00504DA6">
              <w:rPr>
                <w:b/>
                <w:szCs w:val="22"/>
              </w:rPr>
              <w:t>am</w:t>
            </w:r>
          </w:p>
        </w:tc>
        <w:tc>
          <w:tcPr>
            <w:tcW w:w="8370" w:type="dxa"/>
            <w:shd w:val="clear" w:color="auto" w:fill="auto"/>
          </w:tcPr>
          <w:p w:rsidR="00672EE6" w:rsidRDefault="00250D3C" w:rsidP="00D923B6">
            <w:pPr>
              <w:keepNext/>
              <w:keepLines/>
              <w:pageBreakBefore/>
              <w:widowControl w:val="0"/>
              <w:tabs>
                <w:tab w:val="left" w:pos="720"/>
              </w:tabs>
              <w:rPr>
                <w:b/>
                <w:bCs/>
                <w:szCs w:val="22"/>
              </w:rPr>
            </w:pPr>
            <w:r>
              <w:rPr>
                <w:b/>
                <w:bCs/>
                <w:szCs w:val="22"/>
              </w:rPr>
              <w:t xml:space="preserve">Panel </w:t>
            </w:r>
            <w:r w:rsidR="00504DA6">
              <w:rPr>
                <w:b/>
                <w:bCs/>
                <w:szCs w:val="22"/>
              </w:rPr>
              <w:t>2</w:t>
            </w:r>
          </w:p>
          <w:p w:rsidR="00504DA6" w:rsidRPr="00504DA6" w:rsidRDefault="00504DA6" w:rsidP="00504DA6">
            <w:pPr>
              <w:keepNext/>
              <w:keepLines/>
              <w:pageBreakBefore/>
              <w:widowControl w:val="0"/>
              <w:tabs>
                <w:tab w:val="left" w:pos="720"/>
              </w:tabs>
              <w:rPr>
                <w:bCs/>
                <w:szCs w:val="22"/>
              </w:rPr>
            </w:pPr>
            <w:r>
              <w:rPr>
                <w:bCs/>
                <w:szCs w:val="22"/>
              </w:rPr>
              <w:t>Mike Bergman, Consumer Electronics Association</w:t>
            </w:r>
          </w:p>
          <w:p w:rsidR="00504DA6" w:rsidRPr="00504DA6" w:rsidRDefault="00504DA6" w:rsidP="00504DA6">
            <w:pPr>
              <w:keepNext/>
              <w:keepLines/>
              <w:pageBreakBefore/>
              <w:widowControl w:val="0"/>
              <w:tabs>
                <w:tab w:val="left" w:pos="720"/>
              </w:tabs>
              <w:rPr>
                <w:bCs/>
                <w:szCs w:val="22"/>
              </w:rPr>
            </w:pPr>
            <w:r w:rsidRPr="00504DA6">
              <w:rPr>
                <w:bCs/>
                <w:szCs w:val="22"/>
              </w:rPr>
              <w:t>Mark Brunner, Shure Incorporated</w:t>
            </w:r>
          </w:p>
          <w:p w:rsidR="00504DA6" w:rsidRPr="00504DA6" w:rsidRDefault="00504DA6" w:rsidP="00504DA6">
            <w:pPr>
              <w:keepNext/>
              <w:keepLines/>
              <w:pageBreakBefore/>
              <w:widowControl w:val="0"/>
              <w:tabs>
                <w:tab w:val="left" w:pos="720"/>
              </w:tabs>
              <w:rPr>
                <w:bCs/>
                <w:szCs w:val="22"/>
              </w:rPr>
            </w:pPr>
            <w:r w:rsidRPr="00504DA6">
              <w:rPr>
                <w:bCs/>
                <w:szCs w:val="22"/>
              </w:rPr>
              <w:t>Michael Ca</w:t>
            </w:r>
            <w:r w:rsidR="00250D3C">
              <w:rPr>
                <w:bCs/>
                <w:szCs w:val="22"/>
              </w:rPr>
              <w:t xml:space="preserve">labrese, New America Foundation and </w:t>
            </w:r>
            <w:r w:rsidRPr="00504DA6">
              <w:rPr>
                <w:bCs/>
                <w:szCs w:val="22"/>
              </w:rPr>
              <w:t>PISC</w:t>
            </w:r>
          </w:p>
          <w:p w:rsidR="00504DA6" w:rsidRPr="00504DA6" w:rsidRDefault="00504DA6" w:rsidP="00504DA6">
            <w:pPr>
              <w:keepNext/>
              <w:keepLines/>
              <w:pageBreakBefore/>
              <w:widowControl w:val="0"/>
              <w:tabs>
                <w:tab w:val="left" w:pos="720"/>
              </w:tabs>
              <w:rPr>
                <w:bCs/>
                <w:szCs w:val="22"/>
              </w:rPr>
            </w:pPr>
            <w:r w:rsidRPr="00504DA6">
              <w:rPr>
                <w:bCs/>
                <w:szCs w:val="22"/>
              </w:rPr>
              <w:t>And</w:t>
            </w:r>
            <w:r w:rsidR="00495A4E">
              <w:rPr>
                <w:bCs/>
                <w:szCs w:val="22"/>
              </w:rPr>
              <w:t>rew</w:t>
            </w:r>
            <w:r w:rsidRPr="00504DA6">
              <w:rPr>
                <w:bCs/>
                <w:szCs w:val="22"/>
              </w:rPr>
              <w:t xml:space="preserve"> Clegg, </w:t>
            </w:r>
            <w:r>
              <w:rPr>
                <w:bCs/>
                <w:szCs w:val="22"/>
              </w:rPr>
              <w:t>National Science Foundation</w:t>
            </w:r>
          </w:p>
          <w:p w:rsidR="008D3FF5" w:rsidRDefault="008D3FF5" w:rsidP="008D3FF5">
            <w:r>
              <w:t>Thomas Dombrowsky, Wiley Rein LLP/CTIA</w:t>
            </w:r>
          </w:p>
          <w:p w:rsidR="00504DA6" w:rsidRPr="00504DA6" w:rsidRDefault="00504DA6" w:rsidP="00504DA6">
            <w:pPr>
              <w:keepNext/>
              <w:keepLines/>
              <w:pageBreakBefore/>
              <w:widowControl w:val="0"/>
              <w:tabs>
                <w:tab w:val="left" w:pos="720"/>
              </w:tabs>
              <w:rPr>
                <w:bCs/>
                <w:szCs w:val="22"/>
              </w:rPr>
            </w:pPr>
            <w:r w:rsidRPr="00504DA6">
              <w:rPr>
                <w:bCs/>
                <w:szCs w:val="22"/>
              </w:rPr>
              <w:t>Mark Gibson, American Society for Healthcare Engineering</w:t>
            </w:r>
          </w:p>
          <w:p w:rsidR="00153F5D" w:rsidRPr="00504DA6" w:rsidRDefault="00153F5D" w:rsidP="00D923B6">
            <w:pPr>
              <w:keepNext/>
              <w:keepLines/>
              <w:pageBreakBefore/>
              <w:widowControl w:val="0"/>
              <w:tabs>
                <w:tab w:val="left" w:pos="720"/>
              </w:tabs>
              <w:rPr>
                <w:bCs/>
                <w:szCs w:val="22"/>
              </w:rPr>
            </w:pPr>
            <w:r w:rsidRPr="00504DA6">
              <w:rPr>
                <w:bCs/>
                <w:szCs w:val="22"/>
              </w:rPr>
              <w:t>Alan Norman, Google</w:t>
            </w:r>
          </w:p>
          <w:p w:rsidR="008D3FF5" w:rsidRDefault="008D3FF5" w:rsidP="008D3FF5">
            <w:r>
              <w:t>Robert Seidel, CBS</w:t>
            </w:r>
          </w:p>
          <w:p w:rsidR="00293312" w:rsidRPr="00504DA6" w:rsidRDefault="00293312" w:rsidP="00293312">
            <w:pPr>
              <w:tabs>
                <w:tab w:val="left" w:pos="720"/>
              </w:tabs>
              <w:rPr>
                <w:szCs w:val="22"/>
              </w:rPr>
            </w:pPr>
            <w:r w:rsidRPr="00BA4E2A">
              <w:rPr>
                <w:szCs w:val="22"/>
              </w:rPr>
              <w:t>Haiyun Tang,</w:t>
            </w:r>
            <w:r w:rsidRPr="00504DA6">
              <w:rPr>
                <w:szCs w:val="22"/>
              </w:rPr>
              <w:t xml:space="preserve"> Adaptrum</w:t>
            </w:r>
          </w:p>
          <w:p w:rsidR="007E096B" w:rsidRPr="00504DA6" w:rsidRDefault="007E096B" w:rsidP="00153F5D">
            <w:pPr>
              <w:keepNext/>
              <w:keepLines/>
              <w:pageBreakBefore/>
              <w:widowControl w:val="0"/>
              <w:tabs>
                <w:tab w:val="left" w:pos="720"/>
              </w:tabs>
              <w:rPr>
                <w:bCs/>
                <w:i/>
                <w:szCs w:val="22"/>
              </w:rPr>
            </w:pPr>
          </w:p>
        </w:tc>
      </w:tr>
      <w:tr w:rsidR="006428B4" w:rsidRPr="00504DA6" w:rsidTr="006428B4">
        <w:trPr>
          <w:trHeight w:val="378"/>
        </w:trPr>
        <w:tc>
          <w:tcPr>
            <w:tcW w:w="1278" w:type="dxa"/>
            <w:shd w:val="clear" w:color="auto" w:fill="auto"/>
          </w:tcPr>
          <w:p w:rsidR="006428B4" w:rsidRDefault="006428B4" w:rsidP="00672EE6">
            <w:pPr>
              <w:tabs>
                <w:tab w:val="left" w:pos="720"/>
              </w:tabs>
              <w:rPr>
                <w:b/>
                <w:szCs w:val="22"/>
              </w:rPr>
            </w:pPr>
            <w:r w:rsidRPr="00504DA6">
              <w:rPr>
                <w:b/>
                <w:szCs w:val="22"/>
              </w:rPr>
              <w:t>12:30 pm</w:t>
            </w:r>
          </w:p>
        </w:tc>
        <w:tc>
          <w:tcPr>
            <w:tcW w:w="8370" w:type="dxa"/>
            <w:shd w:val="clear" w:color="auto" w:fill="auto"/>
          </w:tcPr>
          <w:p w:rsidR="006428B4" w:rsidRDefault="006428B4" w:rsidP="00D923B6">
            <w:pPr>
              <w:keepNext/>
              <w:keepLines/>
              <w:pageBreakBefore/>
              <w:widowControl w:val="0"/>
              <w:tabs>
                <w:tab w:val="left" w:pos="720"/>
              </w:tabs>
              <w:rPr>
                <w:b/>
                <w:bCs/>
                <w:szCs w:val="22"/>
              </w:rPr>
            </w:pPr>
            <w:r w:rsidRPr="00504DA6">
              <w:rPr>
                <w:b/>
                <w:szCs w:val="22"/>
              </w:rPr>
              <w:t>Adjourn</w:t>
            </w:r>
          </w:p>
        </w:tc>
      </w:tr>
    </w:tbl>
    <w:p w:rsidR="00504DA6" w:rsidRPr="00504DA6" w:rsidRDefault="00504DA6" w:rsidP="00153F5D">
      <w:pPr>
        <w:tabs>
          <w:tab w:val="left" w:pos="720"/>
        </w:tabs>
        <w:rPr>
          <w:szCs w:val="22"/>
        </w:rPr>
      </w:pPr>
      <w:r w:rsidRPr="00504DA6">
        <w:rPr>
          <w:b/>
          <w:szCs w:val="22"/>
        </w:rPr>
        <w:tab/>
      </w:r>
    </w:p>
    <w:p w:rsidR="004361E0" w:rsidRPr="00504DA6" w:rsidRDefault="003564F5" w:rsidP="00495A4E">
      <w:pPr>
        <w:tabs>
          <w:tab w:val="left" w:pos="720"/>
        </w:tabs>
        <w:spacing w:after="120"/>
        <w:rPr>
          <w:szCs w:val="22"/>
        </w:rPr>
      </w:pPr>
      <w:r w:rsidRPr="00504DA6">
        <w:rPr>
          <w:szCs w:val="22"/>
          <w:u w:val="single"/>
        </w:rPr>
        <w:t>Attendance.</w:t>
      </w:r>
      <w:r w:rsidRPr="00504DA6">
        <w:rPr>
          <w:szCs w:val="22"/>
        </w:rPr>
        <w:t xml:space="preserve">  This forum is open to the public.  </w:t>
      </w:r>
      <w:r w:rsidR="004361E0" w:rsidRPr="00504DA6">
        <w:rPr>
          <w:szCs w:val="22"/>
        </w:rPr>
        <w:t xml:space="preserve">All attendees are advised to arrive approximately 30 minutes prior to the start of the workshop to allow time to go through our security process. </w:t>
      </w:r>
      <w:r w:rsidR="00682279" w:rsidRPr="00504DA6">
        <w:rPr>
          <w:szCs w:val="22"/>
        </w:rPr>
        <w:t xml:space="preserve"> </w:t>
      </w:r>
      <w:r w:rsidR="004361E0" w:rsidRPr="00504DA6">
        <w:rPr>
          <w:szCs w:val="22"/>
        </w:rPr>
        <w:t>Attendees are encouraged to pre-register by submitting their name and company affiliation via ema</w:t>
      </w:r>
      <w:r w:rsidR="00682279" w:rsidRPr="00504DA6">
        <w:rPr>
          <w:szCs w:val="22"/>
        </w:rPr>
        <w:t>il to Cecilia Sulhoff (</w:t>
      </w:r>
      <w:r w:rsidR="005B3588">
        <w:rPr>
          <w:szCs w:val="22"/>
        </w:rPr>
        <w:t>c</w:t>
      </w:r>
      <w:r w:rsidR="005B3588" w:rsidRPr="00504DA6">
        <w:rPr>
          <w:szCs w:val="22"/>
        </w:rPr>
        <w:t>ecilia</w:t>
      </w:r>
      <w:r w:rsidR="00682279" w:rsidRPr="00504DA6">
        <w:rPr>
          <w:szCs w:val="22"/>
        </w:rPr>
        <w:t>.</w:t>
      </w:r>
      <w:r w:rsidR="005B3588">
        <w:rPr>
          <w:szCs w:val="22"/>
        </w:rPr>
        <w:t>s</w:t>
      </w:r>
      <w:r w:rsidR="005B3588" w:rsidRPr="00504DA6">
        <w:rPr>
          <w:szCs w:val="22"/>
        </w:rPr>
        <w:t>ulhoff</w:t>
      </w:r>
      <w:r w:rsidR="004361E0" w:rsidRPr="00504DA6">
        <w:rPr>
          <w:szCs w:val="22"/>
        </w:rPr>
        <w:t>@fcc.gov) in order to expedite the check-in process the day of the event.  Please use “</w:t>
      </w:r>
      <w:r w:rsidR="00003FAD" w:rsidRPr="00504DA6">
        <w:rPr>
          <w:szCs w:val="22"/>
        </w:rPr>
        <w:t>LEARN Workshop</w:t>
      </w:r>
      <w:r w:rsidR="004361E0" w:rsidRPr="00504DA6">
        <w:rPr>
          <w:szCs w:val="22"/>
        </w:rPr>
        <w:t xml:space="preserve">” as the subject line in your email. </w:t>
      </w:r>
    </w:p>
    <w:p w:rsidR="00153F5D" w:rsidRPr="00495A4E" w:rsidRDefault="003564F5" w:rsidP="00495A4E">
      <w:pPr>
        <w:tabs>
          <w:tab w:val="left" w:pos="720"/>
        </w:tabs>
        <w:spacing w:after="120"/>
        <w:rPr>
          <w:szCs w:val="22"/>
        </w:rPr>
      </w:pPr>
      <w:r w:rsidRPr="00504DA6">
        <w:rPr>
          <w:szCs w:val="22"/>
        </w:rPr>
        <w:t xml:space="preserve">The forum will be webcast </w:t>
      </w:r>
      <w:r w:rsidR="004361E0" w:rsidRPr="00504DA6">
        <w:rPr>
          <w:szCs w:val="22"/>
        </w:rPr>
        <w:t>at</w:t>
      </w:r>
      <w:r w:rsidRPr="00504DA6">
        <w:rPr>
          <w:szCs w:val="22"/>
        </w:rPr>
        <w:t xml:space="preserve"> </w:t>
      </w:r>
      <w:hyperlink r:id="rId8" w:history="1">
        <w:r w:rsidR="006428B4" w:rsidRPr="00BC2B5D">
          <w:rPr>
            <w:rStyle w:val="Hyperlink"/>
            <w:szCs w:val="22"/>
          </w:rPr>
          <w:t>http://www.fcc.gov/live</w:t>
        </w:r>
      </w:hyperlink>
      <w:r w:rsidR="004361E0" w:rsidRPr="00504DA6">
        <w:rPr>
          <w:szCs w:val="22"/>
        </w:rPr>
        <w:t>.</w:t>
      </w:r>
      <w:r w:rsidR="006428B4">
        <w:rPr>
          <w:szCs w:val="22"/>
        </w:rPr>
        <w:t xml:space="preserve"> </w:t>
      </w:r>
    </w:p>
    <w:p w:rsidR="00731E82" w:rsidRPr="00504DA6" w:rsidRDefault="003564F5" w:rsidP="00495A4E">
      <w:pPr>
        <w:pStyle w:val="ParaNum0"/>
        <w:tabs>
          <w:tab w:val="left" w:pos="720"/>
          <w:tab w:val="num" w:pos="1440"/>
        </w:tabs>
        <w:snapToGrid w:val="0"/>
        <w:spacing w:after="120"/>
        <w:rPr>
          <w:szCs w:val="22"/>
        </w:rPr>
      </w:pPr>
      <w:r w:rsidRPr="00504DA6">
        <w:rPr>
          <w:szCs w:val="22"/>
          <w:u w:val="single"/>
        </w:rPr>
        <w:t>Accessibility Information</w:t>
      </w:r>
      <w:r w:rsidRPr="00504DA6">
        <w:rPr>
          <w:szCs w:val="22"/>
        </w:rPr>
        <w:t>.</w:t>
      </w:r>
      <w:r w:rsidRPr="00504DA6">
        <w:rPr>
          <w:i/>
          <w:szCs w:val="22"/>
        </w:rPr>
        <w:t xml:space="preserve">  </w:t>
      </w:r>
      <w:r w:rsidR="004361E0" w:rsidRPr="00504DA6">
        <w:rPr>
          <w:szCs w:val="22"/>
        </w:rPr>
        <w:t xml:space="preserve">To request information in accessible formats (computer diskettes, large print, audio recording, and Braille), send an e-mail to fcc504@fcc.gov or call the FCC’s Consumer and Governmental Affairs Bureau at (202) 418-0530 (voice), (202) 418-0432 (TTY). This document can also be downloaded in Word and Portable Document Format (PDF) at: </w:t>
      </w:r>
      <w:hyperlink r:id="rId9" w:history="1">
        <w:r w:rsidR="006428B4" w:rsidRPr="00BC2B5D">
          <w:rPr>
            <w:rStyle w:val="Hyperlink"/>
            <w:szCs w:val="22"/>
          </w:rPr>
          <w:t>http://www.fcc.gov</w:t>
        </w:r>
      </w:hyperlink>
      <w:r w:rsidR="004361E0" w:rsidRPr="00504DA6">
        <w:rPr>
          <w:szCs w:val="22"/>
        </w:rPr>
        <w:t>.</w:t>
      </w:r>
      <w:r w:rsidR="006428B4">
        <w:rPr>
          <w:szCs w:val="22"/>
        </w:rPr>
        <w:t xml:space="preserve"> </w:t>
      </w:r>
    </w:p>
    <w:p w:rsidR="00003FAD" w:rsidRPr="00504DA6" w:rsidRDefault="00153F5D" w:rsidP="00495A4E">
      <w:pPr>
        <w:tabs>
          <w:tab w:val="left" w:pos="720"/>
        </w:tabs>
        <w:spacing w:after="120"/>
        <w:rPr>
          <w:spacing w:val="-3"/>
          <w:szCs w:val="22"/>
        </w:rPr>
      </w:pPr>
      <w:r w:rsidRPr="00504DA6">
        <w:rPr>
          <w:spacing w:val="-3"/>
          <w:szCs w:val="22"/>
        </w:rPr>
        <w:t>For additional information</w:t>
      </w:r>
      <w:r w:rsidR="003564F5" w:rsidRPr="00504DA6">
        <w:rPr>
          <w:spacing w:val="-3"/>
          <w:szCs w:val="22"/>
        </w:rPr>
        <w:t xml:space="preserve"> contact:  </w:t>
      </w:r>
      <w:r w:rsidRPr="00504DA6">
        <w:rPr>
          <w:spacing w:val="-3"/>
          <w:szCs w:val="22"/>
        </w:rPr>
        <w:t>Paul Mur</w:t>
      </w:r>
      <w:r w:rsidR="006428B4">
        <w:rPr>
          <w:spacing w:val="-3"/>
          <w:szCs w:val="22"/>
        </w:rPr>
        <w:t>ray at 202-418-0688 or by email at</w:t>
      </w:r>
      <w:r w:rsidRPr="00504DA6">
        <w:rPr>
          <w:spacing w:val="-3"/>
          <w:szCs w:val="22"/>
        </w:rPr>
        <w:t xml:space="preserve"> </w:t>
      </w:r>
      <w:hyperlink r:id="rId10" w:history="1">
        <w:r w:rsidRPr="00504DA6">
          <w:rPr>
            <w:rStyle w:val="Hyperlink"/>
            <w:spacing w:val="-3"/>
            <w:szCs w:val="22"/>
          </w:rPr>
          <w:t>paul.murray@fcc.gov</w:t>
        </w:r>
      </w:hyperlink>
      <w:r w:rsidRPr="00504DA6">
        <w:rPr>
          <w:spacing w:val="-3"/>
          <w:szCs w:val="22"/>
        </w:rPr>
        <w:t xml:space="preserve"> or Cecilia Sulhoff at 202-418-0587 or by email at </w:t>
      </w:r>
      <w:hyperlink r:id="rId11" w:history="1">
        <w:r w:rsidRPr="00504DA6">
          <w:rPr>
            <w:rStyle w:val="Hyperlink"/>
            <w:spacing w:val="-3"/>
            <w:szCs w:val="22"/>
          </w:rPr>
          <w:t>cecilia.sulhoff@fcc.gov</w:t>
        </w:r>
      </w:hyperlink>
      <w:r w:rsidR="004361E0" w:rsidRPr="00504DA6">
        <w:rPr>
          <w:spacing w:val="-3"/>
          <w:szCs w:val="22"/>
        </w:rPr>
        <w:t>.</w:t>
      </w:r>
      <w:r w:rsidRPr="00504DA6">
        <w:rPr>
          <w:spacing w:val="-3"/>
          <w:szCs w:val="22"/>
        </w:rPr>
        <w:t xml:space="preserve"> </w:t>
      </w:r>
    </w:p>
    <w:p w:rsidR="00504DA6" w:rsidRPr="00504DA6" w:rsidRDefault="00504DA6" w:rsidP="00495A4E">
      <w:pPr>
        <w:spacing w:after="120"/>
        <w:rPr>
          <w:szCs w:val="22"/>
        </w:rPr>
      </w:pPr>
      <w:r w:rsidRPr="00504DA6">
        <w:rPr>
          <w:szCs w:val="22"/>
        </w:rPr>
        <w:t xml:space="preserve">For more information about the broadcast television incentive auction, visit: </w:t>
      </w:r>
      <w:hyperlink r:id="rId12" w:history="1">
        <w:r w:rsidRPr="00504DA6">
          <w:rPr>
            <w:rStyle w:val="Hyperlink"/>
            <w:szCs w:val="22"/>
          </w:rPr>
          <w:t>http://www.fcc.gov/learn</w:t>
        </w:r>
      </w:hyperlink>
      <w:r w:rsidRPr="00504DA6">
        <w:rPr>
          <w:szCs w:val="22"/>
        </w:rPr>
        <w:t xml:space="preserve">. </w:t>
      </w:r>
    </w:p>
    <w:p w:rsidR="00731E82" w:rsidRPr="00504DA6" w:rsidRDefault="00731E82" w:rsidP="00D923B6">
      <w:pPr>
        <w:tabs>
          <w:tab w:val="left" w:pos="720"/>
        </w:tabs>
        <w:rPr>
          <w:spacing w:val="-3"/>
          <w:szCs w:val="22"/>
        </w:rPr>
      </w:pPr>
    </w:p>
    <w:p w:rsidR="00731E82" w:rsidRPr="00504DA6" w:rsidRDefault="00731E82" w:rsidP="00D923B6">
      <w:pPr>
        <w:tabs>
          <w:tab w:val="left" w:pos="-720"/>
          <w:tab w:val="left" w:pos="720"/>
        </w:tabs>
        <w:suppressAutoHyphens/>
        <w:spacing w:line="227" w:lineRule="atLeast"/>
        <w:rPr>
          <w:spacing w:val="-3"/>
          <w:szCs w:val="22"/>
        </w:rPr>
      </w:pPr>
    </w:p>
    <w:p w:rsidR="00731E82" w:rsidRPr="00504DA6" w:rsidRDefault="003564F5">
      <w:pPr>
        <w:jc w:val="center"/>
        <w:rPr>
          <w:spacing w:val="-3"/>
          <w:szCs w:val="22"/>
        </w:rPr>
      </w:pPr>
      <w:r w:rsidRPr="00504DA6">
        <w:rPr>
          <w:spacing w:val="-3"/>
          <w:szCs w:val="22"/>
        </w:rPr>
        <w:t>-FCC-</w:t>
      </w:r>
    </w:p>
    <w:sectPr w:rsidR="00731E82" w:rsidRPr="00504DA6" w:rsidSect="00153F5D">
      <w:headerReference w:type="even" r:id="rId13"/>
      <w:headerReference w:type="default" r:id="rId14"/>
      <w:footerReference w:type="even" r:id="rId15"/>
      <w:footerReference w:type="default" r:id="rId16"/>
      <w:headerReference w:type="first" r:id="rId17"/>
      <w:footerReference w:type="first" r:id="rId18"/>
      <w:pgSz w:w="12240" w:h="15840" w:code="1"/>
      <w:pgMar w:top="1170" w:right="1440" w:bottom="720" w:left="1440" w:header="720" w:footer="5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38" w:rsidRDefault="005C3538">
      <w:r>
        <w:separator/>
      </w:r>
    </w:p>
  </w:endnote>
  <w:endnote w:type="continuationSeparator" w:id="0">
    <w:p w:rsidR="005C3538" w:rsidRDefault="005C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82" w:rsidRDefault="0073209F">
    <w:pPr>
      <w:pStyle w:val="Footer"/>
      <w:framePr w:wrap="around" w:vAnchor="text" w:hAnchor="margin" w:xAlign="center" w:y="1"/>
      <w:rPr>
        <w:rStyle w:val="PageNumber"/>
      </w:rPr>
    </w:pPr>
    <w:r>
      <w:rPr>
        <w:rStyle w:val="PageNumber"/>
      </w:rPr>
      <w:fldChar w:fldCharType="begin"/>
    </w:r>
    <w:r w:rsidR="003564F5">
      <w:rPr>
        <w:rStyle w:val="PageNumber"/>
      </w:rPr>
      <w:instrText xml:space="preserve">PAGE  </w:instrText>
    </w:r>
    <w:r>
      <w:rPr>
        <w:rStyle w:val="PageNumber"/>
      </w:rPr>
      <w:fldChar w:fldCharType="separate"/>
    </w:r>
    <w:r w:rsidR="003564F5">
      <w:rPr>
        <w:rStyle w:val="PageNumber"/>
        <w:noProof/>
      </w:rPr>
      <w:t>1</w:t>
    </w:r>
    <w:r>
      <w:rPr>
        <w:rStyle w:val="PageNumber"/>
      </w:rPr>
      <w:fldChar w:fldCharType="end"/>
    </w:r>
  </w:p>
  <w:p w:rsidR="00731E82" w:rsidRDefault="00731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82" w:rsidRDefault="0073209F">
    <w:pPr>
      <w:pStyle w:val="Footer"/>
      <w:framePr w:wrap="around" w:vAnchor="text" w:hAnchor="margin" w:xAlign="center" w:y="1"/>
      <w:rPr>
        <w:rStyle w:val="PageNumber"/>
      </w:rPr>
    </w:pPr>
    <w:r>
      <w:rPr>
        <w:rStyle w:val="PageNumber"/>
      </w:rPr>
      <w:fldChar w:fldCharType="begin"/>
    </w:r>
    <w:r w:rsidR="003564F5">
      <w:rPr>
        <w:rStyle w:val="PageNumber"/>
      </w:rPr>
      <w:instrText xml:space="preserve">PAGE  </w:instrText>
    </w:r>
    <w:r>
      <w:rPr>
        <w:rStyle w:val="PageNumber"/>
      </w:rPr>
      <w:fldChar w:fldCharType="separate"/>
    </w:r>
    <w:r w:rsidR="00365FE8">
      <w:rPr>
        <w:rStyle w:val="PageNumber"/>
        <w:noProof/>
      </w:rPr>
      <w:t>2</w:t>
    </w:r>
    <w:r>
      <w:rPr>
        <w:rStyle w:val="PageNumber"/>
      </w:rPr>
      <w:fldChar w:fldCharType="end"/>
    </w:r>
  </w:p>
  <w:p w:rsidR="00731E82" w:rsidRDefault="00731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82" w:rsidRDefault="0073209F">
    <w:pPr>
      <w:pStyle w:val="Footer"/>
      <w:jc w:val="center"/>
    </w:pPr>
    <w:r>
      <w:fldChar w:fldCharType="begin"/>
    </w:r>
    <w:r w:rsidR="003564F5">
      <w:instrText xml:space="preserve"> PAGE   \* MERGEFORMAT </w:instrText>
    </w:r>
    <w:r>
      <w:fldChar w:fldCharType="separate"/>
    </w:r>
    <w:r w:rsidR="00365FE8">
      <w:rPr>
        <w:noProof/>
      </w:rPr>
      <w:t>1</w:t>
    </w:r>
    <w:r>
      <w:rPr>
        <w:noProof/>
      </w:rPr>
      <w:fldChar w:fldCharType="end"/>
    </w:r>
  </w:p>
  <w:p w:rsidR="00731E82" w:rsidRDefault="00731E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38" w:rsidRDefault="005C3538">
      <w:r>
        <w:separator/>
      </w:r>
    </w:p>
  </w:footnote>
  <w:footnote w:type="continuationSeparator" w:id="0">
    <w:p w:rsidR="005C3538" w:rsidRDefault="005C3538">
      <w:r>
        <w:continuationSeparator/>
      </w:r>
    </w:p>
  </w:footnote>
  <w:footnote w:id="1">
    <w:p w:rsidR="00112C43" w:rsidRPr="00C850BD" w:rsidRDefault="00112C43" w:rsidP="00112C43">
      <w:pPr>
        <w:pStyle w:val="FootnoteText"/>
      </w:pPr>
      <w:r>
        <w:rPr>
          <w:rStyle w:val="FootnoteReference"/>
        </w:rPr>
        <w:footnoteRef/>
      </w:r>
      <w:r>
        <w:t xml:space="preserve"> </w:t>
      </w:r>
      <w:r w:rsidRPr="00C850BD">
        <w:rPr>
          <w:i/>
        </w:rPr>
        <w:t xml:space="preserve">Incentive Auction Task Force </w:t>
      </w:r>
      <w:r>
        <w:rPr>
          <w:i/>
        </w:rPr>
        <w:t>Reschedules</w:t>
      </w:r>
      <w:r w:rsidRPr="00C850BD">
        <w:rPr>
          <w:i/>
        </w:rPr>
        <w:t xml:space="preserve"> Workshop to Discuss Unlicensed Spectrum Issues</w:t>
      </w:r>
      <w:r>
        <w:t>, Public Notice</w:t>
      </w:r>
      <w:r w:rsidRPr="00112C43">
        <w:t xml:space="preserve">, DA </w:t>
      </w:r>
      <w:r w:rsidRPr="00112C43">
        <w:rPr>
          <w:szCs w:val="22"/>
        </w:rPr>
        <w:t>13-2028</w:t>
      </w:r>
      <w:r w:rsidRPr="00112C43">
        <w:t xml:space="preserve"> (October</w:t>
      </w:r>
      <w:r>
        <w:t xml:space="preserve"> 18, 2013).</w:t>
      </w:r>
      <w:r w:rsidRPr="00C850B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1E" w:rsidRDefault="00637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1E" w:rsidRDefault="00637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82" w:rsidRDefault="003564F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6833AB">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E82" w:rsidRDefault="003564F5">
                          <w:pPr>
                            <w:rPr>
                              <w:rFonts w:ascii="Arial" w:hAnsi="Arial"/>
                              <w:b/>
                            </w:rPr>
                          </w:pPr>
                          <w:r>
                            <w:rPr>
                              <w:rFonts w:ascii="Arial" w:hAnsi="Arial"/>
                              <w:b/>
                            </w:rPr>
                            <w:t>Federal Communications Commission</w:t>
                          </w:r>
                        </w:p>
                        <w:p w:rsidR="00731E82" w:rsidRDefault="003564F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731E82" w:rsidRDefault="003564F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731E82" w:rsidRDefault="003564F5">
                    <w:pPr>
                      <w:rPr>
                        <w:rFonts w:ascii="Arial" w:hAnsi="Arial"/>
                        <w:b/>
                      </w:rPr>
                    </w:pPr>
                    <w:r>
                      <w:rPr>
                        <w:rFonts w:ascii="Arial" w:hAnsi="Arial"/>
                        <w:b/>
                      </w:rPr>
                      <w:t>Federal Communications Commission</w:t>
                    </w:r>
                  </w:p>
                  <w:p w:rsidR="00731E82" w:rsidRDefault="003564F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731E82" w:rsidRDefault="003564F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731E82" w:rsidRDefault="006833A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4294967295" distB="4294967295" distL="114300" distR="114300" simplePos="0" relativeHeight="251657216" behindDoc="0" locked="0" layoutInCell="0" allowOverlap="1">
              <wp:simplePos x="0" y="0"/>
              <wp:positionH relativeFrom="column">
                <wp:posOffset>-266700</wp:posOffset>
              </wp:positionH>
              <wp:positionV relativeFrom="paragraph">
                <wp:posOffset>700404</wp:posOffset>
              </wp:positionV>
              <wp:extent cx="64960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5.15pt" to="490.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54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750820"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E82" w:rsidRDefault="003564F5">
                          <w:pPr>
                            <w:spacing w:before="40"/>
                            <w:jc w:val="right"/>
                            <w:rPr>
                              <w:rFonts w:ascii="Arial" w:hAnsi="Arial"/>
                              <w:b/>
                              <w:sz w:val="16"/>
                            </w:rPr>
                          </w:pPr>
                          <w:r>
                            <w:rPr>
                              <w:rFonts w:ascii="Arial" w:hAnsi="Arial"/>
                              <w:b/>
                              <w:sz w:val="16"/>
                            </w:rPr>
                            <w:t>News Media Information 202 / 418-0500</w:t>
                          </w:r>
                        </w:p>
                        <w:p w:rsidR="00731E82" w:rsidRDefault="003564F5">
                          <w:pPr>
                            <w:jc w:val="right"/>
                            <w:rPr>
                              <w:rFonts w:ascii="Arial" w:hAnsi="Arial"/>
                              <w:b/>
                              <w:sz w:val="16"/>
                            </w:rPr>
                          </w:pPr>
                          <w:r>
                            <w:rPr>
                              <w:rFonts w:ascii="Arial" w:hAnsi="Arial"/>
                              <w:b/>
                              <w:sz w:val="16"/>
                            </w:rPr>
                            <w:tab/>
                            <w:t>Internet: http://www.fcc.gov</w:t>
                          </w:r>
                        </w:p>
                        <w:p w:rsidR="00731E82" w:rsidRDefault="003564F5">
                          <w:pPr>
                            <w:jc w:val="right"/>
                            <w:rPr>
                              <w:rFonts w:ascii="Arial" w:hAnsi="Arial"/>
                              <w:b/>
                              <w:sz w:val="16"/>
                            </w:rPr>
                          </w:pPr>
                          <w:r>
                            <w:rPr>
                              <w:rFonts w:ascii="Arial" w:hAnsi="Arial"/>
                              <w:b/>
                              <w:sz w:val="16"/>
                            </w:rPr>
                            <w:t>TTY: 1-888-835-5322</w:t>
                          </w:r>
                        </w:p>
                        <w:p w:rsidR="00731E82" w:rsidRDefault="00731E8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6pt;width:216.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" stroked="f">
              <v:textbox inset=",0,,0">
                <w:txbxContent>
                  <w:p w:rsidR="00731E82" w:rsidRDefault="003564F5">
                    <w:pPr>
                      <w:spacing w:before="40"/>
                      <w:jc w:val="right"/>
                      <w:rPr>
                        <w:rFonts w:ascii="Arial" w:hAnsi="Arial"/>
                        <w:b/>
                        <w:sz w:val="16"/>
                      </w:rPr>
                    </w:pPr>
                    <w:r>
                      <w:rPr>
                        <w:rFonts w:ascii="Arial" w:hAnsi="Arial"/>
                        <w:b/>
                        <w:sz w:val="16"/>
                      </w:rPr>
                      <w:t>News Media Information 202 / 418-0500</w:t>
                    </w:r>
                  </w:p>
                  <w:p w:rsidR="00731E82" w:rsidRDefault="003564F5">
                    <w:pPr>
                      <w:jc w:val="right"/>
                      <w:rPr>
                        <w:rFonts w:ascii="Arial" w:hAnsi="Arial"/>
                        <w:b/>
                        <w:sz w:val="16"/>
                      </w:rPr>
                    </w:pPr>
                    <w:r>
                      <w:rPr>
                        <w:rFonts w:ascii="Arial" w:hAnsi="Arial"/>
                        <w:b/>
                        <w:sz w:val="16"/>
                      </w:rPr>
                      <w:tab/>
                      <w:t>Internet: http://www.fcc.gov</w:t>
                    </w:r>
                  </w:p>
                  <w:p w:rsidR="00731E82" w:rsidRDefault="003564F5">
                    <w:pPr>
                      <w:jc w:val="right"/>
                      <w:rPr>
                        <w:rFonts w:ascii="Arial" w:hAnsi="Arial"/>
                        <w:b/>
                        <w:sz w:val="16"/>
                      </w:rPr>
                    </w:pPr>
                    <w:r>
                      <w:rPr>
                        <w:rFonts w:ascii="Arial" w:hAnsi="Arial"/>
                        <w:b/>
                        <w:sz w:val="16"/>
                      </w:rPr>
                      <w:t>TTY: 1-888-835-5322</w:t>
                    </w:r>
                  </w:p>
                  <w:p w:rsidR="00731E82" w:rsidRDefault="00731E82">
                    <w:pPr>
                      <w:jc w:val="right"/>
                    </w:pPr>
                  </w:p>
                </w:txbxContent>
              </v:textbox>
            </v:shape>
          </w:pict>
        </mc:Fallback>
      </mc:AlternateContent>
    </w:r>
  </w:p>
  <w:p w:rsidR="00731E82" w:rsidRDefault="00731E8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453E2B3B"/>
    <w:multiLevelType w:val="hybridMultilevel"/>
    <w:tmpl w:val="CB0A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C521C"/>
    <w:multiLevelType w:val="hybridMultilevel"/>
    <w:tmpl w:val="89C2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C60DA"/>
    <w:multiLevelType w:val="hybridMultilevel"/>
    <w:tmpl w:val="C3E4B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A984B52"/>
    <w:multiLevelType w:val="hybridMultilevel"/>
    <w:tmpl w:val="89B8C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9"/>
  </w:num>
  <w:num w:numId="3">
    <w:abstractNumId w:val="12"/>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2"/>
  </w:num>
  <w:num w:numId="13">
    <w:abstractNumId w:val="7"/>
  </w:num>
  <w:num w:numId="14">
    <w:abstractNumId w:val="0"/>
  </w:num>
  <w:num w:numId="15">
    <w:abstractNumId w:val="13"/>
  </w:num>
  <w:num w:numId="16">
    <w:abstractNumId w:val="5"/>
  </w:num>
  <w:num w:numId="17">
    <w:abstractNumId w:val="11"/>
  </w:num>
  <w:num w:numId="1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F5"/>
    <w:rsid w:val="00003FAD"/>
    <w:rsid w:val="000131CF"/>
    <w:rsid w:val="00016B99"/>
    <w:rsid w:val="000925CA"/>
    <w:rsid w:val="000B7250"/>
    <w:rsid w:val="000E4AC4"/>
    <w:rsid w:val="00112C43"/>
    <w:rsid w:val="00134B13"/>
    <w:rsid w:val="00153F5D"/>
    <w:rsid w:val="00160116"/>
    <w:rsid w:val="00184354"/>
    <w:rsid w:val="00197EE1"/>
    <w:rsid w:val="001B0A1B"/>
    <w:rsid w:val="001C46B9"/>
    <w:rsid w:val="00203655"/>
    <w:rsid w:val="0022515F"/>
    <w:rsid w:val="00250D3C"/>
    <w:rsid w:val="0026158E"/>
    <w:rsid w:val="00293312"/>
    <w:rsid w:val="002A1B41"/>
    <w:rsid w:val="002F2398"/>
    <w:rsid w:val="00341067"/>
    <w:rsid w:val="003564F5"/>
    <w:rsid w:val="00365FE8"/>
    <w:rsid w:val="00374E5A"/>
    <w:rsid w:val="003F3BCA"/>
    <w:rsid w:val="00405959"/>
    <w:rsid w:val="004361E0"/>
    <w:rsid w:val="0044753A"/>
    <w:rsid w:val="00495592"/>
    <w:rsid w:val="00495A4E"/>
    <w:rsid w:val="004F6CD4"/>
    <w:rsid w:val="00504DA6"/>
    <w:rsid w:val="00515CBA"/>
    <w:rsid w:val="00516ED7"/>
    <w:rsid w:val="0059608F"/>
    <w:rsid w:val="005B3588"/>
    <w:rsid w:val="005C3538"/>
    <w:rsid w:val="005D3084"/>
    <w:rsid w:val="005F0FC7"/>
    <w:rsid w:val="00637C1E"/>
    <w:rsid w:val="006428B4"/>
    <w:rsid w:val="0067125F"/>
    <w:rsid w:val="00672EE6"/>
    <w:rsid w:val="00682279"/>
    <w:rsid w:val="006833AB"/>
    <w:rsid w:val="006B0CDC"/>
    <w:rsid w:val="006C1E45"/>
    <w:rsid w:val="006C4B98"/>
    <w:rsid w:val="006D074B"/>
    <w:rsid w:val="006F2611"/>
    <w:rsid w:val="006F63D7"/>
    <w:rsid w:val="0070435A"/>
    <w:rsid w:val="0071098C"/>
    <w:rsid w:val="00731E82"/>
    <w:rsid w:val="0073209F"/>
    <w:rsid w:val="00747BF2"/>
    <w:rsid w:val="0078091D"/>
    <w:rsid w:val="00783649"/>
    <w:rsid w:val="007C0A80"/>
    <w:rsid w:val="007D5F36"/>
    <w:rsid w:val="007E096B"/>
    <w:rsid w:val="008506B4"/>
    <w:rsid w:val="008766CE"/>
    <w:rsid w:val="008A2314"/>
    <w:rsid w:val="008D24F5"/>
    <w:rsid w:val="008D3FF5"/>
    <w:rsid w:val="008F6618"/>
    <w:rsid w:val="00945B4C"/>
    <w:rsid w:val="00AB46EC"/>
    <w:rsid w:val="00B40FE4"/>
    <w:rsid w:val="00B55D3E"/>
    <w:rsid w:val="00BA4E2A"/>
    <w:rsid w:val="00BB6F9A"/>
    <w:rsid w:val="00BE1AB0"/>
    <w:rsid w:val="00C04C1F"/>
    <w:rsid w:val="00C23C73"/>
    <w:rsid w:val="00C701E3"/>
    <w:rsid w:val="00C83873"/>
    <w:rsid w:val="00C97D96"/>
    <w:rsid w:val="00CC6488"/>
    <w:rsid w:val="00CD438E"/>
    <w:rsid w:val="00D272F8"/>
    <w:rsid w:val="00D923B6"/>
    <w:rsid w:val="00E107AD"/>
    <w:rsid w:val="00E404FD"/>
    <w:rsid w:val="00E60D83"/>
    <w:rsid w:val="00E63AA6"/>
    <w:rsid w:val="00E82ABF"/>
    <w:rsid w:val="00E97C5B"/>
    <w:rsid w:val="00EC515D"/>
    <w:rsid w:val="00EF7648"/>
    <w:rsid w:val="00F25397"/>
    <w:rsid w:val="00F81A71"/>
    <w:rsid w:val="00FC39CE"/>
    <w:rsid w:val="00FE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
    <w:uiPriority w:val="99"/>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pPr>
      <w:widowControl w:val="0"/>
      <w:spacing w:after="220"/>
      <w:jc w:val="both"/>
    </w:pPr>
    <w:rPr>
      <w:snapToGrid w:val="0"/>
      <w:kern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 w:type="paragraph" w:styleId="ListParagraph">
    <w:name w:val="List Paragraph"/>
    <w:basedOn w:val="Normal"/>
    <w:uiPriority w:val="34"/>
    <w:qFormat/>
    <w:rsid w:val="00D923B6"/>
    <w:pPr>
      <w:ind w:left="720"/>
    </w:pPr>
    <w:rPr>
      <w:rFonts w:ascii="Calibri" w:hAnsi="Calibri" w:cs="Calibri"/>
      <w:szCs w:val="22"/>
    </w:rPr>
  </w:style>
  <w:style w:type="character" w:customStyle="1" w:styleId="FootnoteTextChar2Char1CharChar">
    <w:name w:val="Footnote Text Char2 Char1 Char Char"/>
    <w:aliases w:val="Footnote Text Char1 Char Char Char Char,Footnote Text Char Char Char Char Char Char,Footnote Text Char2 Char Char Char Char Char Char"/>
    <w:basedOn w:val="DefaultParagraphFont"/>
    <w:uiPriority w:val="99"/>
    <w:locked/>
    <w:rsid w:val="00112C43"/>
    <w:rPr>
      <w:rFonts w:cs="Times New Roman"/>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
    <w:uiPriority w:val="99"/>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pPr>
      <w:widowControl w:val="0"/>
      <w:spacing w:after="220"/>
      <w:jc w:val="both"/>
    </w:pPr>
    <w:rPr>
      <w:snapToGrid w:val="0"/>
      <w:kern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 w:type="paragraph" w:styleId="ListParagraph">
    <w:name w:val="List Paragraph"/>
    <w:basedOn w:val="Normal"/>
    <w:uiPriority w:val="34"/>
    <w:qFormat/>
    <w:rsid w:val="00D923B6"/>
    <w:pPr>
      <w:ind w:left="720"/>
    </w:pPr>
    <w:rPr>
      <w:rFonts w:ascii="Calibri" w:hAnsi="Calibri" w:cs="Calibri"/>
      <w:szCs w:val="22"/>
    </w:rPr>
  </w:style>
  <w:style w:type="character" w:customStyle="1" w:styleId="FootnoteTextChar2Char1CharChar">
    <w:name w:val="Footnote Text Char2 Char1 Char Char"/>
    <w:aliases w:val="Footnote Text Char1 Char Char Char Char,Footnote Text Char Char Char Char Char Char,Footnote Text Char2 Char Char Char Char Char Char"/>
    <w:basedOn w:val="DefaultParagraphFont"/>
    <w:uiPriority w:val="99"/>
    <w:locked/>
    <w:rsid w:val="00112C43"/>
    <w:rPr>
      <w:rFonts w:cs="Times New Roman"/>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493">
      <w:bodyDiv w:val="1"/>
      <w:marLeft w:val="0"/>
      <w:marRight w:val="0"/>
      <w:marTop w:val="0"/>
      <w:marBottom w:val="0"/>
      <w:divBdr>
        <w:top w:val="none" w:sz="0" w:space="0" w:color="auto"/>
        <w:left w:val="none" w:sz="0" w:space="0" w:color="auto"/>
        <w:bottom w:val="none" w:sz="0" w:space="0" w:color="auto"/>
        <w:right w:val="none" w:sz="0" w:space="0" w:color="auto"/>
      </w:divBdr>
    </w:div>
    <w:div w:id="269243456">
      <w:bodyDiv w:val="1"/>
      <w:marLeft w:val="0"/>
      <w:marRight w:val="0"/>
      <w:marTop w:val="0"/>
      <w:marBottom w:val="0"/>
      <w:divBdr>
        <w:top w:val="none" w:sz="0" w:space="0" w:color="auto"/>
        <w:left w:val="none" w:sz="0" w:space="0" w:color="auto"/>
        <w:bottom w:val="none" w:sz="0" w:space="0" w:color="auto"/>
        <w:right w:val="none" w:sz="0" w:space="0" w:color="auto"/>
      </w:divBdr>
    </w:div>
    <w:div w:id="532352001">
      <w:bodyDiv w:val="1"/>
      <w:marLeft w:val="0"/>
      <w:marRight w:val="0"/>
      <w:marTop w:val="0"/>
      <w:marBottom w:val="0"/>
      <w:divBdr>
        <w:top w:val="none" w:sz="0" w:space="0" w:color="auto"/>
        <w:left w:val="none" w:sz="0" w:space="0" w:color="auto"/>
        <w:bottom w:val="none" w:sz="0" w:space="0" w:color="auto"/>
        <w:right w:val="none" w:sz="0" w:space="0" w:color="auto"/>
      </w:divBdr>
    </w:div>
    <w:div w:id="699355402">
      <w:bodyDiv w:val="1"/>
      <w:marLeft w:val="0"/>
      <w:marRight w:val="0"/>
      <w:marTop w:val="0"/>
      <w:marBottom w:val="0"/>
      <w:divBdr>
        <w:top w:val="none" w:sz="0" w:space="0" w:color="auto"/>
        <w:left w:val="none" w:sz="0" w:space="0" w:color="auto"/>
        <w:bottom w:val="none" w:sz="0" w:space="0" w:color="auto"/>
        <w:right w:val="none" w:sz="0" w:space="0" w:color="auto"/>
      </w:divBdr>
    </w:div>
    <w:div w:id="741294666">
      <w:bodyDiv w:val="1"/>
      <w:marLeft w:val="0"/>
      <w:marRight w:val="0"/>
      <w:marTop w:val="0"/>
      <w:marBottom w:val="0"/>
      <w:divBdr>
        <w:top w:val="none" w:sz="0" w:space="0" w:color="auto"/>
        <w:left w:val="none" w:sz="0" w:space="0" w:color="auto"/>
        <w:bottom w:val="none" w:sz="0" w:space="0" w:color="auto"/>
        <w:right w:val="none" w:sz="0" w:space="0" w:color="auto"/>
      </w:divBdr>
    </w:div>
    <w:div w:id="801775054">
      <w:bodyDiv w:val="1"/>
      <w:marLeft w:val="0"/>
      <w:marRight w:val="0"/>
      <w:marTop w:val="0"/>
      <w:marBottom w:val="0"/>
      <w:divBdr>
        <w:top w:val="none" w:sz="0" w:space="0" w:color="auto"/>
        <w:left w:val="none" w:sz="0" w:space="0" w:color="auto"/>
        <w:bottom w:val="none" w:sz="0" w:space="0" w:color="auto"/>
        <w:right w:val="none" w:sz="0" w:space="0" w:color="auto"/>
      </w:divBdr>
    </w:div>
    <w:div w:id="1301812658">
      <w:bodyDiv w:val="1"/>
      <w:marLeft w:val="0"/>
      <w:marRight w:val="0"/>
      <w:marTop w:val="0"/>
      <w:marBottom w:val="0"/>
      <w:divBdr>
        <w:top w:val="none" w:sz="0" w:space="0" w:color="auto"/>
        <w:left w:val="none" w:sz="0" w:space="0" w:color="auto"/>
        <w:bottom w:val="none" w:sz="0" w:space="0" w:color="auto"/>
        <w:right w:val="none" w:sz="0" w:space="0" w:color="auto"/>
      </w:divBdr>
    </w:div>
    <w:div w:id="1491017050">
      <w:bodyDiv w:val="1"/>
      <w:marLeft w:val="0"/>
      <w:marRight w:val="0"/>
      <w:marTop w:val="0"/>
      <w:marBottom w:val="0"/>
      <w:divBdr>
        <w:top w:val="none" w:sz="0" w:space="0" w:color="auto"/>
        <w:left w:val="none" w:sz="0" w:space="0" w:color="auto"/>
        <w:bottom w:val="none" w:sz="0" w:space="0" w:color="auto"/>
        <w:right w:val="none" w:sz="0" w:space="0" w:color="auto"/>
      </w:divBdr>
    </w:div>
    <w:div w:id="1985112035">
      <w:bodyDiv w:val="1"/>
      <w:marLeft w:val="0"/>
      <w:marRight w:val="0"/>
      <w:marTop w:val="0"/>
      <w:marBottom w:val="0"/>
      <w:divBdr>
        <w:top w:val="none" w:sz="0" w:space="0" w:color="auto"/>
        <w:left w:val="none" w:sz="0" w:space="0" w:color="auto"/>
        <w:bottom w:val="none" w:sz="0" w:space="0" w:color="auto"/>
        <w:right w:val="none" w:sz="0" w:space="0" w:color="auto"/>
      </w:divBdr>
    </w:div>
    <w:div w:id="200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lear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cilia.sulhoff@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ul.murray@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3559</Characters>
  <Application>Microsoft Office Word</Application>
  <DocSecurity>0</DocSecurity>
  <Lines>88</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2011-10-24T14:29:00Z</cp:lastPrinted>
  <dcterms:created xsi:type="dcterms:W3CDTF">2013-10-30T19:44:00Z</dcterms:created>
  <dcterms:modified xsi:type="dcterms:W3CDTF">2013-10-30T19:44:00Z</dcterms:modified>
  <cp:category> </cp:category>
  <cp:contentStatus> </cp:contentStatus>
</cp:coreProperties>
</file>