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02" w:rsidRPr="009737B9" w:rsidRDefault="00823102" w:rsidP="009737B9">
      <w:pPr>
        <w:pStyle w:val="BalloonText"/>
        <w:jc w:val="center"/>
        <w:rPr>
          <w:rFonts w:ascii="Times New Roman Bold" w:hAnsi="Times New Roman Bold"/>
          <w:b/>
          <w:bCs/>
          <w:szCs w:val="22"/>
        </w:rPr>
      </w:pPr>
      <w:bookmarkStart w:id="0" w:name="_GoBack"/>
      <w:bookmarkEnd w:id="0"/>
      <w:r w:rsidRPr="009737B9">
        <w:rPr>
          <w:rFonts w:ascii="Times New Roman Bold" w:hAnsi="Times New Roman Bold" w:cs="Times New Roman"/>
          <w:b/>
          <w:bCs/>
          <w:sz w:val="22"/>
          <w:szCs w:val="22"/>
        </w:rPr>
        <w:t>Before the</w:t>
      </w:r>
    </w:p>
    <w:p w:rsidR="00823102" w:rsidRDefault="00823102">
      <w:pPr>
        <w:pStyle w:val="StyleBoldCentered"/>
        <w:widowControl/>
      </w:pPr>
      <w:r>
        <w:t>F</w:t>
      </w:r>
      <w:r>
        <w:rPr>
          <w:caps w:val="0"/>
        </w:rPr>
        <w:t>ederal Communications Commission</w:t>
      </w:r>
    </w:p>
    <w:p w:rsidR="00823102" w:rsidRDefault="00823102">
      <w:pPr>
        <w:pStyle w:val="StyleBoldCentered"/>
        <w:widowControl/>
      </w:pPr>
      <w:smartTag w:uri="urn:schemas-microsoft-com:office:smarttags" w:element="City">
        <w:smartTag w:uri="urn:schemas-microsoft-com:office:smarttags" w:element="place">
          <w:r>
            <w:rPr>
              <w:caps w:val="0"/>
            </w:rPr>
            <w:t>Washington</w:t>
          </w:r>
        </w:smartTag>
        <w:r>
          <w:rPr>
            <w:caps w:val="0"/>
          </w:rPr>
          <w:t xml:space="preserve">, </w:t>
        </w:r>
        <w:smartTag w:uri="urn:schemas-microsoft-com:office:smarttags" w:element="State">
          <w:r>
            <w:rPr>
              <w:caps w:val="0"/>
            </w:rPr>
            <w:t>D.C.</w:t>
          </w:r>
        </w:smartTag>
        <w:r>
          <w:rPr>
            <w:caps w:val="0"/>
          </w:rPr>
          <w:t xml:space="preserve"> </w:t>
        </w:r>
        <w:smartTag w:uri="urn:schemas-microsoft-com:office:smarttags" w:element="PostalCode">
          <w:r>
            <w:rPr>
              <w:caps w:val="0"/>
            </w:rPr>
            <w:t>20554</w:t>
          </w:r>
        </w:smartTag>
      </w:smartTag>
    </w:p>
    <w:p w:rsidR="00823102" w:rsidRDefault="00823102">
      <w:pPr>
        <w:widowControl/>
      </w:pPr>
    </w:p>
    <w:tbl>
      <w:tblPr>
        <w:tblW w:w="0" w:type="auto"/>
        <w:tblLayout w:type="fixed"/>
        <w:tblLook w:val="0000" w:firstRow="0" w:lastRow="0" w:firstColumn="0" w:lastColumn="0" w:noHBand="0" w:noVBand="0"/>
      </w:tblPr>
      <w:tblGrid>
        <w:gridCol w:w="4698"/>
        <w:gridCol w:w="630"/>
        <w:gridCol w:w="4248"/>
      </w:tblGrid>
      <w:tr w:rsidR="00823102">
        <w:tc>
          <w:tcPr>
            <w:tcW w:w="4698" w:type="dxa"/>
          </w:tcPr>
          <w:p w:rsidR="00823102" w:rsidRDefault="00823102">
            <w:pPr>
              <w:widowControl/>
              <w:tabs>
                <w:tab w:val="center" w:pos="4680"/>
              </w:tabs>
              <w:suppressAutoHyphens/>
            </w:pPr>
            <w:r>
              <w:t>In the Matter of</w:t>
            </w:r>
          </w:p>
          <w:p w:rsidR="00823102" w:rsidRDefault="00823102">
            <w:pPr>
              <w:widowControl/>
              <w:tabs>
                <w:tab w:val="center" w:pos="4680"/>
              </w:tabs>
              <w:suppressAutoHyphens/>
            </w:pPr>
          </w:p>
          <w:p w:rsidR="00823102" w:rsidRDefault="00823102">
            <w:pPr>
              <w:widowControl/>
              <w:tabs>
                <w:tab w:val="center" w:pos="4680"/>
              </w:tabs>
              <w:suppressAutoHyphens/>
            </w:pPr>
            <w:smartTag w:uri="urn:schemas-microsoft-com:office:smarttags" w:element="City">
              <w:r>
                <w:t>Richfield</w:t>
              </w:r>
            </w:smartTag>
            <w:r>
              <w:t xml:space="preserve"> Electronics (</w:t>
            </w:r>
            <w:smartTag w:uri="urn:schemas-microsoft-com:office:smarttags" w:element="country-region">
              <w:smartTag w:uri="urn:schemas-microsoft-com:office:smarttags" w:element="place">
                <w:r>
                  <w:t>China</w:t>
                </w:r>
              </w:smartTag>
            </w:smartTag>
            <w:r>
              <w:t>) Ltd.</w:t>
            </w:r>
          </w:p>
          <w:p w:rsidR="00823102" w:rsidRDefault="00823102">
            <w:pPr>
              <w:widowControl/>
              <w:tabs>
                <w:tab w:val="center" w:pos="4680"/>
              </w:tabs>
              <w:suppressAutoHyphens/>
            </w:pPr>
          </w:p>
          <w:p w:rsidR="00823102" w:rsidRDefault="00823102">
            <w:pPr>
              <w:widowControl/>
              <w:tabs>
                <w:tab w:val="center" w:pos="4680"/>
              </w:tabs>
              <w:suppressAutoHyphens/>
            </w:pPr>
          </w:p>
        </w:tc>
        <w:tc>
          <w:tcPr>
            <w:tcW w:w="630" w:type="dxa"/>
          </w:tcPr>
          <w:p w:rsidR="00823102" w:rsidRDefault="00823102">
            <w:pPr>
              <w:widowControl/>
              <w:tabs>
                <w:tab w:val="center" w:pos="4680"/>
              </w:tabs>
              <w:suppressAutoHyphens/>
              <w:rPr>
                <w:b/>
              </w:rPr>
            </w:pPr>
            <w:r>
              <w:rPr>
                <w:b/>
              </w:rPr>
              <w:t>)</w:t>
            </w:r>
          </w:p>
          <w:p w:rsidR="00823102" w:rsidRDefault="00823102">
            <w:pPr>
              <w:widowControl/>
              <w:tabs>
                <w:tab w:val="center" w:pos="4680"/>
              </w:tabs>
              <w:suppressAutoHyphens/>
              <w:rPr>
                <w:b/>
              </w:rPr>
            </w:pPr>
            <w:r>
              <w:rPr>
                <w:b/>
              </w:rPr>
              <w:t>)</w:t>
            </w:r>
          </w:p>
          <w:p w:rsidR="00823102" w:rsidRDefault="00823102">
            <w:pPr>
              <w:widowControl/>
              <w:tabs>
                <w:tab w:val="center" w:pos="4680"/>
              </w:tabs>
              <w:suppressAutoHyphens/>
              <w:rPr>
                <w:b/>
              </w:rPr>
            </w:pPr>
            <w:r>
              <w:rPr>
                <w:b/>
              </w:rPr>
              <w:t>)</w:t>
            </w:r>
          </w:p>
          <w:p w:rsidR="00823102" w:rsidRDefault="00823102">
            <w:pPr>
              <w:widowControl/>
              <w:tabs>
                <w:tab w:val="center" w:pos="4680"/>
              </w:tabs>
              <w:suppressAutoHyphens/>
              <w:rPr>
                <w:b/>
              </w:rPr>
            </w:pPr>
            <w:r>
              <w:rPr>
                <w:b/>
              </w:rPr>
              <w:t>)</w:t>
            </w:r>
          </w:p>
          <w:p w:rsidR="00823102" w:rsidRDefault="00823102">
            <w:pPr>
              <w:widowControl/>
              <w:tabs>
                <w:tab w:val="center" w:pos="4680"/>
              </w:tabs>
              <w:suppressAutoHyphens/>
              <w:rPr>
                <w:b/>
              </w:rPr>
            </w:pPr>
            <w:r>
              <w:rPr>
                <w:b/>
              </w:rPr>
              <w:t>)</w:t>
            </w:r>
          </w:p>
          <w:p w:rsidR="00823102" w:rsidRDefault="00823102">
            <w:pPr>
              <w:widowControl/>
              <w:tabs>
                <w:tab w:val="center" w:pos="4680"/>
              </w:tabs>
              <w:suppressAutoHyphens/>
              <w:spacing w:after="240"/>
            </w:pPr>
            <w:r>
              <w:rPr>
                <w:b/>
              </w:rPr>
              <w:t>)</w:t>
            </w:r>
          </w:p>
        </w:tc>
        <w:tc>
          <w:tcPr>
            <w:tcW w:w="4248" w:type="dxa"/>
          </w:tcPr>
          <w:p w:rsidR="00823102" w:rsidRDefault="00823102" w:rsidP="009737B9">
            <w:pPr>
              <w:pStyle w:val="TOAHeading"/>
              <w:widowControl/>
              <w:tabs>
                <w:tab w:val="clear" w:pos="9360"/>
                <w:tab w:val="center" w:pos="4680"/>
              </w:tabs>
              <w:ind w:left="252"/>
              <w:rPr>
                <w:lang w:val="es-ES_tradnl"/>
              </w:rPr>
            </w:pPr>
            <w:r>
              <w:t xml:space="preserve">File No.:  </w:t>
            </w:r>
            <w:r>
              <w:rPr>
                <w:lang w:val="es-ES_tradnl"/>
              </w:rPr>
              <w:t>EB-SED-13-00008819</w:t>
            </w:r>
            <w:r>
              <w:rPr>
                <w:rStyle w:val="FootnoteReference"/>
                <w:lang w:val="es-ES_tradnl"/>
              </w:rPr>
              <w:footnoteReference w:id="2"/>
            </w:r>
          </w:p>
          <w:p w:rsidR="00823102" w:rsidRDefault="00823102" w:rsidP="009737B9">
            <w:pPr>
              <w:pStyle w:val="TOAHeading"/>
              <w:widowControl/>
              <w:tabs>
                <w:tab w:val="clear" w:pos="9360"/>
                <w:tab w:val="center" w:pos="4680"/>
              </w:tabs>
              <w:ind w:left="252"/>
              <w:rPr>
                <w:lang w:val="es-ES_tradnl"/>
              </w:rPr>
            </w:pPr>
          </w:p>
          <w:p w:rsidR="00823102" w:rsidRDefault="00823102" w:rsidP="009737B9">
            <w:pPr>
              <w:pStyle w:val="TOAHeading"/>
              <w:widowControl/>
              <w:tabs>
                <w:tab w:val="clear" w:pos="9360"/>
                <w:tab w:val="center" w:pos="4680"/>
              </w:tabs>
              <w:ind w:left="252"/>
              <w:rPr>
                <w:lang w:val="es-ES_tradnl"/>
              </w:rPr>
            </w:pPr>
            <w:r>
              <w:rPr>
                <w:lang w:val="es-ES_tradnl"/>
              </w:rPr>
              <w:t>NAL/Acct. No.:  201032100002</w:t>
            </w:r>
          </w:p>
          <w:p w:rsidR="00823102" w:rsidRDefault="00823102" w:rsidP="009737B9">
            <w:pPr>
              <w:widowControl/>
              <w:tabs>
                <w:tab w:val="center" w:pos="4680"/>
              </w:tabs>
              <w:suppressAutoHyphens/>
              <w:ind w:left="252"/>
              <w:rPr>
                <w:lang w:val="es-ES_tradnl"/>
              </w:rPr>
            </w:pPr>
          </w:p>
          <w:p w:rsidR="00823102" w:rsidRDefault="00823102" w:rsidP="009737B9">
            <w:pPr>
              <w:widowControl/>
              <w:tabs>
                <w:tab w:val="center" w:pos="4680"/>
              </w:tabs>
              <w:suppressAutoHyphens/>
              <w:ind w:left="252"/>
              <w:rPr>
                <w:lang w:val="es-ES_tradnl"/>
              </w:rPr>
            </w:pPr>
            <w:r>
              <w:rPr>
                <w:lang w:val="es-ES_tradnl"/>
              </w:rPr>
              <w:t>FRN:  0019245927</w:t>
            </w:r>
          </w:p>
          <w:p w:rsidR="00823102" w:rsidRDefault="00823102">
            <w:pPr>
              <w:widowControl/>
              <w:tabs>
                <w:tab w:val="center" w:pos="4680"/>
              </w:tabs>
              <w:suppressAutoHyphens/>
              <w:rPr>
                <w:lang w:val="es-ES_tradnl"/>
              </w:rPr>
            </w:pPr>
          </w:p>
        </w:tc>
      </w:tr>
    </w:tbl>
    <w:p w:rsidR="00823102" w:rsidRDefault="00823102">
      <w:pPr>
        <w:pStyle w:val="StyleBoldCentered"/>
        <w:widowControl/>
        <w:spacing w:after="220"/>
      </w:pPr>
      <w:r>
        <w:t>forfeiture ORDER</w:t>
      </w:r>
    </w:p>
    <w:p w:rsidR="00823102" w:rsidRDefault="00823102">
      <w:pPr>
        <w:widowControl/>
        <w:tabs>
          <w:tab w:val="left" w:pos="720"/>
          <w:tab w:val="left" w:pos="5760"/>
        </w:tabs>
        <w:suppressAutoHyphens/>
        <w:spacing w:after="220"/>
      </w:pPr>
      <w:r>
        <w:rPr>
          <w:b/>
        </w:rPr>
        <w:t xml:space="preserve">Adopted:  </w:t>
      </w:r>
      <w:r w:rsidR="009C6812">
        <w:rPr>
          <w:b/>
        </w:rPr>
        <w:t>November 1, 2013</w:t>
      </w:r>
      <w:r>
        <w:rPr>
          <w:b/>
        </w:rPr>
        <w:tab/>
      </w:r>
      <w:r>
        <w:rPr>
          <w:b/>
        </w:rPr>
        <w:tab/>
        <w:t xml:space="preserve">   Released:  </w:t>
      </w:r>
      <w:r w:rsidR="009C6812">
        <w:rPr>
          <w:b/>
        </w:rPr>
        <w:t>November 1, 2013</w:t>
      </w:r>
    </w:p>
    <w:p w:rsidR="00823102" w:rsidRDefault="00823102">
      <w:pPr>
        <w:widowControl/>
        <w:spacing w:after="220"/>
        <w:rPr>
          <w:szCs w:val="22"/>
        </w:rPr>
      </w:pPr>
      <w:r>
        <w:rPr>
          <w:szCs w:val="22"/>
        </w:rPr>
        <w:t xml:space="preserve">By the </w:t>
      </w:r>
      <w:r w:rsidR="00D91477">
        <w:rPr>
          <w:szCs w:val="22"/>
        </w:rPr>
        <w:t xml:space="preserve">Acting </w:t>
      </w:r>
      <w:r>
        <w:rPr>
          <w:szCs w:val="22"/>
        </w:rPr>
        <w:t>Chief, Enforcement Bureau:</w:t>
      </w:r>
    </w:p>
    <w:p w:rsidR="00823102" w:rsidRPr="009737B9" w:rsidRDefault="00823102">
      <w:pPr>
        <w:widowControl/>
        <w:numPr>
          <w:ilvl w:val="0"/>
          <w:numId w:val="19"/>
        </w:numPr>
        <w:tabs>
          <w:tab w:val="clear" w:pos="1080"/>
          <w:tab w:val="num" w:pos="720"/>
        </w:tabs>
        <w:spacing w:after="220"/>
        <w:ind w:left="720"/>
        <w:rPr>
          <w:b/>
        </w:rPr>
      </w:pPr>
      <w:r w:rsidRPr="009737B9">
        <w:rPr>
          <w:b/>
          <w:szCs w:val="22"/>
        </w:rPr>
        <w:t>INTRODUCTION</w:t>
      </w:r>
    </w:p>
    <w:p w:rsidR="00823102" w:rsidRDefault="00823102">
      <w:pPr>
        <w:pStyle w:val="ParaNum"/>
        <w:tabs>
          <w:tab w:val="clear" w:pos="1260"/>
        </w:tabs>
        <w:spacing w:after="220"/>
        <w:ind w:left="0"/>
      </w:pPr>
      <w:r>
        <w:t xml:space="preserve">We issue a monetary forfeiture in the amount of </w:t>
      </w:r>
      <w:r w:rsidRPr="009737B9">
        <w:t>eighteen</w:t>
      </w:r>
      <w:r>
        <w:t xml:space="preserve"> thousand dollars ($1</w:t>
      </w:r>
      <w:r w:rsidRPr="009737B9">
        <w:t>8</w:t>
      </w:r>
      <w:r>
        <w:t>,000) to Richfield Electronics (China) Ltd. (Richfield), a manufacturer of wireless electronics products based in Hong Kong, for willfully and repeatedly violating Section 302(b) of the Communications Act of 1934, as amended (Act),</w:t>
      </w:r>
      <w:r>
        <w:rPr>
          <w:rStyle w:val="FootnoteReference"/>
        </w:rPr>
        <w:footnoteReference w:id="3"/>
      </w:r>
      <w:r>
        <w:t xml:space="preserve"> and former Section 2.803(a)(1) of the Commission’s rules (Rules).</w:t>
      </w:r>
      <w:r>
        <w:rPr>
          <w:rStyle w:val="FootnoteReference"/>
        </w:rPr>
        <w:footnoteReference w:id="4"/>
      </w:r>
      <w:r>
        <w:t xml:space="preserve">  </w:t>
      </w:r>
      <w:r>
        <w:rPr>
          <w:szCs w:val="22"/>
        </w:rPr>
        <w:t xml:space="preserve">The noted violations involve </w:t>
      </w:r>
      <w:smartTag w:uri="urn:schemas-microsoft-com:office:smarttags" w:element="City">
        <w:r>
          <w:rPr>
            <w:szCs w:val="22"/>
          </w:rPr>
          <w:t>Richfield</w:t>
        </w:r>
      </w:smartTag>
      <w:r>
        <w:rPr>
          <w:szCs w:val="22"/>
        </w:rPr>
        <w:t xml:space="preserve">’s marketing of radio equipment in the </w:t>
      </w:r>
      <w:smartTag w:uri="urn:schemas-microsoft-com:office:smarttags" w:element="country-region">
        <w:smartTag w:uri="urn:schemas-microsoft-com:office:smarttags" w:element="place">
          <w:r>
            <w:rPr>
              <w:szCs w:val="22"/>
            </w:rPr>
            <w:t>United States</w:t>
          </w:r>
        </w:smartTag>
      </w:smartTag>
      <w:r>
        <w:rPr>
          <w:szCs w:val="22"/>
        </w:rPr>
        <w:t xml:space="preserve"> that did not comply with the Commission’s technical and labeling requirements.  </w:t>
      </w:r>
    </w:p>
    <w:p w:rsidR="00823102" w:rsidRDefault="00823102">
      <w:pPr>
        <w:pStyle w:val="ParaNum"/>
        <w:numPr>
          <w:ilvl w:val="0"/>
          <w:numId w:val="0"/>
        </w:numPr>
        <w:spacing w:after="220"/>
        <w:rPr>
          <w:b/>
        </w:rPr>
      </w:pPr>
      <w:r>
        <w:rPr>
          <w:b/>
          <w:szCs w:val="22"/>
        </w:rPr>
        <w:t xml:space="preserve">II.  </w:t>
      </w:r>
      <w:r>
        <w:rPr>
          <w:b/>
          <w:szCs w:val="22"/>
        </w:rPr>
        <w:tab/>
        <w:t>BACKGROUND</w:t>
      </w:r>
    </w:p>
    <w:p w:rsidR="00823102" w:rsidRDefault="00823102">
      <w:pPr>
        <w:pStyle w:val="ParaNum"/>
        <w:widowControl/>
        <w:tabs>
          <w:tab w:val="clear" w:pos="1260"/>
        </w:tabs>
        <w:spacing w:after="220"/>
        <w:ind w:left="0"/>
      </w:pPr>
      <w:r>
        <w:t xml:space="preserve">On October 29, 2009, the Enforcement Bureau’s Spectrum Enforcement Division (Division) released a </w:t>
      </w:r>
      <w:r>
        <w:rPr>
          <w:i/>
        </w:rPr>
        <w:t>Notice of Apparent Liability for Forfeiture</w:t>
      </w:r>
      <w:r>
        <w:t xml:space="preserve"> (</w:t>
      </w:r>
      <w:r>
        <w:rPr>
          <w:i/>
        </w:rPr>
        <w:t>NAL</w:t>
      </w:r>
      <w:r>
        <w:t>)</w:t>
      </w:r>
      <w:r>
        <w:rPr>
          <w:rStyle w:val="FootnoteReference"/>
        </w:rPr>
        <w:footnoteReference w:id="5"/>
      </w:r>
      <w:r>
        <w:t xml:space="preserve"> against Richfield in the amount of $18,000 for its apparent willful and repeated violations of Section 302(b) of the Act and former Section 2.803(a)(l) of the Rules, by </w:t>
      </w:r>
      <w:r>
        <w:rPr>
          <w:szCs w:val="22"/>
        </w:rPr>
        <w:t>marketing in the United States an intentional radiator</w:t>
      </w:r>
      <w:r>
        <w:rPr>
          <w:rStyle w:val="FootnoteReference"/>
          <w:szCs w:val="22"/>
        </w:rPr>
        <w:footnoteReference w:id="6"/>
      </w:r>
      <w:r>
        <w:rPr>
          <w:szCs w:val="22"/>
        </w:rPr>
        <w:t xml:space="preserve"> (i.e., the </w:t>
      </w:r>
      <w:r>
        <w:t xml:space="preserve">Whole House FM Transmitter (WH Transmitter)) </w:t>
      </w:r>
      <w:r>
        <w:rPr>
          <w:szCs w:val="22"/>
        </w:rPr>
        <w:t>that did not comply with the emission limit specified in Section 15.239(b) and the labeling requirements set forth in Section 2.925(a)(1) of the Rules.</w:t>
      </w:r>
      <w:r>
        <w:rPr>
          <w:rStyle w:val="FootnoteReference"/>
          <w:szCs w:val="22"/>
        </w:rPr>
        <w:footnoteReference w:id="7"/>
      </w:r>
      <w:r>
        <w:t xml:space="preserve">  The record evidence showed that </w:t>
      </w:r>
      <w:smartTag w:uri="urn:schemas-microsoft-com:office:smarttags" w:element="City">
        <w:r>
          <w:t>Richfield</w:t>
        </w:r>
      </w:smartTag>
      <w:r>
        <w:t xml:space="preserve"> manufactured the WH Transmitter and shipped a total of 18,371 units of </w:t>
      </w:r>
      <w:r>
        <w:lastRenderedPageBreak/>
        <w:t xml:space="preserve">the transmitter to a Michigan-based company, TAW-Global, LLC (TAW), a seller and distributor of the transmitters in the </w:t>
      </w:r>
      <w:smartTag w:uri="urn:schemas-microsoft-com:office:smarttags" w:element="country-region">
        <w:smartTag w:uri="urn:schemas-microsoft-com:office:smarttags" w:element="place">
          <w:r>
            <w:t>United States</w:t>
          </w:r>
        </w:smartTag>
      </w:smartTag>
      <w:r>
        <w:t>.</w:t>
      </w:r>
      <w:r>
        <w:rPr>
          <w:rStyle w:val="FootnoteReference"/>
        </w:rPr>
        <w:footnoteReference w:id="8"/>
      </w:r>
      <w:r>
        <w:t xml:space="preserve">  Although </w:t>
      </w:r>
      <w:smartTag w:uri="urn:schemas-microsoft-com:office:smarttags" w:element="City">
        <w:r>
          <w:t>Richfield</w:t>
        </w:r>
      </w:smartTag>
      <w:r>
        <w:t xml:space="preserve"> received FCC certification for the transmitter in 2002, </w:t>
      </w:r>
      <w:smartTag w:uri="urn:schemas-microsoft-com:office:smarttags" w:element="City">
        <w:r>
          <w:t>Richfield</w:t>
        </w:r>
      </w:smartTag>
      <w:r>
        <w:t xml:space="preserve"> later modified the device’s antenna in an attempt (according to </w:t>
      </w:r>
      <w:smartTag w:uri="urn:schemas-microsoft-com:office:smarttags" w:element="City">
        <w:smartTag w:uri="urn:schemas-microsoft-com:office:smarttags" w:element="place">
          <w:r>
            <w:t>Richfield</w:t>
          </w:r>
        </w:smartTag>
      </w:smartTag>
      <w:r>
        <w:t>) to improve sound quality, but, in so doing, rendered the device noncompliant with the FCC’s Rules and its authorization.  In this regard, the Division found that the WH Transmitter, which operates in the 106.7–107.9 MHz frequency band, substantially exceeded the emission limit set forth in Section 15.239(b) of the Rules.</w:t>
      </w:r>
      <w:r>
        <w:rPr>
          <w:rStyle w:val="FootnoteReference"/>
        </w:rPr>
        <w:footnoteReference w:id="9"/>
      </w:r>
      <w:r>
        <w:t xml:space="preserve">  Although </w:t>
      </w:r>
      <w:smartTag w:uri="urn:schemas-microsoft-com:office:smarttags" w:element="City">
        <w:smartTag w:uri="urn:schemas-microsoft-com:office:smarttags" w:element="place">
          <w:r>
            <w:t>Richfield</w:t>
          </w:r>
        </w:smartTag>
      </w:smartTag>
      <w:r>
        <w:t xml:space="preserve"> could not quantify the precise number of noncompliant transmitters that it sold and shipped to TAW, it concedes that at least 2,500 transmitters had the modified antenna.</w:t>
      </w:r>
      <w:r>
        <w:rPr>
          <w:rStyle w:val="FootnoteReference"/>
        </w:rPr>
        <w:footnoteReference w:id="10"/>
      </w:r>
      <w:r>
        <w:t xml:space="preserve">  Furthermore, in addition to the emission limit violation, the Division found that the devices that were available prior to December 2008 were not labeled in accordance with Section 2.925(a)(1) of the Rules.</w:t>
      </w:r>
      <w:r>
        <w:rPr>
          <w:rStyle w:val="FootnoteReference"/>
        </w:rPr>
        <w:footnoteReference w:id="11"/>
      </w:r>
      <w:r>
        <w:t xml:space="preserve">  </w:t>
      </w:r>
    </w:p>
    <w:p w:rsidR="00823102" w:rsidRDefault="00823102">
      <w:pPr>
        <w:pStyle w:val="ParaNum"/>
        <w:widowControl/>
        <w:numPr>
          <w:ilvl w:val="0"/>
          <w:numId w:val="18"/>
        </w:numPr>
        <w:tabs>
          <w:tab w:val="clear" w:pos="1260"/>
        </w:tabs>
        <w:spacing w:after="220"/>
        <w:ind w:left="0"/>
      </w:pPr>
      <w:r>
        <w:t xml:space="preserve">On November 25, 2009, </w:t>
      </w:r>
      <w:smartTag w:uri="urn:schemas-microsoft-com:office:smarttags" w:element="country-region">
        <w:smartTag w:uri="urn:schemas-microsoft-com:office:smarttags" w:element="City">
          <w:smartTag w:uri="urn:schemas-microsoft-com:office:smarttags" w:element="place">
            <w:r>
              <w:t>Richfield</w:t>
            </w:r>
          </w:smartTag>
        </w:smartTag>
      </w:smartTag>
      <w:r>
        <w:t xml:space="preserve"> submitted a response to the </w:t>
      </w:r>
      <w:r>
        <w:rPr>
          <w:i/>
        </w:rPr>
        <w:t xml:space="preserve">NAL </w:t>
      </w:r>
      <w:r>
        <w:t>seeking cancellation of the proposed forfeiture.</w:t>
      </w:r>
      <w:r>
        <w:rPr>
          <w:rStyle w:val="FootnoteReference"/>
        </w:rPr>
        <w:footnoteReference w:id="12"/>
      </w:r>
      <w:r>
        <w:t xml:space="preserve">  In its NAL Response, Richfield does not dispute that it manufactured, sold, and shipped noncompliant transmitters to TAW; that at least a few thousand of the WH Transmitters that were shipped to TAW exceeded the emission limit set forth in Section 15.239(b) of the Rules; and that it did not label the devices in accordance with Section 2.925(a)(1) of the Rules prior to December 2008.</w:t>
      </w:r>
      <w:r>
        <w:rPr>
          <w:rStyle w:val="FootnoteReference"/>
        </w:rPr>
        <w:footnoteReference w:id="13"/>
      </w:r>
      <w:r>
        <w:t xml:space="preserve">  In addition, Richfield does not dispute the apparent timing inconsistencies pointed out in the </w:t>
      </w:r>
      <w:r w:rsidRPr="009737B9">
        <w:rPr>
          <w:i/>
        </w:rPr>
        <w:t>NAL</w:t>
      </w:r>
      <w:r>
        <w:rPr>
          <w:rStyle w:val="FootnoteReference"/>
        </w:rPr>
        <w:footnoteReference w:id="14"/>
      </w:r>
      <w:r>
        <w:t xml:space="preserve"> relating to when the company claims to have modified the antenna that it asserts caused the </w:t>
      </w:r>
      <w:r w:rsidR="00D91477">
        <w:t xml:space="preserve">transmitter to exceed the </w:t>
      </w:r>
      <w:r>
        <w:t>emission limits (December 2008) and when the Commission first became aware of the noncompliant transmitters (March 2008).</w:t>
      </w:r>
      <w:r>
        <w:rPr>
          <w:rStyle w:val="FootnoteReference"/>
        </w:rPr>
        <w:footnoteReference w:id="15"/>
      </w:r>
      <w:r>
        <w:t xml:space="preserve">  That point is significant because it raises questions about the accuracy of Richfield’s representations</w:t>
      </w:r>
      <w:r w:rsidR="00D91477">
        <w:t xml:space="preserve">, </w:t>
      </w:r>
      <w:r>
        <w:t xml:space="preserve">and it suggests that the number of noncompliant transmitters likely was significantly higher than what Richfield was willing to acknowledge.  Nonetheless, </w:t>
      </w:r>
      <w:smartTag w:uri="urn:schemas-microsoft-com:office:smarttags" w:element="country-region">
        <w:smartTag w:uri="urn:schemas-microsoft-com:office:smarttags" w:element="City">
          <w:r>
            <w:t>Richfield</w:t>
          </w:r>
        </w:smartTag>
      </w:smartTag>
      <w:r>
        <w:t xml:space="preserve"> insists that it did not market the transmitters in the </w:t>
      </w:r>
      <w:smartTag w:uri="urn:schemas-microsoft-com:office:smarttags" w:element="country-region">
        <w:smartTag w:uri="urn:schemas-microsoft-com:office:smarttags" w:element="place">
          <w:r>
            <w:t>United States</w:t>
          </w:r>
        </w:smartTag>
      </w:smartTag>
      <w:r>
        <w:t xml:space="preserve"> and, therefore, should not be held responsible for the violations.</w:t>
      </w:r>
      <w:r>
        <w:rPr>
          <w:rStyle w:val="FootnoteReference"/>
        </w:rPr>
        <w:footnoteReference w:id="16"/>
      </w:r>
      <w:r>
        <w:t xml:space="preserve">  In addition, although it does not dispute the Division’s finding that </w:t>
      </w:r>
      <w:smartTag w:uri="urn:schemas-microsoft-com:office:smarttags" w:element="country-region">
        <w:smartTag w:uri="urn:schemas-microsoft-com:office:smarttags" w:element="City">
          <w:smartTag w:uri="urn:schemas-microsoft-com:office:smarttags" w:element="place">
            <w:r>
              <w:t>Richfield</w:t>
            </w:r>
          </w:smartTag>
        </w:smartTag>
      </w:smartTag>
      <w:r>
        <w:t xml:space="preserve"> failed to label the devices that were available before December 2008, it asks that we </w:t>
      </w:r>
      <w:r>
        <w:rPr>
          <w:szCs w:val="22"/>
        </w:rPr>
        <w:t>take into consideration, as a mitigating factor, its lack of familiarity with the FCC’s labeling requirements.</w:t>
      </w:r>
      <w:r>
        <w:rPr>
          <w:rStyle w:val="FootnoteReference"/>
          <w:szCs w:val="22"/>
        </w:rPr>
        <w:footnoteReference w:id="17"/>
      </w:r>
      <w:r>
        <w:rPr>
          <w:szCs w:val="22"/>
        </w:rPr>
        <w:t xml:space="preserve">  Finally, </w:t>
      </w:r>
      <w:smartTag w:uri="urn:schemas-microsoft-com:office:smarttags" w:element="country-region">
        <w:smartTag w:uri="urn:schemas-microsoft-com:office:smarttags" w:element="City">
          <w:smartTag w:uri="urn:schemas-microsoft-com:office:smarttags" w:element="place">
            <w:r>
              <w:rPr>
                <w:szCs w:val="22"/>
              </w:rPr>
              <w:t>Richfield</w:t>
            </w:r>
          </w:smartTag>
        </w:smartTag>
      </w:smartTag>
      <w:r>
        <w:rPr>
          <w:szCs w:val="22"/>
        </w:rPr>
        <w:t xml:space="preserve"> notes that it plans to better educate its staff about FCC rules to prevent any future violation.</w:t>
      </w:r>
      <w:r>
        <w:rPr>
          <w:rStyle w:val="FootnoteReference"/>
          <w:szCs w:val="22"/>
        </w:rPr>
        <w:footnoteReference w:id="18"/>
      </w:r>
      <w:r>
        <w:rPr>
          <w:szCs w:val="22"/>
        </w:rPr>
        <w:t xml:space="preserve">   </w:t>
      </w:r>
      <w:r>
        <w:t xml:space="preserve">  </w:t>
      </w:r>
    </w:p>
    <w:p w:rsidR="00823102" w:rsidRPr="009737B9" w:rsidRDefault="00823102">
      <w:pPr>
        <w:widowControl/>
        <w:numPr>
          <w:ilvl w:val="0"/>
          <w:numId w:val="3"/>
        </w:numPr>
        <w:tabs>
          <w:tab w:val="clear" w:pos="1080"/>
          <w:tab w:val="num" w:pos="720"/>
        </w:tabs>
        <w:spacing w:before="240" w:after="240"/>
        <w:ind w:left="720"/>
        <w:rPr>
          <w:b/>
          <w:szCs w:val="22"/>
        </w:rPr>
      </w:pPr>
      <w:r w:rsidRPr="009737B9">
        <w:rPr>
          <w:b/>
          <w:szCs w:val="22"/>
        </w:rPr>
        <w:t>DISCUSSION</w:t>
      </w:r>
    </w:p>
    <w:p w:rsidR="00823102" w:rsidRDefault="00823102">
      <w:pPr>
        <w:pStyle w:val="ParaNum"/>
        <w:widowControl/>
        <w:tabs>
          <w:tab w:val="clear" w:pos="1260"/>
        </w:tabs>
        <w:spacing w:after="220"/>
        <w:ind w:left="0"/>
      </w:pPr>
      <w:r>
        <w:t>The proposed forfeiture was assessed in accordance with Section 503(b) of the Act,</w:t>
      </w:r>
      <w:r>
        <w:rPr>
          <w:rStyle w:val="FootnoteReference"/>
        </w:rPr>
        <w:footnoteReference w:id="19"/>
      </w:r>
      <w:r>
        <w:t xml:space="preserve"> Section 1.80 of the Rules,</w:t>
      </w:r>
      <w:r>
        <w:rPr>
          <w:vertAlign w:val="superscript"/>
        </w:rPr>
        <w:footnoteReference w:id="20"/>
      </w:r>
      <w:r>
        <w:t xml:space="preserve"> and the Commission’s </w:t>
      </w:r>
      <w:r>
        <w:rPr>
          <w:i/>
        </w:rPr>
        <w:t>Forfeiture Policy Statement</w:t>
      </w:r>
      <w:r>
        <w:t>.</w:t>
      </w:r>
      <w:r>
        <w:rPr>
          <w:rStyle w:val="FootnoteReference"/>
          <w:szCs w:val="22"/>
        </w:rPr>
        <w:footnoteReference w:id="21"/>
      </w:r>
      <w:r>
        <w:t xml:space="preserve">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22"/>
      </w:r>
      <w:r>
        <w:t xml:space="preserve">  As discussed below, we are unpersuaded by </w:t>
      </w:r>
      <w:smartTag w:uri="urn:schemas-microsoft-com:office:smarttags" w:element="country-region">
        <w:r>
          <w:t>Richfield</w:t>
        </w:r>
      </w:smartTag>
      <w:r>
        <w:t xml:space="preserve">’s legal and equitable arguments and, thereby, affirm our conclusion in the </w:t>
      </w:r>
      <w:r>
        <w:rPr>
          <w:i/>
        </w:rPr>
        <w:t>NAL</w:t>
      </w:r>
      <w:r>
        <w:t xml:space="preserve"> that </w:t>
      </w:r>
      <w:smartTag w:uri="urn:schemas-microsoft-com:office:smarttags" w:element="country-region">
        <w:r>
          <w:t>Richfield</w:t>
        </w:r>
      </w:smartTag>
      <w:r>
        <w:t xml:space="preserve"> violated Section 302(b) of the Act and former Section 2.803(a)(1) of the Rules by marketing noncompliant and unlabeled devices in the </w:t>
      </w:r>
      <w:smartTag w:uri="urn:schemas-microsoft-com:office:smarttags" w:element="country-region">
        <w:r>
          <w:t>United States</w:t>
        </w:r>
      </w:smartTag>
      <w:r>
        <w:t xml:space="preserve">.   </w:t>
      </w:r>
    </w:p>
    <w:p w:rsidR="00823102" w:rsidRDefault="00823102">
      <w:pPr>
        <w:pStyle w:val="ParaNum"/>
        <w:widowControl/>
        <w:tabs>
          <w:tab w:val="clear" w:pos="1260"/>
        </w:tabs>
        <w:spacing w:after="220"/>
        <w:ind w:left="0"/>
      </w:pPr>
      <w:r>
        <w:t xml:space="preserve">Section 302(b) </w:t>
      </w:r>
      <w:r>
        <w:rPr>
          <w:szCs w:val="22"/>
        </w:rPr>
        <w:t>of the Act provides that “[n]o person shall manufacture, import, sell, offer for sale, or ship devices or home electronic equipment and systems, or use devices, which fail to comply with regulations promulgated pursuant to this section.”</w:t>
      </w:r>
      <w:r>
        <w:rPr>
          <w:rStyle w:val="FootnoteReference"/>
          <w:szCs w:val="22"/>
        </w:rPr>
        <w:footnoteReference w:id="23"/>
      </w:r>
      <w:r>
        <w:rPr>
          <w:szCs w:val="22"/>
        </w:rPr>
        <w:t xml:space="preserve">  Former Section 2.803(a)(1) of the Rules prohibits the marketing</w:t>
      </w:r>
      <w:r>
        <w:rPr>
          <w:rStyle w:val="FootnoteReference"/>
          <w:szCs w:val="22"/>
        </w:rPr>
        <w:footnoteReference w:id="24"/>
      </w:r>
      <w:r>
        <w:rPr>
          <w:szCs w:val="22"/>
        </w:rPr>
        <w:t xml:space="preserve"> of radio frequency devices,</w:t>
      </w:r>
      <w:r>
        <w:rPr>
          <w:rStyle w:val="FootnoteReference"/>
          <w:szCs w:val="22"/>
        </w:rPr>
        <w:footnoteReference w:id="25"/>
      </w:r>
      <w:r>
        <w:rPr>
          <w:szCs w:val="22"/>
        </w:rPr>
        <w:t xml:space="preserve"> such as wireless FM transmitters, unless, in the case of a device subject to certification,</w:t>
      </w:r>
      <w:r>
        <w:rPr>
          <w:rStyle w:val="FootnoteReference"/>
        </w:rPr>
        <w:footnoteReference w:id="26"/>
      </w:r>
      <w:r>
        <w:rPr>
          <w:szCs w:val="22"/>
        </w:rPr>
        <w:t xml:space="preserve"> the device has first been properly authorized, identified, and labeled in accordance with the Rules.</w:t>
      </w:r>
      <w:r>
        <w:rPr>
          <w:rStyle w:val="FootnoteReference"/>
          <w:szCs w:val="22"/>
        </w:rPr>
        <w:footnoteReference w:id="27"/>
      </w:r>
      <w:r>
        <w:rPr>
          <w:szCs w:val="22"/>
        </w:rPr>
        <w:t xml:space="preserve">  </w:t>
      </w:r>
      <w:bookmarkStart w:id="1" w:name="FN[FN6]"/>
      <w:bookmarkStart w:id="2" w:name="FN[FN7]"/>
      <w:bookmarkStart w:id="3" w:name="FN[FN8]"/>
      <w:bookmarkStart w:id="4" w:name="FN[FN9]"/>
      <w:bookmarkEnd w:id="1"/>
      <w:bookmarkEnd w:id="2"/>
      <w:bookmarkEnd w:id="3"/>
      <w:bookmarkEnd w:id="4"/>
      <w:r>
        <w:t>As an intentional radiator, and pursuant to Section 15.201 of the Rules,</w:t>
      </w:r>
      <w:r>
        <w:rPr>
          <w:rStyle w:val="FootnoteReference"/>
          <w:szCs w:val="24"/>
        </w:rPr>
        <w:footnoteReference w:id="28"/>
      </w:r>
      <w:r>
        <w:t xml:space="preserve"> the WH Transmitter must be authorized in accordance with the equipment certification procedures described in Sections 2.1031–2.1060 of the Rules</w:t>
      </w:r>
      <w:r>
        <w:rPr>
          <w:rStyle w:val="FootnoteReference"/>
          <w:szCs w:val="24"/>
        </w:rPr>
        <w:footnoteReference w:id="29"/>
      </w:r>
      <w:r>
        <w:t xml:space="preserve"> prior to marketing the device in the </w:t>
      </w:r>
      <w:smartTag w:uri="urn:schemas-microsoft-com:office:smarttags" w:element="country-region">
        <w:smartTag w:uri="urn:schemas-microsoft-com:office:smarttags" w:element="place">
          <w:r>
            <w:t>United States</w:t>
          </w:r>
        </w:smartTag>
      </w:smartTag>
      <w:r>
        <w:t>.  The device also is subject to the emission limit specified in Section 15.239(b) of the Rules and  the labeling requirements of Section 2.925(a)(1) of the Rules.</w:t>
      </w:r>
      <w:r>
        <w:rPr>
          <w:rStyle w:val="FootnoteReference"/>
        </w:rPr>
        <w:footnoteReference w:id="30"/>
      </w:r>
      <w:r>
        <w:t xml:space="preserve">  </w:t>
      </w:r>
    </w:p>
    <w:p w:rsidR="00823102" w:rsidRDefault="00823102">
      <w:pPr>
        <w:pStyle w:val="ParaNum"/>
        <w:widowControl/>
        <w:tabs>
          <w:tab w:val="clear" w:pos="1260"/>
        </w:tabs>
        <w:spacing w:after="220"/>
        <w:ind w:left="0"/>
      </w:pPr>
      <w:r>
        <w:t xml:space="preserve">As we found in the </w:t>
      </w:r>
      <w:r w:rsidRPr="009737B9">
        <w:rPr>
          <w:i/>
        </w:rPr>
        <w:t>NAL</w:t>
      </w:r>
      <w:r>
        <w:t xml:space="preserve">, </w:t>
      </w:r>
      <w:smartTag w:uri="urn:schemas-microsoft-com:office:smarttags" w:element="country-region">
        <w:smartTag w:uri="urn:schemas-microsoft-com:office:smarttags" w:element="City">
          <w:r>
            <w:t>Richfield</w:t>
          </w:r>
        </w:smartTag>
      </w:smartTag>
      <w:r>
        <w:t xml:space="preserve"> violated the foregoing sections of the Act and Rules by </w:t>
      </w:r>
      <w:r>
        <w:rPr>
          <w:szCs w:val="22"/>
        </w:rPr>
        <w:t xml:space="preserve">marketing in the </w:t>
      </w:r>
      <w:smartTag w:uri="urn:schemas-microsoft-com:office:smarttags" w:element="country-region">
        <w:smartTag w:uri="urn:schemas-microsoft-com:office:smarttags" w:element="place">
          <w:r>
            <w:rPr>
              <w:szCs w:val="22"/>
            </w:rPr>
            <w:t>United States</w:t>
          </w:r>
        </w:smartTag>
      </w:smartTag>
      <w:r>
        <w:rPr>
          <w:szCs w:val="22"/>
        </w:rPr>
        <w:t xml:space="preserve"> transmitters that did not comply with the Commission’s technical and labeling requirements</w:t>
      </w:r>
      <w:r>
        <w:t>.</w:t>
      </w:r>
      <w:r>
        <w:rPr>
          <w:rStyle w:val="FootnoteReference"/>
        </w:rPr>
        <w:footnoteReference w:id="31"/>
      </w:r>
      <w:r>
        <w:t xml:space="preserve">  In its NAL Response, </w:t>
      </w:r>
      <w:smartTag w:uri="urn:schemas-microsoft-com:office:smarttags" w:element="country-region">
        <w:smartTag w:uri="urn:schemas-microsoft-com:office:smarttags" w:element="City">
          <w:r>
            <w:t>Richfield</w:t>
          </w:r>
        </w:smartTag>
      </w:smartTag>
      <w:r>
        <w:t xml:space="preserve">, however, disputes that it marketed the noncompliant equipment in the </w:t>
      </w:r>
      <w:smartTag w:uri="urn:schemas-microsoft-com:office:smarttags" w:element="country-region">
        <w:smartTag w:uri="urn:schemas-microsoft-com:office:smarttags" w:element="place">
          <w:smartTag w:uri="urn:schemas-microsoft-com:office:smarttags" w:element="country-region">
            <w:r>
              <w:t>U</w:t>
            </w:r>
          </w:smartTag>
          <w:r>
            <w:t>nited States</w:t>
          </w:r>
        </w:smartTag>
      </w:smartTag>
      <w:r>
        <w:t>.  Richfield contends that it was TAW that asked Richfield to manufacture the transmitters based on TAW’s product designs, and also to ship the transmitters; and that, therefore, it was TAW—not Richfield—that marketed and sold the transmitters in the United States.</w:t>
      </w:r>
      <w:r>
        <w:rPr>
          <w:rStyle w:val="FootnoteReference"/>
          <w:szCs w:val="22"/>
        </w:rPr>
        <w:footnoteReference w:id="32"/>
      </w:r>
      <w:r>
        <w:t xml:space="preserve">  While we agree that TAW violated the Act and our rules by marketing the unauthorized and noncompliant transmitters in the </w:t>
      </w:r>
      <w:smartTag w:uri="urn:schemas-microsoft-com:office:smarttags" w:element="country-region">
        <w:r>
          <w:t>United States</w:t>
        </w:r>
      </w:smartTag>
      <w:r>
        <w:t xml:space="preserve"> (which already resulted in enforcement action against TAW</w:t>
      </w:r>
      <w:r>
        <w:rPr>
          <w:rStyle w:val="FootnoteReference"/>
        </w:rPr>
        <w:footnoteReference w:id="33"/>
      </w:r>
      <w:r>
        <w:t xml:space="preserve">), we disagree with </w:t>
      </w:r>
      <w:smartTag w:uri="urn:schemas-microsoft-com:office:smarttags" w:element="country-region">
        <w:smartTag w:uri="urn:schemas-microsoft-com:office:smarttags" w:element="City">
          <w:smartTag w:uri="urn:schemas-microsoft-com:office:smarttags" w:element="place">
            <w:r>
              <w:t>Richfield</w:t>
            </w:r>
          </w:smartTag>
        </w:smartTag>
      </w:smartTag>
      <w:r>
        <w:t xml:space="preserve">’s contention that it did not also violate the equipment marketing rules.  </w:t>
      </w:r>
      <w:smartTag w:uri="urn:schemas-microsoft-com:office:smarttags" w:element="country-region">
        <w:smartTag w:uri="urn:schemas-microsoft-com:office:smarttags" w:element="City">
          <w:smartTag w:uri="urn:schemas-microsoft-com:office:smarttags" w:element="place">
            <w:r>
              <w:t>Richfield</w:t>
            </w:r>
          </w:smartTag>
        </w:smartTag>
      </w:smartTag>
      <w:r>
        <w:t xml:space="preserve">’s argument turns on whether its conduct falls within the Rule’s definition of marketing, which we find it does.    </w:t>
      </w:r>
    </w:p>
    <w:p w:rsidR="00823102" w:rsidRPr="003C34CE" w:rsidRDefault="00823102">
      <w:pPr>
        <w:pStyle w:val="ParaNum"/>
        <w:widowControl/>
        <w:tabs>
          <w:tab w:val="clear" w:pos="1260"/>
        </w:tabs>
        <w:spacing w:after="220"/>
        <w:ind w:left="0"/>
      </w:pPr>
      <w:r>
        <w:t>Pursuant to former Section 2.803(e)(4) of the Rules, the term “marketing” includes the sale or lease, offer for sale or lease (including advertising for sale or lease), distribution for the purpose of selling or leasing (or offering for sale or lease), and importation or shipment of a radio frequency device.</w:t>
      </w:r>
      <w:r>
        <w:rPr>
          <w:rStyle w:val="FootnoteReference"/>
        </w:rPr>
        <w:footnoteReference w:id="34"/>
      </w:r>
      <w:r>
        <w:t xml:space="preserve">  Several critical facts are undisputed:  Richfield applied for and received equipment authorization in 2002 for the transmitters and thus could sell the equipment in the United States; Richfield manufactured and sold 18,371 units of the WH Transmitter (at least 2,500 of which were noncompliant with the emission limit requirement and, therefore, the company’s authorization) to TAW, a U.S. company; and Richfield shipped the equipment to TAW in the United States.</w:t>
      </w:r>
      <w:r>
        <w:rPr>
          <w:rStyle w:val="FootnoteReference"/>
        </w:rPr>
        <w:footnoteReference w:id="35"/>
      </w:r>
      <w:r>
        <w:t xml:space="preserve">  Therefore, under the Rules, </w:t>
      </w:r>
      <w:smartTag w:uri="urn:schemas-microsoft-com:office:smarttags" w:element="country-region">
        <w:r>
          <w:t>Richfield</w:t>
        </w:r>
      </w:smartTag>
      <w:r>
        <w:t xml:space="preserve"> “marketed” the WH Transmitter in the </w:t>
      </w:r>
      <w:smartTag w:uri="urn:schemas-microsoft-com:office:smarttags" w:element="country-region">
        <w:r>
          <w:t>United States</w:t>
        </w:r>
      </w:smartTag>
      <w:r>
        <w:t xml:space="preserve"> in multiple ways:  by offering the noncompliant equipment that it manufactured for sale, selling the equipment, and shipping the equipment to TAW in the </w:t>
      </w:r>
      <w:smartTag w:uri="urn:schemas-microsoft-com:office:smarttags" w:element="country-region">
        <w:r>
          <w:t>United States</w:t>
        </w:r>
      </w:smartTag>
      <w:r>
        <w:t xml:space="preserve">.  Furthermore, because the FCC certification for the WH Transmitter was granted to </w:t>
      </w:r>
      <w:smartTag w:uri="urn:schemas-microsoft-com:office:smarttags" w:element="country-region">
        <w:r>
          <w:t>Richfield</w:t>
        </w:r>
      </w:smartTag>
      <w:r>
        <w:t xml:space="preserve">, it remained responsible for ensuring that the transmitters were in compliance with applicable rules and its authorization.  Yet Richfield decided to modify the transmitters, causing the transmitters to substantially exceed the applicable emission limit, in violation of the Rules.  Accordingly, </w:t>
      </w:r>
      <w:r>
        <w:rPr>
          <w:szCs w:val="22"/>
        </w:rPr>
        <w:t>we decline to cancel the forfeiture based on Richfield’s misplaced argument that it did not market—as “marketing” is defined under former Section 2.803(e)(4)—the WH Transmitters in the United States.</w:t>
      </w:r>
    </w:p>
    <w:p w:rsidR="00823102" w:rsidRDefault="00823102">
      <w:pPr>
        <w:pStyle w:val="ParaNum"/>
        <w:widowControl/>
        <w:tabs>
          <w:tab w:val="clear" w:pos="1260"/>
        </w:tabs>
        <w:spacing w:after="220"/>
        <w:ind w:left="0"/>
      </w:pPr>
      <w:r>
        <w:t>As previously noted, Richfield does not dispute that the WH Transmitter failed to comply with the labeling requirements set forth in Section 2.925(a)(1) of the Rules.</w:t>
      </w:r>
      <w:r>
        <w:rPr>
          <w:rStyle w:val="FootnoteReference"/>
        </w:rPr>
        <w:footnoteReference w:id="36"/>
      </w:r>
      <w:r>
        <w:t xml:space="preserve">  </w:t>
      </w:r>
      <w:r>
        <w:rPr>
          <w:szCs w:val="22"/>
        </w:rPr>
        <w:t xml:space="preserve">Richfield nonetheless </w:t>
      </w:r>
      <w:r>
        <w:t>seeks cancellation of the proposed forfeiture based on its asserted unfamiliarity with the labeling requirements.</w:t>
      </w:r>
      <w:r>
        <w:rPr>
          <w:rStyle w:val="FootnoteReference"/>
        </w:rPr>
        <w:footnoteReference w:id="37"/>
      </w:r>
      <w:r>
        <w:t xml:space="preserve">  This claimed ignorance of the Rules, however, is not a valid basis for cancellation of the forfeiture.  </w:t>
      </w:r>
      <w:r>
        <w:rPr>
          <w:szCs w:val="22"/>
        </w:rPr>
        <w:t>As the Commission has repeatedly held, administrative oversight, inadvertence, and unfamiliarity with the Rules are not mitigating factors.</w:t>
      </w:r>
      <w:r>
        <w:rPr>
          <w:rStyle w:val="FootnoteReference"/>
          <w:szCs w:val="22"/>
        </w:rPr>
        <w:footnoteReference w:id="38"/>
      </w:r>
      <w:r>
        <w:rPr>
          <w:szCs w:val="22"/>
        </w:rPr>
        <w:t xml:space="preserve">  Accordingly, we decline to cancel or reduce the forfeiture on this basis.</w:t>
      </w:r>
    </w:p>
    <w:p w:rsidR="00823102" w:rsidRDefault="00823102">
      <w:pPr>
        <w:pStyle w:val="ParaNum"/>
        <w:widowControl/>
        <w:tabs>
          <w:tab w:val="clear" w:pos="1260"/>
        </w:tabs>
        <w:spacing w:after="220"/>
        <w:ind w:left="0"/>
      </w:pPr>
      <w:r>
        <w:t>Richfield also seeks cancellation of the proposed forfeiture based on its intention to undertake remedial measures to ensure future compliance with the Rules.</w:t>
      </w:r>
      <w:r>
        <w:rPr>
          <w:rStyle w:val="FootnoteReference"/>
        </w:rPr>
        <w:footnoteReference w:id="39"/>
      </w:r>
      <w:r>
        <w:t xml:space="preserve">  </w:t>
      </w:r>
      <w:r>
        <w:rPr>
          <w:szCs w:val="22"/>
        </w:rPr>
        <w:t xml:space="preserve">Although we have adjusted forfeitures downward when a company subject to our rules makes voluntary disclosures to Commission staff and takes corrective measures after discovering its violations but </w:t>
      </w:r>
      <w:r>
        <w:rPr>
          <w:i/>
          <w:szCs w:val="22"/>
        </w:rPr>
        <w:t>prior</w:t>
      </w:r>
      <w:r>
        <w:rPr>
          <w:szCs w:val="22"/>
        </w:rPr>
        <w:t xml:space="preserve"> to any Commission inquiry or initiation of enforcement action,</w:t>
      </w:r>
      <w:r>
        <w:rPr>
          <w:rStyle w:val="FootnoteReference"/>
          <w:szCs w:val="22"/>
        </w:rPr>
        <w:footnoteReference w:id="40"/>
      </w:r>
      <w:r>
        <w:rPr>
          <w:szCs w:val="22"/>
        </w:rPr>
        <w:t xml:space="preserve"> we have not cancelled or reduced forfeitures based on a company’s remedial conduct after the initiation of an investigation.</w:t>
      </w:r>
      <w:r>
        <w:rPr>
          <w:rStyle w:val="FootnoteReference"/>
          <w:szCs w:val="22"/>
        </w:rPr>
        <w:footnoteReference w:id="41"/>
      </w:r>
      <w:r>
        <w:rPr>
          <w:szCs w:val="22"/>
        </w:rPr>
        <w:t xml:space="preserve">  The Commission has long held that corrective action taken to come into compliance with the Rules is expected, and such corrective action does not nullify or mitigate prior violations or associated forfeiture liability.</w:t>
      </w:r>
      <w:r>
        <w:rPr>
          <w:rStyle w:val="FootnoteReference"/>
          <w:szCs w:val="22"/>
        </w:rPr>
        <w:footnoteReference w:id="42"/>
      </w:r>
      <w:r>
        <w:rPr>
          <w:szCs w:val="22"/>
        </w:rPr>
        <w:t xml:space="preserve">  Richfield’s stated intention to take steps to ensure future compliance, while laudable, does not negate its willful and repeated violations of the Rules.  Accordingly, we decline to cancel or reduce the forfeiture on this basis as well.</w:t>
      </w:r>
    </w:p>
    <w:p w:rsidR="00823102" w:rsidRDefault="00823102" w:rsidP="004E65A4">
      <w:pPr>
        <w:pStyle w:val="ParaNum"/>
        <w:widowControl/>
        <w:tabs>
          <w:tab w:val="clear" w:pos="1260"/>
        </w:tabs>
        <w:spacing w:after="220"/>
        <w:ind w:left="0"/>
      </w:pPr>
      <w:r>
        <w:t xml:space="preserve">In sum, we have examined Richfield’s response to the </w:t>
      </w:r>
      <w:r w:rsidRPr="009737B9">
        <w:rPr>
          <w:i/>
        </w:rPr>
        <w:t>NAL</w:t>
      </w:r>
      <w:r>
        <w:t xml:space="preserve"> pursuant to the statutory factors described above, and in conjunction with the </w:t>
      </w:r>
      <w:r w:rsidRPr="009737B9">
        <w:rPr>
          <w:i/>
        </w:rPr>
        <w:t>Forfeiture Policy Statement</w:t>
      </w:r>
      <w:r>
        <w:t>.  As a result of our review, we conclude that Richfield willfully</w:t>
      </w:r>
      <w:r>
        <w:rPr>
          <w:rStyle w:val="FootnoteReference"/>
        </w:rPr>
        <w:footnoteReference w:id="43"/>
      </w:r>
      <w:r w:rsidRPr="009737B9">
        <w:t xml:space="preserve"> and repeatedly</w:t>
      </w:r>
      <w:r>
        <w:rPr>
          <w:rStyle w:val="FootnoteReference"/>
        </w:rPr>
        <w:footnoteReference w:id="44"/>
      </w:r>
      <w:r w:rsidRPr="009737B9">
        <w:t xml:space="preserve"> violated Section 302(b) of the Act and former Section 2.803(a)(1) of the Rules </w:t>
      </w:r>
      <w:r>
        <w:t xml:space="preserve">by marketing noncompliant and unlabeled FM transmitters in the United States.  Considering the entire record and the statutory factors, we find that a forfeiture in the amount of $18,000 is warranted.   </w:t>
      </w:r>
    </w:p>
    <w:p w:rsidR="00823102" w:rsidRPr="009737B9" w:rsidRDefault="00823102">
      <w:pPr>
        <w:widowControl/>
        <w:spacing w:before="240" w:after="240"/>
        <w:ind w:left="720" w:hanging="720"/>
        <w:rPr>
          <w:b/>
        </w:rPr>
      </w:pPr>
      <w:r w:rsidRPr="009737B9">
        <w:rPr>
          <w:b/>
          <w:szCs w:val="22"/>
        </w:rPr>
        <w:t xml:space="preserve">IV.  </w:t>
      </w:r>
      <w:r>
        <w:rPr>
          <w:b/>
          <w:szCs w:val="22"/>
        </w:rPr>
        <w:tab/>
      </w:r>
      <w:r w:rsidRPr="009737B9">
        <w:rPr>
          <w:b/>
          <w:szCs w:val="22"/>
        </w:rPr>
        <w:t>ORDERING CLAUSES</w:t>
      </w:r>
    </w:p>
    <w:p w:rsidR="00823102" w:rsidRDefault="00823102">
      <w:pPr>
        <w:pStyle w:val="ParaNum"/>
        <w:widowControl/>
        <w:tabs>
          <w:tab w:val="clear" w:pos="1260"/>
          <w:tab w:val="num" w:pos="1440"/>
        </w:tabs>
        <w:spacing w:after="220"/>
        <w:ind w:left="0"/>
      </w:pPr>
      <w:r>
        <w:t xml:space="preserve">Accordingly, </w:t>
      </w:r>
      <w:r>
        <w:rPr>
          <w:b/>
        </w:rPr>
        <w:t>IT IS ORDERED</w:t>
      </w:r>
      <w:r>
        <w:t xml:space="preserve"> that, pursuant to Section 503(b) of the Communications Act of 1934, as amended, and Sections 0.111, 0.311, and 1.80 of the Commission’s rules,</w:t>
      </w:r>
      <w:r>
        <w:rPr>
          <w:rStyle w:val="FootnoteReference"/>
        </w:rPr>
        <w:footnoteReference w:id="45"/>
      </w:r>
      <w:r>
        <w:t xml:space="preserve"> Richfield Electronics (China) Ltd. </w:t>
      </w:r>
      <w:r>
        <w:rPr>
          <w:b/>
          <w:bCs/>
        </w:rPr>
        <w:t>IS</w:t>
      </w:r>
      <w:r>
        <w:t xml:space="preserve"> </w:t>
      </w:r>
      <w:r>
        <w:rPr>
          <w:b/>
        </w:rPr>
        <w:t>LIABLE FOR A MONETARY FORFEITURE</w:t>
      </w:r>
      <w:r>
        <w:t xml:space="preserve"> in the amount of eighteen thousand dollars ($18,000) for willful and repeated violations of </w:t>
      </w:r>
      <w:r>
        <w:rPr>
          <w:szCs w:val="22"/>
        </w:rPr>
        <w:t>Section 302(b) of the Communications Act of 1934, as amended, and former Section 2.803(a)(1) of the Commission’s rules.</w:t>
      </w:r>
      <w:r>
        <w:rPr>
          <w:rStyle w:val="FootnoteReference"/>
          <w:szCs w:val="22"/>
        </w:rPr>
        <w:footnoteReference w:id="46"/>
      </w:r>
    </w:p>
    <w:p w:rsidR="00823102" w:rsidRDefault="00823102">
      <w:pPr>
        <w:pStyle w:val="ParaNum"/>
        <w:widowControl/>
        <w:tabs>
          <w:tab w:val="clear" w:pos="1260"/>
          <w:tab w:val="num" w:pos="1440"/>
        </w:tabs>
        <w:spacing w:after="220"/>
        <w:ind w:left="0"/>
        <w:rPr>
          <w:rFonts w:eastAsia="MS Mincho"/>
          <w:color w:val="000000"/>
          <w:szCs w:val="22"/>
        </w:rPr>
      </w:pPr>
      <w:r>
        <w:rPr>
          <w:rFonts w:eastAsia="MS Mincho" w:cs="Arial"/>
          <w:szCs w:val="22"/>
        </w:rPr>
        <w:t>Payment of the forfeiture shall be made in the manner provided for in Section 1.80 of the Commission’s rules by November 13, 2013.</w:t>
      </w:r>
      <w:r>
        <w:rPr>
          <w:rStyle w:val="FootnoteReference"/>
          <w:rFonts w:eastAsia="MS Mincho" w:cs="Arial"/>
          <w:szCs w:val="22"/>
        </w:rPr>
        <w:footnoteReference w:id="47"/>
      </w:r>
      <w:r>
        <w:rPr>
          <w:rFonts w:eastAsia="MS Mincho" w:cs="Arial"/>
          <w:szCs w:val="22"/>
        </w:rPr>
        <w:t xml:space="preserve">  If the forfeiture is not paid within the period specified, the case may be referred to the U.S. Department of Justice for enforcement of the forfeiture pursuant to Section 504(a) of the Communications Act of 1934, as amended.</w:t>
      </w:r>
      <w:r>
        <w:rPr>
          <w:rStyle w:val="FootnoteReference"/>
          <w:rFonts w:eastAsia="MS Mincho" w:cs="Arial"/>
          <w:szCs w:val="22"/>
        </w:rPr>
        <w:footnoteReference w:id="48"/>
      </w:r>
      <w:r>
        <w:rPr>
          <w:rFonts w:eastAsia="MS Mincho" w:cs="Arial"/>
          <w:szCs w:val="22"/>
        </w:rPr>
        <w:t xml:space="preserve">  </w:t>
      </w:r>
      <w:r>
        <w:t xml:space="preserve">Richfield Electronics (China) Ltd. </w:t>
      </w:r>
      <w:r>
        <w:rPr>
          <w:rFonts w:eastAsia="MS Mincho" w:cs="Arial"/>
          <w:szCs w:val="22"/>
        </w:rPr>
        <w:t xml:space="preserve">shall send electronic notification of payment to Jason Koslofsky at Jason.Koslofsky@fcc.gov, Daudeline Meme at Daudeline.Meme@fcc.gov, and Samantha Peoples at Sam.Peoples@fcc.gov on the date said payment is made. </w:t>
      </w:r>
    </w:p>
    <w:p w:rsidR="00823102" w:rsidRDefault="00823102">
      <w:pPr>
        <w:pStyle w:val="ParaNum"/>
        <w:widowControl/>
        <w:numPr>
          <w:ilvl w:val="0"/>
          <w:numId w:val="0"/>
        </w:numPr>
        <w:tabs>
          <w:tab w:val="left" w:pos="1440"/>
        </w:tabs>
        <w:spacing w:after="220"/>
        <w:ind w:firstLine="720"/>
        <w:rPr>
          <w:rFonts w:eastAsia="MS Mincho" w:cs="Arial"/>
          <w:szCs w:val="22"/>
        </w:rPr>
      </w:pPr>
      <w:r>
        <w:rPr>
          <w:rFonts w:eastAsia="MS Mincho" w:cs="Arial"/>
          <w:szCs w:val="22"/>
        </w:rPr>
        <w:t>13.</w:t>
      </w:r>
      <w:r>
        <w:rPr>
          <w:rFonts w:eastAsia="MS Mincho" w:cs="Arial"/>
          <w:szCs w:val="22"/>
        </w:rPr>
        <w:tab/>
        <w:t>The payment must be made by check or similar instrument, wire transfer, or credit card, and must include the NAL/Account Number and FRN referenced above.  Regardless of the form of payment, a completed FCC Form 159 (Remittance Advice) must be submitted.</w:t>
      </w:r>
      <w:r>
        <w:rPr>
          <w:rStyle w:val="FootnoteReference"/>
          <w:rFonts w:eastAsia="MS Mincho" w:cs="Arial"/>
          <w:szCs w:val="22"/>
        </w:rPr>
        <w:footnoteReference w:id="49"/>
      </w:r>
      <w:r>
        <w:rPr>
          <w:rFonts w:eastAsia="MS Mincho" w:cs="Arial"/>
          <w:szCs w:val="22"/>
        </w:rPr>
        <w:t xml:space="preserve">  When completing the FCC Form 159, enter the Account Number in block number 23A (call sign/other ID) and enter the letters “FORF” in block number 24A (payment type code).  </w:t>
      </w:r>
      <w:r>
        <w:rPr>
          <w:color w:val="000000"/>
          <w:szCs w:val="22"/>
        </w:rPr>
        <w:t>Below are additional instructions that Richfield Electronics (China) Ltd. should follow based on the form of payment it selects:</w:t>
      </w:r>
    </w:p>
    <w:p w:rsidR="00823102" w:rsidRDefault="00823102">
      <w:pPr>
        <w:pStyle w:val="ParaNum"/>
        <w:keepLines/>
        <w:widowControl/>
        <w:numPr>
          <w:ilvl w:val="0"/>
          <w:numId w:val="16"/>
        </w:numPr>
        <w:spacing w:after="220"/>
        <w:rPr>
          <w:rFonts w:eastAsia="MS Mincho"/>
          <w:szCs w:val="22"/>
        </w:rPr>
      </w:pPr>
      <w:r>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823102" w:rsidRDefault="00823102">
      <w:pPr>
        <w:pStyle w:val="ParaNum"/>
        <w:keepLines/>
        <w:widowControl/>
        <w:numPr>
          <w:ilvl w:val="0"/>
          <w:numId w:val="16"/>
        </w:numPr>
        <w:spacing w:after="220"/>
        <w:rPr>
          <w:rFonts w:eastAsia="MS Mincho"/>
          <w:szCs w:val="22"/>
        </w:rPr>
      </w:pPr>
      <w:r>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823102" w:rsidRDefault="00823102">
      <w:pPr>
        <w:pStyle w:val="ParaNum"/>
        <w:keepNext/>
        <w:keepLines/>
        <w:widowControl/>
        <w:numPr>
          <w:ilvl w:val="0"/>
          <w:numId w:val="16"/>
        </w:numPr>
        <w:spacing w:after="220"/>
        <w:rPr>
          <w:rFonts w:eastAsia="MS Mincho"/>
          <w:szCs w:val="22"/>
        </w:rPr>
      </w:pPr>
      <w:r>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823102" w:rsidRDefault="00823102">
      <w:pPr>
        <w:pStyle w:val="ParaNum"/>
        <w:widowControl/>
        <w:numPr>
          <w:ilvl w:val="0"/>
          <w:numId w:val="0"/>
        </w:numPr>
        <w:tabs>
          <w:tab w:val="left" w:pos="0"/>
          <w:tab w:val="left" w:pos="1440"/>
        </w:tabs>
        <w:spacing w:after="220"/>
        <w:ind w:firstLine="720"/>
        <w:rPr>
          <w:rFonts w:eastAsia="MS Mincho"/>
        </w:rPr>
      </w:pPr>
      <w:r>
        <w:rPr>
          <w:rFonts w:eastAsia="MS Mincho"/>
        </w:rPr>
        <w:t>14.</w:t>
      </w:r>
      <w:r>
        <w:rPr>
          <w:rFonts w:eastAsia="MS Mincho"/>
        </w:rPr>
        <w:tab/>
        <w:t xml:space="preserve">Any request for making full payment over time under an installment plan should be sent to:  Chief Financial Officer—Financial Operations, </w:t>
      </w:r>
      <w:r>
        <w:rPr>
          <w:rFonts w:eastAsia="MS Mincho" w:cs="Arial"/>
        </w:rPr>
        <w:t>Federal</w:t>
      </w:r>
      <w:r>
        <w:rPr>
          <w:rFonts w:eastAsia="MS Mincho"/>
        </w:rPr>
        <w:t xml:space="preserve"> Communications Commission, 445 12th Street, S.W., Room 1-A625, Washington, D.C.  20554.</w:t>
      </w:r>
      <w:r>
        <w:rPr>
          <w:rStyle w:val="FootnoteReference"/>
          <w:rFonts w:eastAsia="MS Mincho"/>
          <w:szCs w:val="22"/>
        </w:rPr>
        <w:footnoteReference w:id="50"/>
      </w:r>
      <w:r>
        <w:rPr>
          <w:rFonts w:eastAsia="MS Mincho"/>
        </w:rPr>
        <w:t xml:space="preserve">  If </w:t>
      </w:r>
      <w:r>
        <w:rPr>
          <w:color w:val="000000"/>
          <w:szCs w:val="22"/>
        </w:rPr>
        <w:t xml:space="preserve">Richfield Electronics (China) Ltd. </w:t>
      </w:r>
      <w:r>
        <w:rPr>
          <w:rFonts w:eastAsia="MS Mincho"/>
        </w:rPr>
        <w:t xml:space="preserve">has questions regarding payment procedures, it should contact the Financial Operations Group Help Desk by phone, 1-877-480-3201, or by e-mail, </w:t>
      </w:r>
      <w:r>
        <w:rPr>
          <w:rFonts w:eastAsia="MS Mincho" w:cs="Arial"/>
        </w:rPr>
        <w:t>ARINQUIRIES@fcc.gov</w:t>
      </w:r>
      <w:r>
        <w:rPr>
          <w:rFonts w:eastAsia="MS Mincho"/>
        </w:rPr>
        <w:t>. </w:t>
      </w:r>
    </w:p>
    <w:p w:rsidR="00823102" w:rsidRDefault="00823102" w:rsidP="009737B9">
      <w:pPr>
        <w:pStyle w:val="ParaNum"/>
        <w:widowControl/>
        <w:numPr>
          <w:ilvl w:val="0"/>
          <w:numId w:val="0"/>
        </w:numPr>
        <w:tabs>
          <w:tab w:val="left" w:pos="0"/>
          <w:tab w:val="left" w:pos="1440"/>
        </w:tabs>
        <w:ind w:firstLine="720"/>
      </w:pPr>
      <w:r>
        <w:rPr>
          <w:rFonts w:eastAsia="MS Mincho"/>
        </w:rPr>
        <w:t>15.</w:t>
      </w:r>
      <w:r>
        <w:rPr>
          <w:rFonts w:eastAsia="MS Mincho"/>
        </w:rPr>
        <w:tab/>
      </w:r>
      <w:r>
        <w:rPr>
          <w:b/>
        </w:rPr>
        <w:t xml:space="preserve">IT IS FURTHER ORDERED </w:t>
      </w:r>
      <w:r>
        <w:t>that a copy</w:t>
      </w:r>
      <w:r>
        <w:rPr>
          <w:b/>
        </w:rPr>
        <w:t xml:space="preserve"> </w:t>
      </w:r>
      <w:r>
        <w:t>of this</w:t>
      </w:r>
      <w:r>
        <w:rPr>
          <w:b/>
        </w:rPr>
        <w:t xml:space="preserve"> </w:t>
      </w:r>
      <w:r>
        <w:t xml:space="preserve">Forfeiture Order shall be sent by both Certified Mail, Return Receipt Requested, and </w:t>
      </w:r>
      <w:r w:rsidR="00F85E3C">
        <w:t>UPS</w:t>
      </w:r>
      <w:r>
        <w:t xml:space="preserve"> to Flora Cho, Operations Manager, Richfield Electronics (China) Ltd., 7/F., Unit 14&amp;16, Shing Yip Ind. BIdg., 19-21 Shing Yip St., Kwun Tong, Kowloon, Hong Kong, SAR; and also sent to Ms. Cho via facsimile at 011 852 2344 4809.</w:t>
      </w:r>
    </w:p>
    <w:p w:rsidR="00823102" w:rsidRDefault="00823102" w:rsidP="009737B9">
      <w:pPr>
        <w:pStyle w:val="ParaNum"/>
        <w:widowControl/>
        <w:numPr>
          <w:ilvl w:val="0"/>
          <w:numId w:val="0"/>
        </w:numPr>
        <w:tabs>
          <w:tab w:val="left" w:pos="0"/>
          <w:tab w:val="left" w:pos="1440"/>
        </w:tabs>
        <w:spacing w:after="360"/>
        <w:ind w:firstLine="720"/>
      </w:pPr>
    </w:p>
    <w:p w:rsidR="00823102" w:rsidRDefault="00823102" w:rsidP="009737B9">
      <w:pPr>
        <w:pStyle w:val="ParaNum"/>
        <w:widowControl/>
        <w:numPr>
          <w:ilvl w:val="0"/>
          <w:numId w:val="0"/>
        </w:numPr>
        <w:tabs>
          <w:tab w:val="left" w:pos="720"/>
          <w:tab w:val="left" w:pos="1440"/>
        </w:tabs>
        <w:spacing w:after="360"/>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823102" w:rsidRDefault="00823102">
      <w:pPr>
        <w:pStyle w:val="ParaNum"/>
        <w:widowControl/>
        <w:numPr>
          <w:ilvl w:val="0"/>
          <w:numId w:val="0"/>
        </w:numPr>
        <w:tabs>
          <w:tab w:val="left" w:pos="720"/>
          <w:tab w:val="left" w:pos="1440"/>
        </w:tabs>
        <w:rPr>
          <w:szCs w:val="22"/>
        </w:rPr>
      </w:pPr>
    </w:p>
    <w:p w:rsidR="00823102" w:rsidRDefault="00823102">
      <w:pPr>
        <w:widowControl/>
        <w:tabs>
          <w:tab w:val="left" w:pos="0"/>
          <w:tab w:val="left" w:pos="720"/>
          <w:tab w:val="left" w:pos="1440"/>
        </w:tabs>
        <w:suppressAutoHyphens/>
        <w:spacing w:line="240" w:lineRule="atLeast"/>
        <w:rPr>
          <w:szCs w:val="22"/>
        </w:rPr>
      </w:pPr>
      <w:r>
        <w:rPr>
          <w:szCs w:val="22"/>
        </w:rPr>
        <w:tab/>
      </w:r>
      <w:r>
        <w:rPr>
          <w:szCs w:val="22"/>
        </w:rPr>
        <w:tab/>
      </w:r>
      <w:r>
        <w:rPr>
          <w:szCs w:val="22"/>
        </w:rPr>
        <w:tab/>
      </w:r>
      <w:r>
        <w:rPr>
          <w:szCs w:val="22"/>
        </w:rPr>
        <w:tab/>
      </w:r>
      <w:r>
        <w:rPr>
          <w:szCs w:val="22"/>
        </w:rPr>
        <w:tab/>
      </w:r>
      <w:r>
        <w:rPr>
          <w:szCs w:val="22"/>
        </w:rPr>
        <w:tab/>
      </w:r>
      <w:r w:rsidR="00D91477">
        <w:rPr>
          <w:szCs w:val="22"/>
        </w:rPr>
        <w:t>Robert H. Ratcliffe</w:t>
      </w:r>
      <w:r>
        <w:rPr>
          <w:szCs w:val="22"/>
        </w:rPr>
        <w:t xml:space="preserve"> </w:t>
      </w:r>
    </w:p>
    <w:p w:rsidR="00823102" w:rsidRDefault="00823102">
      <w:pPr>
        <w:widowControl/>
      </w:pPr>
      <w:r>
        <w:tab/>
      </w:r>
      <w:r>
        <w:tab/>
      </w:r>
      <w:r>
        <w:tab/>
      </w:r>
      <w:r>
        <w:tab/>
      </w:r>
      <w:r>
        <w:tab/>
      </w:r>
      <w:r>
        <w:tab/>
      </w:r>
      <w:r w:rsidR="00D91477">
        <w:t xml:space="preserve">Acting </w:t>
      </w:r>
      <w:r>
        <w:t>Chief</w:t>
      </w:r>
    </w:p>
    <w:p w:rsidR="00823102" w:rsidRDefault="00823102">
      <w:pPr>
        <w:widowControl/>
      </w:pPr>
      <w:r>
        <w:tab/>
      </w:r>
      <w:r>
        <w:tab/>
      </w:r>
      <w:r>
        <w:tab/>
      </w:r>
      <w:r>
        <w:tab/>
      </w:r>
      <w:r>
        <w:tab/>
      </w:r>
      <w:r>
        <w:tab/>
        <w:t>Enforcement Bureau</w:t>
      </w:r>
    </w:p>
    <w:sectPr w:rsidR="00823102" w:rsidSect="009737B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100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E1" w:rsidRDefault="00153AE1">
      <w:r>
        <w:separator/>
      </w:r>
    </w:p>
  </w:endnote>
  <w:endnote w:type="continuationSeparator" w:id="0">
    <w:p w:rsidR="00153AE1" w:rsidRDefault="00153AE1">
      <w:r>
        <w:continuationSeparator/>
      </w:r>
    </w:p>
  </w:endnote>
  <w:endnote w:type="continuationNotice" w:id="1">
    <w:p w:rsidR="00153AE1" w:rsidRDefault="00153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02" w:rsidRDefault="00823102">
    <w:pPr>
      <w:pStyle w:val="Footer"/>
      <w:framePr w:wrap="around" w:vAnchor="text" w:hAnchor="margin" w:xAlign="center" w:y="1"/>
    </w:pPr>
    <w:r>
      <w:fldChar w:fldCharType="begin"/>
    </w:r>
    <w:r>
      <w:instrText xml:space="preserve">PAGE  </w:instrText>
    </w:r>
    <w:r>
      <w:fldChar w:fldCharType="end"/>
    </w:r>
  </w:p>
  <w:p w:rsidR="00823102" w:rsidRDefault="00823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02" w:rsidRDefault="00153AE1">
    <w:pPr>
      <w:pStyle w:val="Footer"/>
      <w:framePr w:wrap="around" w:vAnchor="text" w:hAnchor="margin" w:xAlign="center" w:y="1"/>
    </w:pPr>
    <w:r>
      <w:fldChar w:fldCharType="begin"/>
    </w:r>
    <w:r>
      <w:instrText xml:space="preserve">PAGE  </w:instrText>
    </w:r>
    <w:r>
      <w:fldChar w:fldCharType="separate"/>
    </w:r>
    <w:r w:rsidR="00F85E3C">
      <w:rPr>
        <w:noProof/>
      </w:rPr>
      <w:t>7</w:t>
    </w:r>
    <w:r>
      <w:rPr>
        <w:noProof/>
      </w:rPr>
      <w:fldChar w:fldCharType="end"/>
    </w:r>
  </w:p>
  <w:p w:rsidR="00823102" w:rsidRDefault="00823102">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2D" w:rsidRDefault="001D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E1" w:rsidRDefault="00153AE1">
      <w:r>
        <w:separator/>
      </w:r>
    </w:p>
  </w:footnote>
  <w:footnote w:type="continuationSeparator" w:id="0">
    <w:p w:rsidR="00153AE1" w:rsidRDefault="00153AE1">
      <w:pPr>
        <w:rPr>
          <w:sz w:val="20"/>
        </w:rPr>
      </w:pPr>
      <w:r>
        <w:rPr>
          <w:sz w:val="20"/>
        </w:rPr>
        <w:t xml:space="preserve">(Continued from previous page . . . ) </w:t>
      </w:r>
      <w:r>
        <w:rPr>
          <w:sz w:val="20"/>
        </w:rPr>
        <w:separator/>
      </w:r>
    </w:p>
  </w:footnote>
  <w:footnote w:type="continuationNotice" w:id="1">
    <w:p w:rsidR="00153AE1" w:rsidRDefault="00153AE1">
      <w:pPr>
        <w:rPr>
          <w:sz w:val="20"/>
        </w:rPr>
      </w:pPr>
      <w:r>
        <w:rPr>
          <w:sz w:val="20"/>
        </w:rPr>
        <w:t>(continued . . . )</w:t>
      </w:r>
    </w:p>
  </w:footnote>
  <w:footnote w:id="2">
    <w:p w:rsidR="00823102" w:rsidRDefault="00823102">
      <w:pPr>
        <w:pStyle w:val="FootnoteText"/>
      </w:pPr>
      <w:r w:rsidRPr="00AF2483">
        <w:rPr>
          <w:rStyle w:val="FootnoteReference"/>
          <w:sz w:val="20"/>
        </w:rPr>
        <w:footnoteRef/>
      </w:r>
      <w:r w:rsidRPr="00AF2483">
        <w:t xml:space="preserve"> File No. EB-SED-13-00008819 incorporates the contents of the file in EB-09-SE-083, the file number initially assigned to this case.  Any future action or any correspondence with the FCC concerning this case should refer to the new case number.  </w:t>
      </w:r>
    </w:p>
  </w:footnote>
  <w:footnote w:id="3">
    <w:p w:rsidR="00823102" w:rsidRDefault="00823102">
      <w:pPr>
        <w:pStyle w:val="FootnoteText"/>
      </w:pPr>
      <w:r w:rsidRPr="00AF2483">
        <w:rPr>
          <w:rStyle w:val="FootnoteReference"/>
          <w:sz w:val="20"/>
        </w:rPr>
        <w:footnoteRef/>
      </w:r>
      <w:r w:rsidRPr="00AF2483">
        <w:t xml:space="preserve"> 47 U.S.C. § 302a(b).  </w:t>
      </w:r>
    </w:p>
  </w:footnote>
  <w:footnote w:id="4">
    <w:p w:rsidR="00823102" w:rsidRDefault="00823102">
      <w:pPr>
        <w:pStyle w:val="FootnoteText"/>
      </w:pPr>
      <w:r w:rsidRPr="00AF2483">
        <w:rPr>
          <w:rStyle w:val="FootnoteReference"/>
          <w:sz w:val="20"/>
        </w:rPr>
        <w:footnoteRef/>
      </w:r>
      <w:r w:rsidRPr="00AF2483">
        <w:t xml:space="preserve"> 47 C.F.R. § 2.803(a)(1) (2008) (</w:t>
      </w:r>
      <w:r w:rsidRPr="00E25BE8">
        <w:rPr>
          <w:i/>
        </w:rPr>
        <w:t>recodified</w:t>
      </w:r>
      <w:r w:rsidRPr="00AF2483">
        <w:t xml:space="preserve"> at 47 C.F.R. § 2.803(b)(1) (2013)).  Although Section 2.803(a)(1) has been recodified as Section 2.803(b)(1) of the Rules, the substance of the rule is unchanged.  </w:t>
      </w:r>
      <w:r w:rsidRPr="00AF2483">
        <w:rPr>
          <w:i/>
        </w:rPr>
        <w:t>See Radio Experimentation and Market Trials—Streamlining Rules</w:t>
      </w:r>
      <w:r w:rsidRPr="00AF2483">
        <w:t xml:space="preserve">, 78 Fed. </w:t>
      </w:r>
      <w:smartTag w:uri="urn:schemas-microsoft-com:office:smarttags" w:element="City">
        <w:smartTag w:uri="urn:schemas-microsoft-com:office:smarttags" w:element="place">
          <w:r w:rsidRPr="00AF2483">
            <w:t>Reg.</w:t>
          </w:r>
        </w:smartTag>
        <w:r w:rsidRPr="00AF2483">
          <w:t xml:space="preserve"> </w:t>
        </w:r>
        <w:smartTag w:uri="urn:schemas-microsoft-com:office:smarttags" w:element="PostalCode">
          <w:r w:rsidRPr="00AF2483">
            <w:t>25138</w:t>
          </w:r>
        </w:smartTag>
        <w:r w:rsidRPr="00AF2483">
          <w:t xml:space="preserve">, </w:t>
        </w:r>
        <w:smartTag w:uri="urn:schemas-microsoft-com:office:smarttags" w:element="PostalCode">
          <w:r w:rsidRPr="00AF2483">
            <w:t>25161</w:t>
          </w:r>
        </w:smartTag>
      </w:smartTag>
      <w:r w:rsidRPr="00AF2483">
        <w:t xml:space="preserve"> (Apr. 29, 2013) (</w:t>
      </w:r>
      <w:r w:rsidRPr="00AF2483">
        <w:rPr>
          <w:i/>
        </w:rPr>
        <w:t>Radio Experimentation</w:t>
      </w:r>
      <w:r w:rsidRPr="00AF2483">
        <w:t xml:space="preserve">).    </w:t>
      </w:r>
    </w:p>
  </w:footnote>
  <w:footnote w:id="5">
    <w:p w:rsidR="00823102" w:rsidRDefault="00823102">
      <w:pPr>
        <w:pStyle w:val="FootnoteText"/>
      </w:pPr>
      <w:r w:rsidRPr="00AF2483">
        <w:rPr>
          <w:rStyle w:val="FootnoteReference"/>
          <w:sz w:val="20"/>
        </w:rPr>
        <w:footnoteRef/>
      </w:r>
      <w:r w:rsidRPr="00AF2483">
        <w:t xml:space="preserve"> </w:t>
      </w:r>
      <w:smartTag w:uri="urn:schemas-microsoft-com:office:smarttags" w:element="City">
        <w:r w:rsidRPr="00AF2483">
          <w:rPr>
            <w:i/>
          </w:rPr>
          <w:t>Richfield</w:t>
        </w:r>
      </w:smartTag>
      <w:r w:rsidRPr="00AF2483">
        <w:rPr>
          <w:i/>
        </w:rPr>
        <w:t xml:space="preserve"> Elec. (</w:t>
      </w:r>
      <w:smartTag w:uri="urn:schemas-microsoft-com:office:smarttags" w:element="country-region">
        <w:smartTag w:uri="urn:schemas-microsoft-com:office:smarttags" w:element="place">
          <w:r w:rsidRPr="00AF2483">
            <w:rPr>
              <w:i/>
            </w:rPr>
            <w:t>China</w:t>
          </w:r>
        </w:smartTag>
      </w:smartTag>
      <w:r w:rsidRPr="00AF2483">
        <w:rPr>
          <w:i/>
        </w:rPr>
        <w:t>) Ltd</w:t>
      </w:r>
      <w:r w:rsidRPr="00AF2483">
        <w:t>., Notice of Apparent Liability for Forfeiture, 24 FCC Rcd 13247 (Enf. Bur. 2009) (</w:t>
      </w:r>
      <w:r w:rsidRPr="00AF2483">
        <w:rPr>
          <w:i/>
        </w:rPr>
        <w:t>NAL</w:t>
      </w:r>
      <w:r w:rsidRPr="00AF2483">
        <w:t xml:space="preserve">).  A more complete recitation of the facts and history of this case can be found in the </w:t>
      </w:r>
      <w:r w:rsidRPr="00AF2483">
        <w:rPr>
          <w:i/>
        </w:rPr>
        <w:t>NAL</w:t>
      </w:r>
      <w:r w:rsidRPr="00AF2483">
        <w:t xml:space="preserve"> and is incorporated herein by reference.    </w:t>
      </w:r>
    </w:p>
  </w:footnote>
  <w:footnote w:id="6">
    <w:p w:rsidR="00823102" w:rsidRDefault="00823102">
      <w:pPr>
        <w:pStyle w:val="FootnoteText"/>
      </w:pPr>
      <w:r w:rsidRPr="00AF2483">
        <w:rPr>
          <w:rStyle w:val="FootnoteReference"/>
          <w:sz w:val="20"/>
        </w:rPr>
        <w:footnoteRef/>
      </w:r>
      <w:r w:rsidRPr="00AF2483">
        <w:t xml:space="preserve"> An intentional radiator is “[a] device that intentionally generates and emits radio frequency energy by radiation or induction.”  47 C.F.R. § 15.3(o).</w:t>
      </w:r>
    </w:p>
  </w:footnote>
  <w:footnote w:id="7">
    <w:p w:rsidR="00823102" w:rsidRDefault="00823102">
      <w:pPr>
        <w:pStyle w:val="FootnoteText"/>
      </w:pPr>
      <w:r w:rsidRPr="00AF2483">
        <w:rPr>
          <w:rStyle w:val="FootnoteReference"/>
          <w:sz w:val="20"/>
        </w:rPr>
        <w:footnoteRef/>
      </w:r>
      <w:r w:rsidRPr="00AF2483">
        <w:t xml:space="preserve"> </w:t>
      </w:r>
      <w:smartTag w:uri="urn:schemas-microsoft-com:office:smarttags" w:element="State">
        <w:smartTag w:uri="urn:schemas-microsoft-com:office:smarttags" w:element="place">
          <w:r w:rsidRPr="00AF2483">
            <w:rPr>
              <w:i/>
            </w:rPr>
            <w:t>Id</w:t>
          </w:r>
          <w:r w:rsidRPr="00AF2483">
            <w:t>.</w:t>
          </w:r>
        </w:smartTag>
      </w:smartTag>
      <w:r w:rsidRPr="00AF2483">
        <w:t xml:space="preserve"> §§ 15.239(b) (emission limit requirement), 2.925(a)(1) (labeling requirement).  </w:t>
      </w:r>
    </w:p>
  </w:footnote>
  <w:footnote w:id="8">
    <w:p w:rsidR="00823102" w:rsidRDefault="00823102">
      <w:pPr>
        <w:pStyle w:val="FootnoteText"/>
      </w:pPr>
      <w:r w:rsidRPr="00AF2483">
        <w:rPr>
          <w:rStyle w:val="FootnoteReference"/>
          <w:sz w:val="20"/>
        </w:rPr>
        <w:footnoteRef/>
      </w:r>
      <w:r w:rsidRPr="00AF2483">
        <w:t xml:space="preserve"> </w:t>
      </w:r>
      <w:r w:rsidRPr="00AF2483">
        <w:rPr>
          <w:i/>
        </w:rPr>
        <w:t>See NAL</w:t>
      </w:r>
      <w:r w:rsidRPr="00AF2483">
        <w:t xml:space="preserve">, 24 FCC Rcd at 13249, para. 5.  The Division’s finding was based on </w:t>
      </w:r>
      <w:smartTag w:uri="urn:schemas-microsoft-com:office:smarttags" w:element="City">
        <w:r w:rsidRPr="00AF2483">
          <w:t>Richfield</w:t>
        </w:r>
      </w:smartTag>
      <w:r w:rsidRPr="00AF2483">
        <w:t xml:space="preserve">’s acknowledgement in its response to Division inquiries that it sold the WH Transmitter to its customer, TAW, and shipped the devices to TAW in the </w:t>
      </w:r>
      <w:smartTag w:uri="urn:schemas-microsoft-com:office:smarttags" w:element="country-region">
        <w:smartTag w:uri="urn:schemas-microsoft-com:office:smarttags" w:element="place">
          <w:r w:rsidRPr="00AF2483">
            <w:t>United States</w:t>
          </w:r>
        </w:smartTag>
      </w:smartTag>
      <w:r w:rsidRPr="00AF2483">
        <w:t xml:space="preserve">.  </w:t>
      </w:r>
      <w:r w:rsidRPr="00AF2483">
        <w:rPr>
          <w:i/>
        </w:rPr>
        <w:t xml:space="preserve">See </w:t>
      </w:r>
      <w:r w:rsidRPr="00AF2483">
        <w:t>Letter from Flora Cho, Operations Manager, Richfield Electronics (China) Ltd., to Kathryn S. Berthot, Chief, Spectrum Enforcement Division, FCC Enforcement Bureau (May 15, 2009) (on file in EB-SED-</w:t>
      </w:r>
      <w:r w:rsidRPr="00AF2483">
        <w:rPr>
          <w:spacing w:val="-2"/>
        </w:rPr>
        <w:t>13-00008819</w:t>
      </w:r>
      <w:r w:rsidRPr="00AF2483">
        <w:t>) (LOI Response); Letter from Flora Cho, Operations Manager, Richfield Electronics (China) Ltd., to Kathryn S. Berthot, Chief, Spectrum Enforcement Division, FCC Enforcement Bureau (Aug. 6, 2009) (on file in EB-SED-</w:t>
      </w:r>
      <w:r w:rsidRPr="00AF2483">
        <w:rPr>
          <w:spacing w:val="-2"/>
        </w:rPr>
        <w:t>13-00008819</w:t>
      </w:r>
      <w:r w:rsidRPr="00AF2483">
        <w:t xml:space="preserve">) (Second LOI Response).  The Division issued a Citation to TAW for marketing the noncompliant and unlabeled WH Transmitter.  </w:t>
      </w:r>
      <w:r w:rsidRPr="00AF2483">
        <w:rPr>
          <w:i/>
        </w:rPr>
        <w:t>See Thomas Allen Webb, CEO</w:t>
      </w:r>
      <w:r w:rsidRPr="00AF2483">
        <w:t>, Citation, 24 FCC Rcd 2404 (Enf. Bur. 2009) (TAW Citation).</w:t>
      </w:r>
    </w:p>
  </w:footnote>
  <w:footnote w:id="9">
    <w:p w:rsidR="00823102" w:rsidRDefault="00823102">
      <w:pPr>
        <w:pStyle w:val="FootnoteText"/>
      </w:pPr>
      <w:r w:rsidRPr="00AF2483">
        <w:rPr>
          <w:rStyle w:val="FootnoteReference"/>
          <w:sz w:val="20"/>
        </w:rPr>
        <w:footnoteRef/>
      </w:r>
      <w:r w:rsidRPr="00AF2483">
        <w:t xml:space="preserve"> </w:t>
      </w:r>
      <w:r w:rsidRPr="00AF2483">
        <w:rPr>
          <w:i/>
        </w:rPr>
        <w:t>See NAL</w:t>
      </w:r>
      <w:r w:rsidRPr="00AF2483">
        <w:t xml:space="preserve">, 24 FCC Rcd at 13249–50, paras. 5–6.  The Division’s investigation was initiated in response to a complaint that the WH Transmitter exceeded the emission limit specified in Section 15.239(b) of the Rules, which was subsequently confirmed by the Commission’s Office of Engineering and Technology (OET).  </w:t>
      </w:r>
      <w:r w:rsidRPr="00AF2483">
        <w:rPr>
          <w:i/>
        </w:rPr>
        <w:t xml:space="preserve">See id. </w:t>
      </w:r>
      <w:r w:rsidRPr="00AF2483">
        <w:t xml:space="preserve">at 13247, para. 2.      </w:t>
      </w:r>
    </w:p>
  </w:footnote>
  <w:footnote w:id="10">
    <w:p w:rsidR="00823102" w:rsidRDefault="00823102">
      <w:pPr>
        <w:pStyle w:val="FootnoteText"/>
      </w:pPr>
      <w:r w:rsidRPr="00AF2483">
        <w:rPr>
          <w:rStyle w:val="FootnoteReference"/>
          <w:sz w:val="20"/>
        </w:rPr>
        <w:footnoteRef/>
      </w:r>
      <w:r w:rsidRPr="00AF2483">
        <w:t xml:space="preserve"> </w:t>
      </w:r>
      <w:r w:rsidRPr="00AF2483">
        <w:rPr>
          <w:i/>
        </w:rPr>
        <w:t>See id.</w:t>
      </w:r>
      <w:r w:rsidRPr="00AF2483">
        <w:t xml:space="preserve"> at 13248, para. 5.  </w:t>
      </w:r>
    </w:p>
  </w:footnote>
  <w:footnote w:id="11">
    <w:p w:rsidR="00823102" w:rsidRDefault="00823102">
      <w:pPr>
        <w:pStyle w:val="FootnoteText"/>
      </w:pPr>
      <w:r w:rsidRPr="00AF2483">
        <w:rPr>
          <w:rStyle w:val="FootnoteReference"/>
          <w:sz w:val="20"/>
        </w:rPr>
        <w:footnoteRef/>
      </w:r>
      <w:r w:rsidRPr="00AF2483">
        <w:t xml:space="preserve"> </w:t>
      </w:r>
      <w:r w:rsidRPr="00AF2483">
        <w:rPr>
          <w:i/>
        </w:rPr>
        <w:t>See id</w:t>
      </w:r>
      <w:r w:rsidRPr="00AF2483">
        <w:t xml:space="preserve">. at 13251, para. 6.  </w:t>
      </w:r>
    </w:p>
  </w:footnote>
  <w:footnote w:id="12">
    <w:p w:rsidR="00823102" w:rsidRDefault="00823102">
      <w:pPr>
        <w:pStyle w:val="FootnoteText"/>
      </w:pPr>
      <w:r w:rsidRPr="00AF2483">
        <w:rPr>
          <w:rStyle w:val="FootnoteReference"/>
          <w:sz w:val="20"/>
        </w:rPr>
        <w:footnoteRef/>
      </w:r>
      <w:r w:rsidRPr="00AF2483">
        <w:t xml:space="preserve"> </w:t>
      </w:r>
      <w:r w:rsidRPr="00AF2483">
        <w:rPr>
          <w:i/>
        </w:rPr>
        <w:t xml:space="preserve">See </w:t>
      </w:r>
      <w:r w:rsidRPr="00AF2483">
        <w:t xml:space="preserve">Letter from Flora Cho, Operations Manager, Richfield Electronics (China) Ltd., to Kathryn S. Berthot, Chief, Spectrum Enforcement Division, FCC Enforcement Bureau (Nov. 25, 2009) (on file in EB-SED-13-00008819) (NAL Response).  </w:t>
      </w:r>
    </w:p>
  </w:footnote>
  <w:footnote w:id="13">
    <w:p w:rsidR="00823102" w:rsidRDefault="00823102">
      <w:pPr>
        <w:pStyle w:val="FootnoteText"/>
      </w:pPr>
      <w:r w:rsidRPr="00AF2483">
        <w:rPr>
          <w:rStyle w:val="FootnoteReference"/>
          <w:sz w:val="20"/>
        </w:rPr>
        <w:footnoteRef/>
      </w:r>
      <w:r w:rsidRPr="00AF2483">
        <w:t xml:space="preserve"> </w:t>
      </w:r>
      <w:r w:rsidRPr="00AF2483">
        <w:rPr>
          <w:i/>
        </w:rPr>
        <w:t xml:space="preserve">See id. </w:t>
      </w:r>
      <w:r w:rsidRPr="00AF2483">
        <w:t xml:space="preserve">at 1–2. </w:t>
      </w:r>
    </w:p>
  </w:footnote>
  <w:footnote w:id="14">
    <w:p w:rsidR="00823102" w:rsidRDefault="00823102">
      <w:pPr>
        <w:pStyle w:val="FootnoteText"/>
      </w:pPr>
      <w:r w:rsidRPr="00AF2483">
        <w:rPr>
          <w:rStyle w:val="FootnoteReference"/>
          <w:sz w:val="20"/>
        </w:rPr>
        <w:footnoteRef/>
      </w:r>
      <w:r w:rsidRPr="00AF2483">
        <w:t xml:space="preserve"> </w:t>
      </w:r>
      <w:r w:rsidRPr="00AF2483">
        <w:rPr>
          <w:i/>
        </w:rPr>
        <w:t>See NAL</w:t>
      </w:r>
      <w:r w:rsidRPr="00AF2483">
        <w:t xml:space="preserve">, 24 FCC Rcd at 13251, para. 6. </w:t>
      </w:r>
    </w:p>
  </w:footnote>
  <w:footnote w:id="15">
    <w:p w:rsidR="00823102" w:rsidRDefault="00823102" w:rsidP="00B43C10">
      <w:pPr>
        <w:spacing w:after="120"/>
      </w:pPr>
      <w:r w:rsidRPr="00AF2483">
        <w:rPr>
          <w:rStyle w:val="FootnoteReference"/>
          <w:sz w:val="20"/>
        </w:rPr>
        <w:footnoteRef/>
      </w:r>
      <w:r w:rsidRPr="00AF2483">
        <w:rPr>
          <w:sz w:val="20"/>
        </w:rPr>
        <w:t xml:space="preserve"> According to Commission records, </w:t>
      </w:r>
      <w:smartTag w:uri="urn:schemas-microsoft-com:office:smarttags" w:element="State">
        <w:smartTag w:uri="urn:schemas-microsoft-com:office:smarttags" w:element="City">
          <w:smartTag w:uri="urn:schemas-microsoft-com:office:smarttags" w:element="place">
            <w:r w:rsidRPr="00AF2483">
              <w:rPr>
                <w:sz w:val="20"/>
              </w:rPr>
              <w:t>Richfield</w:t>
            </w:r>
          </w:smartTag>
        </w:smartTag>
      </w:smartTag>
      <w:r w:rsidRPr="00AF2483">
        <w:rPr>
          <w:sz w:val="20"/>
        </w:rPr>
        <w:t xml:space="preserve"> obtained an equipment certification for an FM transmitter on November 5, 2002.  The Commission first received a complaint about </w:t>
      </w:r>
      <w:smartTag w:uri="urn:schemas-microsoft-com:office:smarttags" w:element="State">
        <w:smartTag w:uri="urn:schemas-microsoft-com:office:smarttags" w:element="City">
          <w:smartTag w:uri="urn:schemas-microsoft-com:office:smarttags" w:element="place">
            <w:r w:rsidRPr="00AF2483">
              <w:rPr>
                <w:sz w:val="20"/>
              </w:rPr>
              <w:t>Richfield</w:t>
            </w:r>
          </w:smartTag>
        </w:smartTag>
      </w:smartTag>
      <w:r w:rsidRPr="00AF2483">
        <w:rPr>
          <w:sz w:val="20"/>
        </w:rPr>
        <w:t xml:space="preserve">’s noncompliant device in March 2008.  Tests conducted by OET in May 2008 determined that the device was operating outside the parameters of its certification.  In response to the Division’s letters of inquiry (LOIs), </w:t>
      </w:r>
      <w:smartTag w:uri="urn:schemas-microsoft-com:office:smarttags" w:element="State">
        <w:smartTag w:uri="urn:schemas-microsoft-com:office:smarttags" w:element="City">
          <w:smartTag w:uri="urn:schemas-microsoft-com:office:smarttags" w:element="place">
            <w:r w:rsidRPr="00AF2483">
              <w:rPr>
                <w:sz w:val="20"/>
              </w:rPr>
              <w:t>Richfield</w:t>
            </w:r>
          </w:smartTag>
        </w:smartTag>
      </w:smartTag>
      <w:r w:rsidRPr="00AF2483">
        <w:rPr>
          <w:sz w:val="20"/>
        </w:rPr>
        <w:t xml:space="preserve"> asserted that in December 2008 it modified the device’s antenna to improve sound quality.  </w:t>
      </w:r>
      <w:smartTag w:uri="urn:schemas-microsoft-com:office:smarttags" w:element="State">
        <w:smartTag w:uri="urn:schemas-microsoft-com:office:smarttags" w:element="City">
          <w:smartTag w:uri="urn:schemas-microsoft-com:office:smarttags" w:element="place">
            <w:r w:rsidRPr="00AF2483">
              <w:rPr>
                <w:sz w:val="20"/>
              </w:rPr>
              <w:t>Richfield</w:t>
            </w:r>
          </w:smartTag>
        </w:smartTag>
      </w:smartTag>
      <w:r w:rsidRPr="00AF2483">
        <w:rPr>
          <w:sz w:val="20"/>
        </w:rPr>
        <w:t xml:space="preserve"> surmised that the modifications made to the antenna at that time caused the increased field strength emission levels.  Given that the FCC first received a complaint 10 months before the antenna modification was alleged to have occurred, and that Commission staff tested a noncompliant Richfield device seven months prior, Richfield’s assertions are </w:t>
      </w:r>
      <w:r w:rsidR="00D91477">
        <w:rPr>
          <w:sz w:val="20"/>
        </w:rPr>
        <w:t>problematic</w:t>
      </w:r>
      <w:r w:rsidRPr="00AF2483">
        <w:rPr>
          <w:sz w:val="20"/>
        </w:rPr>
        <w:t xml:space="preserve">.  One of two possibilities is most likely:  (i) the device’s antenna was modified in December 2008, but the device was previously noncompliant for another reason, or (ii) </w:t>
      </w:r>
      <w:smartTag w:uri="urn:schemas-microsoft-com:office:smarttags" w:element="State">
        <w:smartTag w:uri="urn:schemas-microsoft-com:office:smarttags" w:element="City">
          <w:smartTag w:uri="urn:schemas-microsoft-com:office:smarttags" w:element="place">
            <w:r w:rsidRPr="00AF2483">
              <w:rPr>
                <w:sz w:val="20"/>
              </w:rPr>
              <w:t>Richfield</w:t>
            </w:r>
          </w:smartTag>
        </w:smartTag>
      </w:smartTag>
      <w:r w:rsidRPr="00AF2483">
        <w:rPr>
          <w:sz w:val="20"/>
        </w:rPr>
        <w:t xml:space="preserve"> modified the device’s antenna earlier than it claimed in its responses to the Division’s LOIs.  Neither possibility suggests that </w:t>
      </w:r>
      <w:smartTag w:uri="urn:schemas-microsoft-com:office:smarttags" w:element="State">
        <w:smartTag w:uri="urn:schemas-microsoft-com:office:smarttags" w:element="City">
          <w:smartTag w:uri="urn:schemas-microsoft-com:office:smarttags" w:element="place">
            <w:r w:rsidRPr="00AF2483">
              <w:rPr>
                <w:sz w:val="20"/>
              </w:rPr>
              <w:t>Richfield</w:t>
            </w:r>
          </w:smartTag>
        </w:smartTag>
      </w:smartTag>
      <w:r w:rsidRPr="00AF2483">
        <w:rPr>
          <w:sz w:val="20"/>
        </w:rPr>
        <w:t xml:space="preserve"> was conducting its business operations consistent the Commission’s grant of authorization.  </w:t>
      </w:r>
      <w:r w:rsidRPr="00AF2483">
        <w:rPr>
          <w:i/>
          <w:sz w:val="20"/>
        </w:rPr>
        <w:t>See</w:t>
      </w:r>
      <w:r w:rsidRPr="00AF2483">
        <w:rPr>
          <w:sz w:val="20"/>
        </w:rPr>
        <w:t xml:space="preserve"> 47 C.F.R. § 2.1053(b)(3) (requiring field strength measurements for all equipment where “the antenna is an integral part of, and attached directly to the transmitter); </w:t>
      </w:r>
      <w:r w:rsidRPr="00AF2483">
        <w:rPr>
          <w:i/>
          <w:sz w:val="20"/>
        </w:rPr>
        <w:t>id</w:t>
      </w:r>
      <w:r w:rsidRPr="00AF2483">
        <w:rPr>
          <w:sz w:val="20"/>
        </w:rPr>
        <w:t xml:space="preserve">. § 2.1043(a) (stating that “changes to the . . . field strength ratings shall not be performed without application for and authorization of a new grant of certification”); </w:t>
      </w:r>
      <w:r w:rsidRPr="00AF2483">
        <w:rPr>
          <w:i/>
          <w:sz w:val="20"/>
        </w:rPr>
        <w:t>id</w:t>
      </w:r>
      <w:r w:rsidRPr="00AF2483">
        <w:rPr>
          <w:sz w:val="20"/>
        </w:rPr>
        <w:t>. § 2.1043(c) (explaining that “a grantee desiring to make [such a] change shall file an application on FCC Form 731 accompanied by the required fees).</w:t>
      </w:r>
    </w:p>
  </w:footnote>
  <w:footnote w:id="16">
    <w:p w:rsidR="00823102" w:rsidRDefault="00823102">
      <w:pPr>
        <w:pStyle w:val="FootnoteText"/>
      </w:pPr>
      <w:r w:rsidRPr="00AF2483">
        <w:rPr>
          <w:rStyle w:val="FootnoteReference"/>
          <w:sz w:val="20"/>
        </w:rPr>
        <w:footnoteRef/>
      </w:r>
      <w:r w:rsidRPr="00AF2483">
        <w:t xml:space="preserve"> </w:t>
      </w:r>
      <w:r w:rsidRPr="00AF2483">
        <w:rPr>
          <w:i/>
        </w:rPr>
        <w:t xml:space="preserve">See </w:t>
      </w:r>
      <w:r w:rsidRPr="00AF2483">
        <w:t>NAL Response at 1.</w:t>
      </w:r>
    </w:p>
  </w:footnote>
  <w:footnote w:id="17">
    <w:p w:rsidR="00823102" w:rsidRDefault="00823102">
      <w:pPr>
        <w:pStyle w:val="FootnoteText"/>
      </w:pPr>
      <w:r>
        <w:rPr>
          <w:rStyle w:val="FootnoteReference"/>
          <w:sz w:val="20"/>
        </w:rPr>
        <w:footnoteRef/>
      </w:r>
      <w:r w:rsidRPr="001451AE">
        <w:t xml:space="preserve"> </w:t>
      </w:r>
      <w:r w:rsidRPr="001451AE">
        <w:rPr>
          <w:i/>
        </w:rPr>
        <w:t>See id</w:t>
      </w:r>
      <w:r w:rsidRPr="001451AE">
        <w:t>. at 1</w:t>
      </w:r>
      <w:r w:rsidRPr="00A878CE">
        <w:t>–</w:t>
      </w:r>
      <w:r w:rsidRPr="001451AE">
        <w:t>2.</w:t>
      </w:r>
    </w:p>
  </w:footnote>
  <w:footnote w:id="18">
    <w:p w:rsidR="00823102" w:rsidRDefault="00823102">
      <w:pPr>
        <w:pStyle w:val="FootnoteText"/>
      </w:pPr>
      <w:r>
        <w:rPr>
          <w:rStyle w:val="FootnoteReference"/>
          <w:sz w:val="20"/>
        </w:rPr>
        <w:footnoteRef/>
      </w:r>
      <w:r w:rsidRPr="001451AE">
        <w:t xml:space="preserve"> </w:t>
      </w:r>
      <w:r w:rsidRPr="001451AE">
        <w:rPr>
          <w:i/>
        </w:rPr>
        <w:t>See id</w:t>
      </w:r>
      <w:r w:rsidRPr="001451AE">
        <w:t xml:space="preserve">. at 2.  </w:t>
      </w:r>
    </w:p>
  </w:footnote>
  <w:footnote w:id="19">
    <w:p w:rsidR="00823102" w:rsidRDefault="00823102">
      <w:pPr>
        <w:pStyle w:val="FootnoteText"/>
      </w:pPr>
      <w:r>
        <w:rPr>
          <w:rStyle w:val="FootnoteReference"/>
          <w:sz w:val="20"/>
        </w:rPr>
        <w:footnoteRef/>
      </w:r>
      <w:r w:rsidRPr="001451AE">
        <w:t xml:space="preserve"> </w:t>
      </w:r>
      <w:r w:rsidRPr="001451AE">
        <w:rPr>
          <w:color w:val="000000"/>
        </w:rPr>
        <w:t>47 U.S.C. § 503(b).</w:t>
      </w:r>
    </w:p>
  </w:footnote>
  <w:footnote w:id="20">
    <w:p w:rsidR="00823102" w:rsidRDefault="00823102">
      <w:pPr>
        <w:pStyle w:val="FootnoteText"/>
      </w:pPr>
      <w:r>
        <w:rPr>
          <w:rStyle w:val="FootnoteReference"/>
          <w:sz w:val="20"/>
        </w:rPr>
        <w:footnoteRef/>
      </w:r>
      <w:r w:rsidRPr="001451AE">
        <w:t xml:space="preserve"> 47 C.F.R. § 1.80.</w:t>
      </w:r>
    </w:p>
  </w:footnote>
  <w:footnote w:id="21">
    <w:p w:rsidR="00823102" w:rsidRDefault="00823102">
      <w:pPr>
        <w:pStyle w:val="FootnoteText"/>
      </w:pPr>
      <w:r>
        <w:rPr>
          <w:rStyle w:val="FootnoteReference"/>
          <w:sz w:val="20"/>
        </w:rPr>
        <w:footnoteRef/>
      </w:r>
      <w:r w:rsidRPr="001451AE">
        <w:rPr>
          <w:i/>
        </w:rPr>
        <w:t xml:space="preserve"> The Commission</w:t>
      </w:r>
      <w:r w:rsidRPr="00A878CE">
        <w:rPr>
          <w:i/>
        </w:rPr>
        <w:t>’</w:t>
      </w:r>
      <w:r w:rsidRPr="001451AE">
        <w:rPr>
          <w:i/>
        </w:rPr>
        <w:t>s Forfeiture Policy Statement and Amendment of Section 1.80 of the Rules to Incorporate the Forfeiture Guidelines</w:t>
      </w:r>
      <w:r w:rsidRPr="001451AE">
        <w:t xml:space="preserve">, Report and Order, 12 FCC Rcd 17087 (1997), </w:t>
      </w:r>
      <w:r w:rsidRPr="001451AE">
        <w:rPr>
          <w:i/>
        </w:rPr>
        <w:t>recons. denied</w:t>
      </w:r>
      <w:r w:rsidRPr="001451AE">
        <w:t>, Memorandum Opinion and Order, 15 FCC Rcd 303 (1999) (</w:t>
      </w:r>
      <w:r w:rsidRPr="001451AE">
        <w:rPr>
          <w:i/>
        </w:rPr>
        <w:t>Forfeiture Policy Statement</w:t>
      </w:r>
      <w:r w:rsidRPr="001451AE">
        <w:t>).</w:t>
      </w:r>
    </w:p>
  </w:footnote>
  <w:footnote w:id="22">
    <w:p w:rsidR="00823102" w:rsidRDefault="00823102">
      <w:pPr>
        <w:pStyle w:val="FootnoteText"/>
      </w:pPr>
      <w:r>
        <w:rPr>
          <w:rStyle w:val="FootnoteReference"/>
          <w:sz w:val="20"/>
        </w:rPr>
        <w:footnoteRef/>
      </w:r>
      <w:r w:rsidRPr="001451AE">
        <w:t xml:space="preserve"> 47 U.S.C. § 503(b)(2)(E).</w:t>
      </w:r>
    </w:p>
  </w:footnote>
  <w:footnote w:id="23">
    <w:p w:rsidR="00823102" w:rsidRDefault="00823102">
      <w:pPr>
        <w:pStyle w:val="FootnoteText"/>
      </w:pPr>
      <w:r>
        <w:rPr>
          <w:rStyle w:val="FootnoteReference"/>
          <w:sz w:val="20"/>
        </w:rPr>
        <w:footnoteRef/>
      </w:r>
      <w:r w:rsidRPr="001451AE">
        <w:t xml:space="preserve"> </w:t>
      </w:r>
      <w:smartTag w:uri="urn:schemas-microsoft-com:office:smarttags" w:element="State">
        <w:smartTag w:uri="urn:schemas-microsoft-com:office:smarttags" w:element="place">
          <w:r w:rsidRPr="001451AE">
            <w:rPr>
              <w:i/>
            </w:rPr>
            <w:t>Id.</w:t>
          </w:r>
        </w:smartTag>
      </w:smartTag>
      <w:r w:rsidRPr="001451AE">
        <w:t xml:space="preserve"> § 302a(b).</w:t>
      </w:r>
    </w:p>
  </w:footnote>
  <w:footnote w:id="24">
    <w:p w:rsidR="00823102" w:rsidRDefault="00823102">
      <w:pPr>
        <w:pStyle w:val="FootnoteText"/>
      </w:pPr>
      <w:r w:rsidRPr="00AF2483">
        <w:rPr>
          <w:rStyle w:val="FootnoteReference"/>
          <w:sz w:val="20"/>
        </w:rPr>
        <w:footnoteRef/>
      </w:r>
      <w:r w:rsidRPr="00AF2483">
        <w:t xml:space="preserve"> Marketing “includes the sale or lease, or offering for sale or lease, including advertising for sale or lease, or importation, shipment, or distribution for the purpose of selling or leasing or offering for sale or lease.”  47 C.F.R. § 2.803(e)(4) (2008) (</w:t>
      </w:r>
      <w:r w:rsidRPr="00E02670">
        <w:rPr>
          <w:i/>
        </w:rPr>
        <w:t xml:space="preserve">recodified </w:t>
      </w:r>
      <w:r w:rsidRPr="00AF2483">
        <w:t xml:space="preserve">at 47 C.F.R. § 2.803(a) (2013)).  Although Section 2.803(e)(4) has been recodified as Section 2.803(a) of the Rules, the substance of the rule is unchanged.  </w:t>
      </w:r>
      <w:r w:rsidRPr="00AF2483">
        <w:rPr>
          <w:i/>
        </w:rPr>
        <w:t>See Radio Experimentation</w:t>
      </w:r>
      <w:r w:rsidRPr="00AF2483">
        <w:t xml:space="preserve">, 78 Fed. Reg. at 25161.    </w:t>
      </w:r>
    </w:p>
  </w:footnote>
  <w:footnote w:id="25">
    <w:p w:rsidR="00823102" w:rsidRDefault="00823102">
      <w:pPr>
        <w:pStyle w:val="FootnoteText"/>
      </w:pPr>
      <w:r>
        <w:rPr>
          <w:rStyle w:val="FootnoteReference"/>
          <w:sz w:val="20"/>
        </w:rPr>
        <w:footnoteRef/>
      </w:r>
      <w:r w:rsidRPr="001451AE">
        <w:t xml:space="preserve"> A radio frequency device is “any device which in its operation is capable of emitting radiofrequency energy by radiation, conduction, or other means.”  47 C.F.R. § 2.801.</w:t>
      </w:r>
    </w:p>
  </w:footnote>
  <w:footnote w:id="26">
    <w:p w:rsidR="00823102" w:rsidRDefault="00823102">
      <w:pPr>
        <w:pStyle w:val="FootnoteText"/>
      </w:pPr>
      <w:r>
        <w:rPr>
          <w:rStyle w:val="FootnoteReference"/>
          <w:sz w:val="20"/>
        </w:rPr>
        <w:footnoteRef/>
      </w:r>
      <w:r w:rsidRPr="001451AE">
        <w:t xml:space="preserve"> A “[c]ertification is an equipment authorization issued by the Commission, based on representations and test data submitted by the applicant.”  </w:t>
      </w:r>
      <w:smartTag w:uri="urn:schemas-microsoft-com:office:smarttags" w:element="State">
        <w:smartTag w:uri="urn:schemas-microsoft-com:office:smarttags" w:element="place">
          <w:r w:rsidRPr="001451AE">
            <w:rPr>
              <w:i/>
            </w:rPr>
            <w:t>Id</w:t>
          </w:r>
          <w:r w:rsidRPr="001451AE">
            <w:t>.</w:t>
          </w:r>
        </w:smartTag>
      </w:smartTag>
      <w:r w:rsidRPr="001451AE">
        <w:t xml:space="preserve"> § 2.907(a).  </w:t>
      </w:r>
    </w:p>
  </w:footnote>
  <w:footnote w:id="27">
    <w:p w:rsidR="00823102" w:rsidRDefault="00823102">
      <w:pPr>
        <w:pStyle w:val="FootnoteText"/>
      </w:pPr>
      <w:r>
        <w:rPr>
          <w:rStyle w:val="FootnoteReference"/>
          <w:sz w:val="20"/>
        </w:rPr>
        <w:footnoteRef/>
      </w:r>
      <w:r w:rsidRPr="001451AE">
        <w:t xml:space="preserve"> </w:t>
      </w:r>
      <w:r w:rsidRPr="001451AE">
        <w:rPr>
          <w:i/>
        </w:rPr>
        <w:t>See id.</w:t>
      </w:r>
      <w:r w:rsidRPr="001451AE">
        <w:t xml:space="preserve"> § 2.803(a)(1) (2008).  </w:t>
      </w:r>
    </w:p>
  </w:footnote>
  <w:footnote w:id="28">
    <w:p w:rsidR="00823102" w:rsidRDefault="00823102">
      <w:pPr>
        <w:pStyle w:val="FootnoteText"/>
      </w:pPr>
      <w:r>
        <w:rPr>
          <w:rStyle w:val="FootnoteReference"/>
          <w:sz w:val="20"/>
        </w:rPr>
        <w:footnoteRef/>
      </w:r>
      <w:r w:rsidRPr="001451AE">
        <w:t xml:space="preserve"> </w:t>
      </w:r>
      <w:r w:rsidRPr="001451AE">
        <w:rPr>
          <w:i/>
        </w:rPr>
        <w:t>See id.</w:t>
      </w:r>
      <w:r w:rsidRPr="001451AE">
        <w:t xml:space="preserve"> § 15.201.</w:t>
      </w:r>
    </w:p>
  </w:footnote>
  <w:footnote w:id="29">
    <w:p w:rsidR="00823102" w:rsidRDefault="00823102">
      <w:pPr>
        <w:pStyle w:val="FootnoteText"/>
      </w:pPr>
      <w:r>
        <w:rPr>
          <w:rStyle w:val="FootnoteReference"/>
          <w:sz w:val="20"/>
        </w:rPr>
        <w:footnoteRef/>
      </w:r>
      <w:r w:rsidRPr="001451AE">
        <w:t xml:space="preserve"> </w:t>
      </w:r>
      <w:r w:rsidRPr="001451AE">
        <w:rPr>
          <w:i/>
        </w:rPr>
        <w:t>See id.</w:t>
      </w:r>
      <w:r w:rsidRPr="001451AE">
        <w:t xml:space="preserve"> §§ 2.1031</w:t>
      </w:r>
      <w:r w:rsidRPr="00A878CE">
        <w:t>–</w:t>
      </w:r>
      <w:r w:rsidRPr="001451AE">
        <w:t>2.1060.</w:t>
      </w:r>
    </w:p>
  </w:footnote>
  <w:footnote w:id="30">
    <w:p w:rsidR="00823102" w:rsidRDefault="00823102">
      <w:pPr>
        <w:pStyle w:val="FootnoteText"/>
      </w:pPr>
      <w:r w:rsidRPr="00AF2483">
        <w:rPr>
          <w:rStyle w:val="FootnoteReference"/>
          <w:sz w:val="20"/>
        </w:rPr>
        <w:footnoteRef/>
      </w:r>
      <w:r w:rsidRPr="00AF2483">
        <w:t xml:space="preserve"> </w:t>
      </w:r>
      <w:r w:rsidRPr="00AF2483">
        <w:rPr>
          <w:i/>
        </w:rPr>
        <w:t>See id.</w:t>
      </w:r>
      <w:r w:rsidRPr="00AF2483">
        <w:t xml:space="preserve"> §§ 2.925(a)(1</w:t>
      </w:r>
      <w:r w:rsidR="00E25BE8" w:rsidRPr="00AF2483">
        <w:t>)</w:t>
      </w:r>
      <w:r w:rsidR="00E25BE8">
        <w:t>,</w:t>
      </w:r>
      <w:r w:rsidR="00E25BE8" w:rsidRPr="00AF2483">
        <w:t xml:space="preserve"> </w:t>
      </w:r>
      <w:r w:rsidRPr="00AF2483">
        <w:t>15.239(b).</w:t>
      </w:r>
    </w:p>
  </w:footnote>
  <w:footnote w:id="31">
    <w:p w:rsidR="00823102" w:rsidRDefault="00823102">
      <w:pPr>
        <w:pStyle w:val="FootnoteText"/>
      </w:pPr>
      <w:r>
        <w:rPr>
          <w:rStyle w:val="FootnoteReference"/>
          <w:sz w:val="20"/>
        </w:rPr>
        <w:footnoteRef/>
      </w:r>
      <w:r w:rsidRPr="001451AE">
        <w:t xml:space="preserve"> </w:t>
      </w:r>
      <w:r w:rsidRPr="001451AE">
        <w:rPr>
          <w:i/>
        </w:rPr>
        <w:t>See NAL</w:t>
      </w:r>
      <w:r w:rsidRPr="001451AE">
        <w:t xml:space="preserve">, </w:t>
      </w:r>
      <w:r w:rsidRPr="001451AE">
        <w:rPr>
          <w:i/>
        </w:rPr>
        <w:t>supra</w:t>
      </w:r>
      <w:r w:rsidRPr="001451AE">
        <w:t xml:space="preserve"> note 4.</w:t>
      </w:r>
    </w:p>
  </w:footnote>
  <w:footnote w:id="32">
    <w:p w:rsidR="00823102" w:rsidRDefault="00823102">
      <w:pPr>
        <w:pStyle w:val="FootnoteText"/>
      </w:pPr>
      <w:r w:rsidRPr="00AF2483">
        <w:rPr>
          <w:rStyle w:val="FootnoteReference"/>
          <w:sz w:val="20"/>
        </w:rPr>
        <w:footnoteRef/>
      </w:r>
      <w:r w:rsidRPr="00AF2483">
        <w:t xml:space="preserve"> </w:t>
      </w:r>
      <w:r w:rsidRPr="00AF2483">
        <w:rPr>
          <w:i/>
        </w:rPr>
        <w:t xml:space="preserve">See </w:t>
      </w:r>
      <w:r w:rsidRPr="00AF2483">
        <w:t xml:space="preserve">NAL Response at 1.  </w:t>
      </w:r>
      <w:smartTag w:uri="urn:schemas-microsoft-com:office:smarttags" w:element="State">
        <w:smartTag w:uri="urn:schemas-microsoft-com:office:smarttags" w:element="City">
          <w:r w:rsidRPr="00AF2483">
            <w:t>Richfield</w:t>
          </w:r>
        </w:smartTag>
      </w:smartTag>
      <w:r w:rsidRPr="00AF2483">
        <w:t xml:space="preserve"> also argues that it was not the importer of the WH Transmitter because TAW paid the shipping costs from Hong Kong to the </w:t>
      </w:r>
      <w:smartTag w:uri="urn:schemas-microsoft-com:office:smarttags" w:element="State">
        <w:smartTag w:uri="urn:schemas-microsoft-com:office:smarttags" w:element="country-region">
          <w:r w:rsidRPr="00AF2483">
            <w:t>United States</w:t>
          </w:r>
        </w:smartTag>
      </w:smartTag>
      <w:r w:rsidRPr="00AF2483">
        <w:t xml:space="preserve"> and </w:t>
      </w:r>
      <w:smartTag w:uri="urn:schemas-microsoft-com:office:smarttags" w:element="State">
        <w:smartTag w:uri="urn:schemas-microsoft-com:office:smarttags" w:element="City">
          <w:smartTag w:uri="urn:schemas-microsoft-com:office:smarttags" w:element="place">
            <w:r w:rsidRPr="00AF2483">
              <w:t>Richfield</w:t>
            </w:r>
          </w:smartTag>
        </w:smartTag>
      </w:smartTag>
      <w:r w:rsidRPr="00AF2483">
        <w:t xml:space="preserve"> handed the devices to TAW’s “assigned forwarder.”  </w:t>
      </w:r>
      <w:r w:rsidRPr="00AF2483">
        <w:rPr>
          <w:i/>
        </w:rPr>
        <w:t xml:space="preserve">See id.  </w:t>
      </w:r>
      <w:r w:rsidRPr="00AF2483">
        <w:t xml:space="preserve">Because the </w:t>
      </w:r>
      <w:r w:rsidRPr="00AF2483">
        <w:rPr>
          <w:i/>
        </w:rPr>
        <w:t>NAL</w:t>
      </w:r>
      <w:r w:rsidRPr="00AF2483">
        <w:t xml:space="preserve"> made no legal finding that </w:t>
      </w:r>
      <w:smartTag w:uri="urn:schemas-microsoft-com:office:smarttags" w:element="State">
        <w:smartTag w:uri="urn:schemas-microsoft-com:office:smarttags" w:element="City">
          <w:smartTag w:uri="urn:schemas-microsoft-com:office:smarttags" w:element="place">
            <w:r w:rsidRPr="00AF2483">
              <w:t>Richfield</w:t>
            </w:r>
          </w:smartTag>
        </w:smartTag>
      </w:smartTag>
      <w:r w:rsidRPr="00AF2483">
        <w:t xml:space="preserve"> engaged in the importation of the transmitters, we find it unnecessary to address this argument.  In any event, the record establishes that </w:t>
      </w:r>
      <w:smartTag w:uri="urn:schemas-microsoft-com:office:smarttags" w:element="State">
        <w:smartTag w:uri="urn:schemas-microsoft-com:office:smarttags" w:element="City">
          <w:smartTag w:uri="urn:schemas-microsoft-com:office:smarttags" w:element="place">
            <w:r w:rsidRPr="00AF2483">
              <w:t>Richfield</w:t>
            </w:r>
          </w:smartTag>
        </w:smartTag>
      </w:smartTag>
      <w:r w:rsidRPr="00AF2483">
        <w:t xml:space="preserve"> violated our equipment marketing rules in other respects.    </w:t>
      </w:r>
    </w:p>
  </w:footnote>
  <w:footnote w:id="33">
    <w:p w:rsidR="00823102" w:rsidRDefault="00823102">
      <w:pPr>
        <w:pStyle w:val="FootnoteText"/>
      </w:pPr>
      <w:r w:rsidRPr="00AF2483">
        <w:rPr>
          <w:rStyle w:val="FootnoteReference"/>
          <w:sz w:val="20"/>
        </w:rPr>
        <w:footnoteRef/>
      </w:r>
      <w:r w:rsidRPr="00AF2483">
        <w:t xml:space="preserve"> </w:t>
      </w:r>
      <w:r w:rsidRPr="00AF2483">
        <w:rPr>
          <w:i/>
        </w:rPr>
        <w:t>See TAW Citation</w:t>
      </w:r>
      <w:r w:rsidRPr="00AF2483">
        <w:t xml:space="preserve">, </w:t>
      </w:r>
      <w:r w:rsidRPr="00AF2483">
        <w:rPr>
          <w:i/>
        </w:rPr>
        <w:t>supra</w:t>
      </w:r>
      <w:r w:rsidRPr="00AF2483">
        <w:t xml:space="preserve"> note 7.  </w:t>
      </w:r>
    </w:p>
  </w:footnote>
  <w:footnote w:id="34">
    <w:p w:rsidR="00823102" w:rsidRDefault="00823102">
      <w:pPr>
        <w:pStyle w:val="FootnoteText"/>
      </w:pPr>
      <w:r w:rsidRPr="00AF2483">
        <w:rPr>
          <w:rStyle w:val="FootnoteReference"/>
          <w:sz w:val="20"/>
        </w:rPr>
        <w:footnoteRef/>
      </w:r>
      <w:r w:rsidRPr="00AF2483">
        <w:t xml:space="preserve"> 47 C.F.R. § 2.803(e)(4) (2008).</w:t>
      </w:r>
    </w:p>
  </w:footnote>
  <w:footnote w:id="35">
    <w:p w:rsidR="00823102" w:rsidRDefault="00823102">
      <w:pPr>
        <w:pStyle w:val="FootnoteText"/>
      </w:pPr>
      <w:r w:rsidRPr="00AF2483">
        <w:rPr>
          <w:rStyle w:val="FootnoteReference"/>
          <w:sz w:val="20"/>
        </w:rPr>
        <w:footnoteRef/>
      </w:r>
      <w:r w:rsidRPr="00AF2483">
        <w:t xml:space="preserve"> </w:t>
      </w:r>
      <w:r w:rsidRPr="00AF2483">
        <w:rPr>
          <w:i/>
        </w:rPr>
        <w:t>See NAL</w:t>
      </w:r>
      <w:r w:rsidRPr="00AF2483">
        <w:t xml:space="preserve">, 24 FCC Rcd at 13249, para. 5.  </w:t>
      </w:r>
    </w:p>
  </w:footnote>
  <w:footnote w:id="36">
    <w:p w:rsidR="00823102" w:rsidRDefault="00823102">
      <w:pPr>
        <w:pStyle w:val="FootnoteText"/>
      </w:pPr>
      <w:r w:rsidRPr="00AF2483">
        <w:rPr>
          <w:rStyle w:val="FootnoteReference"/>
          <w:sz w:val="20"/>
        </w:rPr>
        <w:footnoteRef/>
      </w:r>
      <w:r w:rsidRPr="00AF2483">
        <w:t xml:space="preserve"> </w:t>
      </w:r>
      <w:r w:rsidRPr="00AF2483">
        <w:rPr>
          <w:i/>
        </w:rPr>
        <w:t xml:space="preserve">See </w:t>
      </w:r>
      <w:r w:rsidRPr="00AF2483">
        <w:t>NAL Response at 1</w:t>
      </w:r>
      <w:r w:rsidRPr="00AF2483">
        <w:softHyphen/>
        <w:t xml:space="preserve">2.  </w:t>
      </w:r>
    </w:p>
  </w:footnote>
  <w:footnote w:id="37">
    <w:p w:rsidR="00823102" w:rsidRDefault="00823102">
      <w:pPr>
        <w:pStyle w:val="FootnoteText"/>
      </w:pPr>
      <w:r>
        <w:rPr>
          <w:rStyle w:val="FootnoteReference"/>
          <w:sz w:val="20"/>
        </w:rPr>
        <w:footnoteRef/>
      </w:r>
      <w:r w:rsidRPr="001451AE">
        <w:t xml:space="preserve"> </w:t>
      </w:r>
      <w:r w:rsidRPr="001451AE">
        <w:rPr>
          <w:i/>
        </w:rPr>
        <w:t xml:space="preserve">See id. </w:t>
      </w:r>
      <w:r w:rsidRPr="001451AE">
        <w:t>at 2.</w:t>
      </w:r>
    </w:p>
  </w:footnote>
  <w:footnote w:id="38">
    <w:p w:rsidR="00823102" w:rsidRDefault="00823102">
      <w:pPr>
        <w:pStyle w:val="FootnoteText"/>
      </w:pPr>
      <w:r>
        <w:rPr>
          <w:rStyle w:val="FootnoteReference"/>
          <w:sz w:val="20"/>
        </w:rPr>
        <w:footnoteRef/>
      </w:r>
      <w:r w:rsidRPr="001451AE">
        <w:t xml:space="preserve"> </w:t>
      </w:r>
      <w:r w:rsidRPr="001451AE">
        <w:rPr>
          <w:i/>
        </w:rPr>
        <w:t>See</w:t>
      </w:r>
      <w:r w:rsidRPr="001451AE">
        <w:rPr>
          <w:i/>
          <w:iCs/>
        </w:rPr>
        <w:t>, e.g., Emery Tel.,</w:t>
      </w:r>
      <w:r w:rsidRPr="001451AE">
        <w:t xml:space="preserve"> Memorandum Opinion and Order, 13 FCC Rcd 23854, 23859, para. 12 (1998) (by issuing forfeitures for apparently inadvertent violations, the Commission “impels licensees to be more familiar with the applicable rules in structuring future conduct”),</w:t>
      </w:r>
      <w:r w:rsidRPr="001451AE">
        <w:rPr>
          <w:i/>
          <w:iCs/>
        </w:rPr>
        <w:t xml:space="preserve"> recons. dismissed in part and denied in part</w:t>
      </w:r>
      <w:r w:rsidRPr="001451AE">
        <w:t>, Memorandum Opinion and Order, 15 FCC Rcd 7181 (1999);</w:t>
      </w:r>
      <w:r w:rsidRPr="001451AE">
        <w:rPr>
          <w:iCs/>
          <w:color w:val="000000"/>
        </w:rPr>
        <w:t xml:space="preserve"> </w:t>
      </w:r>
      <w:r w:rsidRPr="001451AE">
        <w:rPr>
          <w:i/>
        </w:rPr>
        <w:t>Lakewood Broad. Serv., Inc.,</w:t>
      </w:r>
      <w:r w:rsidRPr="001451AE">
        <w:t xml:space="preserve"> Memorandum Opinion and Order,</w:t>
      </w:r>
      <w:r w:rsidRPr="001451AE">
        <w:rPr>
          <w:i/>
        </w:rPr>
        <w:t xml:space="preserve"> </w:t>
      </w:r>
      <w:r w:rsidRPr="001451AE">
        <w:t>37 FCC 2d 437, 438, para. 6 (1972) (denying a mitigation claim based on a licensee</w:t>
      </w:r>
      <w:r w:rsidRPr="00A878CE">
        <w:t>’</w:t>
      </w:r>
      <w:r w:rsidRPr="001451AE">
        <w:t>s assertion of unfamiliarity with station identification requirements, reasoning that “[i]f ignorance of [the Rules] were accepted as an excuse, we would be encouraging licensees to know as little as possible”).</w:t>
      </w:r>
    </w:p>
  </w:footnote>
  <w:footnote w:id="39">
    <w:p w:rsidR="00823102" w:rsidRDefault="00823102">
      <w:pPr>
        <w:pStyle w:val="FootnoteText"/>
      </w:pPr>
      <w:r>
        <w:rPr>
          <w:rStyle w:val="FootnoteReference"/>
          <w:sz w:val="20"/>
        </w:rPr>
        <w:footnoteRef/>
      </w:r>
      <w:r w:rsidRPr="001451AE">
        <w:t xml:space="preserve"> </w:t>
      </w:r>
      <w:r w:rsidRPr="001451AE">
        <w:rPr>
          <w:i/>
        </w:rPr>
        <w:t xml:space="preserve">See </w:t>
      </w:r>
      <w:r w:rsidRPr="001451AE">
        <w:t xml:space="preserve">NAL Response at 2.    </w:t>
      </w:r>
    </w:p>
  </w:footnote>
  <w:footnote w:id="40">
    <w:p w:rsidR="00823102" w:rsidRDefault="00823102">
      <w:pPr>
        <w:pStyle w:val="FootnoteText"/>
      </w:pPr>
      <w:r>
        <w:rPr>
          <w:rStyle w:val="FootnoteReference"/>
          <w:sz w:val="20"/>
        </w:rPr>
        <w:footnoteRef/>
      </w:r>
      <w:r w:rsidRPr="001451AE">
        <w:t xml:space="preserve"> </w:t>
      </w:r>
      <w:r w:rsidRPr="001451AE">
        <w:rPr>
          <w:i/>
        </w:rPr>
        <w:t>See</w:t>
      </w:r>
      <w:r w:rsidRPr="001451AE">
        <w:t xml:space="preserve">, </w:t>
      </w:r>
      <w:r w:rsidRPr="001451AE">
        <w:rPr>
          <w:i/>
        </w:rPr>
        <w:t>e</w:t>
      </w:r>
      <w:r w:rsidRPr="001451AE">
        <w:t>.</w:t>
      </w:r>
      <w:r w:rsidRPr="001451AE">
        <w:rPr>
          <w:i/>
        </w:rPr>
        <w:t>g</w:t>
      </w:r>
      <w:r w:rsidRPr="001451AE">
        <w:t>.,</w:t>
      </w:r>
      <w:r w:rsidRPr="001451AE">
        <w:rPr>
          <w:i/>
        </w:rPr>
        <w:t xml:space="preserve"> Sutro Corp.</w:t>
      </w:r>
      <w:r w:rsidRPr="001451AE">
        <w:t xml:space="preserve">, Memorandum Opinion and Order, 19 FCC Rcd 15274, 15277, para. 10 (2004) (stating that the Commission will generally reduce the assessed forfeiture “based on the good faith corrective efforts of a violator when those corrective efforts were taken prior to Commission notification of the violation”).  </w:t>
      </w:r>
    </w:p>
  </w:footnote>
  <w:footnote w:id="41">
    <w:p w:rsidR="00823102" w:rsidRDefault="00823102">
      <w:pPr>
        <w:pStyle w:val="FootnoteText"/>
      </w:pPr>
      <w:r>
        <w:rPr>
          <w:rStyle w:val="FootnoteReference"/>
          <w:sz w:val="20"/>
        </w:rPr>
        <w:footnoteRef/>
      </w:r>
      <w:r w:rsidRPr="001451AE">
        <w:t xml:space="preserve"> </w:t>
      </w:r>
      <w:r w:rsidRPr="001451AE">
        <w:rPr>
          <w:i/>
        </w:rPr>
        <w:t>See</w:t>
      </w:r>
      <w:r w:rsidRPr="001451AE">
        <w:t xml:space="preserve">, </w:t>
      </w:r>
      <w:r w:rsidRPr="001451AE">
        <w:rPr>
          <w:i/>
        </w:rPr>
        <w:t>e.g</w:t>
      </w:r>
      <w:r w:rsidRPr="001451AE">
        <w:t xml:space="preserve">., </w:t>
      </w:r>
      <w:r w:rsidRPr="001451AE">
        <w:rPr>
          <w:i/>
          <w:iCs/>
        </w:rPr>
        <w:t>Behringer USA, Inc.</w:t>
      </w:r>
      <w:r w:rsidRPr="001451AE">
        <w:rPr>
          <w:iCs/>
        </w:rPr>
        <w:t xml:space="preserve">, Forfeiture Order, </w:t>
      </w:r>
      <w:r>
        <w:rPr>
          <w:rStyle w:val="documentbody"/>
        </w:rPr>
        <w:t xml:space="preserve">22 FCC Rcd 10451, 10459, para. </w:t>
      </w:r>
      <w:r>
        <w:t>19</w:t>
      </w:r>
      <w:r>
        <w:rPr>
          <w:rStyle w:val="documentbody"/>
          <w:iCs/>
        </w:rPr>
        <w:t xml:space="preserve"> (2007) (forfeiture paid)</w:t>
      </w:r>
      <w:r>
        <w:rPr>
          <w:rStyle w:val="documentbody"/>
        </w:rPr>
        <w:t xml:space="preserve">.  </w:t>
      </w:r>
    </w:p>
  </w:footnote>
  <w:footnote w:id="42">
    <w:p w:rsidR="00823102" w:rsidRDefault="00823102">
      <w:pPr>
        <w:pStyle w:val="FootnoteText"/>
      </w:pPr>
      <w:r>
        <w:rPr>
          <w:rStyle w:val="FootnoteReference"/>
          <w:sz w:val="20"/>
        </w:rPr>
        <w:footnoteRef/>
      </w:r>
      <w:r w:rsidRPr="001451AE">
        <w:t xml:space="preserve"> </w:t>
      </w:r>
      <w:r w:rsidRPr="001451AE">
        <w:rPr>
          <w:i/>
        </w:rPr>
        <w:t>See id.</w:t>
      </w:r>
      <w:r w:rsidRPr="001451AE">
        <w:t xml:space="preserve"> (</w:t>
      </w:r>
      <w:r w:rsidRPr="001451AE">
        <w:rPr>
          <w:iCs/>
        </w:rPr>
        <w:t xml:space="preserve">“[T]he Commission has repeatedly found that </w:t>
      </w:r>
      <w:r>
        <w:rPr>
          <w:rStyle w:val="documentbody"/>
        </w:rPr>
        <w:t xml:space="preserve">corrective measures implemented after [the] Commission has initiated an investigation or taken enforcement action do not nullify or mitigate past violations.”).  </w:t>
      </w:r>
    </w:p>
  </w:footnote>
  <w:footnote w:id="43">
    <w:p w:rsidR="00823102" w:rsidRDefault="00823102">
      <w:pPr>
        <w:pStyle w:val="FootnoteText"/>
      </w:pPr>
      <w:r>
        <w:rPr>
          <w:rStyle w:val="FootnoteReference"/>
          <w:sz w:val="20"/>
        </w:rPr>
        <w:footnoteRef/>
      </w:r>
      <w:r w:rsidRPr="001451AE">
        <w:t xml:space="preserve"> </w:t>
      </w:r>
      <w:r w:rsidRPr="001451AE">
        <w:rPr>
          <w:snapToGrid w:val="0"/>
          <w:kern w:val="28"/>
        </w:rPr>
        <w:t>Section 312(f)(1) of the Act defines “willful” as “the conscious and deliberate commission or omission of [any] act, irrespective of any intent to violate” the law.  47 U.S.C. § 312(f)(1).  The legislative history of Section 312 clarifies that this definition of willful applies to both Sections 312 and 503 of the Act, H.R. Rep. No. 97-765 (1982) (Conf. Rep.), and the Commission has so interpreted the term in the Section 503(b) context,</w:t>
      </w:r>
      <w:r w:rsidRPr="001451AE">
        <w:rPr>
          <w:kern w:val="28"/>
        </w:rPr>
        <w:t xml:space="preserve"> </w:t>
      </w:r>
      <w:r w:rsidRPr="001451AE">
        <w:rPr>
          <w:i/>
          <w:snapToGrid w:val="0"/>
          <w:kern w:val="28"/>
        </w:rPr>
        <w:t xml:space="preserve">see </w:t>
      </w:r>
      <w:r w:rsidRPr="001451AE">
        <w:rPr>
          <w:i/>
          <w:iCs/>
          <w:snapToGrid w:val="0"/>
          <w:kern w:val="28"/>
        </w:rPr>
        <w:t>So. Cal. Broad. Co.</w:t>
      </w:r>
      <w:r w:rsidRPr="001451AE">
        <w:rPr>
          <w:iCs/>
          <w:snapToGrid w:val="0"/>
          <w:kern w:val="28"/>
        </w:rPr>
        <w:t>,</w:t>
      </w:r>
      <w:r w:rsidRPr="001451AE">
        <w:rPr>
          <w:snapToGrid w:val="0"/>
          <w:kern w:val="28"/>
        </w:rPr>
        <w:t xml:space="preserve"> Memorandum Opinion and Order, 6 FCC Rcd 4387, 4387</w:t>
      </w:r>
      <w:r w:rsidRPr="00A878CE">
        <w:rPr>
          <w:snapToGrid w:val="0"/>
          <w:kern w:val="28"/>
        </w:rPr>
        <w:t>–</w:t>
      </w:r>
      <w:r w:rsidRPr="001451AE">
        <w:rPr>
          <w:snapToGrid w:val="0"/>
          <w:kern w:val="28"/>
        </w:rPr>
        <w:t>88, para. 5 (1991) (</w:t>
      </w:r>
      <w:r w:rsidRPr="001451AE">
        <w:rPr>
          <w:i/>
          <w:iCs/>
          <w:snapToGrid w:val="0"/>
          <w:kern w:val="28"/>
        </w:rPr>
        <w:t>So. Cal.</w:t>
      </w:r>
      <w:r w:rsidRPr="001451AE">
        <w:rPr>
          <w:snapToGrid w:val="0"/>
          <w:kern w:val="28"/>
        </w:rPr>
        <w:t xml:space="preserve">), </w:t>
      </w:r>
      <w:r w:rsidRPr="001451AE">
        <w:rPr>
          <w:i/>
          <w:iCs/>
          <w:snapToGrid w:val="0"/>
          <w:kern w:val="28"/>
        </w:rPr>
        <w:t xml:space="preserve">recons. denied, </w:t>
      </w:r>
      <w:r w:rsidRPr="001451AE">
        <w:rPr>
          <w:snapToGrid w:val="0"/>
          <w:kern w:val="28"/>
        </w:rPr>
        <w:t>7 FCC Rcd 3454 (1992).</w:t>
      </w:r>
    </w:p>
  </w:footnote>
  <w:footnote w:id="44">
    <w:p w:rsidR="00823102" w:rsidRDefault="00823102">
      <w:pPr>
        <w:pStyle w:val="FootnoteText"/>
      </w:pPr>
      <w:r>
        <w:rPr>
          <w:rStyle w:val="FootnoteReference"/>
          <w:sz w:val="20"/>
        </w:rPr>
        <w:footnoteRef/>
      </w:r>
      <w:r w:rsidRPr="001451AE">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1451AE">
        <w:rPr>
          <w:i/>
        </w:rPr>
        <w:t>See, e.g., So. Cal.</w:t>
      </w:r>
      <w:r w:rsidRPr="001451AE">
        <w:t xml:space="preserve">, 6 FCC Rcd at 4388, para. 5.     </w:t>
      </w:r>
    </w:p>
  </w:footnote>
  <w:footnote w:id="45">
    <w:p w:rsidR="00823102" w:rsidRDefault="00823102">
      <w:pPr>
        <w:pStyle w:val="FootnoteText"/>
      </w:pPr>
      <w:r>
        <w:rPr>
          <w:rStyle w:val="FootnoteReference"/>
          <w:sz w:val="20"/>
        </w:rPr>
        <w:footnoteRef/>
      </w:r>
      <w:r w:rsidRPr="001451AE">
        <w:t xml:space="preserve"> 47 U.S.C. § 503(b); 47 C.F.R. §§ 0.111, 0.311, 1.80.  </w:t>
      </w:r>
    </w:p>
  </w:footnote>
  <w:footnote w:id="46">
    <w:p w:rsidR="00823102" w:rsidRDefault="00823102">
      <w:pPr>
        <w:pStyle w:val="FootnoteText"/>
      </w:pPr>
      <w:r>
        <w:rPr>
          <w:rStyle w:val="FootnoteReference"/>
          <w:sz w:val="20"/>
        </w:rPr>
        <w:footnoteRef/>
      </w:r>
      <w:r w:rsidRPr="001451AE">
        <w:t xml:space="preserve"> 47 U.S.C. § 302a(b); 47 C.F.R. § 2.803(a)(1) (2008).</w:t>
      </w:r>
    </w:p>
  </w:footnote>
  <w:footnote w:id="47">
    <w:p w:rsidR="00823102" w:rsidRDefault="00823102">
      <w:pPr>
        <w:pStyle w:val="FootnoteText"/>
      </w:pPr>
      <w:r>
        <w:rPr>
          <w:rStyle w:val="FootnoteReference"/>
          <w:sz w:val="20"/>
        </w:rPr>
        <w:footnoteRef/>
      </w:r>
      <w:r w:rsidRPr="001451AE">
        <w:t xml:space="preserve"> </w:t>
      </w:r>
      <w:r w:rsidRPr="001451AE">
        <w:rPr>
          <w:i/>
        </w:rPr>
        <w:t xml:space="preserve">See </w:t>
      </w:r>
      <w:r w:rsidRPr="001451AE">
        <w:t>47 C.F.R. § 1.80.</w:t>
      </w:r>
    </w:p>
  </w:footnote>
  <w:footnote w:id="48">
    <w:p w:rsidR="00823102" w:rsidRDefault="00823102">
      <w:pPr>
        <w:pStyle w:val="FootnoteText"/>
      </w:pPr>
      <w:r>
        <w:rPr>
          <w:rStyle w:val="FootnoteReference"/>
          <w:sz w:val="20"/>
        </w:rPr>
        <w:footnoteRef/>
      </w:r>
      <w:r w:rsidRPr="001451AE">
        <w:t xml:space="preserve"> 47 U.S.C. § 504(a).</w:t>
      </w:r>
    </w:p>
  </w:footnote>
  <w:footnote w:id="49">
    <w:p w:rsidR="00823102" w:rsidRDefault="00823102">
      <w:pPr>
        <w:pStyle w:val="FootnoteText"/>
      </w:pPr>
      <w:r>
        <w:rPr>
          <w:rStyle w:val="FootnoteReference"/>
          <w:sz w:val="20"/>
        </w:rPr>
        <w:footnoteRef/>
      </w:r>
      <w:r w:rsidRPr="001451AE">
        <w:t xml:space="preserve"> </w:t>
      </w:r>
      <w:r w:rsidRPr="001451AE">
        <w:rPr>
          <w:rFonts w:eastAsia="MS Mincho"/>
        </w:rPr>
        <w:t>An FCC Form 159</w:t>
      </w:r>
      <w:r w:rsidRPr="00A878CE">
        <w:rPr>
          <w:rFonts w:eastAsia="MS Mincho"/>
        </w:rPr>
        <w:t> </w:t>
      </w:r>
      <w:r w:rsidRPr="001451AE">
        <w:rPr>
          <w:rFonts w:eastAsia="MS Mincho"/>
        </w:rPr>
        <w:t>and</w:t>
      </w:r>
      <w:r w:rsidRPr="00A878CE">
        <w:rPr>
          <w:rFonts w:eastAsia="MS Mincho"/>
        </w:rPr>
        <w:t> </w:t>
      </w:r>
      <w:r w:rsidRPr="001451AE">
        <w:rPr>
          <w:rFonts w:eastAsia="MS Mincho"/>
        </w:rPr>
        <w:t>detailed instructions</w:t>
      </w:r>
      <w:r w:rsidRPr="00A878CE">
        <w:rPr>
          <w:rFonts w:eastAsia="MS Mincho"/>
        </w:rPr>
        <w:t> </w:t>
      </w:r>
      <w:r w:rsidRPr="001451AE">
        <w:rPr>
          <w:rFonts w:eastAsia="MS Mincho"/>
        </w:rPr>
        <w:t>for completing the form may be obtained at http://www.fcc.gov/Forms/Form159/159.pdf.</w:t>
      </w:r>
    </w:p>
  </w:footnote>
  <w:footnote w:id="50">
    <w:p w:rsidR="00823102" w:rsidRDefault="00823102">
      <w:pPr>
        <w:pStyle w:val="FootnoteText"/>
      </w:pPr>
      <w:r>
        <w:rPr>
          <w:rStyle w:val="FootnoteReference"/>
          <w:sz w:val="20"/>
        </w:rPr>
        <w:footnoteRef/>
      </w:r>
      <w:r w:rsidRPr="001451AE">
        <w:t xml:space="preserve"> </w:t>
      </w:r>
      <w:r w:rsidRPr="001451AE">
        <w:rPr>
          <w:i/>
        </w:rPr>
        <w:t>See</w:t>
      </w:r>
      <w:r w:rsidRPr="001451AE">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2D" w:rsidRDefault="001D3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02" w:rsidRDefault="00823102">
    <w:pPr>
      <w:pStyle w:val="Header"/>
    </w:pPr>
    <w:r>
      <w:tab/>
      <w:t>Federal Communications Commission</w:t>
    </w:r>
    <w:r>
      <w:tab/>
    </w:r>
    <w:r>
      <w:rPr>
        <w:spacing w:val="-2"/>
      </w:rPr>
      <w:t>DA 13-</w:t>
    </w:r>
    <w:r w:rsidR="009C6812">
      <w:rPr>
        <w:spacing w:val="-2"/>
      </w:rPr>
      <w:t>2122</w:t>
    </w:r>
  </w:p>
  <w:p w:rsidR="00823102" w:rsidRDefault="008231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02" w:rsidRPr="009737B9" w:rsidRDefault="00823102">
    <w:pPr>
      <w:pStyle w:val="Header"/>
    </w:pPr>
    <w:r>
      <w:tab/>
    </w:r>
    <w:r w:rsidRPr="009737B9">
      <w:t>Federal Communications Commission</w:t>
    </w:r>
    <w:r>
      <w:tab/>
    </w:r>
    <w:r w:rsidRPr="009737B9">
      <w:rPr>
        <w:spacing w:val="-2"/>
      </w:rPr>
      <w:t>DA 13-</w:t>
    </w:r>
    <w:r w:rsidR="009C6812">
      <w:rPr>
        <w:spacing w:val="-2"/>
      </w:rPr>
      <w:t>2122</w:t>
    </w:r>
  </w:p>
  <w:p w:rsidR="00823102" w:rsidRDefault="00823102" w:rsidP="00973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81C6F3FC"/>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3CF42BFB"/>
    <w:multiLevelType w:val="hybridMultilevel"/>
    <w:tmpl w:val="3CB65FF2"/>
    <w:lvl w:ilvl="0" w:tplc="220EB722">
      <w:start w:val="1"/>
      <w:numFmt w:val="upperRoman"/>
      <w:lvlText w:val="%1."/>
      <w:lvlJc w:val="left"/>
      <w:pPr>
        <w:tabs>
          <w:tab w:val="num" w:pos="1080"/>
        </w:tabs>
        <w:ind w:left="1080" w:hanging="72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
    <w:nsid w:val="5CEE6495"/>
    <w:multiLevelType w:val="hybridMultilevel"/>
    <w:tmpl w:val="9DB26240"/>
    <w:lvl w:ilvl="0" w:tplc="C83E6AD8">
      <w:start w:val="3"/>
      <w:numFmt w:val="upperRoman"/>
      <w:lvlText w:val="%1."/>
      <w:lvlJc w:val="left"/>
      <w:pPr>
        <w:tabs>
          <w:tab w:val="num" w:pos="1080"/>
        </w:tabs>
        <w:ind w:left="1080" w:hanging="720"/>
      </w:pPr>
      <w:rPr>
        <w:rFonts w:cs="Times New Roman" w:hint="default"/>
        <w:sz w:val="22"/>
        <w:szCs w:val="22"/>
      </w:rPr>
    </w:lvl>
    <w:lvl w:ilvl="1" w:tplc="6E30968A">
      <w:start w:val="3"/>
      <w:numFmt w:val="lowerRoman"/>
      <w:lvlText w:val="%2."/>
      <w:lvlJc w:val="left"/>
      <w:pPr>
        <w:tabs>
          <w:tab w:val="num" w:pos="1800"/>
        </w:tabs>
        <w:ind w:left="1800" w:hanging="720"/>
      </w:pPr>
      <w:rPr>
        <w:rFonts w:cs="Times New Roman" w:hint="default"/>
      </w:rPr>
    </w:lvl>
    <w:lvl w:ilvl="2" w:tplc="B89CACC0" w:tentative="1">
      <w:start w:val="1"/>
      <w:numFmt w:val="lowerRoman"/>
      <w:lvlText w:val="%3."/>
      <w:lvlJc w:val="right"/>
      <w:pPr>
        <w:tabs>
          <w:tab w:val="num" w:pos="2160"/>
        </w:tabs>
        <w:ind w:left="2160" w:hanging="180"/>
      </w:pPr>
      <w:rPr>
        <w:rFonts w:cs="Times New Roman"/>
      </w:rPr>
    </w:lvl>
    <w:lvl w:ilvl="3" w:tplc="D6EEE3D8" w:tentative="1">
      <w:start w:val="1"/>
      <w:numFmt w:val="decimal"/>
      <w:lvlText w:val="%4."/>
      <w:lvlJc w:val="left"/>
      <w:pPr>
        <w:tabs>
          <w:tab w:val="num" w:pos="2880"/>
        </w:tabs>
        <w:ind w:left="2880" w:hanging="360"/>
      </w:pPr>
      <w:rPr>
        <w:rFonts w:cs="Times New Roman"/>
      </w:rPr>
    </w:lvl>
    <w:lvl w:ilvl="4" w:tplc="5D5E6D36" w:tentative="1">
      <w:start w:val="1"/>
      <w:numFmt w:val="lowerLetter"/>
      <w:lvlText w:val="%5."/>
      <w:lvlJc w:val="left"/>
      <w:pPr>
        <w:tabs>
          <w:tab w:val="num" w:pos="3600"/>
        </w:tabs>
        <w:ind w:left="3600" w:hanging="360"/>
      </w:pPr>
      <w:rPr>
        <w:rFonts w:cs="Times New Roman"/>
      </w:rPr>
    </w:lvl>
    <w:lvl w:ilvl="5" w:tplc="0A466EFA" w:tentative="1">
      <w:start w:val="1"/>
      <w:numFmt w:val="lowerRoman"/>
      <w:lvlText w:val="%6."/>
      <w:lvlJc w:val="right"/>
      <w:pPr>
        <w:tabs>
          <w:tab w:val="num" w:pos="4320"/>
        </w:tabs>
        <w:ind w:left="4320" w:hanging="180"/>
      </w:pPr>
      <w:rPr>
        <w:rFonts w:cs="Times New Roman"/>
      </w:rPr>
    </w:lvl>
    <w:lvl w:ilvl="6" w:tplc="FBF6A5AA" w:tentative="1">
      <w:start w:val="1"/>
      <w:numFmt w:val="decimal"/>
      <w:lvlText w:val="%7."/>
      <w:lvlJc w:val="left"/>
      <w:pPr>
        <w:tabs>
          <w:tab w:val="num" w:pos="5040"/>
        </w:tabs>
        <w:ind w:left="5040" w:hanging="360"/>
      </w:pPr>
      <w:rPr>
        <w:rFonts w:cs="Times New Roman"/>
      </w:rPr>
    </w:lvl>
    <w:lvl w:ilvl="7" w:tplc="F44CC5C4" w:tentative="1">
      <w:start w:val="1"/>
      <w:numFmt w:val="lowerLetter"/>
      <w:lvlText w:val="%8."/>
      <w:lvlJc w:val="left"/>
      <w:pPr>
        <w:tabs>
          <w:tab w:val="num" w:pos="5760"/>
        </w:tabs>
        <w:ind w:left="5760" w:hanging="360"/>
      </w:pPr>
      <w:rPr>
        <w:rFonts w:cs="Times New Roman"/>
      </w:rPr>
    </w:lvl>
    <w:lvl w:ilvl="8" w:tplc="93688566" w:tentative="1">
      <w:start w:val="1"/>
      <w:numFmt w:val="lowerRoman"/>
      <w:lvlText w:val="%9."/>
      <w:lvlJc w:val="right"/>
      <w:pPr>
        <w:tabs>
          <w:tab w:val="num" w:pos="6480"/>
        </w:tabs>
        <w:ind w:left="6480" w:hanging="180"/>
      </w:pPr>
      <w:rPr>
        <w:rFonts w:cs="Times New Roman"/>
      </w:rPr>
    </w:lvl>
  </w:abstractNum>
  <w:abstractNum w:abstractNumId="5">
    <w:nsid w:val="61182925"/>
    <w:multiLevelType w:val="singleLevel"/>
    <w:tmpl w:val="FAEA7E02"/>
    <w:lvl w:ilvl="0">
      <w:start w:val="1"/>
      <w:numFmt w:val="decimal"/>
      <w:pStyle w:val="ParaNum"/>
      <w:lvlText w:val="%1."/>
      <w:lvlJc w:val="left"/>
      <w:pPr>
        <w:tabs>
          <w:tab w:val="num" w:pos="1260"/>
        </w:tabs>
        <w:ind w:left="180" w:firstLine="720"/>
      </w:pPr>
      <w:rPr>
        <w:rFonts w:cs="Times New Roman" w:hint="default"/>
        <w:b w:val="0"/>
        <w:i w:val="0"/>
      </w:rPr>
    </w:lvl>
  </w:abstractNum>
  <w:abstractNum w:abstractNumId="6">
    <w:nsid w:val="6D2B48D2"/>
    <w:multiLevelType w:val="singleLevel"/>
    <w:tmpl w:val="C9C40FE0"/>
    <w:lvl w:ilvl="0">
      <w:start w:val="1"/>
      <w:numFmt w:val="decimal"/>
      <w:pStyle w:val="Paranum0"/>
      <w:lvlText w:val="%1."/>
      <w:lvlJc w:val="left"/>
      <w:pPr>
        <w:tabs>
          <w:tab w:val="num" w:pos="1170"/>
        </w:tabs>
        <w:ind w:left="1170" w:hanging="360"/>
      </w:pPr>
      <w:rPr>
        <w:rFonts w:cs="Times New Roman"/>
      </w:rPr>
    </w:lvl>
  </w:abstractNum>
  <w:abstractNum w:abstractNumId="7">
    <w:nsid w:val="70F2402E"/>
    <w:multiLevelType w:val="hybridMultilevel"/>
    <w:tmpl w:val="C59EE8A0"/>
    <w:lvl w:ilvl="0" w:tplc="2EAABE06">
      <w:start w:val="1"/>
      <w:numFmt w:val="bullet"/>
      <w:lvlText w:val=""/>
      <w:lvlJc w:val="left"/>
      <w:pPr>
        <w:tabs>
          <w:tab w:val="num" w:pos="720"/>
        </w:tabs>
        <w:ind w:left="720" w:hanging="360"/>
      </w:pPr>
      <w:rPr>
        <w:rFonts w:ascii="Symbol" w:hAnsi="Symbol" w:hint="default"/>
      </w:rPr>
    </w:lvl>
    <w:lvl w:ilvl="1" w:tplc="70144F46" w:tentative="1">
      <w:start w:val="1"/>
      <w:numFmt w:val="bullet"/>
      <w:lvlText w:val="o"/>
      <w:lvlJc w:val="left"/>
      <w:pPr>
        <w:tabs>
          <w:tab w:val="num" w:pos="1440"/>
        </w:tabs>
        <w:ind w:left="1440" w:hanging="360"/>
      </w:pPr>
      <w:rPr>
        <w:rFonts w:ascii="Courier New" w:hAnsi="Courier New" w:hint="default"/>
      </w:rPr>
    </w:lvl>
    <w:lvl w:ilvl="2" w:tplc="C7E2A87C" w:tentative="1">
      <w:start w:val="1"/>
      <w:numFmt w:val="bullet"/>
      <w:lvlText w:val=""/>
      <w:lvlJc w:val="left"/>
      <w:pPr>
        <w:tabs>
          <w:tab w:val="num" w:pos="2160"/>
        </w:tabs>
        <w:ind w:left="2160" w:hanging="360"/>
      </w:pPr>
      <w:rPr>
        <w:rFonts w:ascii="Wingdings" w:hAnsi="Wingdings" w:hint="default"/>
      </w:rPr>
    </w:lvl>
    <w:lvl w:ilvl="3" w:tplc="4CDE5CD6" w:tentative="1">
      <w:start w:val="1"/>
      <w:numFmt w:val="bullet"/>
      <w:lvlText w:val=""/>
      <w:lvlJc w:val="left"/>
      <w:pPr>
        <w:tabs>
          <w:tab w:val="num" w:pos="2880"/>
        </w:tabs>
        <w:ind w:left="2880" w:hanging="360"/>
      </w:pPr>
      <w:rPr>
        <w:rFonts w:ascii="Symbol" w:hAnsi="Symbol" w:hint="default"/>
      </w:rPr>
    </w:lvl>
    <w:lvl w:ilvl="4" w:tplc="02CCACFE" w:tentative="1">
      <w:start w:val="1"/>
      <w:numFmt w:val="bullet"/>
      <w:lvlText w:val="o"/>
      <w:lvlJc w:val="left"/>
      <w:pPr>
        <w:tabs>
          <w:tab w:val="num" w:pos="3600"/>
        </w:tabs>
        <w:ind w:left="3600" w:hanging="360"/>
      </w:pPr>
      <w:rPr>
        <w:rFonts w:ascii="Courier New" w:hAnsi="Courier New" w:hint="default"/>
      </w:rPr>
    </w:lvl>
    <w:lvl w:ilvl="5" w:tplc="34D087E0" w:tentative="1">
      <w:start w:val="1"/>
      <w:numFmt w:val="bullet"/>
      <w:lvlText w:val=""/>
      <w:lvlJc w:val="left"/>
      <w:pPr>
        <w:tabs>
          <w:tab w:val="num" w:pos="4320"/>
        </w:tabs>
        <w:ind w:left="4320" w:hanging="360"/>
      </w:pPr>
      <w:rPr>
        <w:rFonts w:ascii="Wingdings" w:hAnsi="Wingdings" w:hint="default"/>
      </w:rPr>
    </w:lvl>
    <w:lvl w:ilvl="6" w:tplc="3558D370" w:tentative="1">
      <w:start w:val="1"/>
      <w:numFmt w:val="bullet"/>
      <w:lvlText w:val=""/>
      <w:lvlJc w:val="left"/>
      <w:pPr>
        <w:tabs>
          <w:tab w:val="num" w:pos="5040"/>
        </w:tabs>
        <w:ind w:left="5040" w:hanging="360"/>
      </w:pPr>
      <w:rPr>
        <w:rFonts w:ascii="Symbol" w:hAnsi="Symbol" w:hint="default"/>
      </w:rPr>
    </w:lvl>
    <w:lvl w:ilvl="7" w:tplc="2D80DAF2" w:tentative="1">
      <w:start w:val="1"/>
      <w:numFmt w:val="bullet"/>
      <w:lvlText w:val="o"/>
      <w:lvlJc w:val="left"/>
      <w:pPr>
        <w:tabs>
          <w:tab w:val="num" w:pos="5760"/>
        </w:tabs>
        <w:ind w:left="5760" w:hanging="360"/>
      </w:pPr>
      <w:rPr>
        <w:rFonts w:ascii="Courier New" w:hAnsi="Courier New" w:hint="default"/>
      </w:rPr>
    </w:lvl>
    <w:lvl w:ilvl="8" w:tplc="FD9021E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5"/>
  </w:num>
  <w:num w:numId="5">
    <w:abstractNumId w:val="5"/>
  </w:num>
  <w:num w:numId="6">
    <w:abstractNumId w:val="5"/>
  </w:num>
  <w:num w:numId="7">
    <w:abstractNumId w:val="5"/>
  </w:num>
  <w:num w:numId="8">
    <w:abstractNumId w:val="7"/>
  </w:num>
  <w:num w:numId="9">
    <w:abstractNumId w:val="5"/>
  </w:num>
  <w:num w:numId="10">
    <w:abstractNumId w:val="5"/>
  </w:num>
  <w:num w:numId="11">
    <w:abstractNumId w:val="5"/>
  </w:num>
  <w:num w:numId="12">
    <w:abstractNumId w:val="0"/>
  </w:num>
  <w:num w:numId="13">
    <w:abstractNumId w:val="5"/>
  </w:num>
  <w:num w:numId="14">
    <w:abstractNumId w:val="5"/>
  </w:num>
  <w:num w:numId="15">
    <w:abstractNumId w:val="6"/>
  </w:num>
  <w:num w:numId="16">
    <w:abstractNumId w:val="3"/>
  </w:num>
  <w:num w:numId="17">
    <w:abstractNumId w:val="5"/>
    <w:lvlOverride w:ilvl="0">
      <w:startOverride w:val="1"/>
    </w:lvlOverride>
  </w:num>
  <w:num w:numId="18">
    <w:abstractNumId w:val="5"/>
    <w:lvlOverride w:ilvl="0">
      <w:startOverride w:val="3"/>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7C"/>
    <w:rsid w:val="000049BB"/>
    <w:rsid w:val="000050E7"/>
    <w:rsid w:val="000102F5"/>
    <w:rsid w:val="00017DA2"/>
    <w:rsid w:val="00020A1E"/>
    <w:rsid w:val="00037324"/>
    <w:rsid w:val="000512EA"/>
    <w:rsid w:val="00064DE5"/>
    <w:rsid w:val="00070474"/>
    <w:rsid w:val="00077E08"/>
    <w:rsid w:val="00085064"/>
    <w:rsid w:val="000908CB"/>
    <w:rsid w:val="000E7B6C"/>
    <w:rsid w:val="000F10A1"/>
    <w:rsid w:val="000F482E"/>
    <w:rsid w:val="00125930"/>
    <w:rsid w:val="001451AE"/>
    <w:rsid w:val="0014773D"/>
    <w:rsid w:val="00153AE1"/>
    <w:rsid w:val="0015562D"/>
    <w:rsid w:val="001566CC"/>
    <w:rsid w:val="00175050"/>
    <w:rsid w:val="001C4CE2"/>
    <w:rsid w:val="001C6305"/>
    <w:rsid w:val="001D302D"/>
    <w:rsid w:val="001F54B6"/>
    <w:rsid w:val="002055AD"/>
    <w:rsid w:val="00236CCE"/>
    <w:rsid w:val="00242702"/>
    <w:rsid w:val="00270A53"/>
    <w:rsid w:val="002738B2"/>
    <w:rsid w:val="00283846"/>
    <w:rsid w:val="00294790"/>
    <w:rsid w:val="002D797A"/>
    <w:rsid w:val="002E53E7"/>
    <w:rsid w:val="002E6FB8"/>
    <w:rsid w:val="002F1CF9"/>
    <w:rsid w:val="002F2D8F"/>
    <w:rsid w:val="00301623"/>
    <w:rsid w:val="00301A03"/>
    <w:rsid w:val="00305DDD"/>
    <w:rsid w:val="00320C13"/>
    <w:rsid w:val="0032207C"/>
    <w:rsid w:val="00341877"/>
    <w:rsid w:val="003570DA"/>
    <w:rsid w:val="00362ABF"/>
    <w:rsid w:val="0036494D"/>
    <w:rsid w:val="00370C7F"/>
    <w:rsid w:val="00377AAF"/>
    <w:rsid w:val="00397524"/>
    <w:rsid w:val="003B2BF3"/>
    <w:rsid w:val="003C34CE"/>
    <w:rsid w:val="003C6BE1"/>
    <w:rsid w:val="003D1D74"/>
    <w:rsid w:val="0041567D"/>
    <w:rsid w:val="00453819"/>
    <w:rsid w:val="00454C01"/>
    <w:rsid w:val="00477008"/>
    <w:rsid w:val="00487D40"/>
    <w:rsid w:val="00493FFF"/>
    <w:rsid w:val="004A52B3"/>
    <w:rsid w:val="004C497C"/>
    <w:rsid w:val="004E65A4"/>
    <w:rsid w:val="00501A18"/>
    <w:rsid w:val="00503AC5"/>
    <w:rsid w:val="00523E15"/>
    <w:rsid w:val="00536F1E"/>
    <w:rsid w:val="00540298"/>
    <w:rsid w:val="005554A2"/>
    <w:rsid w:val="00556D2D"/>
    <w:rsid w:val="0056570F"/>
    <w:rsid w:val="0057107F"/>
    <w:rsid w:val="005772E3"/>
    <w:rsid w:val="005C27E0"/>
    <w:rsid w:val="005C2B6A"/>
    <w:rsid w:val="005D1FA7"/>
    <w:rsid w:val="005F345C"/>
    <w:rsid w:val="00612511"/>
    <w:rsid w:val="006341CF"/>
    <w:rsid w:val="006537FE"/>
    <w:rsid w:val="0065541C"/>
    <w:rsid w:val="00657696"/>
    <w:rsid w:val="00681865"/>
    <w:rsid w:val="006B0CB6"/>
    <w:rsid w:val="006D03DF"/>
    <w:rsid w:val="006D2088"/>
    <w:rsid w:val="006D40A5"/>
    <w:rsid w:val="0072677A"/>
    <w:rsid w:val="007420ED"/>
    <w:rsid w:val="00753089"/>
    <w:rsid w:val="0078368D"/>
    <w:rsid w:val="00785A52"/>
    <w:rsid w:val="00785FB9"/>
    <w:rsid w:val="007A6469"/>
    <w:rsid w:val="007C0DF4"/>
    <w:rsid w:val="007C1FC8"/>
    <w:rsid w:val="007E2711"/>
    <w:rsid w:val="00804553"/>
    <w:rsid w:val="008112D0"/>
    <w:rsid w:val="00823102"/>
    <w:rsid w:val="0084397C"/>
    <w:rsid w:val="00844BF1"/>
    <w:rsid w:val="00863C62"/>
    <w:rsid w:val="00864CED"/>
    <w:rsid w:val="00867A8D"/>
    <w:rsid w:val="00877209"/>
    <w:rsid w:val="008824DF"/>
    <w:rsid w:val="00894F07"/>
    <w:rsid w:val="008A1A4E"/>
    <w:rsid w:val="008A436C"/>
    <w:rsid w:val="008A703E"/>
    <w:rsid w:val="008B3E73"/>
    <w:rsid w:val="008E091B"/>
    <w:rsid w:val="008E1009"/>
    <w:rsid w:val="008E3B2A"/>
    <w:rsid w:val="008F604B"/>
    <w:rsid w:val="00934CCF"/>
    <w:rsid w:val="009473F5"/>
    <w:rsid w:val="0096052F"/>
    <w:rsid w:val="009723FA"/>
    <w:rsid w:val="009737B9"/>
    <w:rsid w:val="009A7D44"/>
    <w:rsid w:val="009C6812"/>
    <w:rsid w:val="009F668B"/>
    <w:rsid w:val="00A017FB"/>
    <w:rsid w:val="00A14749"/>
    <w:rsid w:val="00A179E0"/>
    <w:rsid w:val="00A33E2A"/>
    <w:rsid w:val="00A37FAB"/>
    <w:rsid w:val="00A56539"/>
    <w:rsid w:val="00A71BBC"/>
    <w:rsid w:val="00A878CE"/>
    <w:rsid w:val="00A9727E"/>
    <w:rsid w:val="00AA7C46"/>
    <w:rsid w:val="00AF2483"/>
    <w:rsid w:val="00AF4F04"/>
    <w:rsid w:val="00B23991"/>
    <w:rsid w:val="00B43C10"/>
    <w:rsid w:val="00B464B9"/>
    <w:rsid w:val="00B50FF7"/>
    <w:rsid w:val="00B557B8"/>
    <w:rsid w:val="00B6188F"/>
    <w:rsid w:val="00B62491"/>
    <w:rsid w:val="00B656C7"/>
    <w:rsid w:val="00B7178A"/>
    <w:rsid w:val="00B851F6"/>
    <w:rsid w:val="00B87B3C"/>
    <w:rsid w:val="00BA20BB"/>
    <w:rsid w:val="00BA3A52"/>
    <w:rsid w:val="00BB4A15"/>
    <w:rsid w:val="00BC674F"/>
    <w:rsid w:val="00BD1F9E"/>
    <w:rsid w:val="00BD4462"/>
    <w:rsid w:val="00BF04CB"/>
    <w:rsid w:val="00BF644B"/>
    <w:rsid w:val="00C1132D"/>
    <w:rsid w:val="00C14D0D"/>
    <w:rsid w:val="00C214C8"/>
    <w:rsid w:val="00C275C2"/>
    <w:rsid w:val="00C60359"/>
    <w:rsid w:val="00C60623"/>
    <w:rsid w:val="00C72916"/>
    <w:rsid w:val="00C86E5E"/>
    <w:rsid w:val="00C96034"/>
    <w:rsid w:val="00CA4169"/>
    <w:rsid w:val="00CD56F7"/>
    <w:rsid w:val="00CE4328"/>
    <w:rsid w:val="00D15314"/>
    <w:rsid w:val="00D17AFB"/>
    <w:rsid w:val="00D35715"/>
    <w:rsid w:val="00D45363"/>
    <w:rsid w:val="00D64DDB"/>
    <w:rsid w:val="00D75862"/>
    <w:rsid w:val="00D91477"/>
    <w:rsid w:val="00DA214E"/>
    <w:rsid w:val="00DB5BFB"/>
    <w:rsid w:val="00DC3599"/>
    <w:rsid w:val="00DE3888"/>
    <w:rsid w:val="00E02670"/>
    <w:rsid w:val="00E15361"/>
    <w:rsid w:val="00E20B7F"/>
    <w:rsid w:val="00E25BE8"/>
    <w:rsid w:val="00E261F9"/>
    <w:rsid w:val="00E4446E"/>
    <w:rsid w:val="00E457D2"/>
    <w:rsid w:val="00E5012C"/>
    <w:rsid w:val="00E800FE"/>
    <w:rsid w:val="00EA1DE1"/>
    <w:rsid w:val="00EB5C37"/>
    <w:rsid w:val="00EC55E0"/>
    <w:rsid w:val="00EE1531"/>
    <w:rsid w:val="00EF7264"/>
    <w:rsid w:val="00F00CCA"/>
    <w:rsid w:val="00F0685C"/>
    <w:rsid w:val="00F12293"/>
    <w:rsid w:val="00F12689"/>
    <w:rsid w:val="00F431A7"/>
    <w:rsid w:val="00F85E3C"/>
    <w:rsid w:val="00FA578F"/>
    <w:rsid w:val="00FD2841"/>
    <w:rsid w:val="00FD73C4"/>
    <w:rsid w:val="00FE4B60"/>
    <w:rsid w:val="00FF1354"/>
    <w:rsid w:val="00FF4682"/>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4CE2"/>
    <w:pPr>
      <w:widowControl w:val="0"/>
    </w:pPr>
    <w:rPr>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locked/>
    <w:rsid w:val="001C4CE2"/>
    <w:rPr>
      <w:rFonts w:ascii="Tahoma" w:hAnsi="Tahoma" w:cs="Tahoma"/>
      <w:sz w:val="16"/>
      <w:szCs w:val="16"/>
    </w:rPr>
  </w:style>
  <w:style w:type="character" w:customStyle="1" w:styleId="BalloonTextChar">
    <w:name w:val="Balloon Text Char"/>
    <w:basedOn w:val="DefaultParagraphFont"/>
    <w:uiPriority w:val="99"/>
    <w:semiHidden/>
    <w:locked/>
    <w:rsid w:val="001C4CE2"/>
    <w:rPr>
      <w:rFonts w:cs="Times New Roman"/>
      <w:kern w:val="28"/>
      <w:sz w:val="20"/>
      <w:szCs w:val="20"/>
    </w:rPr>
  </w:style>
  <w:style w:type="character" w:customStyle="1" w:styleId="Heading1Char">
    <w:name w:val="Heading 1 Char"/>
    <w:basedOn w:val="DefaultParagraphFont"/>
    <w:uiPriority w:val="99"/>
    <w:locked/>
    <w:rsid w:val="001C4CE2"/>
    <w:rPr>
      <w:rFonts w:ascii="Cambria" w:hAnsi="Cambria" w:cs="Times New Roman"/>
      <w:b/>
      <w:bCs/>
      <w:kern w:val="32"/>
      <w:sz w:val="32"/>
      <w:szCs w:val="32"/>
    </w:rPr>
  </w:style>
  <w:style w:type="character" w:customStyle="1" w:styleId="Heading2Char">
    <w:name w:val="Heading 2 Char"/>
    <w:basedOn w:val="DefaultParagraphFont"/>
    <w:uiPriority w:val="99"/>
    <w:locked/>
    <w:rsid w:val="001C4CE2"/>
    <w:rPr>
      <w:rFonts w:ascii="Cambria" w:hAnsi="Cambria" w:cs="Times New Roman"/>
      <w:b/>
      <w:bCs/>
      <w:i/>
      <w:iCs/>
      <w:kern w:val="28"/>
      <w:sz w:val="28"/>
      <w:szCs w:val="28"/>
    </w:rPr>
  </w:style>
  <w:style w:type="character" w:customStyle="1" w:styleId="Heading3Char">
    <w:name w:val="Heading 3 Char"/>
    <w:basedOn w:val="DefaultParagraphFont"/>
    <w:uiPriority w:val="99"/>
    <w:locked/>
    <w:rsid w:val="001C4CE2"/>
    <w:rPr>
      <w:rFonts w:ascii="Cambria" w:hAnsi="Cambria" w:cs="Times New Roman"/>
      <w:b/>
      <w:bCs/>
      <w:kern w:val="28"/>
      <w:sz w:val="26"/>
      <w:szCs w:val="26"/>
    </w:rPr>
  </w:style>
  <w:style w:type="character" w:customStyle="1" w:styleId="Heading4Char">
    <w:name w:val="Heading 4 Char"/>
    <w:basedOn w:val="DefaultParagraphFont"/>
    <w:uiPriority w:val="99"/>
    <w:locked/>
    <w:rsid w:val="001C4CE2"/>
    <w:rPr>
      <w:rFonts w:ascii="Calibri" w:hAnsi="Calibri" w:cs="Times New Roman"/>
      <w:b/>
      <w:bCs/>
      <w:kern w:val="28"/>
      <w:sz w:val="28"/>
      <w:szCs w:val="28"/>
    </w:rPr>
  </w:style>
  <w:style w:type="character" w:customStyle="1" w:styleId="Heading5Char">
    <w:name w:val="Heading 5 Char"/>
    <w:basedOn w:val="DefaultParagraphFont"/>
    <w:uiPriority w:val="99"/>
    <w:locked/>
    <w:rsid w:val="001C4CE2"/>
    <w:rPr>
      <w:rFonts w:ascii="Calibri" w:hAnsi="Calibri" w:cs="Times New Roman"/>
      <w:b/>
      <w:bCs/>
      <w:i/>
      <w:iCs/>
      <w:kern w:val="28"/>
      <w:sz w:val="26"/>
      <w:szCs w:val="26"/>
    </w:rPr>
  </w:style>
  <w:style w:type="character" w:customStyle="1" w:styleId="Heading6Char">
    <w:name w:val="Heading 6 Char"/>
    <w:basedOn w:val="DefaultParagraphFont"/>
    <w:uiPriority w:val="99"/>
    <w:locked/>
    <w:rsid w:val="001C4CE2"/>
    <w:rPr>
      <w:rFonts w:ascii="Calibri" w:hAnsi="Calibri" w:cs="Times New Roman"/>
      <w:b/>
      <w:bCs/>
      <w:kern w:val="28"/>
      <w:sz w:val="20"/>
      <w:szCs w:val="20"/>
    </w:rPr>
  </w:style>
  <w:style w:type="character" w:customStyle="1" w:styleId="Heading7Char">
    <w:name w:val="Heading 7 Char"/>
    <w:basedOn w:val="DefaultParagraphFont"/>
    <w:uiPriority w:val="99"/>
    <w:locked/>
    <w:rsid w:val="001C4CE2"/>
    <w:rPr>
      <w:rFonts w:ascii="Calibri" w:hAnsi="Calibri" w:cs="Times New Roman"/>
      <w:kern w:val="28"/>
      <w:sz w:val="24"/>
      <w:szCs w:val="24"/>
    </w:rPr>
  </w:style>
  <w:style w:type="character" w:customStyle="1" w:styleId="Heading8Char">
    <w:name w:val="Heading 8 Char"/>
    <w:basedOn w:val="DefaultParagraphFont"/>
    <w:uiPriority w:val="99"/>
    <w:locked/>
    <w:rsid w:val="001C4CE2"/>
    <w:rPr>
      <w:rFonts w:ascii="Calibri" w:hAnsi="Calibri" w:cs="Times New Roman"/>
      <w:i/>
      <w:iCs/>
      <w:kern w:val="28"/>
      <w:sz w:val="24"/>
      <w:szCs w:val="24"/>
    </w:rPr>
  </w:style>
  <w:style w:type="character" w:customStyle="1" w:styleId="Heading9Char">
    <w:name w:val="Heading 9 Char"/>
    <w:basedOn w:val="DefaultParagraphFont"/>
    <w:uiPriority w:val="99"/>
    <w:locked/>
    <w:rsid w:val="001C4CE2"/>
    <w:rPr>
      <w:rFonts w:ascii="Cambria" w:hAnsi="Cambria" w:cs="Times New Roman"/>
      <w:kern w:val="28"/>
      <w:sz w:val="20"/>
      <w:szCs w:val="20"/>
    </w:rPr>
  </w:style>
  <w:style w:type="paragraph" w:customStyle="1" w:styleId="ParaNum">
    <w:name w:val="ParaNum"/>
    <w:basedOn w:val="Normal"/>
    <w:link w:val="ParaNumChar"/>
    <w:uiPriority w:val="99"/>
    <w:rsid w:val="001C4CE2"/>
    <w:pPr>
      <w:numPr>
        <w:numId w:val="1"/>
      </w:numPr>
      <w:spacing w:after="12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semiHidden/>
    <w:rsid w:val="001C4CE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locked/>
    <w:rsid w:val="001C4CE2"/>
    <w:rPr>
      <w:rFonts w:cs="Times New Roman"/>
      <w:lang w:val="en-US" w:eastAsia="en-US"/>
    </w:rPr>
  </w:style>
  <w:style w:type="character" w:styleId="FootnoteReference">
    <w:name w:val="footnote reference"/>
    <w:aliases w:val="Style 12,(NECG) Footnote Reference,Appel note de bas de p,Style 124,Style 4,Style 13,o,fr,Style 3"/>
    <w:basedOn w:val="DefaultParagraphFont"/>
    <w:uiPriority w:val="99"/>
    <w:semiHidden/>
    <w:rsid w:val="001C4CE2"/>
    <w:rPr>
      <w:rFonts w:ascii="Times New Roman" w:hAnsi="Times New Roman" w:cs="Times New Roman"/>
      <w:color w:val="auto"/>
      <w:sz w:val="22"/>
      <w:vertAlign w:val="superscript"/>
    </w:rPr>
  </w:style>
  <w:style w:type="paragraph" w:styleId="TOAHeading">
    <w:name w:val="toa heading"/>
    <w:basedOn w:val="Normal"/>
    <w:next w:val="Normal"/>
    <w:uiPriority w:val="99"/>
    <w:semiHidden/>
    <w:rsid w:val="001C4CE2"/>
    <w:pPr>
      <w:tabs>
        <w:tab w:val="right" w:pos="9360"/>
      </w:tabs>
      <w:suppressAutoHyphens/>
    </w:pPr>
  </w:style>
  <w:style w:type="character" w:customStyle="1" w:styleId="BalloonTextChar1">
    <w:name w:val="Balloon Text Char1"/>
    <w:basedOn w:val="DefaultParagraphFont"/>
    <w:link w:val="BalloonText"/>
    <w:uiPriority w:val="99"/>
    <w:semiHidden/>
    <w:locked/>
    <w:rsid w:val="001C4CE2"/>
    <w:rPr>
      <w:rFonts w:ascii="Tahoma" w:hAnsi="Tahoma" w:cs="Tahoma"/>
      <w:kern w:val="28"/>
      <w:sz w:val="16"/>
      <w:szCs w:val="16"/>
    </w:rPr>
  </w:style>
  <w:style w:type="character" w:customStyle="1" w:styleId="HeaderChar">
    <w:name w:val="Header Char"/>
    <w:uiPriority w:val="99"/>
    <w:locked/>
    <w:rsid w:val="001C4CE2"/>
    <w:rPr>
      <w:b/>
      <w:kern w:val="28"/>
    </w:rPr>
  </w:style>
  <w:style w:type="paragraph" w:styleId="Footer">
    <w:name w:val="footer"/>
    <w:basedOn w:val="Normal"/>
    <w:link w:val="FooterChar1"/>
    <w:uiPriority w:val="99"/>
    <w:locked/>
    <w:rsid w:val="001C4CE2"/>
    <w:pPr>
      <w:tabs>
        <w:tab w:val="center" w:pos="4680"/>
        <w:tab w:val="right" w:pos="9360"/>
      </w:tabs>
    </w:pPr>
  </w:style>
  <w:style w:type="character" w:customStyle="1" w:styleId="FooterChar">
    <w:name w:val="Footer Char"/>
    <w:basedOn w:val="DefaultParagraphFont"/>
    <w:uiPriority w:val="99"/>
    <w:locked/>
    <w:rsid w:val="001C4CE2"/>
    <w:rPr>
      <w:rFonts w:cs="Times New Roman"/>
      <w:kern w:val="28"/>
      <w:sz w:val="20"/>
      <w:szCs w:val="20"/>
    </w:rPr>
  </w:style>
  <w:style w:type="paragraph" w:customStyle="1" w:styleId="StyleBoldCentered">
    <w:name w:val="Style Bold Centered"/>
    <w:basedOn w:val="Normal"/>
    <w:uiPriority w:val="99"/>
    <w:rsid w:val="001C4CE2"/>
    <w:pPr>
      <w:jc w:val="center"/>
    </w:pPr>
    <w:rPr>
      <w:rFonts w:ascii="Times New Roman Bold" w:hAnsi="Times New Roman Bold"/>
      <w:b/>
      <w:bCs/>
      <w:caps/>
      <w:szCs w:val="22"/>
    </w:rPr>
  </w:style>
  <w:style w:type="character" w:customStyle="1" w:styleId="FooterChar1">
    <w:name w:val="Footer Char1"/>
    <w:basedOn w:val="DefaultParagraphFont"/>
    <w:link w:val="Footer"/>
    <w:uiPriority w:val="99"/>
    <w:locked/>
    <w:rsid w:val="001C4CE2"/>
    <w:rPr>
      <w:rFonts w:cs="Times New Roman"/>
      <w:kern w:val="28"/>
      <w:sz w:val="20"/>
      <w:szCs w:val="20"/>
    </w:rPr>
  </w:style>
  <w:style w:type="character" w:customStyle="1" w:styleId="HTMLPreformattedChar">
    <w:name w:val="HTML Preformatted Char"/>
    <w:basedOn w:val="DefaultParagraphFont"/>
    <w:uiPriority w:val="99"/>
    <w:locked/>
    <w:rsid w:val="001C4CE2"/>
    <w:rPr>
      <w:rFonts w:ascii="Courier New" w:hAnsi="Courier New" w:cs="Times New Roman"/>
      <w:kern w:val="28"/>
      <w:sz w:val="20"/>
      <w:szCs w:val="20"/>
    </w:rPr>
  </w:style>
  <w:style w:type="character" w:customStyle="1" w:styleId="ParaNumChar">
    <w:name w:val="ParaNum Char"/>
    <w:link w:val="ParaNum"/>
    <w:uiPriority w:val="99"/>
    <w:locked/>
    <w:rsid w:val="001C4CE2"/>
    <w:rPr>
      <w:kern w:val="28"/>
      <w:sz w:val="22"/>
    </w:rPr>
  </w:style>
  <w:style w:type="character" w:styleId="CommentReference">
    <w:name w:val="annotation reference"/>
    <w:basedOn w:val="DefaultParagraphFont"/>
    <w:uiPriority w:val="99"/>
    <w:semiHidden/>
    <w:rsid w:val="001C4CE2"/>
    <w:rPr>
      <w:rFonts w:cs="Times New Roman"/>
      <w:sz w:val="16"/>
    </w:rPr>
  </w:style>
  <w:style w:type="paragraph" w:styleId="CommentText">
    <w:name w:val="annotation text"/>
    <w:basedOn w:val="Normal"/>
    <w:link w:val="CommentTextChar"/>
    <w:uiPriority w:val="99"/>
    <w:semiHidden/>
    <w:rsid w:val="001C4CE2"/>
    <w:rPr>
      <w:sz w:val="20"/>
    </w:rPr>
  </w:style>
  <w:style w:type="character" w:customStyle="1" w:styleId="CommentTextChar">
    <w:name w:val="Comment Text Char"/>
    <w:basedOn w:val="DefaultParagraphFont"/>
    <w:link w:val="CommentText"/>
    <w:uiPriority w:val="99"/>
    <w:semiHidden/>
    <w:locked/>
    <w:rsid w:val="001C4CE2"/>
    <w:rPr>
      <w:rFonts w:cs="Times New Roman"/>
      <w:kern w:val="28"/>
      <w:sz w:val="20"/>
    </w:rPr>
  </w:style>
  <w:style w:type="paragraph" w:styleId="CommentSubject">
    <w:name w:val="annotation subject"/>
    <w:basedOn w:val="CommentText"/>
    <w:next w:val="CommentText"/>
    <w:link w:val="CommentSubjectChar"/>
    <w:uiPriority w:val="99"/>
    <w:semiHidden/>
    <w:rsid w:val="001C4CE2"/>
    <w:rPr>
      <w:b/>
      <w:bCs/>
    </w:rPr>
  </w:style>
  <w:style w:type="character" w:customStyle="1" w:styleId="CommentSubjectChar">
    <w:name w:val="Comment Subject Char"/>
    <w:basedOn w:val="CommentTextChar"/>
    <w:link w:val="CommentSubject"/>
    <w:uiPriority w:val="99"/>
    <w:semiHidden/>
    <w:locked/>
    <w:rsid w:val="001C4CE2"/>
    <w:rPr>
      <w:rFonts w:cs="Times New Roman"/>
      <w:b/>
      <w:kern w:val="28"/>
      <w:sz w:val="20"/>
    </w:rPr>
  </w:style>
  <w:style w:type="character" w:styleId="Hyperlink">
    <w:name w:val="Hyperlink"/>
    <w:basedOn w:val="DefaultParagraphFont"/>
    <w:uiPriority w:val="99"/>
    <w:rsid w:val="001C4CE2"/>
    <w:rPr>
      <w:rFonts w:cs="Times New Roman"/>
      <w:color w:val="0000FF"/>
      <w:u w:val="single"/>
    </w:rPr>
  </w:style>
  <w:style w:type="paragraph" w:customStyle="1" w:styleId="Paranum0">
    <w:name w:val="Paranum"/>
    <w:uiPriority w:val="99"/>
    <w:rsid w:val="001C4CE2"/>
    <w:pPr>
      <w:numPr>
        <w:numId w:val="15"/>
      </w:numPr>
      <w:tabs>
        <w:tab w:val="left" w:pos="1440"/>
      </w:tabs>
      <w:spacing w:after="240"/>
      <w:jc w:val="both"/>
    </w:pPr>
    <w:rPr>
      <w:szCs w:val="20"/>
    </w:rPr>
  </w:style>
  <w:style w:type="character" w:customStyle="1" w:styleId="documentbody">
    <w:name w:val="documentbody"/>
    <w:uiPriority w:val="99"/>
    <w:rsid w:val="001C4CE2"/>
  </w:style>
  <w:style w:type="paragraph" w:styleId="Revision">
    <w:name w:val="Revision"/>
    <w:hidden/>
    <w:uiPriority w:val="99"/>
    <w:semiHidden/>
    <w:rsid w:val="001C4CE2"/>
    <w:rPr>
      <w:kern w:val="28"/>
      <w:szCs w:val="20"/>
    </w:rPr>
  </w:style>
  <w:style w:type="character" w:customStyle="1" w:styleId="rrfootnoteCharCharCharCharCharChar">
    <w:name w:val="rrfootnote Char Char Char Char Char Char"/>
    <w:aliases w:val="fn Char"/>
    <w:uiPriority w:val="99"/>
    <w:rsid w:val="001C4CE2"/>
    <w:rPr>
      <w:lang w:val="en-US" w:eastAsia="en-US"/>
    </w:rPr>
  </w:style>
  <w:style w:type="paragraph" w:styleId="TOC7">
    <w:name w:val="toc 7"/>
    <w:basedOn w:val="Normal"/>
    <w:next w:val="Normal"/>
    <w:autoRedefine/>
    <w:uiPriority w:val="99"/>
    <w:rsid w:val="001C4CE2"/>
    <w:pPr>
      <w:tabs>
        <w:tab w:val="left" w:pos="2520"/>
        <w:tab w:val="right" w:leader="dot" w:pos="9360"/>
      </w:tabs>
      <w:suppressAutoHyphens/>
      <w:ind w:left="2520" w:hanging="360"/>
    </w:pPr>
    <w:rPr>
      <w:noProof/>
    </w:rPr>
  </w:style>
  <w:style w:type="character" w:styleId="FollowedHyperlink">
    <w:name w:val="FollowedHyperlink"/>
    <w:basedOn w:val="DefaultParagraphFont"/>
    <w:uiPriority w:val="99"/>
    <w:locked/>
    <w:rsid w:val="001C4CE2"/>
    <w:rPr>
      <w:rFonts w:cs="Times New Roman"/>
      <w:color w:val="800080"/>
      <w:u w:val="single"/>
    </w:rPr>
  </w:style>
  <w:style w:type="paragraph" w:styleId="BodyTextIndent">
    <w:name w:val="Body Text Indent"/>
    <w:basedOn w:val="Normal"/>
    <w:link w:val="BodyTextIndentChar"/>
    <w:uiPriority w:val="99"/>
    <w:semiHidden/>
    <w:locked/>
    <w:rsid w:val="001C4CE2"/>
    <w:pPr>
      <w:spacing w:after="120"/>
      <w:ind w:left="360"/>
    </w:pPr>
  </w:style>
  <w:style w:type="character" w:customStyle="1" w:styleId="BodyTextIndentChar">
    <w:name w:val="Body Text Indent Char"/>
    <w:basedOn w:val="DefaultParagraphFont"/>
    <w:link w:val="BodyTextIndent"/>
    <w:uiPriority w:val="99"/>
    <w:semiHidden/>
    <w:locked/>
    <w:rsid w:val="001C4CE2"/>
    <w:rPr>
      <w:rFonts w:cs="Times New Roman"/>
      <w:kern w:val="28"/>
      <w:sz w:val="20"/>
      <w:szCs w:val="20"/>
    </w:rPr>
  </w:style>
  <w:style w:type="paragraph" w:styleId="BodyTextFirstIndent2">
    <w:name w:val="Body Text First Indent 2"/>
    <w:basedOn w:val="BodyTextIndent"/>
    <w:link w:val="BodyTextFirstIndent2Char"/>
    <w:uiPriority w:val="99"/>
    <w:locked/>
    <w:rsid w:val="001C4CE2"/>
    <w:pPr>
      <w:ind w:firstLine="210"/>
    </w:pPr>
  </w:style>
  <w:style w:type="character" w:customStyle="1" w:styleId="BodyTextFirstIndent2Char">
    <w:name w:val="Body Text First Indent 2 Char"/>
    <w:basedOn w:val="BodyTextIndentChar"/>
    <w:link w:val="BodyTextFirstIndent2"/>
    <w:uiPriority w:val="99"/>
    <w:locked/>
    <w:rsid w:val="001C4CE2"/>
    <w:rPr>
      <w:rFonts w:cs="Times New Roman"/>
      <w:kern w:val="28"/>
      <w:sz w:val="20"/>
      <w:szCs w:val="20"/>
    </w:rPr>
  </w:style>
  <w:style w:type="paragraph" w:styleId="Header">
    <w:name w:val="header"/>
    <w:basedOn w:val="Normal"/>
    <w:link w:val="HeaderChar1"/>
    <w:autoRedefine/>
    <w:uiPriority w:val="99"/>
    <w:locked/>
    <w:rsid w:val="001C4CE2"/>
    <w:pPr>
      <w:pBdr>
        <w:bottom w:val="single" w:sz="12" w:space="1" w:color="auto"/>
      </w:pBdr>
      <w:tabs>
        <w:tab w:val="center" w:pos="4680"/>
        <w:tab w:val="right" w:pos="9360"/>
      </w:tabs>
    </w:pPr>
    <w:rPr>
      <w:b/>
      <w:szCs w:val="22"/>
    </w:rPr>
  </w:style>
  <w:style w:type="character" w:customStyle="1" w:styleId="HeaderChar1">
    <w:name w:val="Header Char1"/>
    <w:basedOn w:val="DefaultParagraphFont"/>
    <w:link w:val="Header"/>
    <w:uiPriority w:val="99"/>
    <w:semiHidden/>
    <w:locked/>
    <w:rsid w:val="001C4CE2"/>
    <w:rPr>
      <w:rFonts w:cs="Times New Roman"/>
      <w:b/>
      <w:kern w:val="28"/>
      <w:sz w:val="22"/>
      <w:szCs w:val="22"/>
      <w:lang w:val="en-US" w:eastAsia="en-US" w:bidi="ar-SA"/>
    </w:rPr>
  </w:style>
  <w:style w:type="paragraph" w:styleId="HTMLPreformatted">
    <w:name w:val="HTML Preformatted"/>
    <w:basedOn w:val="Normal"/>
    <w:link w:val="HTMLPreformattedChar1"/>
    <w:uiPriority w:val="99"/>
    <w:locked/>
    <w:rsid w:val="003C6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1">
    <w:name w:val="HTML Preformatted Char1"/>
    <w:basedOn w:val="DefaultParagraphFont"/>
    <w:link w:val="HTMLPreformatted"/>
    <w:uiPriority w:val="99"/>
    <w:semiHidden/>
    <w:locked/>
    <w:rsid w:val="00D17AFB"/>
    <w:rPr>
      <w:rFonts w:ascii="Courier New" w:hAnsi="Courier New" w:cs="Courier New"/>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4CE2"/>
    <w:pPr>
      <w:widowControl w:val="0"/>
    </w:pPr>
    <w:rPr>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locked/>
    <w:rsid w:val="001C4CE2"/>
    <w:rPr>
      <w:rFonts w:ascii="Tahoma" w:hAnsi="Tahoma" w:cs="Tahoma"/>
      <w:sz w:val="16"/>
      <w:szCs w:val="16"/>
    </w:rPr>
  </w:style>
  <w:style w:type="character" w:customStyle="1" w:styleId="BalloonTextChar">
    <w:name w:val="Balloon Text Char"/>
    <w:basedOn w:val="DefaultParagraphFont"/>
    <w:uiPriority w:val="99"/>
    <w:semiHidden/>
    <w:locked/>
    <w:rsid w:val="001C4CE2"/>
    <w:rPr>
      <w:rFonts w:cs="Times New Roman"/>
      <w:kern w:val="28"/>
      <w:sz w:val="20"/>
      <w:szCs w:val="20"/>
    </w:rPr>
  </w:style>
  <w:style w:type="character" w:customStyle="1" w:styleId="Heading1Char">
    <w:name w:val="Heading 1 Char"/>
    <w:basedOn w:val="DefaultParagraphFont"/>
    <w:uiPriority w:val="99"/>
    <w:locked/>
    <w:rsid w:val="001C4CE2"/>
    <w:rPr>
      <w:rFonts w:ascii="Cambria" w:hAnsi="Cambria" w:cs="Times New Roman"/>
      <w:b/>
      <w:bCs/>
      <w:kern w:val="32"/>
      <w:sz w:val="32"/>
      <w:szCs w:val="32"/>
    </w:rPr>
  </w:style>
  <w:style w:type="character" w:customStyle="1" w:styleId="Heading2Char">
    <w:name w:val="Heading 2 Char"/>
    <w:basedOn w:val="DefaultParagraphFont"/>
    <w:uiPriority w:val="99"/>
    <w:locked/>
    <w:rsid w:val="001C4CE2"/>
    <w:rPr>
      <w:rFonts w:ascii="Cambria" w:hAnsi="Cambria" w:cs="Times New Roman"/>
      <w:b/>
      <w:bCs/>
      <w:i/>
      <w:iCs/>
      <w:kern w:val="28"/>
      <w:sz w:val="28"/>
      <w:szCs w:val="28"/>
    </w:rPr>
  </w:style>
  <w:style w:type="character" w:customStyle="1" w:styleId="Heading3Char">
    <w:name w:val="Heading 3 Char"/>
    <w:basedOn w:val="DefaultParagraphFont"/>
    <w:uiPriority w:val="99"/>
    <w:locked/>
    <w:rsid w:val="001C4CE2"/>
    <w:rPr>
      <w:rFonts w:ascii="Cambria" w:hAnsi="Cambria" w:cs="Times New Roman"/>
      <w:b/>
      <w:bCs/>
      <w:kern w:val="28"/>
      <w:sz w:val="26"/>
      <w:szCs w:val="26"/>
    </w:rPr>
  </w:style>
  <w:style w:type="character" w:customStyle="1" w:styleId="Heading4Char">
    <w:name w:val="Heading 4 Char"/>
    <w:basedOn w:val="DefaultParagraphFont"/>
    <w:uiPriority w:val="99"/>
    <w:locked/>
    <w:rsid w:val="001C4CE2"/>
    <w:rPr>
      <w:rFonts w:ascii="Calibri" w:hAnsi="Calibri" w:cs="Times New Roman"/>
      <w:b/>
      <w:bCs/>
      <w:kern w:val="28"/>
      <w:sz w:val="28"/>
      <w:szCs w:val="28"/>
    </w:rPr>
  </w:style>
  <w:style w:type="character" w:customStyle="1" w:styleId="Heading5Char">
    <w:name w:val="Heading 5 Char"/>
    <w:basedOn w:val="DefaultParagraphFont"/>
    <w:uiPriority w:val="99"/>
    <w:locked/>
    <w:rsid w:val="001C4CE2"/>
    <w:rPr>
      <w:rFonts w:ascii="Calibri" w:hAnsi="Calibri" w:cs="Times New Roman"/>
      <w:b/>
      <w:bCs/>
      <w:i/>
      <w:iCs/>
      <w:kern w:val="28"/>
      <w:sz w:val="26"/>
      <w:szCs w:val="26"/>
    </w:rPr>
  </w:style>
  <w:style w:type="character" w:customStyle="1" w:styleId="Heading6Char">
    <w:name w:val="Heading 6 Char"/>
    <w:basedOn w:val="DefaultParagraphFont"/>
    <w:uiPriority w:val="99"/>
    <w:locked/>
    <w:rsid w:val="001C4CE2"/>
    <w:rPr>
      <w:rFonts w:ascii="Calibri" w:hAnsi="Calibri" w:cs="Times New Roman"/>
      <w:b/>
      <w:bCs/>
      <w:kern w:val="28"/>
      <w:sz w:val="20"/>
      <w:szCs w:val="20"/>
    </w:rPr>
  </w:style>
  <w:style w:type="character" w:customStyle="1" w:styleId="Heading7Char">
    <w:name w:val="Heading 7 Char"/>
    <w:basedOn w:val="DefaultParagraphFont"/>
    <w:uiPriority w:val="99"/>
    <w:locked/>
    <w:rsid w:val="001C4CE2"/>
    <w:rPr>
      <w:rFonts w:ascii="Calibri" w:hAnsi="Calibri" w:cs="Times New Roman"/>
      <w:kern w:val="28"/>
      <w:sz w:val="24"/>
      <w:szCs w:val="24"/>
    </w:rPr>
  </w:style>
  <w:style w:type="character" w:customStyle="1" w:styleId="Heading8Char">
    <w:name w:val="Heading 8 Char"/>
    <w:basedOn w:val="DefaultParagraphFont"/>
    <w:uiPriority w:val="99"/>
    <w:locked/>
    <w:rsid w:val="001C4CE2"/>
    <w:rPr>
      <w:rFonts w:ascii="Calibri" w:hAnsi="Calibri" w:cs="Times New Roman"/>
      <w:i/>
      <w:iCs/>
      <w:kern w:val="28"/>
      <w:sz w:val="24"/>
      <w:szCs w:val="24"/>
    </w:rPr>
  </w:style>
  <w:style w:type="character" w:customStyle="1" w:styleId="Heading9Char">
    <w:name w:val="Heading 9 Char"/>
    <w:basedOn w:val="DefaultParagraphFont"/>
    <w:uiPriority w:val="99"/>
    <w:locked/>
    <w:rsid w:val="001C4CE2"/>
    <w:rPr>
      <w:rFonts w:ascii="Cambria" w:hAnsi="Cambria" w:cs="Times New Roman"/>
      <w:kern w:val="28"/>
      <w:sz w:val="20"/>
      <w:szCs w:val="20"/>
    </w:rPr>
  </w:style>
  <w:style w:type="paragraph" w:customStyle="1" w:styleId="ParaNum">
    <w:name w:val="ParaNum"/>
    <w:basedOn w:val="Normal"/>
    <w:link w:val="ParaNumChar"/>
    <w:uiPriority w:val="99"/>
    <w:rsid w:val="001C4CE2"/>
    <w:pPr>
      <w:numPr>
        <w:numId w:val="1"/>
      </w:numPr>
      <w:spacing w:after="12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semiHidden/>
    <w:rsid w:val="001C4CE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locked/>
    <w:rsid w:val="001C4CE2"/>
    <w:rPr>
      <w:rFonts w:cs="Times New Roman"/>
      <w:lang w:val="en-US" w:eastAsia="en-US"/>
    </w:rPr>
  </w:style>
  <w:style w:type="character" w:styleId="FootnoteReference">
    <w:name w:val="footnote reference"/>
    <w:aliases w:val="Style 12,(NECG) Footnote Reference,Appel note de bas de p,Style 124,Style 4,Style 13,o,fr,Style 3"/>
    <w:basedOn w:val="DefaultParagraphFont"/>
    <w:uiPriority w:val="99"/>
    <w:semiHidden/>
    <w:rsid w:val="001C4CE2"/>
    <w:rPr>
      <w:rFonts w:ascii="Times New Roman" w:hAnsi="Times New Roman" w:cs="Times New Roman"/>
      <w:color w:val="auto"/>
      <w:sz w:val="22"/>
      <w:vertAlign w:val="superscript"/>
    </w:rPr>
  </w:style>
  <w:style w:type="paragraph" w:styleId="TOAHeading">
    <w:name w:val="toa heading"/>
    <w:basedOn w:val="Normal"/>
    <w:next w:val="Normal"/>
    <w:uiPriority w:val="99"/>
    <w:semiHidden/>
    <w:rsid w:val="001C4CE2"/>
    <w:pPr>
      <w:tabs>
        <w:tab w:val="right" w:pos="9360"/>
      </w:tabs>
      <w:suppressAutoHyphens/>
    </w:pPr>
  </w:style>
  <w:style w:type="character" w:customStyle="1" w:styleId="BalloonTextChar1">
    <w:name w:val="Balloon Text Char1"/>
    <w:basedOn w:val="DefaultParagraphFont"/>
    <w:link w:val="BalloonText"/>
    <w:uiPriority w:val="99"/>
    <w:semiHidden/>
    <w:locked/>
    <w:rsid w:val="001C4CE2"/>
    <w:rPr>
      <w:rFonts w:ascii="Tahoma" w:hAnsi="Tahoma" w:cs="Tahoma"/>
      <w:kern w:val="28"/>
      <w:sz w:val="16"/>
      <w:szCs w:val="16"/>
    </w:rPr>
  </w:style>
  <w:style w:type="character" w:customStyle="1" w:styleId="HeaderChar">
    <w:name w:val="Header Char"/>
    <w:uiPriority w:val="99"/>
    <w:locked/>
    <w:rsid w:val="001C4CE2"/>
    <w:rPr>
      <w:b/>
      <w:kern w:val="28"/>
    </w:rPr>
  </w:style>
  <w:style w:type="paragraph" w:styleId="Footer">
    <w:name w:val="footer"/>
    <w:basedOn w:val="Normal"/>
    <w:link w:val="FooterChar1"/>
    <w:uiPriority w:val="99"/>
    <w:locked/>
    <w:rsid w:val="001C4CE2"/>
    <w:pPr>
      <w:tabs>
        <w:tab w:val="center" w:pos="4680"/>
        <w:tab w:val="right" w:pos="9360"/>
      </w:tabs>
    </w:pPr>
  </w:style>
  <w:style w:type="character" w:customStyle="1" w:styleId="FooterChar">
    <w:name w:val="Footer Char"/>
    <w:basedOn w:val="DefaultParagraphFont"/>
    <w:uiPriority w:val="99"/>
    <w:locked/>
    <w:rsid w:val="001C4CE2"/>
    <w:rPr>
      <w:rFonts w:cs="Times New Roman"/>
      <w:kern w:val="28"/>
      <w:sz w:val="20"/>
      <w:szCs w:val="20"/>
    </w:rPr>
  </w:style>
  <w:style w:type="paragraph" w:customStyle="1" w:styleId="StyleBoldCentered">
    <w:name w:val="Style Bold Centered"/>
    <w:basedOn w:val="Normal"/>
    <w:uiPriority w:val="99"/>
    <w:rsid w:val="001C4CE2"/>
    <w:pPr>
      <w:jc w:val="center"/>
    </w:pPr>
    <w:rPr>
      <w:rFonts w:ascii="Times New Roman Bold" w:hAnsi="Times New Roman Bold"/>
      <w:b/>
      <w:bCs/>
      <w:caps/>
      <w:szCs w:val="22"/>
    </w:rPr>
  </w:style>
  <w:style w:type="character" w:customStyle="1" w:styleId="FooterChar1">
    <w:name w:val="Footer Char1"/>
    <w:basedOn w:val="DefaultParagraphFont"/>
    <w:link w:val="Footer"/>
    <w:uiPriority w:val="99"/>
    <w:locked/>
    <w:rsid w:val="001C4CE2"/>
    <w:rPr>
      <w:rFonts w:cs="Times New Roman"/>
      <w:kern w:val="28"/>
      <w:sz w:val="20"/>
      <w:szCs w:val="20"/>
    </w:rPr>
  </w:style>
  <w:style w:type="character" w:customStyle="1" w:styleId="HTMLPreformattedChar">
    <w:name w:val="HTML Preformatted Char"/>
    <w:basedOn w:val="DefaultParagraphFont"/>
    <w:uiPriority w:val="99"/>
    <w:locked/>
    <w:rsid w:val="001C4CE2"/>
    <w:rPr>
      <w:rFonts w:ascii="Courier New" w:hAnsi="Courier New" w:cs="Times New Roman"/>
      <w:kern w:val="28"/>
      <w:sz w:val="20"/>
      <w:szCs w:val="20"/>
    </w:rPr>
  </w:style>
  <w:style w:type="character" w:customStyle="1" w:styleId="ParaNumChar">
    <w:name w:val="ParaNum Char"/>
    <w:link w:val="ParaNum"/>
    <w:uiPriority w:val="99"/>
    <w:locked/>
    <w:rsid w:val="001C4CE2"/>
    <w:rPr>
      <w:kern w:val="28"/>
      <w:sz w:val="22"/>
    </w:rPr>
  </w:style>
  <w:style w:type="character" w:styleId="CommentReference">
    <w:name w:val="annotation reference"/>
    <w:basedOn w:val="DefaultParagraphFont"/>
    <w:uiPriority w:val="99"/>
    <w:semiHidden/>
    <w:rsid w:val="001C4CE2"/>
    <w:rPr>
      <w:rFonts w:cs="Times New Roman"/>
      <w:sz w:val="16"/>
    </w:rPr>
  </w:style>
  <w:style w:type="paragraph" w:styleId="CommentText">
    <w:name w:val="annotation text"/>
    <w:basedOn w:val="Normal"/>
    <w:link w:val="CommentTextChar"/>
    <w:uiPriority w:val="99"/>
    <w:semiHidden/>
    <w:rsid w:val="001C4CE2"/>
    <w:rPr>
      <w:sz w:val="20"/>
    </w:rPr>
  </w:style>
  <w:style w:type="character" w:customStyle="1" w:styleId="CommentTextChar">
    <w:name w:val="Comment Text Char"/>
    <w:basedOn w:val="DefaultParagraphFont"/>
    <w:link w:val="CommentText"/>
    <w:uiPriority w:val="99"/>
    <w:semiHidden/>
    <w:locked/>
    <w:rsid w:val="001C4CE2"/>
    <w:rPr>
      <w:rFonts w:cs="Times New Roman"/>
      <w:kern w:val="28"/>
      <w:sz w:val="20"/>
    </w:rPr>
  </w:style>
  <w:style w:type="paragraph" w:styleId="CommentSubject">
    <w:name w:val="annotation subject"/>
    <w:basedOn w:val="CommentText"/>
    <w:next w:val="CommentText"/>
    <w:link w:val="CommentSubjectChar"/>
    <w:uiPriority w:val="99"/>
    <w:semiHidden/>
    <w:rsid w:val="001C4CE2"/>
    <w:rPr>
      <w:b/>
      <w:bCs/>
    </w:rPr>
  </w:style>
  <w:style w:type="character" w:customStyle="1" w:styleId="CommentSubjectChar">
    <w:name w:val="Comment Subject Char"/>
    <w:basedOn w:val="CommentTextChar"/>
    <w:link w:val="CommentSubject"/>
    <w:uiPriority w:val="99"/>
    <w:semiHidden/>
    <w:locked/>
    <w:rsid w:val="001C4CE2"/>
    <w:rPr>
      <w:rFonts w:cs="Times New Roman"/>
      <w:b/>
      <w:kern w:val="28"/>
      <w:sz w:val="20"/>
    </w:rPr>
  </w:style>
  <w:style w:type="character" w:styleId="Hyperlink">
    <w:name w:val="Hyperlink"/>
    <w:basedOn w:val="DefaultParagraphFont"/>
    <w:uiPriority w:val="99"/>
    <w:rsid w:val="001C4CE2"/>
    <w:rPr>
      <w:rFonts w:cs="Times New Roman"/>
      <w:color w:val="0000FF"/>
      <w:u w:val="single"/>
    </w:rPr>
  </w:style>
  <w:style w:type="paragraph" w:customStyle="1" w:styleId="Paranum0">
    <w:name w:val="Paranum"/>
    <w:uiPriority w:val="99"/>
    <w:rsid w:val="001C4CE2"/>
    <w:pPr>
      <w:numPr>
        <w:numId w:val="15"/>
      </w:numPr>
      <w:tabs>
        <w:tab w:val="left" w:pos="1440"/>
      </w:tabs>
      <w:spacing w:after="240"/>
      <w:jc w:val="both"/>
    </w:pPr>
    <w:rPr>
      <w:szCs w:val="20"/>
    </w:rPr>
  </w:style>
  <w:style w:type="character" w:customStyle="1" w:styleId="documentbody">
    <w:name w:val="documentbody"/>
    <w:uiPriority w:val="99"/>
    <w:rsid w:val="001C4CE2"/>
  </w:style>
  <w:style w:type="paragraph" w:styleId="Revision">
    <w:name w:val="Revision"/>
    <w:hidden/>
    <w:uiPriority w:val="99"/>
    <w:semiHidden/>
    <w:rsid w:val="001C4CE2"/>
    <w:rPr>
      <w:kern w:val="28"/>
      <w:szCs w:val="20"/>
    </w:rPr>
  </w:style>
  <w:style w:type="character" w:customStyle="1" w:styleId="rrfootnoteCharCharCharCharCharChar">
    <w:name w:val="rrfootnote Char Char Char Char Char Char"/>
    <w:aliases w:val="fn Char"/>
    <w:uiPriority w:val="99"/>
    <w:rsid w:val="001C4CE2"/>
    <w:rPr>
      <w:lang w:val="en-US" w:eastAsia="en-US"/>
    </w:rPr>
  </w:style>
  <w:style w:type="paragraph" w:styleId="TOC7">
    <w:name w:val="toc 7"/>
    <w:basedOn w:val="Normal"/>
    <w:next w:val="Normal"/>
    <w:autoRedefine/>
    <w:uiPriority w:val="99"/>
    <w:rsid w:val="001C4CE2"/>
    <w:pPr>
      <w:tabs>
        <w:tab w:val="left" w:pos="2520"/>
        <w:tab w:val="right" w:leader="dot" w:pos="9360"/>
      </w:tabs>
      <w:suppressAutoHyphens/>
      <w:ind w:left="2520" w:hanging="360"/>
    </w:pPr>
    <w:rPr>
      <w:noProof/>
    </w:rPr>
  </w:style>
  <w:style w:type="character" w:styleId="FollowedHyperlink">
    <w:name w:val="FollowedHyperlink"/>
    <w:basedOn w:val="DefaultParagraphFont"/>
    <w:uiPriority w:val="99"/>
    <w:locked/>
    <w:rsid w:val="001C4CE2"/>
    <w:rPr>
      <w:rFonts w:cs="Times New Roman"/>
      <w:color w:val="800080"/>
      <w:u w:val="single"/>
    </w:rPr>
  </w:style>
  <w:style w:type="paragraph" w:styleId="BodyTextIndent">
    <w:name w:val="Body Text Indent"/>
    <w:basedOn w:val="Normal"/>
    <w:link w:val="BodyTextIndentChar"/>
    <w:uiPriority w:val="99"/>
    <w:semiHidden/>
    <w:locked/>
    <w:rsid w:val="001C4CE2"/>
    <w:pPr>
      <w:spacing w:after="120"/>
      <w:ind w:left="360"/>
    </w:pPr>
  </w:style>
  <w:style w:type="character" w:customStyle="1" w:styleId="BodyTextIndentChar">
    <w:name w:val="Body Text Indent Char"/>
    <w:basedOn w:val="DefaultParagraphFont"/>
    <w:link w:val="BodyTextIndent"/>
    <w:uiPriority w:val="99"/>
    <w:semiHidden/>
    <w:locked/>
    <w:rsid w:val="001C4CE2"/>
    <w:rPr>
      <w:rFonts w:cs="Times New Roman"/>
      <w:kern w:val="28"/>
      <w:sz w:val="20"/>
      <w:szCs w:val="20"/>
    </w:rPr>
  </w:style>
  <w:style w:type="paragraph" w:styleId="BodyTextFirstIndent2">
    <w:name w:val="Body Text First Indent 2"/>
    <w:basedOn w:val="BodyTextIndent"/>
    <w:link w:val="BodyTextFirstIndent2Char"/>
    <w:uiPriority w:val="99"/>
    <w:locked/>
    <w:rsid w:val="001C4CE2"/>
    <w:pPr>
      <w:ind w:firstLine="210"/>
    </w:pPr>
  </w:style>
  <w:style w:type="character" w:customStyle="1" w:styleId="BodyTextFirstIndent2Char">
    <w:name w:val="Body Text First Indent 2 Char"/>
    <w:basedOn w:val="BodyTextIndentChar"/>
    <w:link w:val="BodyTextFirstIndent2"/>
    <w:uiPriority w:val="99"/>
    <w:locked/>
    <w:rsid w:val="001C4CE2"/>
    <w:rPr>
      <w:rFonts w:cs="Times New Roman"/>
      <w:kern w:val="28"/>
      <w:sz w:val="20"/>
      <w:szCs w:val="20"/>
    </w:rPr>
  </w:style>
  <w:style w:type="paragraph" w:styleId="Header">
    <w:name w:val="header"/>
    <w:basedOn w:val="Normal"/>
    <w:link w:val="HeaderChar1"/>
    <w:autoRedefine/>
    <w:uiPriority w:val="99"/>
    <w:locked/>
    <w:rsid w:val="001C4CE2"/>
    <w:pPr>
      <w:pBdr>
        <w:bottom w:val="single" w:sz="12" w:space="1" w:color="auto"/>
      </w:pBdr>
      <w:tabs>
        <w:tab w:val="center" w:pos="4680"/>
        <w:tab w:val="right" w:pos="9360"/>
      </w:tabs>
    </w:pPr>
    <w:rPr>
      <w:b/>
      <w:szCs w:val="22"/>
    </w:rPr>
  </w:style>
  <w:style w:type="character" w:customStyle="1" w:styleId="HeaderChar1">
    <w:name w:val="Header Char1"/>
    <w:basedOn w:val="DefaultParagraphFont"/>
    <w:link w:val="Header"/>
    <w:uiPriority w:val="99"/>
    <w:semiHidden/>
    <w:locked/>
    <w:rsid w:val="001C4CE2"/>
    <w:rPr>
      <w:rFonts w:cs="Times New Roman"/>
      <w:b/>
      <w:kern w:val="28"/>
      <w:sz w:val="22"/>
      <w:szCs w:val="22"/>
      <w:lang w:val="en-US" w:eastAsia="en-US" w:bidi="ar-SA"/>
    </w:rPr>
  </w:style>
  <w:style w:type="paragraph" w:styleId="HTMLPreformatted">
    <w:name w:val="HTML Preformatted"/>
    <w:basedOn w:val="Normal"/>
    <w:link w:val="HTMLPreformattedChar1"/>
    <w:uiPriority w:val="99"/>
    <w:locked/>
    <w:rsid w:val="003C6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1">
    <w:name w:val="HTML Preformatted Char1"/>
    <w:basedOn w:val="DefaultParagraphFont"/>
    <w:link w:val="HTMLPreformatted"/>
    <w:uiPriority w:val="99"/>
    <w:semiHidden/>
    <w:locked/>
    <w:rsid w:val="00D17AFB"/>
    <w:rPr>
      <w:rFonts w:ascii="Courier New" w:hAnsi="Courier New" w:cs="Courier New"/>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79786">
      <w:marLeft w:val="0"/>
      <w:marRight w:val="0"/>
      <w:marTop w:val="0"/>
      <w:marBottom w:val="0"/>
      <w:divBdr>
        <w:top w:val="none" w:sz="0" w:space="0" w:color="auto"/>
        <w:left w:val="none" w:sz="0" w:space="0" w:color="auto"/>
        <w:bottom w:val="none" w:sz="0" w:space="0" w:color="auto"/>
        <w:right w:val="none" w:sz="0" w:space="0" w:color="auto"/>
      </w:divBdr>
      <w:divsChild>
        <w:div w:id="1660379812">
          <w:marLeft w:val="0"/>
          <w:marRight w:val="0"/>
          <w:marTop w:val="0"/>
          <w:marBottom w:val="0"/>
          <w:divBdr>
            <w:top w:val="none" w:sz="0" w:space="0" w:color="auto"/>
            <w:left w:val="single" w:sz="6" w:space="0" w:color="BBBBBB"/>
            <w:bottom w:val="single" w:sz="6" w:space="0" w:color="BBBBBB"/>
            <w:right w:val="single" w:sz="6" w:space="0" w:color="BBBBBB"/>
          </w:divBdr>
          <w:divsChild>
            <w:div w:id="1660379830">
              <w:marLeft w:val="0"/>
              <w:marRight w:val="0"/>
              <w:marTop w:val="0"/>
              <w:marBottom w:val="0"/>
              <w:divBdr>
                <w:top w:val="none" w:sz="0" w:space="0" w:color="auto"/>
                <w:left w:val="none" w:sz="0" w:space="0" w:color="auto"/>
                <w:bottom w:val="none" w:sz="0" w:space="0" w:color="auto"/>
                <w:right w:val="none" w:sz="0" w:space="0" w:color="auto"/>
              </w:divBdr>
              <w:divsChild>
                <w:div w:id="1660379832">
                  <w:marLeft w:val="0"/>
                  <w:marRight w:val="0"/>
                  <w:marTop w:val="0"/>
                  <w:marBottom w:val="0"/>
                  <w:divBdr>
                    <w:top w:val="none" w:sz="0" w:space="0" w:color="auto"/>
                    <w:left w:val="none" w:sz="0" w:space="0" w:color="auto"/>
                    <w:bottom w:val="none" w:sz="0" w:space="0" w:color="auto"/>
                    <w:right w:val="none" w:sz="0" w:space="0" w:color="auto"/>
                  </w:divBdr>
                  <w:divsChild>
                    <w:div w:id="1660379777">
                      <w:marLeft w:val="0"/>
                      <w:marRight w:val="0"/>
                      <w:marTop w:val="0"/>
                      <w:marBottom w:val="0"/>
                      <w:divBdr>
                        <w:top w:val="none" w:sz="0" w:space="0" w:color="auto"/>
                        <w:left w:val="none" w:sz="0" w:space="0" w:color="auto"/>
                        <w:bottom w:val="none" w:sz="0" w:space="0" w:color="auto"/>
                        <w:right w:val="none" w:sz="0" w:space="0" w:color="auto"/>
                      </w:divBdr>
                      <w:divsChild>
                        <w:div w:id="1660379827">
                          <w:marLeft w:val="0"/>
                          <w:marRight w:val="0"/>
                          <w:marTop w:val="0"/>
                          <w:marBottom w:val="0"/>
                          <w:divBdr>
                            <w:top w:val="none" w:sz="0" w:space="0" w:color="auto"/>
                            <w:left w:val="none" w:sz="0" w:space="0" w:color="auto"/>
                            <w:bottom w:val="none" w:sz="0" w:space="0" w:color="auto"/>
                            <w:right w:val="none" w:sz="0" w:space="0" w:color="auto"/>
                          </w:divBdr>
                          <w:divsChild>
                            <w:div w:id="1660379776">
                              <w:marLeft w:val="0"/>
                              <w:marRight w:val="0"/>
                              <w:marTop w:val="0"/>
                              <w:marBottom w:val="0"/>
                              <w:divBdr>
                                <w:top w:val="none" w:sz="0" w:space="0" w:color="auto"/>
                                <w:left w:val="none" w:sz="0" w:space="0" w:color="auto"/>
                                <w:bottom w:val="none" w:sz="0" w:space="0" w:color="auto"/>
                                <w:right w:val="none" w:sz="0" w:space="0" w:color="auto"/>
                              </w:divBdr>
                              <w:divsChild>
                                <w:div w:id="1660379774">
                                  <w:marLeft w:val="0"/>
                                  <w:marRight w:val="0"/>
                                  <w:marTop w:val="0"/>
                                  <w:marBottom w:val="0"/>
                                  <w:divBdr>
                                    <w:top w:val="none" w:sz="0" w:space="0" w:color="auto"/>
                                    <w:left w:val="none" w:sz="0" w:space="0" w:color="auto"/>
                                    <w:bottom w:val="none" w:sz="0" w:space="0" w:color="auto"/>
                                    <w:right w:val="none" w:sz="0" w:space="0" w:color="auto"/>
                                  </w:divBdr>
                                  <w:divsChild>
                                    <w:div w:id="1660379810">
                                      <w:marLeft w:val="0"/>
                                      <w:marRight w:val="0"/>
                                      <w:marTop w:val="0"/>
                                      <w:marBottom w:val="0"/>
                                      <w:divBdr>
                                        <w:top w:val="none" w:sz="0" w:space="0" w:color="auto"/>
                                        <w:left w:val="none" w:sz="0" w:space="0" w:color="auto"/>
                                        <w:bottom w:val="none" w:sz="0" w:space="0" w:color="auto"/>
                                        <w:right w:val="none" w:sz="0" w:space="0" w:color="auto"/>
                                      </w:divBdr>
                                      <w:divsChild>
                                        <w:div w:id="1660379785">
                                          <w:marLeft w:val="1340"/>
                                          <w:marRight w:val="1340"/>
                                          <w:marTop w:val="0"/>
                                          <w:marBottom w:val="0"/>
                                          <w:divBdr>
                                            <w:top w:val="none" w:sz="0" w:space="0" w:color="auto"/>
                                            <w:left w:val="none" w:sz="0" w:space="0" w:color="auto"/>
                                            <w:bottom w:val="none" w:sz="0" w:space="0" w:color="auto"/>
                                            <w:right w:val="none" w:sz="0" w:space="0" w:color="auto"/>
                                          </w:divBdr>
                                          <w:divsChild>
                                            <w:div w:id="1660379804">
                                              <w:marLeft w:val="0"/>
                                              <w:marRight w:val="0"/>
                                              <w:marTop w:val="0"/>
                                              <w:marBottom w:val="0"/>
                                              <w:divBdr>
                                                <w:top w:val="none" w:sz="0" w:space="0" w:color="auto"/>
                                                <w:left w:val="none" w:sz="0" w:space="0" w:color="auto"/>
                                                <w:bottom w:val="none" w:sz="0" w:space="0" w:color="auto"/>
                                                <w:right w:val="none" w:sz="0" w:space="0" w:color="auto"/>
                                              </w:divBdr>
                                              <w:divsChild>
                                                <w:div w:id="1660379821">
                                                  <w:marLeft w:val="0"/>
                                                  <w:marRight w:val="0"/>
                                                  <w:marTop w:val="240"/>
                                                  <w:marBottom w:val="0"/>
                                                  <w:divBdr>
                                                    <w:top w:val="none" w:sz="0" w:space="0" w:color="auto"/>
                                                    <w:left w:val="none" w:sz="0" w:space="0" w:color="auto"/>
                                                    <w:bottom w:val="none" w:sz="0" w:space="0" w:color="auto"/>
                                                    <w:right w:val="none" w:sz="0" w:space="0" w:color="auto"/>
                                                  </w:divBdr>
                                                  <w:divsChild>
                                                    <w:div w:id="1660379822">
                                                      <w:marLeft w:val="0"/>
                                                      <w:marRight w:val="0"/>
                                                      <w:marTop w:val="0"/>
                                                      <w:marBottom w:val="0"/>
                                                      <w:divBdr>
                                                        <w:top w:val="none" w:sz="0" w:space="0" w:color="auto"/>
                                                        <w:left w:val="none" w:sz="0" w:space="0" w:color="auto"/>
                                                        <w:bottom w:val="none" w:sz="0" w:space="0" w:color="auto"/>
                                                        <w:right w:val="none" w:sz="0" w:space="0" w:color="auto"/>
                                                      </w:divBdr>
                                                      <w:divsChild>
                                                        <w:div w:id="1660379775">
                                                          <w:marLeft w:val="1423"/>
                                                          <w:marRight w:val="0"/>
                                                          <w:marTop w:val="0"/>
                                                          <w:marBottom w:val="0"/>
                                                          <w:divBdr>
                                                            <w:top w:val="none" w:sz="0" w:space="0" w:color="auto"/>
                                                            <w:left w:val="none" w:sz="0" w:space="0" w:color="auto"/>
                                                            <w:bottom w:val="none" w:sz="0" w:space="0" w:color="auto"/>
                                                            <w:right w:val="none" w:sz="0" w:space="0" w:color="auto"/>
                                                          </w:divBdr>
                                                          <w:divsChild>
                                                            <w:div w:id="1660379796">
                                                              <w:marLeft w:val="0"/>
                                                              <w:marRight w:val="0"/>
                                                              <w:marTop w:val="0"/>
                                                              <w:marBottom w:val="0"/>
                                                              <w:divBdr>
                                                                <w:top w:val="none" w:sz="0" w:space="0" w:color="auto"/>
                                                                <w:left w:val="none" w:sz="0" w:space="0" w:color="auto"/>
                                                                <w:bottom w:val="none" w:sz="0" w:space="0" w:color="auto"/>
                                                                <w:right w:val="none" w:sz="0" w:space="0" w:color="auto"/>
                                                              </w:divBdr>
                                                              <w:divsChild>
                                                                <w:div w:id="16603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379788">
      <w:marLeft w:val="0"/>
      <w:marRight w:val="0"/>
      <w:marTop w:val="0"/>
      <w:marBottom w:val="0"/>
      <w:divBdr>
        <w:top w:val="none" w:sz="0" w:space="0" w:color="auto"/>
        <w:left w:val="none" w:sz="0" w:space="0" w:color="auto"/>
        <w:bottom w:val="none" w:sz="0" w:space="0" w:color="auto"/>
        <w:right w:val="none" w:sz="0" w:space="0" w:color="auto"/>
      </w:divBdr>
      <w:divsChild>
        <w:div w:id="1660379814">
          <w:marLeft w:val="0"/>
          <w:marRight w:val="0"/>
          <w:marTop w:val="0"/>
          <w:marBottom w:val="0"/>
          <w:divBdr>
            <w:top w:val="none" w:sz="0" w:space="0" w:color="auto"/>
            <w:left w:val="single" w:sz="6" w:space="0" w:color="BBBBBB"/>
            <w:bottom w:val="single" w:sz="6" w:space="0" w:color="BBBBBB"/>
            <w:right w:val="single" w:sz="6" w:space="0" w:color="BBBBBB"/>
          </w:divBdr>
          <w:divsChild>
            <w:div w:id="1660379820">
              <w:marLeft w:val="0"/>
              <w:marRight w:val="0"/>
              <w:marTop w:val="0"/>
              <w:marBottom w:val="0"/>
              <w:divBdr>
                <w:top w:val="none" w:sz="0" w:space="0" w:color="auto"/>
                <w:left w:val="none" w:sz="0" w:space="0" w:color="auto"/>
                <w:bottom w:val="none" w:sz="0" w:space="0" w:color="auto"/>
                <w:right w:val="none" w:sz="0" w:space="0" w:color="auto"/>
              </w:divBdr>
              <w:divsChild>
                <w:div w:id="1660379809">
                  <w:marLeft w:val="0"/>
                  <w:marRight w:val="0"/>
                  <w:marTop w:val="0"/>
                  <w:marBottom w:val="0"/>
                  <w:divBdr>
                    <w:top w:val="none" w:sz="0" w:space="0" w:color="auto"/>
                    <w:left w:val="none" w:sz="0" w:space="0" w:color="auto"/>
                    <w:bottom w:val="none" w:sz="0" w:space="0" w:color="auto"/>
                    <w:right w:val="none" w:sz="0" w:space="0" w:color="auto"/>
                  </w:divBdr>
                  <w:divsChild>
                    <w:div w:id="1660379817">
                      <w:marLeft w:val="0"/>
                      <w:marRight w:val="0"/>
                      <w:marTop w:val="0"/>
                      <w:marBottom w:val="0"/>
                      <w:divBdr>
                        <w:top w:val="none" w:sz="0" w:space="0" w:color="auto"/>
                        <w:left w:val="none" w:sz="0" w:space="0" w:color="auto"/>
                        <w:bottom w:val="none" w:sz="0" w:space="0" w:color="auto"/>
                        <w:right w:val="none" w:sz="0" w:space="0" w:color="auto"/>
                      </w:divBdr>
                      <w:divsChild>
                        <w:div w:id="1660379813">
                          <w:marLeft w:val="0"/>
                          <w:marRight w:val="0"/>
                          <w:marTop w:val="0"/>
                          <w:marBottom w:val="0"/>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sChild>
                                <w:div w:id="1660379825">
                                  <w:marLeft w:val="0"/>
                                  <w:marRight w:val="0"/>
                                  <w:marTop w:val="0"/>
                                  <w:marBottom w:val="0"/>
                                  <w:divBdr>
                                    <w:top w:val="none" w:sz="0" w:space="0" w:color="auto"/>
                                    <w:left w:val="none" w:sz="0" w:space="0" w:color="auto"/>
                                    <w:bottom w:val="none" w:sz="0" w:space="0" w:color="auto"/>
                                    <w:right w:val="none" w:sz="0" w:space="0" w:color="auto"/>
                                  </w:divBdr>
                                  <w:divsChild>
                                    <w:div w:id="1660379819">
                                      <w:marLeft w:val="0"/>
                                      <w:marRight w:val="0"/>
                                      <w:marTop w:val="0"/>
                                      <w:marBottom w:val="0"/>
                                      <w:divBdr>
                                        <w:top w:val="none" w:sz="0" w:space="0" w:color="auto"/>
                                        <w:left w:val="none" w:sz="0" w:space="0" w:color="auto"/>
                                        <w:bottom w:val="none" w:sz="0" w:space="0" w:color="auto"/>
                                        <w:right w:val="none" w:sz="0" w:space="0" w:color="auto"/>
                                      </w:divBdr>
                                      <w:divsChild>
                                        <w:div w:id="1660379818">
                                          <w:marLeft w:val="1340"/>
                                          <w:marRight w:val="1340"/>
                                          <w:marTop w:val="0"/>
                                          <w:marBottom w:val="0"/>
                                          <w:divBdr>
                                            <w:top w:val="none" w:sz="0" w:space="0" w:color="auto"/>
                                            <w:left w:val="none" w:sz="0" w:space="0" w:color="auto"/>
                                            <w:bottom w:val="none" w:sz="0" w:space="0" w:color="auto"/>
                                            <w:right w:val="none" w:sz="0" w:space="0" w:color="auto"/>
                                          </w:divBdr>
                                          <w:divsChild>
                                            <w:div w:id="1660379780">
                                              <w:marLeft w:val="0"/>
                                              <w:marRight w:val="0"/>
                                              <w:marTop w:val="0"/>
                                              <w:marBottom w:val="0"/>
                                              <w:divBdr>
                                                <w:top w:val="none" w:sz="0" w:space="0" w:color="auto"/>
                                                <w:left w:val="none" w:sz="0" w:space="0" w:color="auto"/>
                                                <w:bottom w:val="none" w:sz="0" w:space="0" w:color="auto"/>
                                                <w:right w:val="none" w:sz="0" w:space="0" w:color="auto"/>
                                              </w:divBdr>
                                              <w:divsChild>
                                                <w:div w:id="1660379781">
                                                  <w:marLeft w:val="0"/>
                                                  <w:marRight w:val="0"/>
                                                  <w:marTop w:val="0"/>
                                                  <w:marBottom w:val="0"/>
                                                  <w:divBdr>
                                                    <w:top w:val="none" w:sz="0" w:space="0" w:color="auto"/>
                                                    <w:left w:val="none" w:sz="0" w:space="0" w:color="auto"/>
                                                    <w:bottom w:val="none" w:sz="0" w:space="0" w:color="auto"/>
                                                    <w:right w:val="none" w:sz="0" w:space="0" w:color="auto"/>
                                                  </w:divBdr>
                                                  <w:divsChild>
                                                    <w:div w:id="1660379784">
                                                      <w:marLeft w:val="0"/>
                                                      <w:marRight w:val="0"/>
                                                      <w:marTop w:val="0"/>
                                                      <w:marBottom w:val="0"/>
                                                      <w:divBdr>
                                                        <w:top w:val="none" w:sz="0" w:space="0" w:color="auto"/>
                                                        <w:left w:val="none" w:sz="0" w:space="0" w:color="auto"/>
                                                        <w:bottom w:val="none" w:sz="0" w:space="0" w:color="auto"/>
                                                        <w:right w:val="none" w:sz="0" w:space="0" w:color="auto"/>
                                                      </w:divBdr>
                                                      <w:divsChild>
                                                        <w:div w:id="16603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379806">
      <w:marLeft w:val="0"/>
      <w:marRight w:val="0"/>
      <w:marTop w:val="0"/>
      <w:marBottom w:val="0"/>
      <w:divBdr>
        <w:top w:val="none" w:sz="0" w:space="0" w:color="auto"/>
        <w:left w:val="none" w:sz="0" w:space="0" w:color="auto"/>
        <w:bottom w:val="none" w:sz="0" w:space="0" w:color="auto"/>
        <w:right w:val="none" w:sz="0" w:space="0" w:color="auto"/>
      </w:divBdr>
      <w:divsChild>
        <w:div w:id="1660379773">
          <w:marLeft w:val="0"/>
          <w:marRight w:val="0"/>
          <w:marTop w:val="0"/>
          <w:marBottom w:val="0"/>
          <w:divBdr>
            <w:top w:val="none" w:sz="0" w:space="0" w:color="auto"/>
            <w:left w:val="single" w:sz="6" w:space="0" w:color="BBBBBB"/>
            <w:bottom w:val="single" w:sz="6" w:space="0" w:color="BBBBBB"/>
            <w:right w:val="single" w:sz="6" w:space="0" w:color="BBBBBB"/>
          </w:divBdr>
          <w:divsChild>
            <w:div w:id="1660379791">
              <w:marLeft w:val="0"/>
              <w:marRight w:val="0"/>
              <w:marTop w:val="0"/>
              <w:marBottom w:val="0"/>
              <w:divBdr>
                <w:top w:val="none" w:sz="0" w:space="0" w:color="auto"/>
                <w:left w:val="none" w:sz="0" w:space="0" w:color="auto"/>
                <w:bottom w:val="none" w:sz="0" w:space="0" w:color="auto"/>
                <w:right w:val="none" w:sz="0" w:space="0" w:color="auto"/>
              </w:divBdr>
              <w:divsChild>
                <w:div w:id="1660379798">
                  <w:marLeft w:val="0"/>
                  <w:marRight w:val="0"/>
                  <w:marTop w:val="0"/>
                  <w:marBottom w:val="0"/>
                  <w:divBdr>
                    <w:top w:val="none" w:sz="0" w:space="0" w:color="auto"/>
                    <w:left w:val="none" w:sz="0" w:space="0" w:color="auto"/>
                    <w:bottom w:val="none" w:sz="0" w:space="0" w:color="auto"/>
                    <w:right w:val="none" w:sz="0" w:space="0" w:color="auto"/>
                  </w:divBdr>
                  <w:divsChild>
                    <w:div w:id="1660379795">
                      <w:marLeft w:val="0"/>
                      <w:marRight w:val="0"/>
                      <w:marTop w:val="0"/>
                      <w:marBottom w:val="0"/>
                      <w:divBdr>
                        <w:top w:val="none" w:sz="0" w:space="0" w:color="auto"/>
                        <w:left w:val="none" w:sz="0" w:space="0" w:color="auto"/>
                        <w:bottom w:val="none" w:sz="0" w:space="0" w:color="auto"/>
                        <w:right w:val="none" w:sz="0" w:space="0" w:color="auto"/>
                      </w:divBdr>
                      <w:divsChild>
                        <w:div w:id="1660379802">
                          <w:marLeft w:val="0"/>
                          <w:marRight w:val="0"/>
                          <w:marTop w:val="0"/>
                          <w:marBottom w:val="0"/>
                          <w:divBdr>
                            <w:top w:val="none" w:sz="0" w:space="0" w:color="auto"/>
                            <w:left w:val="none" w:sz="0" w:space="0" w:color="auto"/>
                            <w:bottom w:val="none" w:sz="0" w:space="0" w:color="auto"/>
                            <w:right w:val="none" w:sz="0" w:space="0" w:color="auto"/>
                          </w:divBdr>
                          <w:divsChild>
                            <w:div w:id="1660379799">
                              <w:marLeft w:val="0"/>
                              <w:marRight w:val="0"/>
                              <w:marTop w:val="0"/>
                              <w:marBottom w:val="0"/>
                              <w:divBdr>
                                <w:top w:val="none" w:sz="0" w:space="0" w:color="auto"/>
                                <w:left w:val="none" w:sz="0" w:space="0" w:color="auto"/>
                                <w:bottom w:val="none" w:sz="0" w:space="0" w:color="auto"/>
                                <w:right w:val="none" w:sz="0" w:space="0" w:color="auto"/>
                              </w:divBdr>
                              <w:divsChild>
                                <w:div w:id="1660379811">
                                  <w:marLeft w:val="0"/>
                                  <w:marRight w:val="0"/>
                                  <w:marTop w:val="0"/>
                                  <w:marBottom w:val="0"/>
                                  <w:divBdr>
                                    <w:top w:val="none" w:sz="0" w:space="0" w:color="auto"/>
                                    <w:left w:val="none" w:sz="0" w:space="0" w:color="auto"/>
                                    <w:bottom w:val="none" w:sz="0" w:space="0" w:color="auto"/>
                                    <w:right w:val="none" w:sz="0" w:space="0" w:color="auto"/>
                                  </w:divBdr>
                                  <w:divsChild>
                                    <w:div w:id="1660379794">
                                      <w:marLeft w:val="0"/>
                                      <w:marRight w:val="0"/>
                                      <w:marTop w:val="0"/>
                                      <w:marBottom w:val="0"/>
                                      <w:divBdr>
                                        <w:top w:val="none" w:sz="0" w:space="0" w:color="auto"/>
                                        <w:left w:val="none" w:sz="0" w:space="0" w:color="auto"/>
                                        <w:bottom w:val="none" w:sz="0" w:space="0" w:color="auto"/>
                                        <w:right w:val="none" w:sz="0" w:space="0" w:color="auto"/>
                                      </w:divBdr>
                                      <w:divsChild>
                                        <w:div w:id="1660379816">
                                          <w:marLeft w:val="1118"/>
                                          <w:marRight w:val="1118"/>
                                          <w:marTop w:val="0"/>
                                          <w:marBottom w:val="0"/>
                                          <w:divBdr>
                                            <w:top w:val="none" w:sz="0" w:space="0" w:color="auto"/>
                                            <w:left w:val="none" w:sz="0" w:space="0" w:color="auto"/>
                                            <w:bottom w:val="none" w:sz="0" w:space="0" w:color="auto"/>
                                            <w:right w:val="none" w:sz="0" w:space="0" w:color="auto"/>
                                          </w:divBdr>
                                          <w:divsChild>
                                            <w:div w:id="1660379793">
                                              <w:marLeft w:val="0"/>
                                              <w:marRight w:val="0"/>
                                              <w:marTop w:val="0"/>
                                              <w:marBottom w:val="0"/>
                                              <w:divBdr>
                                                <w:top w:val="none" w:sz="0" w:space="0" w:color="auto"/>
                                                <w:left w:val="none" w:sz="0" w:space="0" w:color="auto"/>
                                                <w:bottom w:val="none" w:sz="0" w:space="0" w:color="auto"/>
                                                <w:right w:val="none" w:sz="0" w:space="0" w:color="auto"/>
                                              </w:divBdr>
                                              <w:divsChild>
                                                <w:div w:id="1660379803">
                                                  <w:marLeft w:val="0"/>
                                                  <w:marRight w:val="0"/>
                                                  <w:marTop w:val="240"/>
                                                  <w:marBottom w:val="0"/>
                                                  <w:divBdr>
                                                    <w:top w:val="none" w:sz="0" w:space="0" w:color="auto"/>
                                                    <w:left w:val="none" w:sz="0" w:space="0" w:color="auto"/>
                                                    <w:bottom w:val="none" w:sz="0" w:space="0" w:color="auto"/>
                                                    <w:right w:val="none" w:sz="0" w:space="0" w:color="auto"/>
                                                  </w:divBdr>
                                                  <w:divsChild>
                                                    <w:div w:id="1660379807">
                                                      <w:marLeft w:val="0"/>
                                                      <w:marRight w:val="0"/>
                                                      <w:marTop w:val="0"/>
                                                      <w:marBottom w:val="0"/>
                                                      <w:divBdr>
                                                        <w:top w:val="none" w:sz="0" w:space="0" w:color="auto"/>
                                                        <w:left w:val="none" w:sz="0" w:space="0" w:color="auto"/>
                                                        <w:bottom w:val="none" w:sz="0" w:space="0" w:color="auto"/>
                                                        <w:right w:val="none" w:sz="0" w:space="0" w:color="auto"/>
                                                      </w:divBdr>
                                                      <w:divsChild>
                                                        <w:div w:id="1660379783">
                                                          <w:marLeft w:val="1188"/>
                                                          <w:marRight w:val="0"/>
                                                          <w:marTop w:val="0"/>
                                                          <w:marBottom w:val="0"/>
                                                          <w:divBdr>
                                                            <w:top w:val="none" w:sz="0" w:space="0" w:color="auto"/>
                                                            <w:left w:val="none" w:sz="0" w:space="0" w:color="auto"/>
                                                            <w:bottom w:val="none" w:sz="0" w:space="0" w:color="auto"/>
                                                            <w:right w:val="none" w:sz="0" w:space="0" w:color="auto"/>
                                                          </w:divBdr>
                                                          <w:divsChild>
                                                            <w:div w:id="1660379787">
                                                              <w:marLeft w:val="0"/>
                                                              <w:marRight w:val="0"/>
                                                              <w:marTop w:val="0"/>
                                                              <w:marBottom w:val="0"/>
                                                              <w:divBdr>
                                                                <w:top w:val="none" w:sz="0" w:space="0" w:color="auto"/>
                                                                <w:left w:val="none" w:sz="0" w:space="0" w:color="auto"/>
                                                                <w:bottom w:val="none" w:sz="0" w:space="0" w:color="auto"/>
                                                                <w:right w:val="none" w:sz="0" w:space="0" w:color="auto"/>
                                                              </w:divBdr>
                                                              <w:divsChild>
                                                                <w:div w:id="16603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379823">
      <w:marLeft w:val="0"/>
      <w:marRight w:val="0"/>
      <w:marTop w:val="0"/>
      <w:marBottom w:val="0"/>
      <w:divBdr>
        <w:top w:val="none" w:sz="0" w:space="0" w:color="auto"/>
        <w:left w:val="none" w:sz="0" w:space="0" w:color="auto"/>
        <w:bottom w:val="none" w:sz="0" w:space="0" w:color="auto"/>
        <w:right w:val="none" w:sz="0" w:space="0" w:color="auto"/>
      </w:divBdr>
      <w:divsChild>
        <w:div w:id="1660379801">
          <w:marLeft w:val="0"/>
          <w:marRight w:val="0"/>
          <w:marTop w:val="0"/>
          <w:marBottom w:val="0"/>
          <w:divBdr>
            <w:top w:val="none" w:sz="0" w:space="0" w:color="auto"/>
            <w:left w:val="single" w:sz="8" w:space="0" w:color="BBBBBB"/>
            <w:bottom w:val="single" w:sz="8" w:space="0" w:color="BBBBBB"/>
            <w:right w:val="single" w:sz="8" w:space="0" w:color="BBBBBB"/>
          </w:divBdr>
          <w:divsChild>
            <w:div w:id="1660379815">
              <w:marLeft w:val="0"/>
              <w:marRight w:val="0"/>
              <w:marTop w:val="0"/>
              <w:marBottom w:val="0"/>
              <w:divBdr>
                <w:top w:val="none" w:sz="0" w:space="0" w:color="auto"/>
                <w:left w:val="none" w:sz="0" w:space="0" w:color="auto"/>
                <w:bottom w:val="none" w:sz="0" w:space="0" w:color="auto"/>
                <w:right w:val="none" w:sz="0" w:space="0" w:color="auto"/>
              </w:divBdr>
              <w:divsChild>
                <w:div w:id="1660379782">
                  <w:marLeft w:val="0"/>
                  <w:marRight w:val="0"/>
                  <w:marTop w:val="0"/>
                  <w:marBottom w:val="0"/>
                  <w:divBdr>
                    <w:top w:val="none" w:sz="0" w:space="0" w:color="auto"/>
                    <w:left w:val="none" w:sz="0" w:space="0" w:color="auto"/>
                    <w:bottom w:val="none" w:sz="0" w:space="0" w:color="auto"/>
                    <w:right w:val="none" w:sz="0" w:space="0" w:color="auto"/>
                  </w:divBdr>
                  <w:divsChild>
                    <w:div w:id="1660379790">
                      <w:marLeft w:val="0"/>
                      <w:marRight w:val="0"/>
                      <w:marTop w:val="0"/>
                      <w:marBottom w:val="0"/>
                      <w:divBdr>
                        <w:top w:val="none" w:sz="0" w:space="0" w:color="auto"/>
                        <w:left w:val="none" w:sz="0" w:space="0" w:color="auto"/>
                        <w:bottom w:val="none" w:sz="0" w:space="0" w:color="auto"/>
                        <w:right w:val="none" w:sz="0" w:space="0" w:color="auto"/>
                      </w:divBdr>
                      <w:divsChild>
                        <w:div w:id="1660379824">
                          <w:marLeft w:val="0"/>
                          <w:marRight w:val="0"/>
                          <w:marTop w:val="0"/>
                          <w:marBottom w:val="0"/>
                          <w:divBdr>
                            <w:top w:val="none" w:sz="0" w:space="0" w:color="auto"/>
                            <w:left w:val="none" w:sz="0" w:space="0" w:color="auto"/>
                            <w:bottom w:val="none" w:sz="0" w:space="0" w:color="auto"/>
                            <w:right w:val="none" w:sz="0" w:space="0" w:color="auto"/>
                          </w:divBdr>
                          <w:divsChild>
                            <w:div w:id="1660379828">
                              <w:marLeft w:val="0"/>
                              <w:marRight w:val="0"/>
                              <w:marTop w:val="0"/>
                              <w:marBottom w:val="0"/>
                              <w:divBdr>
                                <w:top w:val="none" w:sz="0" w:space="0" w:color="auto"/>
                                <w:left w:val="none" w:sz="0" w:space="0" w:color="auto"/>
                                <w:bottom w:val="none" w:sz="0" w:space="0" w:color="auto"/>
                                <w:right w:val="none" w:sz="0" w:space="0" w:color="auto"/>
                              </w:divBdr>
                              <w:divsChild>
                                <w:div w:id="1660379797">
                                  <w:marLeft w:val="0"/>
                                  <w:marRight w:val="0"/>
                                  <w:marTop w:val="0"/>
                                  <w:marBottom w:val="0"/>
                                  <w:divBdr>
                                    <w:top w:val="none" w:sz="0" w:space="0" w:color="auto"/>
                                    <w:left w:val="none" w:sz="0" w:space="0" w:color="auto"/>
                                    <w:bottom w:val="none" w:sz="0" w:space="0" w:color="auto"/>
                                    <w:right w:val="none" w:sz="0" w:space="0" w:color="auto"/>
                                  </w:divBdr>
                                  <w:divsChild>
                                    <w:div w:id="1660379805">
                                      <w:marLeft w:val="0"/>
                                      <w:marRight w:val="0"/>
                                      <w:marTop w:val="0"/>
                                      <w:marBottom w:val="0"/>
                                      <w:divBdr>
                                        <w:top w:val="none" w:sz="0" w:space="0" w:color="auto"/>
                                        <w:left w:val="none" w:sz="0" w:space="0" w:color="auto"/>
                                        <w:bottom w:val="none" w:sz="0" w:space="0" w:color="auto"/>
                                        <w:right w:val="none" w:sz="0" w:space="0" w:color="auto"/>
                                      </w:divBdr>
                                      <w:divsChild>
                                        <w:div w:id="1660379778">
                                          <w:marLeft w:val="1719"/>
                                          <w:marRight w:val="1719"/>
                                          <w:marTop w:val="0"/>
                                          <w:marBottom w:val="0"/>
                                          <w:divBdr>
                                            <w:top w:val="none" w:sz="0" w:space="0" w:color="auto"/>
                                            <w:left w:val="none" w:sz="0" w:space="0" w:color="auto"/>
                                            <w:bottom w:val="none" w:sz="0" w:space="0" w:color="auto"/>
                                            <w:right w:val="none" w:sz="0" w:space="0" w:color="auto"/>
                                          </w:divBdr>
                                          <w:divsChild>
                                            <w:div w:id="1660379789">
                                              <w:marLeft w:val="0"/>
                                              <w:marRight w:val="0"/>
                                              <w:marTop w:val="0"/>
                                              <w:marBottom w:val="0"/>
                                              <w:divBdr>
                                                <w:top w:val="none" w:sz="0" w:space="0" w:color="auto"/>
                                                <w:left w:val="none" w:sz="0" w:space="0" w:color="auto"/>
                                                <w:bottom w:val="none" w:sz="0" w:space="0" w:color="auto"/>
                                                <w:right w:val="none" w:sz="0" w:space="0" w:color="auto"/>
                                              </w:divBdr>
                                              <w:divsChild>
                                                <w:div w:id="1660379829">
                                                  <w:marLeft w:val="0"/>
                                                  <w:marRight w:val="0"/>
                                                  <w:marTop w:val="0"/>
                                                  <w:marBottom w:val="0"/>
                                                  <w:divBdr>
                                                    <w:top w:val="none" w:sz="0" w:space="0" w:color="auto"/>
                                                    <w:left w:val="none" w:sz="0" w:space="0" w:color="auto"/>
                                                    <w:bottom w:val="none" w:sz="0" w:space="0" w:color="auto"/>
                                                    <w:right w:val="none" w:sz="0" w:space="0" w:color="auto"/>
                                                  </w:divBdr>
                                                  <w:divsChild>
                                                    <w:div w:id="1660379779">
                                                      <w:marLeft w:val="0"/>
                                                      <w:marRight w:val="0"/>
                                                      <w:marTop w:val="0"/>
                                                      <w:marBottom w:val="0"/>
                                                      <w:divBdr>
                                                        <w:top w:val="none" w:sz="0" w:space="0" w:color="auto"/>
                                                        <w:left w:val="none" w:sz="0" w:space="0" w:color="auto"/>
                                                        <w:bottom w:val="none" w:sz="0" w:space="0" w:color="auto"/>
                                                        <w:right w:val="none" w:sz="0" w:space="0" w:color="auto"/>
                                                      </w:divBdr>
                                                      <w:divsChild>
                                                        <w:div w:id="1660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379834">
      <w:marLeft w:val="0"/>
      <w:marRight w:val="0"/>
      <w:marTop w:val="0"/>
      <w:marBottom w:val="0"/>
      <w:divBdr>
        <w:top w:val="none" w:sz="0" w:space="0" w:color="auto"/>
        <w:left w:val="none" w:sz="0" w:space="0" w:color="auto"/>
        <w:bottom w:val="none" w:sz="0" w:space="0" w:color="auto"/>
        <w:right w:val="none" w:sz="0" w:space="0" w:color="auto"/>
      </w:divBdr>
      <w:divsChild>
        <w:div w:id="1660379836">
          <w:marLeft w:val="0"/>
          <w:marRight w:val="0"/>
          <w:marTop w:val="0"/>
          <w:marBottom w:val="0"/>
          <w:divBdr>
            <w:top w:val="none" w:sz="0" w:space="0" w:color="auto"/>
            <w:left w:val="single" w:sz="6" w:space="0" w:color="BBBBBB"/>
            <w:bottom w:val="single" w:sz="6" w:space="0" w:color="BBBBBB"/>
            <w:right w:val="single" w:sz="6" w:space="0" w:color="BBBBBB"/>
          </w:divBdr>
          <w:divsChild>
            <w:div w:id="1660379833">
              <w:marLeft w:val="0"/>
              <w:marRight w:val="0"/>
              <w:marTop w:val="0"/>
              <w:marBottom w:val="0"/>
              <w:divBdr>
                <w:top w:val="none" w:sz="0" w:space="0" w:color="auto"/>
                <w:left w:val="none" w:sz="0" w:space="0" w:color="auto"/>
                <w:bottom w:val="none" w:sz="0" w:space="0" w:color="auto"/>
                <w:right w:val="none" w:sz="0" w:space="0" w:color="auto"/>
              </w:divBdr>
              <w:divsChild>
                <w:div w:id="1660379848">
                  <w:marLeft w:val="0"/>
                  <w:marRight w:val="0"/>
                  <w:marTop w:val="0"/>
                  <w:marBottom w:val="0"/>
                  <w:divBdr>
                    <w:top w:val="none" w:sz="0" w:space="0" w:color="auto"/>
                    <w:left w:val="none" w:sz="0" w:space="0" w:color="auto"/>
                    <w:bottom w:val="none" w:sz="0" w:space="0" w:color="auto"/>
                    <w:right w:val="none" w:sz="0" w:space="0" w:color="auto"/>
                  </w:divBdr>
                  <w:divsChild>
                    <w:div w:id="1660379952">
                      <w:marLeft w:val="0"/>
                      <w:marRight w:val="0"/>
                      <w:marTop w:val="0"/>
                      <w:marBottom w:val="0"/>
                      <w:divBdr>
                        <w:top w:val="none" w:sz="0" w:space="0" w:color="auto"/>
                        <w:left w:val="none" w:sz="0" w:space="0" w:color="auto"/>
                        <w:bottom w:val="none" w:sz="0" w:space="0" w:color="auto"/>
                        <w:right w:val="none" w:sz="0" w:space="0" w:color="auto"/>
                      </w:divBdr>
                      <w:divsChild>
                        <w:div w:id="1660379946">
                          <w:marLeft w:val="0"/>
                          <w:marRight w:val="0"/>
                          <w:marTop w:val="0"/>
                          <w:marBottom w:val="0"/>
                          <w:divBdr>
                            <w:top w:val="none" w:sz="0" w:space="0" w:color="auto"/>
                            <w:left w:val="none" w:sz="0" w:space="0" w:color="auto"/>
                            <w:bottom w:val="none" w:sz="0" w:space="0" w:color="auto"/>
                            <w:right w:val="none" w:sz="0" w:space="0" w:color="auto"/>
                          </w:divBdr>
                          <w:divsChild>
                            <w:div w:id="1660379950">
                              <w:marLeft w:val="0"/>
                              <w:marRight w:val="0"/>
                              <w:marTop w:val="0"/>
                              <w:marBottom w:val="0"/>
                              <w:divBdr>
                                <w:top w:val="none" w:sz="0" w:space="0" w:color="auto"/>
                                <w:left w:val="none" w:sz="0" w:space="0" w:color="auto"/>
                                <w:bottom w:val="none" w:sz="0" w:space="0" w:color="auto"/>
                                <w:right w:val="none" w:sz="0" w:space="0" w:color="auto"/>
                              </w:divBdr>
                              <w:divsChild>
                                <w:div w:id="1660379841">
                                  <w:marLeft w:val="0"/>
                                  <w:marRight w:val="0"/>
                                  <w:marTop w:val="0"/>
                                  <w:marBottom w:val="0"/>
                                  <w:divBdr>
                                    <w:top w:val="none" w:sz="0" w:space="0" w:color="auto"/>
                                    <w:left w:val="none" w:sz="0" w:space="0" w:color="auto"/>
                                    <w:bottom w:val="none" w:sz="0" w:space="0" w:color="auto"/>
                                    <w:right w:val="none" w:sz="0" w:space="0" w:color="auto"/>
                                  </w:divBdr>
                                  <w:divsChild>
                                    <w:div w:id="1660379842">
                                      <w:marLeft w:val="0"/>
                                      <w:marRight w:val="0"/>
                                      <w:marTop w:val="0"/>
                                      <w:marBottom w:val="0"/>
                                      <w:divBdr>
                                        <w:top w:val="none" w:sz="0" w:space="0" w:color="auto"/>
                                        <w:left w:val="none" w:sz="0" w:space="0" w:color="auto"/>
                                        <w:bottom w:val="none" w:sz="0" w:space="0" w:color="auto"/>
                                        <w:right w:val="none" w:sz="0" w:space="0" w:color="auto"/>
                                      </w:divBdr>
                                      <w:divsChild>
                                        <w:div w:id="1660379838">
                                          <w:marLeft w:val="1200"/>
                                          <w:marRight w:val="1200"/>
                                          <w:marTop w:val="0"/>
                                          <w:marBottom w:val="0"/>
                                          <w:divBdr>
                                            <w:top w:val="none" w:sz="0" w:space="0" w:color="auto"/>
                                            <w:left w:val="none" w:sz="0" w:space="0" w:color="auto"/>
                                            <w:bottom w:val="none" w:sz="0" w:space="0" w:color="auto"/>
                                            <w:right w:val="none" w:sz="0" w:space="0" w:color="auto"/>
                                          </w:divBdr>
                                          <w:divsChild>
                                            <w:div w:id="1660379944">
                                              <w:marLeft w:val="0"/>
                                              <w:marRight w:val="0"/>
                                              <w:marTop w:val="0"/>
                                              <w:marBottom w:val="0"/>
                                              <w:divBdr>
                                                <w:top w:val="none" w:sz="0" w:space="0" w:color="auto"/>
                                                <w:left w:val="none" w:sz="0" w:space="0" w:color="auto"/>
                                                <w:bottom w:val="none" w:sz="0" w:space="0" w:color="auto"/>
                                                <w:right w:val="none" w:sz="0" w:space="0" w:color="auto"/>
                                              </w:divBdr>
                                              <w:divsChild>
                                                <w:div w:id="1660379843">
                                                  <w:marLeft w:val="0"/>
                                                  <w:marRight w:val="0"/>
                                                  <w:marTop w:val="240"/>
                                                  <w:marBottom w:val="0"/>
                                                  <w:divBdr>
                                                    <w:top w:val="none" w:sz="0" w:space="0" w:color="auto"/>
                                                    <w:left w:val="none" w:sz="0" w:space="0" w:color="auto"/>
                                                    <w:bottom w:val="none" w:sz="0" w:space="0" w:color="auto"/>
                                                    <w:right w:val="none" w:sz="0" w:space="0" w:color="auto"/>
                                                  </w:divBdr>
                                                  <w:divsChild>
                                                    <w:div w:id="1660379839">
                                                      <w:marLeft w:val="0"/>
                                                      <w:marRight w:val="0"/>
                                                      <w:marTop w:val="0"/>
                                                      <w:marBottom w:val="0"/>
                                                      <w:divBdr>
                                                        <w:top w:val="none" w:sz="0" w:space="0" w:color="auto"/>
                                                        <w:left w:val="none" w:sz="0" w:space="0" w:color="auto"/>
                                                        <w:bottom w:val="none" w:sz="0" w:space="0" w:color="auto"/>
                                                        <w:right w:val="none" w:sz="0" w:space="0" w:color="auto"/>
                                                      </w:divBdr>
                                                      <w:divsChild>
                                                        <w:div w:id="1660379951">
                                                          <w:marLeft w:val="1275"/>
                                                          <w:marRight w:val="0"/>
                                                          <w:marTop w:val="0"/>
                                                          <w:marBottom w:val="0"/>
                                                          <w:divBdr>
                                                            <w:top w:val="none" w:sz="0" w:space="0" w:color="auto"/>
                                                            <w:left w:val="none" w:sz="0" w:space="0" w:color="auto"/>
                                                            <w:bottom w:val="none" w:sz="0" w:space="0" w:color="auto"/>
                                                            <w:right w:val="none" w:sz="0" w:space="0" w:color="auto"/>
                                                          </w:divBdr>
                                                          <w:divsChild>
                                                            <w:div w:id="1660379940">
                                                              <w:marLeft w:val="0"/>
                                                              <w:marRight w:val="0"/>
                                                              <w:marTop w:val="0"/>
                                                              <w:marBottom w:val="0"/>
                                                              <w:divBdr>
                                                                <w:top w:val="none" w:sz="0" w:space="0" w:color="auto"/>
                                                                <w:left w:val="none" w:sz="0" w:space="0" w:color="auto"/>
                                                                <w:bottom w:val="none" w:sz="0" w:space="0" w:color="auto"/>
                                                                <w:right w:val="none" w:sz="0" w:space="0" w:color="auto"/>
                                                              </w:divBdr>
                                                              <w:divsChild>
                                                                <w:div w:id="16603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379840">
      <w:marLeft w:val="0"/>
      <w:marRight w:val="0"/>
      <w:marTop w:val="0"/>
      <w:marBottom w:val="0"/>
      <w:divBdr>
        <w:top w:val="none" w:sz="0" w:space="0" w:color="auto"/>
        <w:left w:val="none" w:sz="0" w:space="0" w:color="auto"/>
        <w:bottom w:val="none" w:sz="0" w:space="0" w:color="auto"/>
        <w:right w:val="none" w:sz="0" w:space="0" w:color="auto"/>
      </w:divBdr>
      <w:divsChild>
        <w:div w:id="1660379849">
          <w:marLeft w:val="0"/>
          <w:marRight w:val="0"/>
          <w:marTop w:val="0"/>
          <w:marBottom w:val="0"/>
          <w:divBdr>
            <w:top w:val="none" w:sz="0" w:space="0" w:color="auto"/>
            <w:left w:val="single" w:sz="6" w:space="0" w:color="BBBBBB"/>
            <w:bottom w:val="single" w:sz="6" w:space="0" w:color="BBBBBB"/>
            <w:right w:val="single" w:sz="6" w:space="0" w:color="BBBBBB"/>
          </w:divBdr>
          <w:divsChild>
            <w:div w:id="1660379846">
              <w:marLeft w:val="0"/>
              <w:marRight w:val="0"/>
              <w:marTop w:val="0"/>
              <w:marBottom w:val="0"/>
              <w:divBdr>
                <w:top w:val="none" w:sz="0" w:space="0" w:color="auto"/>
                <w:left w:val="none" w:sz="0" w:space="0" w:color="auto"/>
                <w:bottom w:val="none" w:sz="0" w:space="0" w:color="auto"/>
                <w:right w:val="none" w:sz="0" w:space="0" w:color="auto"/>
              </w:divBdr>
              <w:divsChild>
                <w:div w:id="1660379844">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sChild>
                        <w:div w:id="1660379942">
                          <w:marLeft w:val="0"/>
                          <w:marRight w:val="0"/>
                          <w:marTop w:val="0"/>
                          <w:marBottom w:val="0"/>
                          <w:divBdr>
                            <w:top w:val="none" w:sz="0" w:space="0" w:color="auto"/>
                            <w:left w:val="none" w:sz="0" w:space="0" w:color="auto"/>
                            <w:bottom w:val="none" w:sz="0" w:space="0" w:color="auto"/>
                            <w:right w:val="none" w:sz="0" w:space="0" w:color="auto"/>
                          </w:divBdr>
                          <w:divsChild>
                            <w:div w:id="1660379948">
                              <w:marLeft w:val="0"/>
                              <w:marRight w:val="0"/>
                              <w:marTop w:val="0"/>
                              <w:marBottom w:val="0"/>
                              <w:divBdr>
                                <w:top w:val="none" w:sz="0" w:space="0" w:color="auto"/>
                                <w:left w:val="none" w:sz="0" w:space="0" w:color="auto"/>
                                <w:bottom w:val="none" w:sz="0" w:space="0" w:color="auto"/>
                                <w:right w:val="none" w:sz="0" w:space="0" w:color="auto"/>
                              </w:divBdr>
                              <w:divsChild>
                                <w:div w:id="1660379943">
                                  <w:marLeft w:val="0"/>
                                  <w:marRight w:val="0"/>
                                  <w:marTop w:val="0"/>
                                  <w:marBottom w:val="0"/>
                                  <w:divBdr>
                                    <w:top w:val="none" w:sz="0" w:space="0" w:color="auto"/>
                                    <w:left w:val="none" w:sz="0" w:space="0" w:color="auto"/>
                                    <w:bottom w:val="none" w:sz="0" w:space="0" w:color="auto"/>
                                    <w:right w:val="none" w:sz="0" w:space="0" w:color="auto"/>
                                  </w:divBdr>
                                  <w:divsChild>
                                    <w:div w:id="1660379945">
                                      <w:marLeft w:val="0"/>
                                      <w:marRight w:val="0"/>
                                      <w:marTop w:val="0"/>
                                      <w:marBottom w:val="0"/>
                                      <w:divBdr>
                                        <w:top w:val="none" w:sz="0" w:space="0" w:color="auto"/>
                                        <w:left w:val="none" w:sz="0" w:space="0" w:color="auto"/>
                                        <w:bottom w:val="none" w:sz="0" w:space="0" w:color="auto"/>
                                        <w:right w:val="none" w:sz="0" w:space="0" w:color="auto"/>
                                      </w:divBdr>
                                      <w:divsChild>
                                        <w:div w:id="1660379949">
                                          <w:marLeft w:val="1200"/>
                                          <w:marRight w:val="1200"/>
                                          <w:marTop w:val="0"/>
                                          <w:marBottom w:val="0"/>
                                          <w:divBdr>
                                            <w:top w:val="none" w:sz="0" w:space="0" w:color="auto"/>
                                            <w:left w:val="none" w:sz="0" w:space="0" w:color="auto"/>
                                            <w:bottom w:val="none" w:sz="0" w:space="0" w:color="auto"/>
                                            <w:right w:val="none" w:sz="0" w:space="0" w:color="auto"/>
                                          </w:divBdr>
                                          <w:divsChild>
                                            <w:div w:id="1660379947">
                                              <w:marLeft w:val="0"/>
                                              <w:marRight w:val="0"/>
                                              <w:marTop w:val="0"/>
                                              <w:marBottom w:val="0"/>
                                              <w:divBdr>
                                                <w:top w:val="none" w:sz="0" w:space="0" w:color="auto"/>
                                                <w:left w:val="none" w:sz="0" w:space="0" w:color="auto"/>
                                                <w:bottom w:val="none" w:sz="0" w:space="0" w:color="auto"/>
                                                <w:right w:val="none" w:sz="0" w:space="0" w:color="auto"/>
                                              </w:divBdr>
                                              <w:divsChild>
                                                <w:div w:id="1660379941">
                                                  <w:marLeft w:val="0"/>
                                                  <w:marRight w:val="0"/>
                                                  <w:marTop w:val="0"/>
                                                  <w:marBottom w:val="0"/>
                                                  <w:divBdr>
                                                    <w:top w:val="none" w:sz="0" w:space="0" w:color="auto"/>
                                                    <w:left w:val="none" w:sz="0" w:space="0" w:color="auto"/>
                                                    <w:bottom w:val="none" w:sz="0" w:space="0" w:color="auto"/>
                                                    <w:right w:val="none" w:sz="0" w:space="0" w:color="auto"/>
                                                  </w:divBdr>
                                                  <w:divsChild>
                                                    <w:div w:id="1660379847">
                                                      <w:marLeft w:val="0"/>
                                                      <w:marRight w:val="0"/>
                                                      <w:marTop w:val="0"/>
                                                      <w:marBottom w:val="0"/>
                                                      <w:divBdr>
                                                        <w:top w:val="none" w:sz="0" w:space="0" w:color="auto"/>
                                                        <w:left w:val="none" w:sz="0" w:space="0" w:color="auto"/>
                                                        <w:bottom w:val="none" w:sz="0" w:space="0" w:color="auto"/>
                                                        <w:right w:val="none" w:sz="0" w:space="0" w:color="auto"/>
                                                      </w:divBdr>
                                                      <w:divsChild>
                                                        <w:div w:id="16603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379863">
      <w:marLeft w:val="0"/>
      <w:marRight w:val="0"/>
      <w:marTop w:val="0"/>
      <w:marBottom w:val="0"/>
      <w:divBdr>
        <w:top w:val="none" w:sz="0" w:space="0" w:color="auto"/>
        <w:left w:val="none" w:sz="0" w:space="0" w:color="auto"/>
        <w:bottom w:val="none" w:sz="0" w:space="0" w:color="auto"/>
        <w:right w:val="none" w:sz="0" w:space="0" w:color="auto"/>
      </w:divBdr>
      <w:divsChild>
        <w:div w:id="1660379889">
          <w:marLeft w:val="0"/>
          <w:marRight w:val="0"/>
          <w:marTop w:val="0"/>
          <w:marBottom w:val="0"/>
          <w:divBdr>
            <w:top w:val="none" w:sz="0" w:space="0" w:color="auto"/>
            <w:left w:val="single" w:sz="6" w:space="0" w:color="BBBBBB"/>
            <w:bottom w:val="single" w:sz="6" w:space="0" w:color="BBBBBB"/>
            <w:right w:val="single" w:sz="6" w:space="0" w:color="BBBBBB"/>
          </w:divBdr>
          <w:divsChild>
            <w:div w:id="1660379907">
              <w:marLeft w:val="0"/>
              <w:marRight w:val="0"/>
              <w:marTop w:val="0"/>
              <w:marBottom w:val="0"/>
              <w:divBdr>
                <w:top w:val="none" w:sz="0" w:space="0" w:color="auto"/>
                <w:left w:val="none" w:sz="0" w:space="0" w:color="auto"/>
                <w:bottom w:val="none" w:sz="0" w:space="0" w:color="auto"/>
                <w:right w:val="none" w:sz="0" w:space="0" w:color="auto"/>
              </w:divBdr>
              <w:divsChild>
                <w:div w:id="1660379909">
                  <w:marLeft w:val="0"/>
                  <w:marRight w:val="0"/>
                  <w:marTop w:val="0"/>
                  <w:marBottom w:val="0"/>
                  <w:divBdr>
                    <w:top w:val="none" w:sz="0" w:space="0" w:color="auto"/>
                    <w:left w:val="none" w:sz="0" w:space="0" w:color="auto"/>
                    <w:bottom w:val="none" w:sz="0" w:space="0" w:color="auto"/>
                    <w:right w:val="none" w:sz="0" w:space="0" w:color="auto"/>
                  </w:divBdr>
                  <w:divsChild>
                    <w:div w:id="1660379854">
                      <w:marLeft w:val="0"/>
                      <w:marRight w:val="0"/>
                      <w:marTop w:val="0"/>
                      <w:marBottom w:val="0"/>
                      <w:divBdr>
                        <w:top w:val="none" w:sz="0" w:space="0" w:color="auto"/>
                        <w:left w:val="none" w:sz="0" w:space="0" w:color="auto"/>
                        <w:bottom w:val="none" w:sz="0" w:space="0" w:color="auto"/>
                        <w:right w:val="none" w:sz="0" w:space="0" w:color="auto"/>
                      </w:divBdr>
                      <w:divsChild>
                        <w:div w:id="1660379904">
                          <w:marLeft w:val="0"/>
                          <w:marRight w:val="0"/>
                          <w:marTop w:val="0"/>
                          <w:marBottom w:val="0"/>
                          <w:divBdr>
                            <w:top w:val="none" w:sz="0" w:space="0" w:color="auto"/>
                            <w:left w:val="none" w:sz="0" w:space="0" w:color="auto"/>
                            <w:bottom w:val="none" w:sz="0" w:space="0" w:color="auto"/>
                            <w:right w:val="none" w:sz="0" w:space="0" w:color="auto"/>
                          </w:divBdr>
                          <w:divsChild>
                            <w:div w:id="1660379853">
                              <w:marLeft w:val="0"/>
                              <w:marRight w:val="0"/>
                              <w:marTop w:val="0"/>
                              <w:marBottom w:val="0"/>
                              <w:divBdr>
                                <w:top w:val="none" w:sz="0" w:space="0" w:color="auto"/>
                                <w:left w:val="none" w:sz="0" w:space="0" w:color="auto"/>
                                <w:bottom w:val="none" w:sz="0" w:space="0" w:color="auto"/>
                                <w:right w:val="none" w:sz="0" w:space="0" w:color="auto"/>
                              </w:divBdr>
                              <w:divsChild>
                                <w:div w:id="1660379851">
                                  <w:marLeft w:val="0"/>
                                  <w:marRight w:val="0"/>
                                  <w:marTop w:val="0"/>
                                  <w:marBottom w:val="0"/>
                                  <w:divBdr>
                                    <w:top w:val="none" w:sz="0" w:space="0" w:color="auto"/>
                                    <w:left w:val="none" w:sz="0" w:space="0" w:color="auto"/>
                                    <w:bottom w:val="none" w:sz="0" w:space="0" w:color="auto"/>
                                    <w:right w:val="none" w:sz="0" w:space="0" w:color="auto"/>
                                  </w:divBdr>
                                  <w:divsChild>
                                    <w:div w:id="1660379887">
                                      <w:marLeft w:val="0"/>
                                      <w:marRight w:val="0"/>
                                      <w:marTop w:val="0"/>
                                      <w:marBottom w:val="0"/>
                                      <w:divBdr>
                                        <w:top w:val="none" w:sz="0" w:space="0" w:color="auto"/>
                                        <w:left w:val="none" w:sz="0" w:space="0" w:color="auto"/>
                                        <w:bottom w:val="none" w:sz="0" w:space="0" w:color="auto"/>
                                        <w:right w:val="none" w:sz="0" w:space="0" w:color="auto"/>
                                      </w:divBdr>
                                      <w:divsChild>
                                        <w:div w:id="1660379862">
                                          <w:marLeft w:val="1340"/>
                                          <w:marRight w:val="1340"/>
                                          <w:marTop w:val="0"/>
                                          <w:marBottom w:val="0"/>
                                          <w:divBdr>
                                            <w:top w:val="none" w:sz="0" w:space="0" w:color="auto"/>
                                            <w:left w:val="none" w:sz="0" w:space="0" w:color="auto"/>
                                            <w:bottom w:val="none" w:sz="0" w:space="0" w:color="auto"/>
                                            <w:right w:val="none" w:sz="0" w:space="0" w:color="auto"/>
                                          </w:divBdr>
                                          <w:divsChild>
                                            <w:div w:id="1660379881">
                                              <w:marLeft w:val="0"/>
                                              <w:marRight w:val="0"/>
                                              <w:marTop w:val="0"/>
                                              <w:marBottom w:val="0"/>
                                              <w:divBdr>
                                                <w:top w:val="none" w:sz="0" w:space="0" w:color="auto"/>
                                                <w:left w:val="none" w:sz="0" w:space="0" w:color="auto"/>
                                                <w:bottom w:val="none" w:sz="0" w:space="0" w:color="auto"/>
                                                <w:right w:val="none" w:sz="0" w:space="0" w:color="auto"/>
                                              </w:divBdr>
                                              <w:divsChild>
                                                <w:div w:id="1660379898">
                                                  <w:marLeft w:val="0"/>
                                                  <w:marRight w:val="0"/>
                                                  <w:marTop w:val="240"/>
                                                  <w:marBottom w:val="0"/>
                                                  <w:divBdr>
                                                    <w:top w:val="none" w:sz="0" w:space="0" w:color="auto"/>
                                                    <w:left w:val="none" w:sz="0" w:space="0" w:color="auto"/>
                                                    <w:bottom w:val="none" w:sz="0" w:space="0" w:color="auto"/>
                                                    <w:right w:val="none" w:sz="0" w:space="0" w:color="auto"/>
                                                  </w:divBdr>
                                                  <w:divsChild>
                                                    <w:div w:id="1660379899">
                                                      <w:marLeft w:val="0"/>
                                                      <w:marRight w:val="0"/>
                                                      <w:marTop w:val="0"/>
                                                      <w:marBottom w:val="0"/>
                                                      <w:divBdr>
                                                        <w:top w:val="none" w:sz="0" w:space="0" w:color="auto"/>
                                                        <w:left w:val="none" w:sz="0" w:space="0" w:color="auto"/>
                                                        <w:bottom w:val="none" w:sz="0" w:space="0" w:color="auto"/>
                                                        <w:right w:val="none" w:sz="0" w:space="0" w:color="auto"/>
                                                      </w:divBdr>
                                                      <w:divsChild>
                                                        <w:div w:id="1660379852">
                                                          <w:marLeft w:val="1423"/>
                                                          <w:marRight w:val="0"/>
                                                          <w:marTop w:val="0"/>
                                                          <w:marBottom w:val="0"/>
                                                          <w:divBdr>
                                                            <w:top w:val="none" w:sz="0" w:space="0" w:color="auto"/>
                                                            <w:left w:val="none" w:sz="0" w:space="0" w:color="auto"/>
                                                            <w:bottom w:val="none" w:sz="0" w:space="0" w:color="auto"/>
                                                            <w:right w:val="none" w:sz="0" w:space="0" w:color="auto"/>
                                                          </w:divBdr>
                                                          <w:divsChild>
                                                            <w:div w:id="1660379873">
                                                              <w:marLeft w:val="0"/>
                                                              <w:marRight w:val="0"/>
                                                              <w:marTop w:val="0"/>
                                                              <w:marBottom w:val="0"/>
                                                              <w:divBdr>
                                                                <w:top w:val="none" w:sz="0" w:space="0" w:color="auto"/>
                                                                <w:left w:val="none" w:sz="0" w:space="0" w:color="auto"/>
                                                                <w:bottom w:val="none" w:sz="0" w:space="0" w:color="auto"/>
                                                                <w:right w:val="none" w:sz="0" w:space="0" w:color="auto"/>
                                                              </w:divBdr>
                                                              <w:divsChild>
                                                                <w:div w:id="16603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379865">
      <w:marLeft w:val="0"/>
      <w:marRight w:val="0"/>
      <w:marTop w:val="0"/>
      <w:marBottom w:val="0"/>
      <w:divBdr>
        <w:top w:val="none" w:sz="0" w:space="0" w:color="auto"/>
        <w:left w:val="none" w:sz="0" w:space="0" w:color="auto"/>
        <w:bottom w:val="none" w:sz="0" w:space="0" w:color="auto"/>
        <w:right w:val="none" w:sz="0" w:space="0" w:color="auto"/>
      </w:divBdr>
      <w:divsChild>
        <w:div w:id="1660379891">
          <w:marLeft w:val="0"/>
          <w:marRight w:val="0"/>
          <w:marTop w:val="0"/>
          <w:marBottom w:val="0"/>
          <w:divBdr>
            <w:top w:val="none" w:sz="0" w:space="0" w:color="auto"/>
            <w:left w:val="single" w:sz="6" w:space="0" w:color="BBBBBB"/>
            <w:bottom w:val="single" w:sz="6" w:space="0" w:color="BBBBBB"/>
            <w:right w:val="single" w:sz="6" w:space="0" w:color="BBBBBB"/>
          </w:divBdr>
          <w:divsChild>
            <w:div w:id="1660379897">
              <w:marLeft w:val="0"/>
              <w:marRight w:val="0"/>
              <w:marTop w:val="0"/>
              <w:marBottom w:val="0"/>
              <w:divBdr>
                <w:top w:val="none" w:sz="0" w:space="0" w:color="auto"/>
                <w:left w:val="none" w:sz="0" w:space="0" w:color="auto"/>
                <w:bottom w:val="none" w:sz="0" w:space="0" w:color="auto"/>
                <w:right w:val="none" w:sz="0" w:space="0" w:color="auto"/>
              </w:divBdr>
              <w:divsChild>
                <w:div w:id="1660379886">
                  <w:marLeft w:val="0"/>
                  <w:marRight w:val="0"/>
                  <w:marTop w:val="0"/>
                  <w:marBottom w:val="0"/>
                  <w:divBdr>
                    <w:top w:val="none" w:sz="0" w:space="0" w:color="auto"/>
                    <w:left w:val="none" w:sz="0" w:space="0" w:color="auto"/>
                    <w:bottom w:val="none" w:sz="0" w:space="0" w:color="auto"/>
                    <w:right w:val="none" w:sz="0" w:space="0" w:color="auto"/>
                  </w:divBdr>
                  <w:divsChild>
                    <w:div w:id="1660379894">
                      <w:marLeft w:val="0"/>
                      <w:marRight w:val="0"/>
                      <w:marTop w:val="0"/>
                      <w:marBottom w:val="0"/>
                      <w:divBdr>
                        <w:top w:val="none" w:sz="0" w:space="0" w:color="auto"/>
                        <w:left w:val="none" w:sz="0" w:space="0" w:color="auto"/>
                        <w:bottom w:val="none" w:sz="0" w:space="0" w:color="auto"/>
                        <w:right w:val="none" w:sz="0" w:space="0" w:color="auto"/>
                      </w:divBdr>
                      <w:divsChild>
                        <w:div w:id="1660379890">
                          <w:marLeft w:val="0"/>
                          <w:marRight w:val="0"/>
                          <w:marTop w:val="0"/>
                          <w:marBottom w:val="0"/>
                          <w:divBdr>
                            <w:top w:val="none" w:sz="0" w:space="0" w:color="auto"/>
                            <w:left w:val="none" w:sz="0" w:space="0" w:color="auto"/>
                            <w:bottom w:val="none" w:sz="0" w:space="0" w:color="auto"/>
                            <w:right w:val="none" w:sz="0" w:space="0" w:color="auto"/>
                          </w:divBdr>
                          <w:divsChild>
                            <w:div w:id="1660379885">
                              <w:marLeft w:val="0"/>
                              <w:marRight w:val="0"/>
                              <w:marTop w:val="0"/>
                              <w:marBottom w:val="0"/>
                              <w:divBdr>
                                <w:top w:val="none" w:sz="0" w:space="0" w:color="auto"/>
                                <w:left w:val="none" w:sz="0" w:space="0" w:color="auto"/>
                                <w:bottom w:val="none" w:sz="0" w:space="0" w:color="auto"/>
                                <w:right w:val="none" w:sz="0" w:space="0" w:color="auto"/>
                              </w:divBdr>
                              <w:divsChild>
                                <w:div w:id="1660379902">
                                  <w:marLeft w:val="0"/>
                                  <w:marRight w:val="0"/>
                                  <w:marTop w:val="0"/>
                                  <w:marBottom w:val="0"/>
                                  <w:divBdr>
                                    <w:top w:val="none" w:sz="0" w:space="0" w:color="auto"/>
                                    <w:left w:val="none" w:sz="0" w:space="0" w:color="auto"/>
                                    <w:bottom w:val="none" w:sz="0" w:space="0" w:color="auto"/>
                                    <w:right w:val="none" w:sz="0" w:space="0" w:color="auto"/>
                                  </w:divBdr>
                                  <w:divsChild>
                                    <w:div w:id="1660379896">
                                      <w:marLeft w:val="0"/>
                                      <w:marRight w:val="0"/>
                                      <w:marTop w:val="0"/>
                                      <w:marBottom w:val="0"/>
                                      <w:divBdr>
                                        <w:top w:val="none" w:sz="0" w:space="0" w:color="auto"/>
                                        <w:left w:val="none" w:sz="0" w:space="0" w:color="auto"/>
                                        <w:bottom w:val="none" w:sz="0" w:space="0" w:color="auto"/>
                                        <w:right w:val="none" w:sz="0" w:space="0" w:color="auto"/>
                                      </w:divBdr>
                                      <w:divsChild>
                                        <w:div w:id="1660379895">
                                          <w:marLeft w:val="1340"/>
                                          <w:marRight w:val="1340"/>
                                          <w:marTop w:val="0"/>
                                          <w:marBottom w:val="0"/>
                                          <w:divBdr>
                                            <w:top w:val="none" w:sz="0" w:space="0" w:color="auto"/>
                                            <w:left w:val="none" w:sz="0" w:space="0" w:color="auto"/>
                                            <w:bottom w:val="none" w:sz="0" w:space="0" w:color="auto"/>
                                            <w:right w:val="none" w:sz="0" w:space="0" w:color="auto"/>
                                          </w:divBdr>
                                          <w:divsChild>
                                            <w:div w:id="1660379857">
                                              <w:marLeft w:val="0"/>
                                              <w:marRight w:val="0"/>
                                              <w:marTop w:val="0"/>
                                              <w:marBottom w:val="0"/>
                                              <w:divBdr>
                                                <w:top w:val="none" w:sz="0" w:space="0" w:color="auto"/>
                                                <w:left w:val="none" w:sz="0" w:space="0" w:color="auto"/>
                                                <w:bottom w:val="none" w:sz="0" w:space="0" w:color="auto"/>
                                                <w:right w:val="none" w:sz="0" w:space="0" w:color="auto"/>
                                              </w:divBdr>
                                              <w:divsChild>
                                                <w:div w:id="1660379858">
                                                  <w:marLeft w:val="0"/>
                                                  <w:marRight w:val="0"/>
                                                  <w:marTop w:val="0"/>
                                                  <w:marBottom w:val="0"/>
                                                  <w:divBdr>
                                                    <w:top w:val="none" w:sz="0" w:space="0" w:color="auto"/>
                                                    <w:left w:val="none" w:sz="0" w:space="0" w:color="auto"/>
                                                    <w:bottom w:val="none" w:sz="0" w:space="0" w:color="auto"/>
                                                    <w:right w:val="none" w:sz="0" w:space="0" w:color="auto"/>
                                                  </w:divBdr>
                                                  <w:divsChild>
                                                    <w:div w:id="1660379861">
                                                      <w:marLeft w:val="0"/>
                                                      <w:marRight w:val="0"/>
                                                      <w:marTop w:val="0"/>
                                                      <w:marBottom w:val="0"/>
                                                      <w:divBdr>
                                                        <w:top w:val="none" w:sz="0" w:space="0" w:color="auto"/>
                                                        <w:left w:val="none" w:sz="0" w:space="0" w:color="auto"/>
                                                        <w:bottom w:val="none" w:sz="0" w:space="0" w:color="auto"/>
                                                        <w:right w:val="none" w:sz="0" w:space="0" w:color="auto"/>
                                                      </w:divBdr>
                                                      <w:divsChild>
                                                        <w:div w:id="16603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379883">
      <w:marLeft w:val="0"/>
      <w:marRight w:val="0"/>
      <w:marTop w:val="0"/>
      <w:marBottom w:val="0"/>
      <w:divBdr>
        <w:top w:val="none" w:sz="0" w:space="0" w:color="auto"/>
        <w:left w:val="none" w:sz="0" w:space="0" w:color="auto"/>
        <w:bottom w:val="none" w:sz="0" w:space="0" w:color="auto"/>
        <w:right w:val="none" w:sz="0" w:space="0" w:color="auto"/>
      </w:divBdr>
      <w:divsChild>
        <w:div w:id="1660379850">
          <w:marLeft w:val="0"/>
          <w:marRight w:val="0"/>
          <w:marTop w:val="0"/>
          <w:marBottom w:val="0"/>
          <w:divBdr>
            <w:top w:val="none" w:sz="0" w:space="0" w:color="auto"/>
            <w:left w:val="single" w:sz="6" w:space="0" w:color="BBBBBB"/>
            <w:bottom w:val="single" w:sz="6" w:space="0" w:color="BBBBBB"/>
            <w:right w:val="single" w:sz="6" w:space="0" w:color="BBBBBB"/>
          </w:divBdr>
          <w:divsChild>
            <w:div w:id="1660379868">
              <w:marLeft w:val="0"/>
              <w:marRight w:val="0"/>
              <w:marTop w:val="0"/>
              <w:marBottom w:val="0"/>
              <w:divBdr>
                <w:top w:val="none" w:sz="0" w:space="0" w:color="auto"/>
                <w:left w:val="none" w:sz="0" w:space="0" w:color="auto"/>
                <w:bottom w:val="none" w:sz="0" w:space="0" w:color="auto"/>
                <w:right w:val="none" w:sz="0" w:space="0" w:color="auto"/>
              </w:divBdr>
              <w:divsChild>
                <w:div w:id="1660379875">
                  <w:marLeft w:val="0"/>
                  <w:marRight w:val="0"/>
                  <w:marTop w:val="0"/>
                  <w:marBottom w:val="0"/>
                  <w:divBdr>
                    <w:top w:val="none" w:sz="0" w:space="0" w:color="auto"/>
                    <w:left w:val="none" w:sz="0" w:space="0" w:color="auto"/>
                    <w:bottom w:val="none" w:sz="0" w:space="0" w:color="auto"/>
                    <w:right w:val="none" w:sz="0" w:space="0" w:color="auto"/>
                  </w:divBdr>
                  <w:divsChild>
                    <w:div w:id="1660379872">
                      <w:marLeft w:val="0"/>
                      <w:marRight w:val="0"/>
                      <w:marTop w:val="0"/>
                      <w:marBottom w:val="0"/>
                      <w:divBdr>
                        <w:top w:val="none" w:sz="0" w:space="0" w:color="auto"/>
                        <w:left w:val="none" w:sz="0" w:space="0" w:color="auto"/>
                        <w:bottom w:val="none" w:sz="0" w:space="0" w:color="auto"/>
                        <w:right w:val="none" w:sz="0" w:space="0" w:color="auto"/>
                      </w:divBdr>
                      <w:divsChild>
                        <w:div w:id="1660379879">
                          <w:marLeft w:val="0"/>
                          <w:marRight w:val="0"/>
                          <w:marTop w:val="0"/>
                          <w:marBottom w:val="0"/>
                          <w:divBdr>
                            <w:top w:val="none" w:sz="0" w:space="0" w:color="auto"/>
                            <w:left w:val="none" w:sz="0" w:space="0" w:color="auto"/>
                            <w:bottom w:val="none" w:sz="0" w:space="0" w:color="auto"/>
                            <w:right w:val="none" w:sz="0" w:space="0" w:color="auto"/>
                          </w:divBdr>
                          <w:divsChild>
                            <w:div w:id="1660379876">
                              <w:marLeft w:val="0"/>
                              <w:marRight w:val="0"/>
                              <w:marTop w:val="0"/>
                              <w:marBottom w:val="0"/>
                              <w:divBdr>
                                <w:top w:val="none" w:sz="0" w:space="0" w:color="auto"/>
                                <w:left w:val="none" w:sz="0" w:space="0" w:color="auto"/>
                                <w:bottom w:val="none" w:sz="0" w:space="0" w:color="auto"/>
                                <w:right w:val="none" w:sz="0" w:space="0" w:color="auto"/>
                              </w:divBdr>
                              <w:divsChild>
                                <w:div w:id="1660379888">
                                  <w:marLeft w:val="0"/>
                                  <w:marRight w:val="0"/>
                                  <w:marTop w:val="0"/>
                                  <w:marBottom w:val="0"/>
                                  <w:divBdr>
                                    <w:top w:val="none" w:sz="0" w:space="0" w:color="auto"/>
                                    <w:left w:val="none" w:sz="0" w:space="0" w:color="auto"/>
                                    <w:bottom w:val="none" w:sz="0" w:space="0" w:color="auto"/>
                                    <w:right w:val="none" w:sz="0" w:space="0" w:color="auto"/>
                                  </w:divBdr>
                                  <w:divsChild>
                                    <w:div w:id="1660379871">
                                      <w:marLeft w:val="0"/>
                                      <w:marRight w:val="0"/>
                                      <w:marTop w:val="0"/>
                                      <w:marBottom w:val="0"/>
                                      <w:divBdr>
                                        <w:top w:val="none" w:sz="0" w:space="0" w:color="auto"/>
                                        <w:left w:val="none" w:sz="0" w:space="0" w:color="auto"/>
                                        <w:bottom w:val="none" w:sz="0" w:space="0" w:color="auto"/>
                                        <w:right w:val="none" w:sz="0" w:space="0" w:color="auto"/>
                                      </w:divBdr>
                                      <w:divsChild>
                                        <w:div w:id="1660379893">
                                          <w:marLeft w:val="1118"/>
                                          <w:marRight w:val="1118"/>
                                          <w:marTop w:val="0"/>
                                          <w:marBottom w:val="0"/>
                                          <w:divBdr>
                                            <w:top w:val="none" w:sz="0" w:space="0" w:color="auto"/>
                                            <w:left w:val="none" w:sz="0" w:space="0" w:color="auto"/>
                                            <w:bottom w:val="none" w:sz="0" w:space="0" w:color="auto"/>
                                            <w:right w:val="none" w:sz="0" w:space="0" w:color="auto"/>
                                          </w:divBdr>
                                          <w:divsChild>
                                            <w:div w:id="1660379870">
                                              <w:marLeft w:val="0"/>
                                              <w:marRight w:val="0"/>
                                              <w:marTop w:val="0"/>
                                              <w:marBottom w:val="0"/>
                                              <w:divBdr>
                                                <w:top w:val="none" w:sz="0" w:space="0" w:color="auto"/>
                                                <w:left w:val="none" w:sz="0" w:space="0" w:color="auto"/>
                                                <w:bottom w:val="none" w:sz="0" w:space="0" w:color="auto"/>
                                                <w:right w:val="none" w:sz="0" w:space="0" w:color="auto"/>
                                              </w:divBdr>
                                              <w:divsChild>
                                                <w:div w:id="1660379880">
                                                  <w:marLeft w:val="0"/>
                                                  <w:marRight w:val="0"/>
                                                  <w:marTop w:val="240"/>
                                                  <w:marBottom w:val="0"/>
                                                  <w:divBdr>
                                                    <w:top w:val="none" w:sz="0" w:space="0" w:color="auto"/>
                                                    <w:left w:val="none" w:sz="0" w:space="0" w:color="auto"/>
                                                    <w:bottom w:val="none" w:sz="0" w:space="0" w:color="auto"/>
                                                    <w:right w:val="none" w:sz="0" w:space="0" w:color="auto"/>
                                                  </w:divBdr>
                                                  <w:divsChild>
                                                    <w:div w:id="1660379884">
                                                      <w:marLeft w:val="0"/>
                                                      <w:marRight w:val="0"/>
                                                      <w:marTop w:val="0"/>
                                                      <w:marBottom w:val="0"/>
                                                      <w:divBdr>
                                                        <w:top w:val="none" w:sz="0" w:space="0" w:color="auto"/>
                                                        <w:left w:val="none" w:sz="0" w:space="0" w:color="auto"/>
                                                        <w:bottom w:val="none" w:sz="0" w:space="0" w:color="auto"/>
                                                        <w:right w:val="none" w:sz="0" w:space="0" w:color="auto"/>
                                                      </w:divBdr>
                                                      <w:divsChild>
                                                        <w:div w:id="1660379860">
                                                          <w:marLeft w:val="1188"/>
                                                          <w:marRight w:val="0"/>
                                                          <w:marTop w:val="0"/>
                                                          <w:marBottom w:val="0"/>
                                                          <w:divBdr>
                                                            <w:top w:val="none" w:sz="0" w:space="0" w:color="auto"/>
                                                            <w:left w:val="none" w:sz="0" w:space="0" w:color="auto"/>
                                                            <w:bottom w:val="none" w:sz="0" w:space="0" w:color="auto"/>
                                                            <w:right w:val="none" w:sz="0" w:space="0" w:color="auto"/>
                                                          </w:divBdr>
                                                          <w:divsChild>
                                                            <w:div w:id="1660379864">
                                                              <w:marLeft w:val="0"/>
                                                              <w:marRight w:val="0"/>
                                                              <w:marTop w:val="0"/>
                                                              <w:marBottom w:val="0"/>
                                                              <w:divBdr>
                                                                <w:top w:val="none" w:sz="0" w:space="0" w:color="auto"/>
                                                                <w:left w:val="none" w:sz="0" w:space="0" w:color="auto"/>
                                                                <w:bottom w:val="none" w:sz="0" w:space="0" w:color="auto"/>
                                                                <w:right w:val="none" w:sz="0" w:space="0" w:color="auto"/>
                                                              </w:divBdr>
                                                              <w:divsChild>
                                                                <w:div w:id="1660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379900">
      <w:marLeft w:val="0"/>
      <w:marRight w:val="0"/>
      <w:marTop w:val="0"/>
      <w:marBottom w:val="0"/>
      <w:divBdr>
        <w:top w:val="none" w:sz="0" w:space="0" w:color="auto"/>
        <w:left w:val="none" w:sz="0" w:space="0" w:color="auto"/>
        <w:bottom w:val="none" w:sz="0" w:space="0" w:color="auto"/>
        <w:right w:val="none" w:sz="0" w:space="0" w:color="auto"/>
      </w:divBdr>
      <w:divsChild>
        <w:div w:id="1660379878">
          <w:marLeft w:val="0"/>
          <w:marRight w:val="0"/>
          <w:marTop w:val="0"/>
          <w:marBottom w:val="0"/>
          <w:divBdr>
            <w:top w:val="none" w:sz="0" w:space="0" w:color="auto"/>
            <w:left w:val="single" w:sz="8" w:space="0" w:color="BBBBBB"/>
            <w:bottom w:val="single" w:sz="8" w:space="0" w:color="BBBBBB"/>
            <w:right w:val="single" w:sz="8" w:space="0" w:color="BBBBBB"/>
          </w:divBdr>
          <w:divsChild>
            <w:div w:id="1660379892">
              <w:marLeft w:val="0"/>
              <w:marRight w:val="0"/>
              <w:marTop w:val="0"/>
              <w:marBottom w:val="0"/>
              <w:divBdr>
                <w:top w:val="none" w:sz="0" w:space="0" w:color="auto"/>
                <w:left w:val="none" w:sz="0" w:space="0" w:color="auto"/>
                <w:bottom w:val="none" w:sz="0" w:space="0" w:color="auto"/>
                <w:right w:val="none" w:sz="0" w:space="0" w:color="auto"/>
              </w:divBdr>
              <w:divsChild>
                <w:div w:id="1660379859">
                  <w:marLeft w:val="0"/>
                  <w:marRight w:val="0"/>
                  <w:marTop w:val="0"/>
                  <w:marBottom w:val="0"/>
                  <w:divBdr>
                    <w:top w:val="none" w:sz="0" w:space="0" w:color="auto"/>
                    <w:left w:val="none" w:sz="0" w:space="0" w:color="auto"/>
                    <w:bottom w:val="none" w:sz="0" w:space="0" w:color="auto"/>
                    <w:right w:val="none" w:sz="0" w:space="0" w:color="auto"/>
                  </w:divBdr>
                  <w:divsChild>
                    <w:div w:id="1660379867">
                      <w:marLeft w:val="0"/>
                      <w:marRight w:val="0"/>
                      <w:marTop w:val="0"/>
                      <w:marBottom w:val="0"/>
                      <w:divBdr>
                        <w:top w:val="none" w:sz="0" w:space="0" w:color="auto"/>
                        <w:left w:val="none" w:sz="0" w:space="0" w:color="auto"/>
                        <w:bottom w:val="none" w:sz="0" w:space="0" w:color="auto"/>
                        <w:right w:val="none" w:sz="0" w:space="0" w:color="auto"/>
                      </w:divBdr>
                      <w:divsChild>
                        <w:div w:id="1660379901">
                          <w:marLeft w:val="0"/>
                          <w:marRight w:val="0"/>
                          <w:marTop w:val="0"/>
                          <w:marBottom w:val="0"/>
                          <w:divBdr>
                            <w:top w:val="none" w:sz="0" w:space="0" w:color="auto"/>
                            <w:left w:val="none" w:sz="0" w:space="0" w:color="auto"/>
                            <w:bottom w:val="none" w:sz="0" w:space="0" w:color="auto"/>
                            <w:right w:val="none" w:sz="0" w:space="0" w:color="auto"/>
                          </w:divBdr>
                          <w:divsChild>
                            <w:div w:id="1660379905">
                              <w:marLeft w:val="0"/>
                              <w:marRight w:val="0"/>
                              <w:marTop w:val="0"/>
                              <w:marBottom w:val="0"/>
                              <w:divBdr>
                                <w:top w:val="none" w:sz="0" w:space="0" w:color="auto"/>
                                <w:left w:val="none" w:sz="0" w:space="0" w:color="auto"/>
                                <w:bottom w:val="none" w:sz="0" w:space="0" w:color="auto"/>
                                <w:right w:val="none" w:sz="0" w:space="0" w:color="auto"/>
                              </w:divBdr>
                              <w:divsChild>
                                <w:div w:id="1660379874">
                                  <w:marLeft w:val="0"/>
                                  <w:marRight w:val="0"/>
                                  <w:marTop w:val="0"/>
                                  <w:marBottom w:val="0"/>
                                  <w:divBdr>
                                    <w:top w:val="none" w:sz="0" w:space="0" w:color="auto"/>
                                    <w:left w:val="none" w:sz="0" w:space="0" w:color="auto"/>
                                    <w:bottom w:val="none" w:sz="0" w:space="0" w:color="auto"/>
                                    <w:right w:val="none" w:sz="0" w:space="0" w:color="auto"/>
                                  </w:divBdr>
                                  <w:divsChild>
                                    <w:div w:id="1660379882">
                                      <w:marLeft w:val="0"/>
                                      <w:marRight w:val="0"/>
                                      <w:marTop w:val="0"/>
                                      <w:marBottom w:val="0"/>
                                      <w:divBdr>
                                        <w:top w:val="none" w:sz="0" w:space="0" w:color="auto"/>
                                        <w:left w:val="none" w:sz="0" w:space="0" w:color="auto"/>
                                        <w:bottom w:val="none" w:sz="0" w:space="0" w:color="auto"/>
                                        <w:right w:val="none" w:sz="0" w:space="0" w:color="auto"/>
                                      </w:divBdr>
                                      <w:divsChild>
                                        <w:div w:id="1660379855">
                                          <w:marLeft w:val="1719"/>
                                          <w:marRight w:val="1719"/>
                                          <w:marTop w:val="0"/>
                                          <w:marBottom w:val="0"/>
                                          <w:divBdr>
                                            <w:top w:val="none" w:sz="0" w:space="0" w:color="auto"/>
                                            <w:left w:val="none" w:sz="0" w:space="0" w:color="auto"/>
                                            <w:bottom w:val="none" w:sz="0" w:space="0" w:color="auto"/>
                                            <w:right w:val="none" w:sz="0" w:space="0" w:color="auto"/>
                                          </w:divBdr>
                                          <w:divsChild>
                                            <w:div w:id="1660379866">
                                              <w:marLeft w:val="0"/>
                                              <w:marRight w:val="0"/>
                                              <w:marTop w:val="0"/>
                                              <w:marBottom w:val="0"/>
                                              <w:divBdr>
                                                <w:top w:val="none" w:sz="0" w:space="0" w:color="auto"/>
                                                <w:left w:val="none" w:sz="0" w:space="0" w:color="auto"/>
                                                <w:bottom w:val="none" w:sz="0" w:space="0" w:color="auto"/>
                                                <w:right w:val="none" w:sz="0" w:space="0" w:color="auto"/>
                                              </w:divBdr>
                                              <w:divsChild>
                                                <w:div w:id="1660379906">
                                                  <w:marLeft w:val="0"/>
                                                  <w:marRight w:val="0"/>
                                                  <w:marTop w:val="0"/>
                                                  <w:marBottom w:val="0"/>
                                                  <w:divBdr>
                                                    <w:top w:val="none" w:sz="0" w:space="0" w:color="auto"/>
                                                    <w:left w:val="none" w:sz="0" w:space="0" w:color="auto"/>
                                                    <w:bottom w:val="none" w:sz="0" w:space="0" w:color="auto"/>
                                                    <w:right w:val="none" w:sz="0" w:space="0" w:color="auto"/>
                                                  </w:divBdr>
                                                  <w:divsChild>
                                                    <w:div w:id="1660379856">
                                                      <w:marLeft w:val="0"/>
                                                      <w:marRight w:val="0"/>
                                                      <w:marTop w:val="0"/>
                                                      <w:marBottom w:val="0"/>
                                                      <w:divBdr>
                                                        <w:top w:val="none" w:sz="0" w:space="0" w:color="auto"/>
                                                        <w:left w:val="none" w:sz="0" w:space="0" w:color="auto"/>
                                                        <w:bottom w:val="none" w:sz="0" w:space="0" w:color="auto"/>
                                                        <w:right w:val="none" w:sz="0" w:space="0" w:color="auto"/>
                                                      </w:divBdr>
                                                      <w:divsChild>
                                                        <w:div w:id="16603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379911">
      <w:marLeft w:val="0"/>
      <w:marRight w:val="0"/>
      <w:marTop w:val="0"/>
      <w:marBottom w:val="0"/>
      <w:divBdr>
        <w:top w:val="none" w:sz="0" w:space="0" w:color="auto"/>
        <w:left w:val="none" w:sz="0" w:space="0" w:color="auto"/>
        <w:bottom w:val="none" w:sz="0" w:space="0" w:color="auto"/>
        <w:right w:val="none" w:sz="0" w:space="0" w:color="auto"/>
      </w:divBdr>
      <w:divsChild>
        <w:div w:id="1660379913">
          <w:marLeft w:val="0"/>
          <w:marRight w:val="0"/>
          <w:marTop w:val="0"/>
          <w:marBottom w:val="0"/>
          <w:divBdr>
            <w:top w:val="none" w:sz="0" w:space="0" w:color="auto"/>
            <w:left w:val="single" w:sz="6" w:space="0" w:color="BBBBBB"/>
            <w:bottom w:val="single" w:sz="6" w:space="0" w:color="BBBBBB"/>
            <w:right w:val="single" w:sz="6" w:space="0" w:color="BBBBBB"/>
          </w:divBdr>
          <w:divsChild>
            <w:div w:id="1660379910">
              <w:marLeft w:val="0"/>
              <w:marRight w:val="0"/>
              <w:marTop w:val="0"/>
              <w:marBottom w:val="0"/>
              <w:divBdr>
                <w:top w:val="none" w:sz="0" w:space="0" w:color="auto"/>
                <w:left w:val="none" w:sz="0" w:space="0" w:color="auto"/>
                <w:bottom w:val="none" w:sz="0" w:space="0" w:color="auto"/>
                <w:right w:val="none" w:sz="0" w:space="0" w:color="auto"/>
              </w:divBdr>
              <w:divsChild>
                <w:div w:id="1660379925">
                  <w:marLeft w:val="0"/>
                  <w:marRight w:val="0"/>
                  <w:marTop w:val="0"/>
                  <w:marBottom w:val="0"/>
                  <w:divBdr>
                    <w:top w:val="none" w:sz="0" w:space="0" w:color="auto"/>
                    <w:left w:val="none" w:sz="0" w:space="0" w:color="auto"/>
                    <w:bottom w:val="none" w:sz="0" w:space="0" w:color="auto"/>
                    <w:right w:val="none" w:sz="0" w:space="0" w:color="auto"/>
                  </w:divBdr>
                  <w:divsChild>
                    <w:div w:id="1660379939">
                      <w:marLeft w:val="0"/>
                      <w:marRight w:val="0"/>
                      <w:marTop w:val="0"/>
                      <w:marBottom w:val="0"/>
                      <w:divBdr>
                        <w:top w:val="none" w:sz="0" w:space="0" w:color="auto"/>
                        <w:left w:val="none" w:sz="0" w:space="0" w:color="auto"/>
                        <w:bottom w:val="none" w:sz="0" w:space="0" w:color="auto"/>
                        <w:right w:val="none" w:sz="0" w:space="0" w:color="auto"/>
                      </w:divBdr>
                      <w:divsChild>
                        <w:div w:id="1660379933">
                          <w:marLeft w:val="0"/>
                          <w:marRight w:val="0"/>
                          <w:marTop w:val="0"/>
                          <w:marBottom w:val="0"/>
                          <w:divBdr>
                            <w:top w:val="none" w:sz="0" w:space="0" w:color="auto"/>
                            <w:left w:val="none" w:sz="0" w:space="0" w:color="auto"/>
                            <w:bottom w:val="none" w:sz="0" w:space="0" w:color="auto"/>
                            <w:right w:val="none" w:sz="0" w:space="0" w:color="auto"/>
                          </w:divBdr>
                          <w:divsChild>
                            <w:div w:id="1660379937">
                              <w:marLeft w:val="0"/>
                              <w:marRight w:val="0"/>
                              <w:marTop w:val="0"/>
                              <w:marBottom w:val="0"/>
                              <w:divBdr>
                                <w:top w:val="none" w:sz="0" w:space="0" w:color="auto"/>
                                <w:left w:val="none" w:sz="0" w:space="0" w:color="auto"/>
                                <w:bottom w:val="none" w:sz="0" w:space="0" w:color="auto"/>
                                <w:right w:val="none" w:sz="0" w:space="0" w:color="auto"/>
                              </w:divBdr>
                              <w:divsChild>
                                <w:div w:id="1660379918">
                                  <w:marLeft w:val="0"/>
                                  <w:marRight w:val="0"/>
                                  <w:marTop w:val="0"/>
                                  <w:marBottom w:val="0"/>
                                  <w:divBdr>
                                    <w:top w:val="none" w:sz="0" w:space="0" w:color="auto"/>
                                    <w:left w:val="none" w:sz="0" w:space="0" w:color="auto"/>
                                    <w:bottom w:val="none" w:sz="0" w:space="0" w:color="auto"/>
                                    <w:right w:val="none" w:sz="0" w:space="0" w:color="auto"/>
                                  </w:divBdr>
                                  <w:divsChild>
                                    <w:div w:id="1660379919">
                                      <w:marLeft w:val="0"/>
                                      <w:marRight w:val="0"/>
                                      <w:marTop w:val="0"/>
                                      <w:marBottom w:val="0"/>
                                      <w:divBdr>
                                        <w:top w:val="none" w:sz="0" w:space="0" w:color="auto"/>
                                        <w:left w:val="none" w:sz="0" w:space="0" w:color="auto"/>
                                        <w:bottom w:val="none" w:sz="0" w:space="0" w:color="auto"/>
                                        <w:right w:val="none" w:sz="0" w:space="0" w:color="auto"/>
                                      </w:divBdr>
                                      <w:divsChild>
                                        <w:div w:id="1660379915">
                                          <w:marLeft w:val="1200"/>
                                          <w:marRight w:val="1200"/>
                                          <w:marTop w:val="0"/>
                                          <w:marBottom w:val="0"/>
                                          <w:divBdr>
                                            <w:top w:val="none" w:sz="0" w:space="0" w:color="auto"/>
                                            <w:left w:val="none" w:sz="0" w:space="0" w:color="auto"/>
                                            <w:bottom w:val="none" w:sz="0" w:space="0" w:color="auto"/>
                                            <w:right w:val="none" w:sz="0" w:space="0" w:color="auto"/>
                                          </w:divBdr>
                                          <w:divsChild>
                                            <w:div w:id="1660379931">
                                              <w:marLeft w:val="0"/>
                                              <w:marRight w:val="0"/>
                                              <w:marTop w:val="0"/>
                                              <w:marBottom w:val="0"/>
                                              <w:divBdr>
                                                <w:top w:val="none" w:sz="0" w:space="0" w:color="auto"/>
                                                <w:left w:val="none" w:sz="0" w:space="0" w:color="auto"/>
                                                <w:bottom w:val="none" w:sz="0" w:space="0" w:color="auto"/>
                                                <w:right w:val="none" w:sz="0" w:space="0" w:color="auto"/>
                                              </w:divBdr>
                                              <w:divsChild>
                                                <w:div w:id="1660379920">
                                                  <w:marLeft w:val="0"/>
                                                  <w:marRight w:val="0"/>
                                                  <w:marTop w:val="240"/>
                                                  <w:marBottom w:val="0"/>
                                                  <w:divBdr>
                                                    <w:top w:val="none" w:sz="0" w:space="0" w:color="auto"/>
                                                    <w:left w:val="none" w:sz="0" w:space="0" w:color="auto"/>
                                                    <w:bottom w:val="none" w:sz="0" w:space="0" w:color="auto"/>
                                                    <w:right w:val="none" w:sz="0" w:space="0" w:color="auto"/>
                                                  </w:divBdr>
                                                  <w:divsChild>
                                                    <w:div w:id="1660379916">
                                                      <w:marLeft w:val="0"/>
                                                      <w:marRight w:val="0"/>
                                                      <w:marTop w:val="0"/>
                                                      <w:marBottom w:val="0"/>
                                                      <w:divBdr>
                                                        <w:top w:val="none" w:sz="0" w:space="0" w:color="auto"/>
                                                        <w:left w:val="none" w:sz="0" w:space="0" w:color="auto"/>
                                                        <w:bottom w:val="none" w:sz="0" w:space="0" w:color="auto"/>
                                                        <w:right w:val="none" w:sz="0" w:space="0" w:color="auto"/>
                                                      </w:divBdr>
                                                      <w:divsChild>
                                                        <w:div w:id="1660379938">
                                                          <w:marLeft w:val="1275"/>
                                                          <w:marRight w:val="0"/>
                                                          <w:marTop w:val="0"/>
                                                          <w:marBottom w:val="0"/>
                                                          <w:divBdr>
                                                            <w:top w:val="none" w:sz="0" w:space="0" w:color="auto"/>
                                                            <w:left w:val="none" w:sz="0" w:space="0" w:color="auto"/>
                                                            <w:bottom w:val="none" w:sz="0" w:space="0" w:color="auto"/>
                                                            <w:right w:val="none" w:sz="0" w:space="0" w:color="auto"/>
                                                          </w:divBdr>
                                                          <w:divsChild>
                                                            <w:div w:id="1660379927">
                                                              <w:marLeft w:val="0"/>
                                                              <w:marRight w:val="0"/>
                                                              <w:marTop w:val="0"/>
                                                              <w:marBottom w:val="0"/>
                                                              <w:divBdr>
                                                                <w:top w:val="none" w:sz="0" w:space="0" w:color="auto"/>
                                                                <w:left w:val="none" w:sz="0" w:space="0" w:color="auto"/>
                                                                <w:bottom w:val="none" w:sz="0" w:space="0" w:color="auto"/>
                                                                <w:right w:val="none" w:sz="0" w:space="0" w:color="auto"/>
                                                              </w:divBdr>
                                                              <w:divsChild>
                                                                <w:div w:id="1660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379917">
      <w:marLeft w:val="0"/>
      <w:marRight w:val="0"/>
      <w:marTop w:val="0"/>
      <w:marBottom w:val="0"/>
      <w:divBdr>
        <w:top w:val="none" w:sz="0" w:space="0" w:color="auto"/>
        <w:left w:val="none" w:sz="0" w:space="0" w:color="auto"/>
        <w:bottom w:val="none" w:sz="0" w:space="0" w:color="auto"/>
        <w:right w:val="none" w:sz="0" w:space="0" w:color="auto"/>
      </w:divBdr>
      <w:divsChild>
        <w:div w:id="1660379926">
          <w:marLeft w:val="0"/>
          <w:marRight w:val="0"/>
          <w:marTop w:val="0"/>
          <w:marBottom w:val="0"/>
          <w:divBdr>
            <w:top w:val="none" w:sz="0" w:space="0" w:color="auto"/>
            <w:left w:val="single" w:sz="6" w:space="0" w:color="BBBBBB"/>
            <w:bottom w:val="single" w:sz="6" w:space="0" w:color="BBBBBB"/>
            <w:right w:val="single" w:sz="6" w:space="0" w:color="BBBBBB"/>
          </w:divBdr>
          <w:divsChild>
            <w:div w:id="1660379923">
              <w:marLeft w:val="0"/>
              <w:marRight w:val="0"/>
              <w:marTop w:val="0"/>
              <w:marBottom w:val="0"/>
              <w:divBdr>
                <w:top w:val="none" w:sz="0" w:space="0" w:color="auto"/>
                <w:left w:val="none" w:sz="0" w:space="0" w:color="auto"/>
                <w:bottom w:val="none" w:sz="0" w:space="0" w:color="auto"/>
                <w:right w:val="none" w:sz="0" w:space="0" w:color="auto"/>
              </w:divBdr>
              <w:divsChild>
                <w:div w:id="1660379921">
                  <w:marLeft w:val="0"/>
                  <w:marRight w:val="0"/>
                  <w:marTop w:val="0"/>
                  <w:marBottom w:val="0"/>
                  <w:divBdr>
                    <w:top w:val="none" w:sz="0" w:space="0" w:color="auto"/>
                    <w:left w:val="none" w:sz="0" w:space="0" w:color="auto"/>
                    <w:bottom w:val="none" w:sz="0" w:space="0" w:color="auto"/>
                    <w:right w:val="none" w:sz="0" w:space="0" w:color="auto"/>
                  </w:divBdr>
                  <w:divsChild>
                    <w:div w:id="1660379912">
                      <w:marLeft w:val="0"/>
                      <w:marRight w:val="0"/>
                      <w:marTop w:val="0"/>
                      <w:marBottom w:val="0"/>
                      <w:divBdr>
                        <w:top w:val="none" w:sz="0" w:space="0" w:color="auto"/>
                        <w:left w:val="none" w:sz="0" w:space="0" w:color="auto"/>
                        <w:bottom w:val="none" w:sz="0" w:space="0" w:color="auto"/>
                        <w:right w:val="none" w:sz="0" w:space="0" w:color="auto"/>
                      </w:divBdr>
                      <w:divsChild>
                        <w:div w:id="1660379929">
                          <w:marLeft w:val="0"/>
                          <w:marRight w:val="0"/>
                          <w:marTop w:val="0"/>
                          <w:marBottom w:val="0"/>
                          <w:divBdr>
                            <w:top w:val="none" w:sz="0" w:space="0" w:color="auto"/>
                            <w:left w:val="none" w:sz="0" w:space="0" w:color="auto"/>
                            <w:bottom w:val="none" w:sz="0" w:space="0" w:color="auto"/>
                            <w:right w:val="none" w:sz="0" w:space="0" w:color="auto"/>
                          </w:divBdr>
                          <w:divsChild>
                            <w:div w:id="1660379935">
                              <w:marLeft w:val="0"/>
                              <w:marRight w:val="0"/>
                              <w:marTop w:val="0"/>
                              <w:marBottom w:val="0"/>
                              <w:divBdr>
                                <w:top w:val="none" w:sz="0" w:space="0" w:color="auto"/>
                                <w:left w:val="none" w:sz="0" w:space="0" w:color="auto"/>
                                <w:bottom w:val="none" w:sz="0" w:space="0" w:color="auto"/>
                                <w:right w:val="none" w:sz="0" w:space="0" w:color="auto"/>
                              </w:divBdr>
                              <w:divsChild>
                                <w:div w:id="1660379930">
                                  <w:marLeft w:val="0"/>
                                  <w:marRight w:val="0"/>
                                  <w:marTop w:val="0"/>
                                  <w:marBottom w:val="0"/>
                                  <w:divBdr>
                                    <w:top w:val="none" w:sz="0" w:space="0" w:color="auto"/>
                                    <w:left w:val="none" w:sz="0" w:space="0" w:color="auto"/>
                                    <w:bottom w:val="none" w:sz="0" w:space="0" w:color="auto"/>
                                    <w:right w:val="none" w:sz="0" w:space="0" w:color="auto"/>
                                  </w:divBdr>
                                  <w:divsChild>
                                    <w:div w:id="1660379932">
                                      <w:marLeft w:val="0"/>
                                      <w:marRight w:val="0"/>
                                      <w:marTop w:val="0"/>
                                      <w:marBottom w:val="0"/>
                                      <w:divBdr>
                                        <w:top w:val="none" w:sz="0" w:space="0" w:color="auto"/>
                                        <w:left w:val="none" w:sz="0" w:space="0" w:color="auto"/>
                                        <w:bottom w:val="none" w:sz="0" w:space="0" w:color="auto"/>
                                        <w:right w:val="none" w:sz="0" w:space="0" w:color="auto"/>
                                      </w:divBdr>
                                      <w:divsChild>
                                        <w:div w:id="1660379936">
                                          <w:marLeft w:val="1200"/>
                                          <w:marRight w:val="1200"/>
                                          <w:marTop w:val="0"/>
                                          <w:marBottom w:val="0"/>
                                          <w:divBdr>
                                            <w:top w:val="none" w:sz="0" w:space="0" w:color="auto"/>
                                            <w:left w:val="none" w:sz="0" w:space="0" w:color="auto"/>
                                            <w:bottom w:val="none" w:sz="0" w:space="0" w:color="auto"/>
                                            <w:right w:val="none" w:sz="0" w:space="0" w:color="auto"/>
                                          </w:divBdr>
                                          <w:divsChild>
                                            <w:div w:id="1660379934">
                                              <w:marLeft w:val="0"/>
                                              <w:marRight w:val="0"/>
                                              <w:marTop w:val="0"/>
                                              <w:marBottom w:val="0"/>
                                              <w:divBdr>
                                                <w:top w:val="none" w:sz="0" w:space="0" w:color="auto"/>
                                                <w:left w:val="none" w:sz="0" w:space="0" w:color="auto"/>
                                                <w:bottom w:val="none" w:sz="0" w:space="0" w:color="auto"/>
                                                <w:right w:val="none" w:sz="0" w:space="0" w:color="auto"/>
                                              </w:divBdr>
                                              <w:divsChild>
                                                <w:div w:id="1660379928">
                                                  <w:marLeft w:val="0"/>
                                                  <w:marRight w:val="0"/>
                                                  <w:marTop w:val="0"/>
                                                  <w:marBottom w:val="0"/>
                                                  <w:divBdr>
                                                    <w:top w:val="none" w:sz="0" w:space="0" w:color="auto"/>
                                                    <w:left w:val="none" w:sz="0" w:space="0" w:color="auto"/>
                                                    <w:bottom w:val="none" w:sz="0" w:space="0" w:color="auto"/>
                                                    <w:right w:val="none" w:sz="0" w:space="0" w:color="auto"/>
                                                  </w:divBdr>
                                                  <w:divsChild>
                                                    <w:div w:id="1660379924">
                                                      <w:marLeft w:val="0"/>
                                                      <w:marRight w:val="0"/>
                                                      <w:marTop w:val="0"/>
                                                      <w:marBottom w:val="0"/>
                                                      <w:divBdr>
                                                        <w:top w:val="none" w:sz="0" w:space="0" w:color="auto"/>
                                                        <w:left w:val="none" w:sz="0" w:space="0" w:color="auto"/>
                                                        <w:bottom w:val="none" w:sz="0" w:space="0" w:color="auto"/>
                                                        <w:right w:val="none" w:sz="0" w:space="0" w:color="auto"/>
                                                      </w:divBdr>
                                                      <w:divsChild>
                                                        <w:div w:id="16603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379953">
      <w:marLeft w:val="0"/>
      <w:marRight w:val="0"/>
      <w:marTop w:val="0"/>
      <w:marBottom w:val="0"/>
      <w:divBdr>
        <w:top w:val="none" w:sz="0" w:space="0" w:color="auto"/>
        <w:left w:val="none" w:sz="0" w:space="0" w:color="auto"/>
        <w:bottom w:val="none" w:sz="0" w:space="0" w:color="auto"/>
        <w:right w:val="none" w:sz="0" w:space="0" w:color="auto"/>
      </w:divBdr>
    </w:div>
    <w:div w:id="1660379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2219</Words>
  <Characters>12298</Characters>
  <Application>Microsoft Office Word</Application>
  <DocSecurity>0</DocSecurity>
  <Lines>184</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14582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2013-10-22T15:39:00Z</cp:lastPrinted>
  <dcterms:created xsi:type="dcterms:W3CDTF">2013-11-01T19:19:00Z</dcterms:created>
  <dcterms:modified xsi:type="dcterms:W3CDTF">2013-11-01T19:19:00Z</dcterms:modified>
  <cp:category> </cp:category>
  <cp:contentStatus> </cp:contentStatus>
</cp:coreProperties>
</file>