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DC" w:rsidRPr="00F563A3" w:rsidRDefault="00D07F3B" w:rsidP="00027C83">
      <w:pPr>
        <w:widowControl/>
        <w:tabs>
          <w:tab w:val="center" w:pos="4770"/>
        </w:tabs>
        <w:suppressAutoHyphens/>
        <w:jc w:val="center"/>
        <w:outlineLvl w:val="0"/>
        <w:rPr>
          <w:b/>
          <w:spacing w:val="-2"/>
          <w:sz w:val="22"/>
          <w:szCs w:val="22"/>
        </w:rPr>
      </w:pPr>
      <w:bookmarkStart w:id="0" w:name="_GoBack"/>
      <w:bookmarkEnd w:id="0"/>
      <w:r>
        <w:rPr>
          <w:b/>
          <w:spacing w:val="-2"/>
          <w:sz w:val="22"/>
          <w:szCs w:val="22"/>
        </w:rPr>
        <w:softHyphen/>
      </w:r>
      <w:r w:rsidR="000E59DC" w:rsidRPr="00F563A3">
        <w:rPr>
          <w:b/>
          <w:spacing w:val="-2"/>
          <w:sz w:val="22"/>
          <w:szCs w:val="22"/>
        </w:rPr>
        <w:t>Before the</w:t>
      </w:r>
    </w:p>
    <w:p w:rsidR="000E59DC" w:rsidRPr="00F563A3" w:rsidRDefault="000E59DC" w:rsidP="000E59DC">
      <w:pPr>
        <w:widowControl/>
        <w:tabs>
          <w:tab w:val="center" w:pos="4770"/>
        </w:tabs>
        <w:suppressAutoHyphens/>
        <w:jc w:val="center"/>
        <w:outlineLvl w:val="0"/>
        <w:rPr>
          <w:b/>
          <w:spacing w:val="-2"/>
          <w:sz w:val="22"/>
          <w:szCs w:val="22"/>
        </w:rPr>
      </w:pPr>
      <w:r w:rsidRPr="00F563A3">
        <w:rPr>
          <w:b/>
          <w:spacing w:val="-2"/>
          <w:sz w:val="22"/>
          <w:szCs w:val="22"/>
        </w:rPr>
        <w:t>Federal Communications Commission</w:t>
      </w:r>
    </w:p>
    <w:p w:rsidR="000E59DC" w:rsidRPr="00F563A3" w:rsidRDefault="000E59DC" w:rsidP="000E59DC">
      <w:pPr>
        <w:widowControl/>
        <w:tabs>
          <w:tab w:val="center" w:pos="4770"/>
        </w:tabs>
        <w:suppressAutoHyphens/>
        <w:jc w:val="center"/>
        <w:outlineLvl w:val="0"/>
        <w:rPr>
          <w:b/>
          <w:sz w:val="22"/>
          <w:szCs w:val="22"/>
        </w:rPr>
      </w:pPr>
      <w:r w:rsidRPr="00F563A3">
        <w:rPr>
          <w:b/>
          <w:sz w:val="22"/>
          <w:szCs w:val="22"/>
        </w:rPr>
        <w:t>Washington, D.C. 20554</w:t>
      </w:r>
    </w:p>
    <w:p w:rsidR="000E59DC" w:rsidRPr="00F563A3" w:rsidRDefault="000E59DC" w:rsidP="000E59DC">
      <w:pPr>
        <w:widowControl/>
        <w:tabs>
          <w:tab w:val="center" w:pos="4680"/>
        </w:tabs>
        <w:suppressAutoHyphens/>
        <w:spacing w:line="240" w:lineRule="atLeast"/>
        <w:jc w:val="both"/>
        <w:outlineLvl w:val="0"/>
        <w:rPr>
          <w:b/>
          <w:spacing w:val="-2"/>
          <w:sz w:val="22"/>
          <w:szCs w:val="22"/>
        </w:rPr>
      </w:pPr>
    </w:p>
    <w:p w:rsidR="00BB55FD" w:rsidRPr="00F563A3" w:rsidRDefault="00BB55FD" w:rsidP="000E59DC">
      <w:pPr>
        <w:widowControl/>
        <w:tabs>
          <w:tab w:val="center" w:pos="4680"/>
        </w:tabs>
        <w:suppressAutoHyphens/>
        <w:spacing w:line="240" w:lineRule="atLeast"/>
        <w:jc w:val="both"/>
        <w:outlineLvl w:val="0"/>
        <w:rPr>
          <w:b/>
          <w:spacing w:val="-2"/>
          <w:sz w:val="22"/>
          <w:szCs w:val="22"/>
        </w:rPr>
      </w:pPr>
    </w:p>
    <w:tbl>
      <w:tblPr>
        <w:tblW w:w="9450" w:type="dxa"/>
        <w:tblInd w:w="108" w:type="dxa"/>
        <w:tblLayout w:type="fixed"/>
        <w:tblLook w:val="0000" w:firstRow="0" w:lastRow="0" w:firstColumn="0" w:lastColumn="0" w:noHBand="0" w:noVBand="0"/>
      </w:tblPr>
      <w:tblGrid>
        <w:gridCol w:w="4500"/>
        <w:gridCol w:w="270"/>
        <w:gridCol w:w="4680"/>
      </w:tblGrid>
      <w:tr w:rsidR="000E59DC" w:rsidRPr="00F563A3">
        <w:tc>
          <w:tcPr>
            <w:tcW w:w="4500" w:type="dxa"/>
          </w:tcPr>
          <w:p w:rsidR="000E59DC" w:rsidRPr="00F563A3" w:rsidRDefault="000E59DC" w:rsidP="000E59DC">
            <w:pPr>
              <w:widowControl/>
              <w:rPr>
                <w:sz w:val="22"/>
                <w:szCs w:val="22"/>
              </w:rPr>
            </w:pPr>
            <w:r w:rsidRPr="00F563A3">
              <w:rPr>
                <w:spacing w:val="-2"/>
                <w:sz w:val="22"/>
                <w:szCs w:val="22"/>
              </w:rPr>
              <w:t>In the Matter of</w:t>
            </w:r>
            <w:r w:rsidRPr="00F563A3">
              <w:rPr>
                <w:sz w:val="22"/>
                <w:szCs w:val="22"/>
              </w:rPr>
              <w:t xml:space="preserve"> </w:t>
            </w:r>
          </w:p>
          <w:p w:rsidR="000E59DC" w:rsidRPr="00F563A3" w:rsidRDefault="000E59DC" w:rsidP="000E59DC">
            <w:pPr>
              <w:widowControl/>
              <w:rPr>
                <w:sz w:val="22"/>
                <w:szCs w:val="22"/>
              </w:rPr>
            </w:pPr>
          </w:p>
          <w:p w:rsidR="000E59DC" w:rsidRPr="00F563A3" w:rsidRDefault="006A75B2" w:rsidP="000E59DC">
            <w:pPr>
              <w:widowControl/>
              <w:rPr>
                <w:sz w:val="22"/>
                <w:szCs w:val="22"/>
              </w:rPr>
            </w:pPr>
            <w:r w:rsidRPr="00F563A3">
              <w:rPr>
                <w:b/>
                <w:sz w:val="22"/>
                <w:szCs w:val="22"/>
              </w:rPr>
              <w:t>TURNER BROADCASTING SYSTEM, INC.</w:t>
            </w:r>
          </w:p>
        </w:tc>
        <w:tc>
          <w:tcPr>
            <w:tcW w:w="270" w:type="dxa"/>
          </w:tcPr>
          <w:p w:rsidR="000E59DC" w:rsidRPr="00F563A3" w:rsidRDefault="000E59DC" w:rsidP="000E59DC">
            <w:pPr>
              <w:widowControl/>
              <w:tabs>
                <w:tab w:val="center" w:pos="4680"/>
              </w:tabs>
              <w:suppressAutoHyphens/>
              <w:spacing w:line="240" w:lineRule="atLeast"/>
              <w:jc w:val="both"/>
              <w:outlineLvl w:val="0"/>
              <w:rPr>
                <w:sz w:val="22"/>
                <w:szCs w:val="22"/>
              </w:rPr>
            </w:pPr>
            <w:r w:rsidRPr="00F563A3">
              <w:rPr>
                <w:sz w:val="22"/>
                <w:szCs w:val="22"/>
              </w:rPr>
              <w:t>)</w:t>
            </w:r>
          </w:p>
          <w:p w:rsidR="000E59DC" w:rsidRPr="00F563A3" w:rsidRDefault="000E59DC" w:rsidP="000E59DC">
            <w:pPr>
              <w:widowControl/>
              <w:tabs>
                <w:tab w:val="center" w:pos="4680"/>
              </w:tabs>
              <w:suppressAutoHyphens/>
              <w:spacing w:line="240" w:lineRule="atLeast"/>
              <w:jc w:val="both"/>
              <w:outlineLvl w:val="0"/>
              <w:rPr>
                <w:sz w:val="22"/>
                <w:szCs w:val="22"/>
              </w:rPr>
            </w:pPr>
            <w:r w:rsidRPr="00F563A3">
              <w:rPr>
                <w:sz w:val="22"/>
                <w:szCs w:val="22"/>
              </w:rPr>
              <w:t>)</w:t>
            </w:r>
          </w:p>
          <w:p w:rsidR="00BB55FD" w:rsidRPr="00F563A3" w:rsidRDefault="00BB55FD" w:rsidP="000E59DC">
            <w:pPr>
              <w:widowControl/>
              <w:tabs>
                <w:tab w:val="center" w:pos="4680"/>
              </w:tabs>
              <w:suppressAutoHyphens/>
              <w:spacing w:line="240" w:lineRule="atLeast"/>
              <w:jc w:val="both"/>
              <w:outlineLvl w:val="0"/>
              <w:rPr>
                <w:sz w:val="22"/>
                <w:szCs w:val="22"/>
              </w:rPr>
            </w:pPr>
            <w:r w:rsidRPr="00F563A3">
              <w:rPr>
                <w:sz w:val="22"/>
                <w:szCs w:val="22"/>
              </w:rPr>
              <w:t>)</w:t>
            </w:r>
          </w:p>
          <w:p w:rsidR="006A75B2" w:rsidRPr="00F563A3" w:rsidRDefault="006A75B2" w:rsidP="006A75B2">
            <w:pPr>
              <w:widowControl/>
              <w:tabs>
                <w:tab w:val="center" w:pos="4680"/>
              </w:tabs>
              <w:suppressAutoHyphens/>
              <w:spacing w:line="240" w:lineRule="atLeast"/>
              <w:jc w:val="both"/>
              <w:outlineLvl w:val="0"/>
              <w:rPr>
                <w:sz w:val="22"/>
                <w:szCs w:val="22"/>
              </w:rPr>
            </w:pPr>
            <w:r w:rsidRPr="00F563A3">
              <w:rPr>
                <w:sz w:val="22"/>
                <w:szCs w:val="22"/>
              </w:rPr>
              <w:t>)</w:t>
            </w:r>
          </w:p>
          <w:p w:rsidR="000E59DC" w:rsidRPr="00F563A3" w:rsidRDefault="000E59DC" w:rsidP="000E59DC">
            <w:pPr>
              <w:widowControl/>
              <w:tabs>
                <w:tab w:val="center" w:pos="4680"/>
              </w:tabs>
              <w:suppressAutoHyphens/>
              <w:spacing w:line="240" w:lineRule="atLeast"/>
              <w:jc w:val="both"/>
              <w:outlineLvl w:val="0"/>
              <w:rPr>
                <w:sz w:val="22"/>
                <w:szCs w:val="22"/>
              </w:rPr>
            </w:pPr>
            <w:r w:rsidRPr="00F563A3">
              <w:rPr>
                <w:sz w:val="22"/>
                <w:szCs w:val="22"/>
              </w:rPr>
              <w:t>)</w:t>
            </w:r>
          </w:p>
          <w:p w:rsidR="00BB55FD" w:rsidRPr="00F563A3" w:rsidRDefault="00BB55FD">
            <w:pPr>
              <w:widowControl/>
              <w:tabs>
                <w:tab w:val="center" w:pos="4680"/>
              </w:tabs>
              <w:suppressAutoHyphens/>
              <w:spacing w:line="240" w:lineRule="atLeast"/>
              <w:jc w:val="both"/>
              <w:outlineLvl w:val="0"/>
              <w:rPr>
                <w:sz w:val="22"/>
                <w:szCs w:val="22"/>
              </w:rPr>
            </w:pPr>
          </w:p>
        </w:tc>
        <w:tc>
          <w:tcPr>
            <w:tcW w:w="4680" w:type="dxa"/>
          </w:tcPr>
          <w:p w:rsidR="006A75B2" w:rsidRPr="00F563A3" w:rsidRDefault="006A75B2" w:rsidP="000E59DC">
            <w:pPr>
              <w:widowControl/>
              <w:tabs>
                <w:tab w:val="left" w:pos="252"/>
                <w:tab w:val="left" w:pos="612"/>
              </w:tabs>
              <w:rPr>
                <w:sz w:val="22"/>
                <w:szCs w:val="22"/>
              </w:rPr>
            </w:pPr>
          </w:p>
          <w:p w:rsidR="00BB55FD" w:rsidRPr="00F563A3" w:rsidRDefault="00BA2A03" w:rsidP="00B40B4D">
            <w:pPr>
              <w:widowControl/>
              <w:tabs>
                <w:tab w:val="left" w:pos="972"/>
              </w:tabs>
              <w:rPr>
                <w:sz w:val="22"/>
                <w:szCs w:val="22"/>
              </w:rPr>
            </w:pPr>
            <w:r>
              <w:rPr>
                <w:sz w:val="22"/>
                <w:szCs w:val="22"/>
              </w:rPr>
              <w:t xml:space="preserve">                    </w:t>
            </w:r>
          </w:p>
          <w:p w:rsidR="00BA2A03" w:rsidRDefault="00BA2A03" w:rsidP="00B40B4D">
            <w:pPr>
              <w:widowControl/>
              <w:tabs>
                <w:tab w:val="left" w:pos="252"/>
                <w:tab w:val="left" w:pos="612"/>
                <w:tab w:val="left" w:pos="972"/>
              </w:tabs>
              <w:rPr>
                <w:sz w:val="22"/>
                <w:szCs w:val="22"/>
              </w:rPr>
            </w:pPr>
            <w:r>
              <w:rPr>
                <w:sz w:val="22"/>
                <w:szCs w:val="22"/>
              </w:rPr>
              <w:t xml:space="preserve">                    </w:t>
            </w:r>
            <w:r w:rsidRPr="00F563A3">
              <w:rPr>
                <w:sz w:val="22"/>
                <w:szCs w:val="22"/>
              </w:rPr>
              <w:t xml:space="preserve">File No.: </w:t>
            </w:r>
            <w:r>
              <w:rPr>
                <w:sz w:val="22"/>
                <w:szCs w:val="22"/>
              </w:rPr>
              <w:t xml:space="preserve"> </w:t>
            </w:r>
            <w:r w:rsidRPr="00F563A3">
              <w:rPr>
                <w:sz w:val="22"/>
                <w:szCs w:val="22"/>
              </w:rPr>
              <w:t>EB-12-IH-0874</w:t>
            </w:r>
          </w:p>
          <w:p w:rsidR="000E59DC" w:rsidRPr="00F563A3" w:rsidRDefault="00BA2A03" w:rsidP="00B40B4D">
            <w:pPr>
              <w:widowControl/>
              <w:tabs>
                <w:tab w:val="left" w:pos="252"/>
                <w:tab w:val="left" w:pos="612"/>
                <w:tab w:val="left" w:pos="972"/>
              </w:tabs>
              <w:rPr>
                <w:sz w:val="22"/>
                <w:szCs w:val="22"/>
              </w:rPr>
            </w:pPr>
            <w:r>
              <w:rPr>
                <w:sz w:val="22"/>
                <w:szCs w:val="22"/>
              </w:rPr>
              <w:t xml:space="preserve">                    </w:t>
            </w:r>
            <w:r w:rsidR="00BB55FD" w:rsidRPr="00F563A3">
              <w:rPr>
                <w:sz w:val="22"/>
                <w:szCs w:val="22"/>
              </w:rPr>
              <w:t>NAL/Acct.</w:t>
            </w:r>
            <w:r w:rsidR="000E59DC" w:rsidRPr="00F563A3">
              <w:rPr>
                <w:sz w:val="22"/>
                <w:szCs w:val="22"/>
              </w:rPr>
              <w:t xml:space="preserve"> No.</w:t>
            </w:r>
            <w:r w:rsidR="00FD7EE7">
              <w:rPr>
                <w:sz w:val="22"/>
                <w:szCs w:val="22"/>
              </w:rPr>
              <w:t>:</w:t>
            </w:r>
            <w:r w:rsidR="000E59DC" w:rsidRPr="00F563A3">
              <w:rPr>
                <w:sz w:val="22"/>
                <w:szCs w:val="22"/>
              </w:rPr>
              <w:t xml:space="preserve"> </w:t>
            </w:r>
            <w:r w:rsidR="00FD7EE7">
              <w:rPr>
                <w:sz w:val="22"/>
                <w:szCs w:val="22"/>
              </w:rPr>
              <w:t xml:space="preserve"> </w:t>
            </w:r>
            <w:r w:rsidR="006E1421" w:rsidRPr="00C32D0E">
              <w:rPr>
                <w:bCs/>
                <w:color w:val="000000"/>
                <w:sz w:val="22"/>
                <w:szCs w:val="22"/>
              </w:rPr>
              <w:t>201432080009</w:t>
            </w:r>
          </w:p>
          <w:p w:rsidR="006A75B2" w:rsidRPr="00F563A3" w:rsidRDefault="00BA2A03" w:rsidP="00B40B4D">
            <w:pPr>
              <w:widowControl/>
              <w:tabs>
                <w:tab w:val="left" w:pos="252"/>
                <w:tab w:val="left" w:pos="612"/>
                <w:tab w:val="left" w:pos="972"/>
              </w:tabs>
              <w:rPr>
                <w:sz w:val="22"/>
                <w:szCs w:val="22"/>
              </w:rPr>
            </w:pPr>
            <w:r>
              <w:rPr>
                <w:sz w:val="22"/>
                <w:szCs w:val="22"/>
              </w:rPr>
              <w:t xml:space="preserve">                    </w:t>
            </w:r>
            <w:r w:rsidR="006A75B2" w:rsidRPr="00F563A3">
              <w:rPr>
                <w:sz w:val="22"/>
                <w:szCs w:val="22"/>
              </w:rPr>
              <w:t>FRN</w:t>
            </w:r>
            <w:r w:rsidR="00FD7EE7">
              <w:rPr>
                <w:sz w:val="22"/>
                <w:szCs w:val="22"/>
              </w:rPr>
              <w:t>:</w:t>
            </w:r>
            <w:r w:rsidR="006A75B2" w:rsidRPr="00F563A3">
              <w:rPr>
                <w:sz w:val="22"/>
                <w:szCs w:val="22"/>
              </w:rPr>
              <w:t xml:space="preserve"> </w:t>
            </w:r>
            <w:r w:rsidR="00FD7EE7">
              <w:rPr>
                <w:sz w:val="22"/>
                <w:szCs w:val="22"/>
              </w:rPr>
              <w:t xml:space="preserve"> </w:t>
            </w:r>
            <w:r w:rsidR="006A75B2" w:rsidRPr="00F563A3">
              <w:rPr>
                <w:sz w:val="22"/>
                <w:szCs w:val="22"/>
              </w:rPr>
              <w:t>0006873228</w:t>
            </w:r>
          </w:p>
        </w:tc>
      </w:tr>
      <w:tr w:rsidR="00BA2A03" w:rsidRPr="00F563A3">
        <w:trPr>
          <w:gridAfter w:val="1"/>
          <w:wAfter w:w="4680" w:type="dxa"/>
        </w:trPr>
        <w:tc>
          <w:tcPr>
            <w:tcW w:w="4500" w:type="dxa"/>
          </w:tcPr>
          <w:p w:rsidR="00BA2A03" w:rsidRPr="00F563A3" w:rsidRDefault="00BA2A03" w:rsidP="000E59DC">
            <w:pPr>
              <w:widowControl/>
              <w:rPr>
                <w:spacing w:val="-2"/>
                <w:sz w:val="22"/>
                <w:szCs w:val="22"/>
              </w:rPr>
            </w:pPr>
          </w:p>
        </w:tc>
        <w:tc>
          <w:tcPr>
            <w:tcW w:w="270" w:type="dxa"/>
          </w:tcPr>
          <w:p w:rsidR="00BA2A03" w:rsidRPr="00F563A3" w:rsidRDefault="00BA2A03" w:rsidP="000E59DC">
            <w:pPr>
              <w:widowControl/>
              <w:tabs>
                <w:tab w:val="center" w:pos="4680"/>
              </w:tabs>
              <w:suppressAutoHyphens/>
              <w:spacing w:line="240" w:lineRule="atLeast"/>
              <w:jc w:val="both"/>
              <w:outlineLvl w:val="0"/>
              <w:rPr>
                <w:sz w:val="22"/>
                <w:szCs w:val="22"/>
              </w:rPr>
            </w:pPr>
          </w:p>
        </w:tc>
      </w:tr>
    </w:tbl>
    <w:p w:rsidR="000E59DC" w:rsidRPr="00F563A3" w:rsidRDefault="000E59DC" w:rsidP="00B40B4D">
      <w:pPr>
        <w:pStyle w:val="Heading2"/>
        <w:widowControl/>
        <w:numPr>
          <w:ilvl w:val="0"/>
          <w:numId w:val="0"/>
        </w:numPr>
        <w:jc w:val="center"/>
        <w:rPr>
          <w:sz w:val="22"/>
          <w:szCs w:val="22"/>
        </w:rPr>
      </w:pPr>
      <w:r w:rsidRPr="00F563A3">
        <w:rPr>
          <w:sz w:val="22"/>
          <w:szCs w:val="22"/>
        </w:rPr>
        <w:t>NOTICE OF APPARENT LIABILITY FOR FORFEITURE</w:t>
      </w:r>
    </w:p>
    <w:p w:rsidR="000E59DC" w:rsidRPr="00F563A3" w:rsidRDefault="000E59DC" w:rsidP="000E59DC">
      <w:pPr>
        <w:widowControl/>
        <w:tabs>
          <w:tab w:val="left" w:pos="0"/>
          <w:tab w:val="left" w:pos="720"/>
          <w:tab w:val="left" w:pos="5760"/>
        </w:tabs>
        <w:suppressAutoHyphens/>
        <w:spacing w:line="240" w:lineRule="atLeast"/>
        <w:jc w:val="both"/>
        <w:rPr>
          <w:b/>
          <w:spacing w:val="-2"/>
          <w:sz w:val="22"/>
          <w:szCs w:val="22"/>
        </w:rPr>
      </w:pPr>
      <w:r w:rsidRPr="00F563A3">
        <w:rPr>
          <w:b/>
          <w:spacing w:val="-2"/>
          <w:sz w:val="22"/>
          <w:szCs w:val="22"/>
        </w:rPr>
        <w:t xml:space="preserve">Adopted:  </w:t>
      </w:r>
      <w:r w:rsidR="00411BF5">
        <w:rPr>
          <w:b/>
          <w:spacing w:val="-2"/>
          <w:sz w:val="22"/>
          <w:szCs w:val="22"/>
        </w:rPr>
        <w:t xml:space="preserve">November </w:t>
      </w:r>
      <w:r w:rsidR="00BA2A03">
        <w:rPr>
          <w:b/>
          <w:spacing w:val="-2"/>
          <w:sz w:val="22"/>
          <w:szCs w:val="22"/>
        </w:rPr>
        <w:t>5</w:t>
      </w:r>
      <w:r w:rsidR="00411BF5">
        <w:rPr>
          <w:b/>
          <w:spacing w:val="-2"/>
          <w:sz w:val="22"/>
          <w:szCs w:val="22"/>
        </w:rPr>
        <w:t>,</w:t>
      </w:r>
      <w:r w:rsidRPr="00F563A3">
        <w:rPr>
          <w:b/>
          <w:spacing w:val="-2"/>
          <w:sz w:val="22"/>
          <w:szCs w:val="22"/>
        </w:rPr>
        <w:t xml:space="preserve"> 2013</w:t>
      </w:r>
      <w:r w:rsidRPr="00F563A3">
        <w:rPr>
          <w:b/>
          <w:spacing w:val="-2"/>
          <w:sz w:val="22"/>
          <w:szCs w:val="22"/>
        </w:rPr>
        <w:tab/>
        <w:t xml:space="preserve">Released:  </w:t>
      </w:r>
      <w:r w:rsidR="00411BF5">
        <w:rPr>
          <w:b/>
          <w:spacing w:val="-2"/>
          <w:sz w:val="22"/>
          <w:szCs w:val="22"/>
        </w:rPr>
        <w:t xml:space="preserve">November </w:t>
      </w:r>
      <w:r w:rsidR="00BA2A03">
        <w:rPr>
          <w:b/>
          <w:spacing w:val="-2"/>
          <w:sz w:val="22"/>
          <w:szCs w:val="22"/>
        </w:rPr>
        <w:t>5</w:t>
      </w:r>
      <w:r w:rsidR="00411BF5">
        <w:rPr>
          <w:b/>
          <w:spacing w:val="-2"/>
          <w:sz w:val="22"/>
          <w:szCs w:val="22"/>
        </w:rPr>
        <w:t>,</w:t>
      </w:r>
      <w:r w:rsidRPr="00F563A3">
        <w:rPr>
          <w:b/>
          <w:spacing w:val="-2"/>
          <w:sz w:val="22"/>
          <w:szCs w:val="22"/>
        </w:rPr>
        <w:t xml:space="preserve"> 2013</w:t>
      </w:r>
    </w:p>
    <w:p w:rsidR="000E59DC" w:rsidRPr="00F563A3" w:rsidRDefault="000E59DC" w:rsidP="000E59DC">
      <w:pPr>
        <w:widowControl/>
        <w:tabs>
          <w:tab w:val="left" w:pos="0"/>
          <w:tab w:val="left" w:pos="720"/>
          <w:tab w:val="left" w:pos="5760"/>
        </w:tabs>
        <w:suppressAutoHyphens/>
        <w:spacing w:line="240" w:lineRule="atLeast"/>
        <w:jc w:val="both"/>
        <w:rPr>
          <w:b/>
          <w:spacing w:val="-2"/>
          <w:sz w:val="22"/>
          <w:szCs w:val="22"/>
        </w:rPr>
      </w:pPr>
    </w:p>
    <w:p w:rsidR="000E59DC" w:rsidRPr="00F563A3" w:rsidRDefault="000E59DC" w:rsidP="000E59DC">
      <w:pPr>
        <w:widowControl/>
        <w:tabs>
          <w:tab w:val="left" w:pos="0"/>
          <w:tab w:val="left" w:pos="720"/>
          <w:tab w:val="left" w:pos="5760"/>
        </w:tabs>
        <w:suppressAutoHyphens/>
        <w:spacing w:line="240" w:lineRule="atLeast"/>
        <w:rPr>
          <w:spacing w:val="-2"/>
          <w:sz w:val="22"/>
          <w:szCs w:val="22"/>
        </w:rPr>
      </w:pPr>
      <w:r w:rsidRPr="00F563A3">
        <w:rPr>
          <w:spacing w:val="-2"/>
          <w:sz w:val="22"/>
          <w:szCs w:val="22"/>
        </w:rPr>
        <w:t xml:space="preserve">By the </w:t>
      </w:r>
      <w:r w:rsidR="0083334B">
        <w:rPr>
          <w:spacing w:val="-2"/>
          <w:sz w:val="22"/>
          <w:szCs w:val="22"/>
        </w:rPr>
        <w:t>Acting Chief, Enforcement Bureau</w:t>
      </w:r>
      <w:r w:rsidR="00BB55FD" w:rsidRPr="00F563A3">
        <w:rPr>
          <w:spacing w:val="-2"/>
          <w:sz w:val="22"/>
          <w:szCs w:val="22"/>
        </w:rPr>
        <w:t>:</w:t>
      </w:r>
    </w:p>
    <w:p w:rsidR="000E59DC" w:rsidRPr="00F563A3" w:rsidRDefault="000E59DC" w:rsidP="000E59DC">
      <w:pPr>
        <w:widowControl/>
        <w:tabs>
          <w:tab w:val="left" w:pos="0"/>
        </w:tabs>
        <w:suppressAutoHyphens/>
        <w:spacing w:line="240" w:lineRule="atLeast"/>
        <w:jc w:val="both"/>
        <w:rPr>
          <w:sz w:val="22"/>
          <w:szCs w:val="22"/>
        </w:rPr>
      </w:pPr>
    </w:p>
    <w:p w:rsidR="000E59DC" w:rsidRPr="00F563A3" w:rsidRDefault="000E59DC" w:rsidP="000E59DC">
      <w:pPr>
        <w:pStyle w:val="Heading1"/>
        <w:widowControl/>
        <w:rPr>
          <w:sz w:val="22"/>
          <w:szCs w:val="22"/>
        </w:rPr>
      </w:pPr>
      <w:r w:rsidRPr="00F563A3">
        <w:rPr>
          <w:sz w:val="22"/>
          <w:szCs w:val="22"/>
        </w:rPr>
        <w:t>INTRODUCTION</w:t>
      </w:r>
    </w:p>
    <w:p w:rsidR="000E59DC" w:rsidRPr="00F563A3" w:rsidRDefault="000E59DC" w:rsidP="000E59DC">
      <w:pPr>
        <w:widowControl/>
        <w:numPr>
          <w:ilvl w:val="0"/>
          <w:numId w:val="22"/>
        </w:numPr>
        <w:tabs>
          <w:tab w:val="clear" w:pos="1260"/>
          <w:tab w:val="left" w:pos="0"/>
          <w:tab w:val="num" w:pos="1440"/>
        </w:tabs>
        <w:suppressAutoHyphens/>
        <w:spacing w:after="220"/>
        <w:ind w:left="0"/>
        <w:rPr>
          <w:spacing w:val="-2"/>
          <w:sz w:val="22"/>
          <w:szCs w:val="22"/>
        </w:rPr>
      </w:pPr>
      <w:r w:rsidRPr="00F563A3">
        <w:rPr>
          <w:spacing w:val="-2"/>
          <w:sz w:val="22"/>
          <w:szCs w:val="22"/>
        </w:rPr>
        <w:t>In this No</w:t>
      </w:r>
      <w:r w:rsidR="0049014B">
        <w:rPr>
          <w:spacing w:val="-2"/>
          <w:sz w:val="22"/>
          <w:szCs w:val="22"/>
        </w:rPr>
        <w:t>t</w:t>
      </w:r>
      <w:r w:rsidRPr="00F563A3">
        <w:rPr>
          <w:spacing w:val="-2"/>
          <w:sz w:val="22"/>
          <w:szCs w:val="22"/>
        </w:rPr>
        <w:t>ice of Apparent Liability for Forfeiture</w:t>
      </w:r>
      <w:r w:rsidR="00E8534B" w:rsidRPr="00F563A3">
        <w:rPr>
          <w:spacing w:val="-2"/>
          <w:sz w:val="22"/>
          <w:szCs w:val="22"/>
        </w:rPr>
        <w:t xml:space="preserve"> </w:t>
      </w:r>
      <w:r w:rsidRPr="00F563A3">
        <w:rPr>
          <w:spacing w:val="-2"/>
          <w:sz w:val="22"/>
          <w:szCs w:val="22"/>
        </w:rPr>
        <w:t xml:space="preserve">(NAL), we find that </w:t>
      </w:r>
      <w:r w:rsidR="00606D29" w:rsidRPr="00F563A3">
        <w:rPr>
          <w:spacing w:val="-2"/>
          <w:sz w:val="22"/>
          <w:szCs w:val="22"/>
        </w:rPr>
        <w:t>Turner Broadcasting System, Inc.</w:t>
      </w:r>
      <w:r w:rsidRPr="00F563A3">
        <w:rPr>
          <w:spacing w:val="-2"/>
          <w:sz w:val="22"/>
          <w:szCs w:val="22"/>
        </w:rPr>
        <w:t xml:space="preserve"> (</w:t>
      </w:r>
      <w:r w:rsidR="00606D29" w:rsidRPr="00F563A3">
        <w:rPr>
          <w:spacing w:val="-2"/>
          <w:sz w:val="22"/>
          <w:szCs w:val="22"/>
        </w:rPr>
        <w:t>Turner</w:t>
      </w:r>
      <w:r w:rsidRPr="00F563A3">
        <w:rPr>
          <w:spacing w:val="-2"/>
          <w:sz w:val="22"/>
          <w:szCs w:val="22"/>
        </w:rPr>
        <w:t>)</w:t>
      </w:r>
      <w:r w:rsidR="00606D29" w:rsidRPr="00F563A3">
        <w:rPr>
          <w:spacing w:val="-2"/>
          <w:sz w:val="22"/>
          <w:szCs w:val="22"/>
        </w:rPr>
        <w:t xml:space="preserve"> </w:t>
      </w:r>
      <w:r w:rsidRPr="00F563A3">
        <w:rPr>
          <w:spacing w:val="-2"/>
          <w:sz w:val="22"/>
          <w:szCs w:val="22"/>
        </w:rPr>
        <w:t xml:space="preserve">apparently willfully violated Section </w:t>
      </w:r>
      <w:r w:rsidR="009B445B" w:rsidRPr="00F563A3">
        <w:rPr>
          <w:spacing w:val="-2"/>
          <w:sz w:val="22"/>
          <w:szCs w:val="22"/>
        </w:rPr>
        <w:t>325(a) of the Communications Act of 1934, as amended</w:t>
      </w:r>
      <w:r w:rsidR="00D70086">
        <w:rPr>
          <w:spacing w:val="-2"/>
          <w:sz w:val="22"/>
          <w:szCs w:val="22"/>
        </w:rPr>
        <w:t xml:space="preserve"> </w:t>
      </w:r>
      <w:r w:rsidR="00BB1BCB">
        <w:rPr>
          <w:spacing w:val="-2"/>
          <w:sz w:val="22"/>
          <w:szCs w:val="22"/>
        </w:rPr>
        <w:t>(Act)</w:t>
      </w:r>
      <w:r w:rsidR="004545B4">
        <w:rPr>
          <w:spacing w:val="-2"/>
          <w:sz w:val="22"/>
          <w:szCs w:val="22"/>
        </w:rPr>
        <w:t>,</w:t>
      </w:r>
      <w:r w:rsidR="009B445B" w:rsidRPr="00F563A3">
        <w:rPr>
          <w:rStyle w:val="FootnoteReference"/>
          <w:spacing w:val="-2"/>
          <w:sz w:val="22"/>
          <w:szCs w:val="22"/>
        </w:rPr>
        <w:footnoteReference w:id="2"/>
      </w:r>
      <w:r w:rsidR="009B445B" w:rsidRPr="00F563A3">
        <w:rPr>
          <w:spacing w:val="-2"/>
          <w:sz w:val="22"/>
          <w:szCs w:val="22"/>
        </w:rPr>
        <w:t xml:space="preserve"> and </w:t>
      </w:r>
      <w:r w:rsidR="008B4FB7">
        <w:rPr>
          <w:spacing w:val="-2"/>
          <w:sz w:val="22"/>
          <w:szCs w:val="22"/>
        </w:rPr>
        <w:t>Section</w:t>
      </w:r>
      <w:r w:rsidR="00244923">
        <w:rPr>
          <w:spacing w:val="-2"/>
          <w:sz w:val="22"/>
          <w:szCs w:val="22"/>
        </w:rPr>
        <w:t xml:space="preserve"> </w:t>
      </w:r>
      <w:r w:rsidR="00606D29" w:rsidRPr="00F563A3">
        <w:rPr>
          <w:spacing w:val="-2"/>
          <w:sz w:val="22"/>
          <w:szCs w:val="22"/>
        </w:rPr>
        <w:t>11</w:t>
      </w:r>
      <w:r w:rsidRPr="00F563A3">
        <w:rPr>
          <w:spacing w:val="-2"/>
          <w:sz w:val="22"/>
          <w:szCs w:val="22"/>
        </w:rPr>
        <w:t>.</w:t>
      </w:r>
      <w:r w:rsidR="00606D29" w:rsidRPr="00F563A3">
        <w:rPr>
          <w:spacing w:val="-2"/>
          <w:sz w:val="22"/>
          <w:szCs w:val="22"/>
        </w:rPr>
        <w:t xml:space="preserve">45 </w:t>
      </w:r>
      <w:r w:rsidRPr="00F563A3">
        <w:rPr>
          <w:spacing w:val="-2"/>
          <w:sz w:val="22"/>
          <w:szCs w:val="22"/>
        </w:rPr>
        <w:t xml:space="preserve">of the Commission’s rules by </w:t>
      </w:r>
      <w:r w:rsidR="00870BB5">
        <w:rPr>
          <w:spacing w:val="-2"/>
          <w:sz w:val="22"/>
          <w:szCs w:val="22"/>
        </w:rPr>
        <w:t xml:space="preserve">transmitting or </w:t>
      </w:r>
      <w:r w:rsidR="00BB1BCB">
        <w:rPr>
          <w:spacing w:val="-2"/>
          <w:sz w:val="22"/>
          <w:szCs w:val="22"/>
        </w:rPr>
        <w:t xml:space="preserve">causing the transmission of </w:t>
      </w:r>
      <w:r w:rsidR="00132BC3" w:rsidRPr="00F563A3">
        <w:rPr>
          <w:spacing w:val="-2"/>
          <w:sz w:val="22"/>
          <w:szCs w:val="22"/>
        </w:rPr>
        <w:t xml:space="preserve">Emergency Alert System (EAS) </w:t>
      </w:r>
      <w:r w:rsidR="0069468C" w:rsidRPr="00F563A3">
        <w:rPr>
          <w:spacing w:val="-2"/>
          <w:sz w:val="22"/>
          <w:szCs w:val="22"/>
        </w:rPr>
        <w:t>codes or Attention</w:t>
      </w:r>
      <w:r w:rsidR="00842292" w:rsidRPr="00F563A3">
        <w:rPr>
          <w:spacing w:val="-2"/>
          <w:sz w:val="22"/>
          <w:szCs w:val="22"/>
        </w:rPr>
        <w:t xml:space="preserve"> Signals or simulations thereof</w:t>
      </w:r>
      <w:r w:rsidR="00BB1BCB">
        <w:rPr>
          <w:spacing w:val="-2"/>
          <w:sz w:val="22"/>
          <w:szCs w:val="22"/>
        </w:rPr>
        <w:t xml:space="preserve"> in the absence of an actual </w:t>
      </w:r>
      <w:r w:rsidR="004545B4">
        <w:rPr>
          <w:spacing w:val="-2"/>
          <w:sz w:val="22"/>
          <w:szCs w:val="22"/>
        </w:rPr>
        <w:t xml:space="preserve">national, state or local area </w:t>
      </w:r>
      <w:r w:rsidR="00BB1BCB">
        <w:rPr>
          <w:spacing w:val="-2"/>
          <w:sz w:val="22"/>
          <w:szCs w:val="22"/>
        </w:rPr>
        <w:t>emergency or authorized test of the EAS</w:t>
      </w:r>
      <w:r w:rsidR="00933692" w:rsidRPr="00F563A3">
        <w:rPr>
          <w:spacing w:val="-2"/>
          <w:sz w:val="22"/>
          <w:szCs w:val="22"/>
        </w:rPr>
        <w:t>.</w:t>
      </w:r>
      <w:r w:rsidRPr="00F563A3">
        <w:rPr>
          <w:rStyle w:val="FootnoteReference"/>
          <w:spacing w:val="-2"/>
          <w:sz w:val="22"/>
          <w:szCs w:val="22"/>
        </w:rPr>
        <w:footnoteReference w:id="3"/>
      </w:r>
      <w:r w:rsidRPr="00F563A3">
        <w:rPr>
          <w:spacing w:val="-2"/>
          <w:sz w:val="22"/>
          <w:szCs w:val="22"/>
        </w:rPr>
        <w:t xml:space="preserve">  As</w:t>
      </w:r>
      <w:r w:rsidR="00933692" w:rsidRPr="00F563A3">
        <w:rPr>
          <w:spacing w:val="-2"/>
          <w:sz w:val="22"/>
          <w:szCs w:val="22"/>
        </w:rPr>
        <w:t xml:space="preserve"> a result, we find </w:t>
      </w:r>
      <w:r w:rsidR="006E73DA">
        <w:rPr>
          <w:spacing w:val="-2"/>
          <w:sz w:val="22"/>
          <w:szCs w:val="22"/>
        </w:rPr>
        <w:t>Turner</w:t>
      </w:r>
      <w:r w:rsidRPr="00F563A3">
        <w:rPr>
          <w:spacing w:val="-2"/>
          <w:sz w:val="22"/>
          <w:szCs w:val="22"/>
        </w:rPr>
        <w:t xml:space="preserve"> apparently liable for a forfeiture in the amount of </w:t>
      </w:r>
      <w:r w:rsidR="00BE6456" w:rsidRPr="00F563A3">
        <w:rPr>
          <w:spacing w:val="-2"/>
          <w:sz w:val="22"/>
          <w:szCs w:val="22"/>
        </w:rPr>
        <w:t>tw</w:t>
      </w:r>
      <w:r w:rsidR="00611C09">
        <w:rPr>
          <w:spacing w:val="-2"/>
          <w:sz w:val="22"/>
          <w:szCs w:val="22"/>
        </w:rPr>
        <w:t>enty-five</w:t>
      </w:r>
      <w:r w:rsidR="00842292" w:rsidRPr="00F563A3">
        <w:rPr>
          <w:spacing w:val="-2"/>
          <w:sz w:val="22"/>
          <w:szCs w:val="22"/>
        </w:rPr>
        <w:t xml:space="preserve"> </w:t>
      </w:r>
      <w:r w:rsidR="006E1D3F" w:rsidRPr="00F563A3">
        <w:rPr>
          <w:spacing w:val="-2"/>
          <w:sz w:val="22"/>
          <w:szCs w:val="22"/>
        </w:rPr>
        <w:t xml:space="preserve">thousand dollars </w:t>
      </w:r>
      <w:r w:rsidR="009B445B" w:rsidRPr="00F563A3">
        <w:rPr>
          <w:spacing w:val="-2"/>
          <w:sz w:val="22"/>
          <w:szCs w:val="22"/>
        </w:rPr>
        <w:t>($25</w:t>
      </w:r>
      <w:r w:rsidR="006E1D3F" w:rsidRPr="00F563A3">
        <w:rPr>
          <w:spacing w:val="-2"/>
          <w:sz w:val="22"/>
          <w:szCs w:val="22"/>
        </w:rPr>
        <w:t>,000)</w:t>
      </w:r>
      <w:r w:rsidR="009B445B" w:rsidRPr="00F563A3">
        <w:rPr>
          <w:spacing w:val="-2"/>
          <w:sz w:val="22"/>
          <w:szCs w:val="22"/>
        </w:rPr>
        <w:t>.</w:t>
      </w:r>
    </w:p>
    <w:p w:rsidR="00DD0B1D" w:rsidRPr="00F563A3" w:rsidRDefault="000E59DC" w:rsidP="00DD0B1D">
      <w:pPr>
        <w:pStyle w:val="Heading1"/>
        <w:widowControl/>
        <w:rPr>
          <w:b w:val="0"/>
          <w:sz w:val="22"/>
          <w:szCs w:val="22"/>
        </w:rPr>
      </w:pPr>
      <w:r w:rsidRPr="00F563A3">
        <w:rPr>
          <w:sz w:val="22"/>
          <w:szCs w:val="22"/>
        </w:rPr>
        <w:t>BACKGROUND</w:t>
      </w:r>
    </w:p>
    <w:p w:rsidR="00146021" w:rsidRPr="00CC3527" w:rsidRDefault="00146021" w:rsidP="00A90753">
      <w:pPr>
        <w:widowControl/>
        <w:numPr>
          <w:ilvl w:val="0"/>
          <w:numId w:val="22"/>
        </w:numPr>
        <w:tabs>
          <w:tab w:val="clear" w:pos="1260"/>
          <w:tab w:val="left" w:pos="0"/>
          <w:tab w:val="num" w:pos="1440"/>
        </w:tabs>
        <w:suppressAutoHyphens/>
        <w:spacing w:after="240"/>
        <w:ind w:left="0"/>
        <w:rPr>
          <w:spacing w:val="-2"/>
          <w:sz w:val="22"/>
          <w:szCs w:val="22"/>
        </w:rPr>
      </w:pPr>
      <w:r w:rsidRPr="003B1AB9">
        <w:rPr>
          <w:sz w:val="22"/>
        </w:rPr>
        <w:t xml:space="preserve">The EAS is a national public warning system that requires broadcasters, cable television operators, wireless cable operators, wireline video service providers, satellite digital audio radio service providers, and direct broadcast satellite providers to supply the communications capability to the President of the United States to address the American public during a national emergency.  Federal, state, and local authorities may also use the EAS to deliver important emergency information, such as AMBER alerts and weather information targeted to specific areas.  </w:t>
      </w:r>
      <w:r w:rsidR="00AD4ED0">
        <w:rPr>
          <w:sz w:val="22"/>
          <w:szCs w:val="22"/>
          <w:lang w:val="en"/>
        </w:rPr>
        <w:t xml:space="preserve">The </w:t>
      </w:r>
      <w:r w:rsidRPr="00CA4548">
        <w:rPr>
          <w:sz w:val="22"/>
          <w:szCs w:val="22"/>
        </w:rPr>
        <w:t>EAS uses a four</w:t>
      </w:r>
      <w:r w:rsidR="00702ED7">
        <w:rPr>
          <w:sz w:val="22"/>
          <w:szCs w:val="22"/>
        </w:rPr>
        <w:t>-</w:t>
      </w:r>
      <w:r w:rsidRPr="00CA4548">
        <w:rPr>
          <w:sz w:val="22"/>
          <w:szCs w:val="22"/>
        </w:rPr>
        <w:t>part message for an emergency activation.</w:t>
      </w:r>
      <w:r w:rsidRPr="00CA4548">
        <w:rPr>
          <w:rStyle w:val="FootnoteReference"/>
          <w:sz w:val="22"/>
          <w:szCs w:val="22"/>
        </w:rPr>
        <w:footnoteReference w:id="4"/>
      </w:r>
      <w:r w:rsidRPr="00CA4548">
        <w:rPr>
          <w:sz w:val="22"/>
          <w:szCs w:val="22"/>
        </w:rPr>
        <w:t xml:space="preserve">  The component</w:t>
      </w:r>
      <w:r w:rsidR="00EC2A3A">
        <w:rPr>
          <w:sz w:val="22"/>
          <w:szCs w:val="22"/>
        </w:rPr>
        <w:t xml:space="preserve"> sounds</w:t>
      </w:r>
      <w:r w:rsidRPr="00CA4548">
        <w:rPr>
          <w:sz w:val="22"/>
          <w:szCs w:val="22"/>
        </w:rPr>
        <w:t xml:space="preserve"> of </w:t>
      </w:r>
      <w:r w:rsidR="00EC2A3A">
        <w:rPr>
          <w:sz w:val="22"/>
          <w:szCs w:val="22"/>
        </w:rPr>
        <w:t xml:space="preserve">an </w:t>
      </w:r>
      <w:r w:rsidRPr="00CA4548">
        <w:rPr>
          <w:sz w:val="22"/>
          <w:szCs w:val="22"/>
        </w:rPr>
        <w:t xml:space="preserve">EAS </w:t>
      </w:r>
      <w:r w:rsidR="00EC2A3A">
        <w:rPr>
          <w:sz w:val="22"/>
          <w:szCs w:val="22"/>
        </w:rPr>
        <w:t xml:space="preserve">message </w:t>
      </w:r>
      <w:r w:rsidRPr="00CA4548">
        <w:rPr>
          <w:sz w:val="22"/>
          <w:szCs w:val="22"/>
        </w:rPr>
        <w:t>serve the purpose of gaining the listener’s or viewer’s attention and also conveying specially coded information for the equipment that is activated by the EAS message as part of an actual emergency</w:t>
      </w:r>
      <w:r w:rsidR="00EC2A3A">
        <w:rPr>
          <w:sz w:val="22"/>
          <w:szCs w:val="22"/>
        </w:rPr>
        <w:t xml:space="preserve"> or authorized test</w:t>
      </w:r>
      <w:r w:rsidRPr="00CA4548">
        <w:rPr>
          <w:sz w:val="22"/>
          <w:szCs w:val="22"/>
        </w:rPr>
        <w:t>.  In particular, the EAS codes</w:t>
      </w:r>
      <w:r w:rsidRPr="003B1AB9">
        <w:rPr>
          <w:sz w:val="22"/>
        </w:rPr>
        <w:t xml:space="preserve"> </w:t>
      </w:r>
      <w:r w:rsidR="00EC2A3A" w:rsidRPr="003B1AB9">
        <w:rPr>
          <w:sz w:val="22"/>
        </w:rPr>
        <w:t>consist of</w:t>
      </w:r>
      <w:r w:rsidR="00EC2A3A">
        <w:rPr>
          <w:sz w:val="22"/>
          <w:szCs w:val="22"/>
        </w:rPr>
        <w:t xml:space="preserve"> </w:t>
      </w:r>
      <w:r w:rsidR="006E73DA">
        <w:rPr>
          <w:sz w:val="22"/>
          <w:szCs w:val="22"/>
        </w:rPr>
        <w:t>distinctive</w:t>
      </w:r>
      <w:r w:rsidR="006E73DA" w:rsidRPr="003B1AB9">
        <w:rPr>
          <w:sz w:val="22"/>
        </w:rPr>
        <w:t xml:space="preserve"> </w:t>
      </w:r>
      <w:r w:rsidR="00EC2A3A" w:rsidRPr="003B1AB9">
        <w:rPr>
          <w:sz w:val="22"/>
        </w:rPr>
        <w:t xml:space="preserve">audible sounds in which </w:t>
      </w:r>
      <w:r w:rsidRPr="003B1AB9">
        <w:rPr>
          <w:sz w:val="22"/>
        </w:rPr>
        <w:t>encoded information concerning the particular alert</w:t>
      </w:r>
      <w:r w:rsidR="00EC2A3A" w:rsidRPr="003B1AB9">
        <w:rPr>
          <w:sz w:val="22"/>
        </w:rPr>
        <w:t xml:space="preserve"> may be embedded</w:t>
      </w:r>
      <w:r w:rsidRPr="003B1AB9">
        <w:rPr>
          <w:sz w:val="22"/>
        </w:rPr>
        <w:t xml:space="preserve">.  </w:t>
      </w:r>
      <w:r w:rsidR="00EC2A3A" w:rsidRPr="003B1AB9">
        <w:rPr>
          <w:sz w:val="22"/>
        </w:rPr>
        <w:t>The</w:t>
      </w:r>
      <w:r w:rsidRPr="003B1AB9">
        <w:rPr>
          <w:sz w:val="22"/>
        </w:rPr>
        <w:t xml:space="preserve"> separate </w:t>
      </w:r>
      <w:r w:rsidR="00EC2A3A" w:rsidRPr="003B1AB9">
        <w:rPr>
          <w:sz w:val="22"/>
        </w:rPr>
        <w:t xml:space="preserve">EAS </w:t>
      </w:r>
      <w:r w:rsidRPr="003B1AB9">
        <w:rPr>
          <w:sz w:val="22"/>
        </w:rPr>
        <w:t xml:space="preserve">Attention Signal that follows the </w:t>
      </w:r>
      <w:r w:rsidR="00EC2A3A" w:rsidRPr="003B1AB9">
        <w:rPr>
          <w:sz w:val="22"/>
        </w:rPr>
        <w:t xml:space="preserve">EAS </w:t>
      </w:r>
      <w:r w:rsidRPr="003B1AB9">
        <w:rPr>
          <w:sz w:val="22"/>
        </w:rPr>
        <w:t>codes is comprised of two tones that are</w:t>
      </w:r>
      <w:r w:rsidRPr="00CA4548">
        <w:rPr>
          <w:sz w:val="22"/>
          <w:szCs w:val="22"/>
        </w:rPr>
        <w:t xml:space="preserve"> transmitted simultaneously.</w:t>
      </w:r>
      <w:r w:rsidR="00EC2A3A">
        <w:rPr>
          <w:rStyle w:val="FootnoteReference"/>
          <w:sz w:val="22"/>
          <w:szCs w:val="22"/>
        </w:rPr>
        <w:footnoteReference w:id="5"/>
      </w:r>
    </w:p>
    <w:p w:rsidR="00DD0B1D" w:rsidRPr="00F563A3" w:rsidRDefault="000E59DC" w:rsidP="00A90753">
      <w:pPr>
        <w:widowControl/>
        <w:numPr>
          <w:ilvl w:val="0"/>
          <w:numId w:val="22"/>
        </w:numPr>
        <w:tabs>
          <w:tab w:val="clear" w:pos="1260"/>
          <w:tab w:val="left" w:pos="0"/>
          <w:tab w:val="num" w:pos="1440"/>
        </w:tabs>
        <w:suppressAutoHyphens/>
        <w:spacing w:after="240"/>
        <w:ind w:left="0"/>
        <w:rPr>
          <w:spacing w:val="-2"/>
          <w:sz w:val="22"/>
          <w:szCs w:val="22"/>
        </w:rPr>
      </w:pPr>
      <w:r w:rsidRPr="00F563A3">
        <w:rPr>
          <w:spacing w:val="-2"/>
          <w:sz w:val="22"/>
          <w:szCs w:val="22"/>
        </w:rPr>
        <w:t xml:space="preserve">The Commission received </w:t>
      </w:r>
      <w:r w:rsidR="00611C09">
        <w:rPr>
          <w:spacing w:val="-2"/>
          <w:sz w:val="22"/>
          <w:szCs w:val="22"/>
        </w:rPr>
        <w:t>a</w:t>
      </w:r>
      <w:r w:rsidR="00DD0B1D" w:rsidRPr="00F563A3">
        <w:rPr>
          <w:spacing w:val="-2"/>
          <w:sz w:val="22"/>
          <w:szCs w:val="22"/>
        </w:rPr>
        <w:t xml:space="preserve"> C</w:t>
      </w:r>
      <w:r w:rsidR="00842292" w:rsidRPr="00F563A3">
        <w:rPr>
          <w:spacing w:val="-2"/>
          <w:sz w:val="22"/>
          <w:szCs w:val="22"/>
        </w:rPr>
        <w:t xml:space="preserve">omplaint, dated April 26, 2012, </w:t>
      </w:r>
      <w:r w:rsidR="00611C09">
        <w:rPr>
          <w:spacing w:val="-2"/>
          <w:sz w:val="22"/>
          <w:szCs w:val="22"/>
        </w:rPr>
        <w:t xml:space="preserve">which alleges that </w:t>
      </w:r>
      <w:r w:rsidR="00A62494" w:rsidRPr="00F563A3">
        <w:rPr>
          <w:spacing w:val="-2"/>
          <w:sz w:val="22"/>
          <w:szCs w:val="22"/>
        </w:rPr>
        <w:t>the complainant viewed</w:t>
      </w:r>
      <w:r w:rsidR="00842292" w:rsidRPr="00F563A3">
        <w:rPr>
          <w:spacing w:val="-2"/>
          <w:sz w:val="22"/>
          <w:szCs w:val="22"/>
        </w:rPr>
        <w:t xml:space="preserve"> a promotion for the </w:t>
      </w:r>
      <w:r w:rsidR="00842292" w:rsidRPr="00957F8B">
        <w:rPr>
          <w:i/>
          <w:spacing w:val="-2"/>
          <w:sz w:val="22"/>
          <w:szCs w:val="22"/>
        </w:rPr>
        <w:t>Conan</w:t>
      </w:r>
      <w:r w:rsidR="00842292" w:rsidRPr="00F563A3">
        <w:rPr>
          <w:spacing w:val="-2"/>
          <w:sz w:val="22"/>
          <w:szCs w:val="22"/>
        </w:rPr>
        <w:t xml:space="preserve"> show</w:t>
      </w:r>
      <w:r w:rsidR="00BB1BCB">
        <w:rPr>
          <w:spacing w:val="-2"/>
          <w:sz w:val="22"/>
          <w:szCs w:val="22"/>
        </w:rPr>
        <w:t xml:space="preserve"> on the TBS </w:t>
      </w:r>
      <w:r w:rsidR="001646B8">
        <w:rPr>
          <w:spacing w:val="-2"/>
          <w:sz w:val="22"/>
          <w:szCs w:val="22"/>
        </w:rPr>
        <w:t>N</w:t>
      </w:r>
      <w:r w:rsidR="00BB1BCB">
        <w:rPr>
          <w:spacing w:val="-2"/>
          <w:sz w:val="22"/>
          <w:szCs w:val="22"/>
        </w:rPr>
        <w:t>etwork</w:t>
      </w:r>
      <w:r w:rsidR="00DD0B1D" w:rsidRPr="00F563A3">
        <w:rPr>
          <w:spacing w:val="-2"/>
          <w:sz w:val="22"/>
          <w:szCs w:val="22"/>
        </w:rPr>
        <w:t>,</w:t>
      </w:r>
      <w:r w:rsidR="00842292" w:rsidRPr="00F563A3">
        <w:rPr>
          <w:spacing w:val="-2"/>
          <w:sz w:val="22"/>
          <w:szCs w:val="22"/>
        </w:rPr>
        <w:t xml:space="preserve"> which in</w:t>
      </w:r>
      <w:r w:rsidR="00DD0B1D" w:rsidRPr="00F563A3">
        <w:rPr>
          <w:spacing w:val="-2"/>
          <w:sz w:val="22"/>
          <w:szCs w:val="22"/>
        </w:rPr>
        <w:t xml:space="preserve">cluded </w:t>
      </w:r>
      <w:r w:rsidR="00842292" w:rsidRPr="00F563A3">
        <w:rPr>
          <w:spacing w:val="-2"/>
          <w:sz w:val="22"/>
          <w:szCs w:val="22"/>
        </w:rPr>
        <w:t>simulation</w:t>
      </w:r>
      <w:r w:rsidR="00BB1BCB">
        <w:rPr>
          <w:spacing w:val="-2"/>
          <w:sz w:val="22"/>
          <w:szCs w:val="22"/>
        </w:rPr>
        <w:t>s</w:t>
      </w:r>
      <w:r w:rsidR="00842292" w:rsidRPr="00F563A3">
        <w:rPr>
          <w:spacing w:val="-2"/>
          <w:sz w:val="22"/>
          <w:szCs w:val="22"/>
        </w:rPr>
        <w:t xml:space="preserve"> of </w:t>
      </w:r>
      <w:r w:rsidR="00842292" w:rsidRPr="00F563A3">
        <w:rPr>
          <w:spacing w:val="-2"/>
          <w:sz w:val="22"/>
          <w:szCs w:val="22"/>
        </w:rPr>
        <w:lastRenderedPageBreak/>
        <w:t>the EAS Attention Signal</w:t>
      </w:r>
      <w:r w:rsidR="00BB1BCB">
        <w:rPr>
          <w:spacing w:val="-2"/>
          <w:sz w:val="22"/>
          <w:szCs w:val="22"/>
        </w:rPr>
        <w:t xml:space="preserve"> or codes</w:t>
      </w:r>
      <w:r w:rsidRPr="00F563A3">
        <w:rPr>
          <w:color w:val="000000"/>
          <w:sz w:val="22"/>
          <w:szCs w:val="22"/>
        </w:rPr>
        <w:t>.</w:t>
      </w:r>
      <w:r w:rsidRPr="00F563A3">
        <w:rPr>
          <w:rStyle w:val="FootnoteReference"/>
          <w:color w:val="000000"/>
          <w:sz w:val="22"/>
          <w:szCs w:val="22"/>
        </w:rPr>
        <w:footnoteReference w:id="6"/>
      </w:r>
      <w:r w:rsidRPr="00F563A3">
        <w:rPr>
          <w:color w:val="000000"/>
          <w:sz w:val="22"/>
          <w:szCs w:val="22"/>
        </w:rPr>
        <w:t xml:space="preserve">  </w:t>
      </w:r>
      <w:r w:rsidR="00611C09">
        <w:rPr>
          <w:color w:val="000000"/>
          <w:sz w:val="22"/>
          <w:szCs w:val="22"/>
        </w:rPr>
        <w:t xml:space="preserve">Specifically, the </w:t>
      </w:r>
      <w:r w:rsidR="00DD0B1D" w:rsidRPr="00F563A3">
        <w:rPr>
          <w:color w:val="000000"/>
          <w:sz w:val="22"/>
          <w:szCs w:val="22"/>
        </w:rPr>
        <w:t xml:space="preserve">Complaint </w:t>
      </w:r>
      <w:r w:rsidR="00BB1BCB">
        <w:rPr>
          <w:color w:val="000000"/>
          <w:sz w:val="22"/>
          <w:szCs w:val="22"/>
        </w:rPr>
        <w:t>states</w:t>
      </w:r>
      <w:r w:rsidR="00DD0B1D" w:rsidRPr="00F563A3">
        <w:rPr>
          <w:color w:val="000000"/>
          <w:sz w:val="22"/>
          <w:szCs w:val="22"/>
        </w:rPr>
        <w:t xml:space="preserve"> th</w:t>
      </w:r>
      <w:r w:rsidR="004D6B78" w:rsidRPr="00F563A3">
        <w:rPr>
          <w:color w:val="000000"/>
          <w:sz w:val="22"/>
          <w:szCs w:val="22"/>
        </w:rPr>
        <w:t>at the promotional announcement</w:t>
      </w:r>
      <w:r w:rsidR="00DD0B1D" w:rsidRPr="00F563A3">
        <w:rPr>
          <w:color w:val="000000"/>
          <w:sz w:val="22"/>
          <w:szCs w:val="22"/>
        </w:rPr>
        <w:t xml:space="preserve"> “used the emergency weather tones to gain attention for a commercial regarding Jack Black being on the show for April 26, 2012</w:t>
      </w:r>
      <w:r w:rsidRPr="00F563A3">
        <w:rPr>
          <w:color w:val="000000"/>
          <w:sz w:val="22"/>
          <w:szCs w:val="22"/>
        </w:rPr>
        <w:t>.</w:t>
      </w:r>
      <w:r w:rsidR="00DD0B1D" w:rsidRPr="00F563A3">
        <w:rPr>
          <w:color w:val="000000"/>
          <w:sz w:val="22"/>
          <w:szCs w:val="22"/>
        </w:rPr>
        <w:t>”</w:t>
      </w:r>
      <w:r w:rsidRPr="00F563A3">
        <w:rPr>
          <w:rStyle w:val="FootnoteReference"/>
          <w:color w:val="000000"/>
          <w:sz w:val="22"/>
          <w:szCs w:val="22"/>
        </w:rPr>
        <w:footnoteReference w:id="7"/>
      </w:r>
      <w:r w:rsidR="00DD0B1D" w:rsidRPr="00F563A3">
        <w:rPr>
          <w:color w:val="000000"/>
          <w:sz w:val="22"/>
          <w:szCs w:val="22"/>
        </w:rPr>
        <w:t xml:space="preserve"> </w:t>
      </w:r>
    </w:p>
    <w:p w:rsidR="000E59DC" w:rsidRPr="00554132" w:rsidRDefault="000E59DC" w:rsidP="00554132">
      <w:pPr>
        <w:widowControl/>
        <w:numPr>
          <w:ilvl w:val="0"/>
          <w:numId w:val="22"/>
        </w:numPr>
        <w:tabs>
          <w:tab w:val="clear" w:pos="1260"/>
          <w:tab w:val="left" w:pos="0"/>
          <w:tab w:val="num" w:pos="1440"/>
        </w:tabs>
        <w:suppressAutoHyphens/>
        <w:spacing w:after="240"/>
        <w:ind w:left="0"/>
        <w:rPr>
          <w:spacing w:val="-2"/>
          <w:sz w:val="22"/>
          <w:szCs w:val="22"/>
        </w:rPr>
      </w:pPr>
      <w:r w:rsidRPr="00F563A3">
        <w:rPr>
          <w:spacing w:val="-2"/>
          <w:sz w:val="22"/>
          <w:szCs w:val="22"/>
        </w:rPr>
        <w:t>In response to the</w:t>
      </w:r>
      <w:r w:rsidR="00611C09">
        <w:rPr>
          <w:spacing w:val="-2"/>
          <w:sz w:val="22"/>
          <w:szCs w:val="22"/>
        </w:rPr>
        <w:t xml:space="preserve"> </w:t>
      </w:r>
      <w:r w:rsidRPr="00F563A3">
        <w:rPr>
          <w:spacing w:val="-2"/>
          <w:sz w:val="22"/>
          <w:szCs w:val="22"/>
        </w:rPr>
        <w:t>Complaint, the Enforcement Bureau</w:t>
      </w:r>
      <w:r w:rsidR="00DD0B1D" w:rsidRPr="00F563A3">
        <w:rPr>
          <w:spacing w:val="-2"/>
          <w:sz w:val="22"/>
          <w:szCs w:val="22"/>
        </w:rPr>
        <w:t>’s Investigations and Hearings Division</w:t>
      </w:r>
      <w:r w:rsidRPr="00F563A3">
        <w:rPr>
          <w:spacing w:val="-2"/>
          <w:sz w:val="22"/>
          <w:szCs w:val="22"/>
        </w:rPr>
        <w:t xml:space="preserve"> </w:t>
      </w:r>
      <w:r w:rsidR="00DD0B1D" w:rsidRPr="00F563A3">
        <w:rPr>
          <w:spacing w:val="-2"/>
          <w:sz w:val="22"/>
          <w:szCs w:val="22"/>
        </w:rPr>
        <w:t xml:space="preserve">sent a </w:t>
      </w:r>
      <w:r w:rsidR="00314175">
        <w:rPr>
          <w:spacing w:val="-2"/>
          <w:sz w:val="22"/>
          <w:szCs w:val="22"/>
        </w:rPr>
        <w:t>letter of inquiry</w:t>
      </w:r>
      <w:r w:rsidR="00DD0B1D" w:rsidRPr="00F563A3">
        <w:rPr>
          <w:spacing w:val="-2"/>
          <w:sz w:val="22"/>
          <w:szCs w:val="22"/>
        </w:rPr>
        <w:t xml:space="preserve"> to Turner, dated February 15, 2013, directing Turner to submit, among other things, recordings of the </w:t>
      </w:r>
      <w:r w:rsidR="00881AE1" w:rsidRPr="00957F8B">
        <w:rPr>
          <w:i/>
          <w:spacing w:val="-2"/>
          <w:sz w:val="22"/>
          <w:szCs w:val="22"/>
        </w:rPr>
        <w:t>Conan</w:t>
      </w:r>
      <w:r w:rsidR="00881AE1" w:rsidRPr="00F563A3">
        <w:rPr>
          <w:spacing w:val="-2"/>
          <w:sz w:val="22"/>
          <w:szCs w:val="22"/>
        </w:rPr>
        <w:t xml:space="preserve"> promotion and sworn</w:t>
      </w:r>
      <w:r w:rsidR="00DD0B1D" w:rsidRPr="00F563A3">
        <w:rPr>
          <w:spacing w:val="-2"/>
          <w:sz w:val="22"/>
          <w:szCs w:val="22"/>
        </w:rPr>
        <w:t xml:space="preserve"> written statements concerning these allegations</w:t>
      </w:r>
      <w:r w:rsidRPr="00F563A3">
        <w:rPr>
          <w:spacing w:val="-2"/>
          <w:sz w:val="22"/>
          <w:szCs w:val="22"/>
        </w:rPr>
        <w:t>.</w:t>
      </w:r>
      <w:r w:rsidRPr="00F563A3">
        <w:rPr>
          <w:rStyle w:val="FootnoteReference"/>
          <w:spacing w:val="-2"/>
          <w:sz w:val="22"/>
          <w:szCs w:val="22"/>
        </w:rPr>
        <w:footnoteReference w:id="8"/>
      </w:r>
      <w:r w:rsidRPr="00F563A3">
        <w:rPr>
          <w:spacing w:val="-2"/>
          <w:sz w:val="22"/>
          <w:szCs w:val="22"/>
        </w:rPr>
        <w:t xml:space="preserve">  </w:t>
      </w:r>
      <w:r w:rsidR="00881AE1" w:rsidRPr="00F563A3">
        <w:rPr>
          <w:spacing w:val="-2"/>
          <w:sz w:val="22"/>
          <w:szCs w:val="22"/>
        </w:rPr>
        <w:t>Turner responded on February 26, 2013</w:t>
      </w:r>
      <w:r w:rsidRPr="00F563A3">
        <w:rPr>
          <w:spacing w:val="-2"/>
          <w:sz w:val="22"/>
          <w:szCs w:val="22"/>
        </w:rPr>
        <w:t>.</w:t>
      </w:r>
      <w:r w:rsidRPr="00F563A3">
        <w:rPr>
          <w:rStyle w:val="FootnoteReference"/>
          <w:spacing w:val="-2"/>
          <w:sz w:val="22"/>
          <w:szCs w:val="22"/>
        </w:rPr>
        <w:footnoteReference w:id="9"/>
      </w:r>
      <w:r w:rsidRPr="00F563A3">
        <w:rPr>
          <w:spacing w:val="-2"/>
          <w:sz w:val="22"/>
          <w:szCs w:val="22"/>
        </w:rPr>
        <w:t xml:space="preserve">  In </w:t>
      </w:r>
      <w:r w:rsidR="00611C09">
        <w:rPr>
          <w:spacing w:val="-2"/>
          <w:sz w:val="22"/>
          <w:szCs w:val="22"/>
        </w:rPr>
        <w:t xml:space="preserve">the </w:t>
      </w:r>
      <w:r w:rsidR="00881AE1" w:rsidRPr="00F563A3">
        <w:rPr>
          <w:spacing w:val="-2"/>
          <w:sz w:val="22"/>
          <w:szCs w:val="22"/>
        </w:rPr>
        <w:t>LOI Response</w:t>
      </w:r>
      <w:r w:rsidRPr="00F563A3">
        <w:rPr>
          <w:spacing w:val="-2"/>
          <w:sz w:val="22"/>
          <w:szCs w:val="22"/>
        </w:rPr>
        <w:t xml:space="preserve">, </w:t>
      </w:r>
      <w:r w:rsidR="00881AE1" w:rsidRPr="00F563A3">
        <w:rPr>
          <w:spacing w:val="-2"/>
          <w:sz w:val="22"/>
          <w:szCs w:val="22"/>
        </w:rPr>
        <w:t>Turner</w:t>
      </w:r>
      <w:r w:rsidRPr="00F563A3">
        <w:rPr>
          <w:spacing w:val="-2"/>
          <w:sz w:val="22"/>
          <w:szCs w:val="22"/>
        </w:rPr>
        <w:t xml:space="preserve"> </w:t>
      </w:r>
      <w:r w:rsidR="00881AE1" w:rsidRPr="00F563A3">
        <w:rPr>
          <w:spacing w:val="-2"/>
          <w:sz w:val="22"/>
          <w:szCs w:val="22"/>
        </w:rPr>
        <w:t>admits</w:t>
      </w:r>
      <w:r w:rsidR="00CF5B3A">
        <w:rPr>
          <w:spacing w:val="-2"/>
          <w:sz w:val="22"/>
          <w:szCs w:val="22"/>
        </w:rPr>
        <w:t xml:space="preserve">, </w:t>
      </w:r>
      <w:r w:rsidR="00CF5B3A" w:rsidRPr="002B08D4">
        <w:rPr>
          <w:i/>
          <w:spacing w:val="-2"/>
          <w:sz w:val="22"/>
          <w:szCs w:val="22"/>
        </w:rPr>
        <w:t>inter alia</w:t>
      </w:r>
      <w:r w:rsidR="00CF5B3A">
        <w:rPr>
          <w:spacing w:val="-2"/>
          <w:sz w:val="22"/>
          <w:szCs w:val="22"/>
        </w:rPr>
        <w:t>,</w:t>
      </w:r>
      <w:r w:rsidR="00881AE1" w:rsidRPr="00F563A3">
        <w:rPr>
          <w:spacing w:val="-2"/>
          <w:sz w:val="22"/>
          <w:szCs w:val="22"/>
        </w:rPr>
        <w:t xml:space="preserve"> that it </w:t>
      </w:r>
      <w:r w:rsidR="00BE6456" w:rsidRPr="00F563A3">
        <w:rPr>
          <w:spacing w:val="-2"/>
          <w:sz w:val="22"/>
          <w:szCs w:val="22"/>
        </w:rPr>
        <w:t>produced</w:t>
      </w:r>
      <w:r w:rsidR="00881AE1" w:rsidRPr="00F563A3">
        <w:rPr>
          <w:spacing w:val="-2"/>
          <w:sz w:val="22"/>
          <w:szCs w:val="22"/>
        </w:rPr>
        <w:t xml:space="preserve"> and distributed </w:t>
      </w:r>
      <w:r w:rsidR="00FD2F8C">
        <w:rPr>
          <w:spacing w:val="-2"/>
          <w:sz w:val="22"/>
          <w:szCs w:val="22"/>
        </w:rPr>
        <w:t xml:space="preserve">a promotion intended to be used prior to the April 26, 2012, episode of the </w:t>
      </w:r>
      <w:r w:rsidR="00FD2F8C" w:rsidRPr="00FD2F8C">
        <w:rPr>
          <w:i/>
          <w:spacing w:val="-2"/>
          <w:sz w:val="22"/>
          <w:szCs w:val="22"/>
        </w:rPr>
        <w:t>Conan</w:t>
      </w:r>
      <w:r w:rsidR="00FD2F8C">
        <w:rPr>
          <w:spacing w:val="-2"/>
          <w:sz w:val="22"/>
          <w:szCs w:val="22"/>
        </w:rPr>
        <w:t xml:space="preserve"> show.  This promotion</w:t>
      </w:r>
      <w:r w:rsidR="00611C09">
        <w:rPr>
          <w:spacing w:val="-2"/>
          <w:sz w:val="22"/>
          <w:szCs w:val="22"/>
        </w:rPr>
        <w:t xml:space="preserve"> </w:t>
      </w:r>
      <w:r w:rsidR="00881AE1" w:rsidRPr="00F563A3">
        <w:rPr>
          <w:spacing w:val="-2"/>
          <w:sz w:val="22"/>
          <w:szCs w:val="22"/>
        </w:rPr>
        <w:t>included a “sound effect” in part derived from an online source</w:t>
      </w:r>
      <w:r w:rsidRPr="00F563A3">
        <w:rPr>
          <w:spacing w:val="-2"/>
          <w:sz w:val="22"/>
          <w:szCs w:val="22"/>
        </w:rPr>
        <w:t>.</w:t>
      </w:r>
      <w:r w:rsidRPr="00F563A3">
        <w:rPr>
          <w:rStyle w:val="FootnoteReference"/>
          <w:spacing w:val="-2"/>
          <w:sz w:val="22"/>
          <w:szCs w:val="22"/>
        </w:rPr>
        <w:footnoteReference w:id="10"/>
      </w:r>
      <w:r w:rsidRPr="00F563A3">
        <w:rPr>
          <w:spacing w:val="-2"/>
          <w:sz w:val="22"/>
          <w:szCs w:val="22"/>
        </w:rPr>
        <w:t xml:space="preserve">  </w:t>
      </w:r>
      <w:r w:rsidR="00611C09">
        <w:rPr>
          <w:spacing w:val="-2"/>
          <w:sz w:val="22"/>
          <w:szCs w:val="22"/>
        </w:rPr>
        <w:t>The records Turner provided to the Bureau reflect that Turn</w:t>
      </w:r>
      <w:r w:rsidR="00FD2F8C">
        <w:rPr>
          <w:spacing w:val="-2"/>
          <w:sz w:val="22"/>
          <w:szCs w:val="22"/>
        </w:rPr>
        <w:t>er</w:t>
      </w:r>
      <w:r w:rsidR="00611C09">
        <w:rPr>
          <w:spacing w:val="-2"/>
          <w:sz w:val="22"/>
          <w:szCs w:val="22"/>
        </w:rPr>
        <w:t xml:space="preserve"> “aired” the promotion on April 26, 2012.</w:t>
      </w:r>
      <w:r w:rsidR="00A10DCB" w:rsidRPr="00F563A3">
        <w:rPr>
          <w:rStyle w:val="FootnoteReference"/>
          <w:spacing w:val="-2"/>
          <w:sz w:val="22"/>
          <w:szCs w:val="22"/>
        </w:rPr>
        <w:footnoteReference w:id="11"/>
      </w:r>
      <w:r w:rsidR="00A10DCB" w:rsidRPr="00554132">
        <w:rPr>
          <w:spacing w:val="-2"/>
          <w:sz w:val="22"/>
          <w:szCs w:val="22"/>
        </w:rPr>
        <w:t xml:space="preserve">  Further, Turner states that</w:t>
      </w:r>
      <w:r w:rsidR="00881AE1" w:rsidRPr="00554132">
        <w:rPr>
          <w:spacing w:val="-2"/>
          <w:sz w:val="22"/>
          <w:szCs w:val="22"/>
        </w:rPr>
        <w:t>, based on a technical review of the promotion</w:t>
      </w:r>
      <w:r w:rsidR="00EA08D2">
        <w:rPr>
          <w:spacing w:val="-2"/>
          <w:sz w:val="22"/>
          <w:szCs w:val="22"/>
        </w:rPr>
        <w:t xml:space="preserve"> conducted after it received the </w:t>
      </w:r>
      <w:r w:rsidR="00611C09">
        <w:rPr>
          <w:spacing w:val="-2"/>
          <w:sz w:val="22"/>
          <w:szCs w:val="22"/>
        </w:rPr>
        <w:t>LOI</w:t>
      </w:r>
      <w:r w:rsidR="00881AE1" w:rsidRPr="00554132">
        <w:rPr>
          <w:spacing w:val="-2"/>
          <w:sz w:val="22"/>
          <w:szCs w:val="22"/>
        </w:rPr>
        <w:t>, it determined that the promotion did not include any portion of an actual EAS code, but did include a prerecorded “sound burst” followed by a “bars and tone” sound.</w:t>
      </w:r>
      <w:r w:rsidR="00881AE1" w:rsidRPr="00F563A3">
        <w:rPr>
          <w:rStyle w:val="FootnoteReference"/>
          <w:spacing w:val="-2"/>
          <w:sz w:val="22"/>
          <w:szCs w:val="22"/>
        </w:rPr>
        <w:footnoteReference w:id="12"/>
      </w:r>
      <w:r w:rsidRPr="00554132">
        <w:rPr>
          <w:spacing w:val="-2"/>
          <w:sz w:val="22"/>
          <w:szCs w:val="22"/>
        </w:rPr>
        <w:t xml:space="preserve"> </w:t>
      </w:r>
      <w:r w:rsidR="00881AE1" w:rsidRPr="00554132">
        <w:rPr>
          <w:spacing w:val="-2"/>
          <w:sz w:val="22"/>
          <w:szCs w:val="22"/>
        </w:rPr>
        <w:t xml:space="preserve"> </w:t>
      </w:r>
      <w:r w:rsidR="00881AE1" w:rsidRPr="00CF5B3A">
        <w:rPr>
          <w:spacing w:val="-2"/>
          <w:sz w:val="22"/>
          <w:szCs w:val="22"/>
        </w:rPr>
        <w:t>Turner provided</w:t>
      </w:r>
      <w:r w:rsidR="00FD2F8C" w:rsidRPr="00CF5B3A">
        <w:rPr>
          <w:spacing w:val="-2"/>
          <w:sz w:val="22"/>
          <w:szCs w:val="22"/>
        </w:rPr>
        <w:t xml:space="preserve"> a</w:t>
      </w:r>
      <w:r w:rsidR="00881AE1" w:rsidRPr="00CF5B3A">
        <w:rPr>
          <w:spacing w:val="-2"/>
          <w:sz w:val="22"/>
          <w:szCs w:val="22"/>
        </w:rPr>
        <w:t xml:space="preserve"> recording of the promotion to the Commission and also provided copies of </w:t>
      </w:r>
      <w:r w:rsidR="00BB1BCB" w:rsidRPr="00CF5B3A">
        <w:rPr>
          <w:spacing w:val="-2"/>
          <w:sz w:val="22"/>
          <w:szCs w:val="22"/>
        </w:rPr>
        <w:t xml:space="preserve">additional </w:t>
      </w:r>
      <w:r w:rsidR="00025490" w:rsidRPr="00CF5B3A">
        <w:rPr>
          <w:spacing w:val="-2"/>
          <w:sz w:val="22"/>
          <w:szCs w:val="22"/>
        </w:rPr>
        <w:t xml:space="preserve">written </w:t>
      </w:r>
      <w:r w:rsidR="00881AE1" w:rsidRPr="00CF5B3A">
        <w:rPr>
          <w:spacing w:val="-2"/>
          <w:sz w:val="22"/>
          <w:szCs w:val="22"/>
        </w:rPr>
        <w:t xml:space="preserve">complaints that it independently received from viewers, also alleging that </w:t>
      </w:r>
      <w:r w:rsidR="00CF5B3A">
        <w:rPr>
          <w:spacing w:val="-2"/>
          <w:sz w:val="22"/>
          <w:szCs w:val="22"/>
        </w:rPr>
        <w:t>a</w:t>
      </w:r>
      <w:r w:rsidR="00881AE1" w:rsidRPr="00CF5B3A">
        <w:rPr>
          <w:spacing w:val="-2"/>
          <w:sz w:val="22"/>
          <w:szCs w:val="22"/>
        </w:rPr>
        <w:t xml:space="preserve"> promotional</w:t>
      </w:r>
      <w:r w:rsidR="00881AE1" w:rsidRPr="00554132">
        <w:rPr>
          <w:spacing w:val="-2"/>
          <w:sz w:val="22"/>
          <w:szCs w:val="22"/>
        </w:rPr>
        <w:t xml:space="preserve"> announcement for </w:t>
      </w:r>
      <w:r w:rsidR="00881AE1" w:rsidRPr="00957F8B">
        <w:rPr>
          <w:i/>
          <w:spacing w:val="-2"/>
          <w:sz w:val="22"/>
          <w:szCs w:val="22"/>
        </w:rPr>
        <w:t>Conan</w:t>
      </w:r>
      <w:r w:rsidR="00881AE1" w:rsidRPr="00554132">
        <w:rPr>
          <w:spacing w:val="-2"/>
          <w:sz w:val="22"/>
          <w:szCs w:val="22"/>
        </w:rPr>
        <w:t xml:space="preserve"> </w:t>
      </w:r>
      <w:r w:rsidR="00CF5B3A">
        <w:rPr>
          <w:spacing w:val="-2"/>
          <w:sz w:val="22"/>
          <w:szCs w:val="22"/>
        </w:rPr>
        <w:t>used</w:t>
      </w:r>
      <w:r w:rsidR="004D6B78" w:rsidRPr="00554132">
        <w:rPr>
          <w:spacing w:val="-2"/>
          <w:sz w:val="22"/>
          <w:szCs w:val="22"/>
        </w:rPr>
        <w:t xml:space="preserve"> </w:t>
      </w:r>
      <w:r w:rsidR="00881AE1" w:rsidRPr="00554132">
        <w:rPr>
          <w:spacing w:val="-2"/>
          <w:sz w:val="22"/>
          <w:szCs w:val="22"/>
        </w:rPr>
        <w:t>the sounds associated with an EAS Attention Signal or</w:t>
      </w:r>
      <w:r w:rsidR="002B6DD5" w:rsidRPr="00554132">
        <w:rPr>
          <w:spacing w:val="-2"/>
          <w:sz w:val="22"/>
          <w:szCs w:val="22"/>
        </w:rPr>
        <w:t xml:space="preserve"> codes.</w:t>
      </w:r>
      <w:r w:rsidR="00957F8B">
        <w:rPr>
          <w:rStyle w:val="FootnoteReference"/>
          <w:spacing w:val="-2"/>
          <w:sz w:val="22"/>
          <w:szCs w:val="22"/>
        </w:rPr>
        <w:footnoteReference w:id="13"/>
      </w:r>
      <w:r w:rsidR="002B6DD5" w:rsidRPr="00554132">
        <w:rPr>
          <w:spacing w:val="-2"/>
          <w:sz w:val="22"/>
          <w:szCs w:val="22"/>
        </w:rPr>
        <w:t xml:space="preserve">  In its </w:t>
      </w:r>
      <w:r w:rsidR="00611C09">
        <w:rPr>
          <w:spacing w:val="-2"/>
          <w:sz w:val="22"/>
          <w:szCs w:val="22"/>
        </w:rPr>
        <w:t>LOI</w:t>
      </w:r>
      <w:r w:rsidR="002B6DD5" w:rsidRPr="00554132">
        <w:rPr>
          <w:spacing w:val="-2"/>
          <w:sz w:val="22"/>
          <w:szCs w:val="22"/>
        </w:rPr>
        <w:t xml:space="preserve"> Response, Turner admits that the promotion was not made in connection with an actual national, state or local emergency or authorized test of the EAS.</w:t>
      </w:r>
      <w:r w:rsidR="002B6DD5" w:rsidRPr="00F563A3">
        <w:rPr>
          <w:rStyle w:val="FootnoteReference"/>
          <w:spacing w:val="-2"/>
          <w:sz w:val="22"/>
          <w:szCs w:val="22"/>
        </w:rPr>
        <w:footnoteReference w:id="14"/>
      </w:r>
      <w:r w:rsidR="00E86F92" w:rsidRPr="00554132">
        <w:rPr>
          <w:spacing w:val="-2"/>
          <w:sz w:val="22"/>
          <w:szCs w:val="22"/>
        </w:rPr>
        <w:t xml:space="preserve">  Turner notes that the</w:t>
      </w:r>
      <w:r w:rsidR="00025490" w:rsidRPr="00554132">
        <w:rPr>
          <w:spacing w:val="-2"/>
          <w:sz w:val="22"/>
          <w:szCs w:val="22"/>
        </w:rPr>
        <w:t xml:space="preserve"> </w:t>
      </w:r>
      <w:r w:rsidR="00E86F92" w:rsidRPr="00554132">
        <w:rPr>
          <w:spacing w:val="-2"/>
          <w:sz w:val="22"/>
          <w:szCs w:val="22"/>
        </w:rPr>
        <w:t>promotion</w:t>
      </w:r>
      <w:r w:rsidR="00CF5B3A">
        <w:rPr>
          <w:spacing w:val="-2"/>
          <w:sz w:val="22"/>
          <w:szCs w:val="22"/>
        </w:rPr>
        <w:t xml:space="preserve"> was</w:t>
      </w:r>
      <w:r w:rsidR="00025490" w:rsidRPr="00554132">
        <w:rPr>
          <w:spacing w:val="-2"/>
          <w:sz w:val="22"/>
          <w:szCs w:val="22"/>
        </w:rPr>
        <w:t xml:space="preserve"> produced </w:t>
      </w:r>
      <w:r w:rsidR="00E86F92" w:rsidRPr="00554132">
        <w:rPr>
          <w:spacing w:val="-2"/>
          <w:sz w:val="22"/>
          <w:szCs w:val="22"/>
        </w:rPr>
        <w:t>within such a tight timeframe</w:t>
      </w:r>
      <w:r w:rsidR="00025490" w:rsidRPr="00554132">
        <w:rPr>
          <w:spacing w:val="-2"/>
          <w:sz w:val="22"/>
          <w:szCs w:val="22"/>
        </w:rPr>
        <w:t xml:space="preserve"> that the production team did not submit the promotion</w:t>
      </w:r>
      <w:r w:rsidR="00BB1BCB" w:rsidRPr="00554132">
        <w:rPr>
          <w:spacing w:val="-2"/>
          <w:sz w:val="22"/>
          <w:szCs w:val="22"/>
        </w:rPr>
        <w:t xml:space="preserve"> in question</w:t>
      </w:r>
      <w:r w:rsidR="00025490" w:rsidRPr="00554132">
        <w:rPr>
          <w:spacing w:val="-2"/>
          <w:sz w:val="22"/>
          <w:szCs w:val="22"/>
        </w:rPr>
        <w:t xml:space="preserve"> for </w:t>
      </w:r>
      <w:r w:rsidR="005C4DFD" w:rsidRPr="00554132">
        <w:rPr>
          <w:spacing w:val="-2"/>
          <w:sz w:val="22"/>
          <w:szCs w:val="22"/>
        </w:rPr>
        <w:t xml:space="preserve">standards and practices review, </w:t>
      </w:r>
      <w:r w:rsidR="00025490" w:rsidRPr="00554132">
        <w:rPr>
          <w:spacing w:val="-2"/>
          <w:sz w:val="22"/>
          <w:szCs w:val="22"/>
        </w:rPr>
        <w:t>but that</w:t>
      </w:r>
      <w:r w:rsidR="00E86F92" w:rsidRPr="00554132">
        <w:rPr>
          <w:spacing w:val="-2"/>
          <w:sz w:val="22"/>
          <w:szCs w:val="22"/>
        </w:rPr>
        <w:t xml:space="preserve">, since </w:t>
      </w:r>
      <w:r w:rsidR="00344822">
        <w:rPr>
          <w:spacing w:val="-2"/>
          <w:sz w:val="22"/>
          <w:szCs w:val="22"/>
        </w:rPr>
        <w:t>May</w:t>
      </w:r>
      <w:r w:rsidR="00E86F92" w:rsidRPr="00554132">
        <w:rPr>
          <w:spacing w:val="-2"/>
          <w:sz w:val="22"/>
          <w:szCs w:val="22"/>
        </w:rPr>
        <w:t xml:space="preserve"> 2012,</w:t>
      </w:r>
      <w:r w:rsidR="005C4DFD" w:rsidRPr="00554132">
        <w:rPr>
          <w:spacing w:val="-2"/>
          <w:sz w:val="22"/>
          <w:szCs w:val="22"/>
        </w:rPr>
        <w:t xml:space="preserve"> </w:t>
      </w:r>
      <w:r w:rsidR="00025490" w:rsidRPr="00554132">
        <w:rPr>
          <w:spacing w:val="-2"/>
          <w:sz w:val="22"/>
          <w:szCs w:val="22"/>
        </w:rPr>
        <w:t xml:space="preserve">all </w:t>
      </w:r>
      <w:r w:rsidR="00E86F92" w:rsidRPr="00554132">
        <w:rPr>
          <w:spacing w:val="-2"/>
          <w:sz w:val="22"/>
          <w:szCs w:val="22"/>
        </w:rPr>
        <w:t>similar promotions</w:t>
      </w:r>
      <w:r w:rsidR="00025490" w:rsidRPr="00554132">
        <w:rPr>
          <w:spacing w:val="-2"/>
          <w:sz w:val="22"/>
          <w:szCs w:val="22"/>
        </w:rPr>
        <w:t xml:space="preserve"> for the </w:t>
      </w:r>
      <w:r w:rsidR="00025490" w:rsidRPr="00957F8B">
        <w:rPr>
          <w:i/>
          <w:spacing w:val="-2"/>
          <w:sz w:val="22"/>
          <w:szCs w:val="22"/>
        </w:rPr>
        <w:t>Conan</w:t>
      </w:r>
      <w:r w:rsidR="00025490" w:rsidRPr="00554132">
        <w:rPr>
          <w:spacing w:val="-2"/>
          <w:sz w:val="22"/>
          <w:szCs w:val="22"/>
        </w:rPr>
        <w:t xml:space="preserve"> show have</w:t>
      </w:r>
      <w:r w:rsidR="005C4DFD" w:rsidRPr="00554132">
        <w:rPr>
          <w:spacing w:val="-2"/>
          <w:sz w:val="22"/>
          <w:szCs w:val="22"/>
        </w:rPr>
        <w:t xml:space="preserve"> </w:t>
      </w:r>
      <w:r w:rsidR="00025490" w:rsidRPr="00554132">
        <w:rPr>
          <w:spacing w:val="-2"/>
          <w:sz w:val="22"/>
          <w:szCs w:val="22"/>
        </w:rPr>
        <w:t>undergone standards and practices review.</w:t>
      </w:r>
      <w:r w:rsidR="00025490" w:rsidRPr="00F563A3">
        <w:rPr>
          <w:rStyle w:val="FootnoteReference"/>
          <w:spacing w:val="-2"/>
          <w:sz w:val="22"/>
          <w:szCs w:val="22"/>
        </w:rPr>
        <w:footnoteReference w:id="15"/>
      </w:r>
    </w:p>
    <w:p w:rsidR="000E59DC" w:rsidRPr="00F563A3" w:rsidRDefault="000E59DC" w:rsidP="000E59DC">
      <w:pPr>
        <w:pStyle w:val="Heading1"/>
        <w:widowControl/>
        <w:rPr>
          <w:sz w:val="22"/>
          <w:szCs w:val="22"/>
        </w:rPr>
      </w:pPr>
      <w:r w:rsidRPr="00F563A3">
        <w:rPr>
          <w:sz w:val="22"/>
          <w:szCs w:val="22"/>
        </w:rPr>
        <w:t>DISCUSSION</w:t>
      </w:r>
    </w:p>
    <w:p w:rsidR="000E59DC" w:rsidRPr="002F0B4A" w:rsidRDefault="000E59DC" w:rsidP="000E59DC">
      <w:pPr>
        <w:widowControl/>
        <w:numPr>
          <w:ilvl w:val="0"/>
          <w:numId w:val="22"/>
        </w:numPr>
        <w:tabs>
          <w:tab w:val="clear" w:pos="1260"/>
          <w:tab w:val="left" w:pos="0"/>
          <w:tab w:val="num" w:pos="1440"/>
          <w:tab w:val="left" w:pos="8370"/>
        </w:tabs>
        <w:suppressAutoHyphens/>
        <w:spacing w:after="220"/>
        <w:ind w:left="0"/>
        <w:rPr>
          <w:spacing w:val="-2"/>
          <w:sz w:val="22"/>
          <w:szCs w:val="22"/>
        </w:rPr>
      </w:pPr>
      <w:r w:rsidRPr="00F563A3">
        <w:rPr>
          <w:spacing w:val="-2"/>
          <w:sz w:val="22"/>
          <w:szCs w:val="22"/>
        </w:rPr>
        <w:t xml:space="preserve">Pursuant to Section 503(b)(1) of the Act, any person who is determined by the Commission to have </w:t>
      </w:r>
      <w:r w:rsidRPr="00F563A3">
        <w:rPr>
          <w:sz w:val="22"/>
          <w:szCs w:val="22"/>
        </w:rPr>
        <w:t>willfully or repeatedly failed to comply with any provision of the Act or any rule, regulation, or order issued by the Commission shall be liable to the United States for a forfeiture penalty.</w:t>
      </w:r>
      <w:r w:rsidRPr="00F563A3">
        <w:rPr>
          <w:rStyle w:val="FootnoteReference"/>
          <w:sz w:val="22"/>
          <w:szCs w:val="22"/>
        </w:rPr>
        <w:footnoteReference w:id="16"/>
      </w:r>
      <w:r w:rsidRPr="00F563A3">
        <w:rPr>
          <w:sz w:val="22"/>
          <w:szCs w:val="22"/>
        </w:rPr>
        <w:t xml:space="preserve">  Section 312(f)(1) of the Act defines willful as “the conscious and deliberate commission or omission of any act, irrespective of any intent to violate” the law.</w:t>
      </w:r>
      <w:r w:rsidRPr="00F563A3">
        <w:rPr>
          <w:rStyle w:val="FootnoteReference"/>
          <w:sz w:val="22"/>
          <w:szCs w:val="22"/>
        </w:rPr>
        <w:footnoteReference w:id="17"/>
      </w:r>
      <w:r w:rsidRPr="00F563A3">
        <w:rPr>
          <w:sz w:val="22"/>
          <w:szCs w:val="22"/>
        </w:rPr>
        <w:t xml:space="preserve">  The legislative history to Section 312(f)(1) of the Act clarifies that this definition of willful applies to both Sections 312 and 503(b) of the Act,</w:t>
      </w:r>
      <w:r w:rsidRPr="00F563A3">
        <w:rPr>
          <w:rStyle w:val="FootnoteReference"/>
          <w:sz w:val="22"/>
          <w:szCs w:val="22"/>
        </w:rPr>
        <w:footnoteReference w:id="18"/>
      </w:r>
      <w:r w:rsidRPr="00F563A3">
        <w:rPr>
          <w:sz w:val="22"/>
          <w:szCs w:val="22"/>
        </w:rPr>
        <w:t xml:space="preserve"> and the </w:t>
      </w:r>
      <w:r w:rsidRPr="00F563A3">
        <w:rPr>
          <w:sz w:val="22"/>
          <w:szCs w:val="22"/>
        </w:rPr>
        <w:lastRenderedPageBreak/>
        <w:t>Commission has so interpreted the term in the Section 503(b) context.</w:t>
      </w:r>
      <w:r w:rsidRPr="00F563A3">
        <w:rPr>
          <w:rStyle w:val="FootnoteReference"/>
          <w:sz w:val="22"/>
          <w:szCs w:val="22"/>
        </w:rPr>
        <w:footnoteReference w:id="19"/>
      </w:r>
      <w:r w:rsidRPr="00F563A3">
        <w:rPr>
          <w:sz w:val="22"/>
          <w:szCs w:val="22"/>
        </w:rPr>
        <w:t xml:space="preserve">  The Commission may also assess a forfeiture for violations that are merely repeated, and not willful.</w:t>
      </w:r>
      <w:r w:rsidRPr="00F563A3">
        <w:rPr>
          <w:sz w:val="22"/>
          <w:szCs w:val="22"/>
          <w:vertAlign w:val="superscript"/>
        </w:rPr>
        <w:footnoteReference w:id="20"/>
      </w:r>
      <w:r w:rsidRPr="00F563A3">
        <w:rPr>
          <w:sz w:val="22"/>
          <w:szCs w:val="22"/>
        </w:rPr>
        <w:t xml:space="preserve"> </w:t>
      </w:r>
      <w:r w:rsidRPr="00F563A3">
        <w:rPr>
          <w:i/>
          <w:sz w:val="22"/>
          <w:szCs w:val="22"/>
        </w:rPr>
        <w:t xml:space="preserve"> </w:t>
      </w:r>
      <w:r w:rsidRPr="00F563A3">
        <w:rPr>
          <w:sz w:val="22"/>
          <w:szCs w:val="22"/>
        </w:rPr>
        <w:t>“Repeated” means that the act was committed or omitted more than once, or lasts more than one day.</w:t>
      </w:r>
      <w:r w:rsidRPr="00F563A3">
        <w:rPr>
          <w:sz w:val="22"/>
          <w:szCs w:val="22"/>
          <w:vertAlign w:val="superscript"/>
        </w:rPr>
        <w:footnoteReference w:id="21"/>
      </w:r>
      <w:r w:rsidRPr="00F563A3">
        <w:rPr>
          <w:sz w:val="22"/>
          <w:szCs w:val="22"/>
        </w:rPr>
        <w:t xml:space="preserve">  In order to impose such a penalty, the Commission must issue a notice of apparent liability, the notice must be received, and the person against whom the notice has been issued must have an opportunity to show, in writing, why no such penalty should be imposed.</w:t>
      </w:r>
      <w:r w:rsidRPr="00F563A3">
        <w:rPr>
          <w:rStyle w:val="FootnoteReference"/>
          <w:sz w:val="22"/>
          <w:szCs w:val="22"/>
        </w:rPr>
        <w:footnoteReference w:id="22"/>
      </w:r>
      <w:r w:rsidRPr="00F563A3">
        <w:rPr>
          <w:sz w:val="22"/>
          <w:szCs w:val="22"/>
        </w:rPr>
        <w:t xml:space="preserve">  The Commission will </w:t>
      </w:r>
      <w:r w:rsidRPr="002F0B4A">
        <w:rPr>
          <w:sz w:val="22"/>
          <w:szCs w:val="22"/>
        </w:rPr>
        <w:t>then issue a forfeiture if it finds, by a preponderance of the evidence, that the person has willfully or repeatedly violated the Act or a Commission rule.</w:t>
      </w:r>
      <w:r w:rsidRPr="002F0B4A">
        <w:rPr>
          <w:rStyle w:val="FootnoteReference"/>
          <w:sz w:val="22"/>
          <w:szCs w:val="22"/>
        </w:rPr>
        <w:footnoteReference w:id="23"/>
      </w:r>
      <w:r w:rsidRPr="002F0B4A">
        <w:rPr>
          <w:sz w:val="22"/>
          <w:szCs w:val="22"/>
        </w:rPr>
        <w:t xml:space="preserve">  As described in greater detail below, we conclude under this procedure that </w:t>
      </w:r>
      <w:r w:rsidR="004A2805" w:rsidRPr="002F0B4A">
        <w:rPr>
          <w:sz w:val="22"/>
          <w:szCs w:val="22"/>
        </w:rPr>
        <w:t xml:space="preserve">Turner </w:t>
      </w:r>
      <w:r w:rsidR="00A36999" w:rsidRPr="002F0B4A">
        <w:rPr>
          <w:sz w:val="22"/>
          <w:szCs w:val="22"/>
        </w:rPr>
        <w:t>is</w:t>
      </w:r>
      <w:r w:rsidRPr="002F0B4A">
        <w:rPr>
          <w:sz w:val="22"/>
          <w:szCs w:val="22"/>
        </w:rPr>
        <w:t xml:space="preserve"> apparently liable for a </w:t>
      </w:r>
      <w:r w:rsidR="00120573" w:rsidRPr="002F0B4A">
        <w:rPr>
          <w:sz w:val="22"/>
          <w:szCs w:val="22"/>
        </w:rPr>
        <w:t xml:space="preserve">monetary </w:t>
      </w:r>
      <w:r w:rsidRPr="002F0B4A">
        <w:rPr>
          <w:sz w:val="22"/>
          <w:szCs w:val="22"/>
        </w:rPr>
        <w:t>forfeiture</w:t>
      </w:r>
      <w:r w:rsidR="00120573" w:rsidRPr="002F0B4A">
        <w:rPr>
          <w:sz w:val="22"/>
          <w:szCs w:val="22"/>
        </w:rPr>
        <w:t>,</w:t>
      </w:r>
      <w:r w:rsidRPr="002F0B4A">
        <w:rPr>
          <w:sz w:val="22"/>
          <w:szCs w:val="22"/>
        </w:rPr>
        <w:t xml:space="preserve"> for apparent</w:t>
      </w:r>
      <w:r w:rsidR="008D0C4B" w:rsidRPr="002F0B4A">
        <w:rPr>
          <w:sz w:val="22"/>
          <w:szCs w:val="22"/>
        </w:rPr>
        <w:t>ly</w:t>
      </w:r>
      <w:r w:rsidRPr="002F0B4A">
        <w:rPr>
          <w:sz w:val="22"/>
          <w:szCs w:val="22"/>
        </w:rPr>
        <w:t xml:space="preserve"> willful</w:t>
      </w:r>
      <w:r w:rsidR="008D0C4B" w:rsidRPr="002F0B4A">
        <w:rPr>
          <w:sz w:val="22"/>
          <w:szCs w:val="22"/>
        </w:rPr>
        <w:t>ly</w:t>
      </w:r>
      <w:r w:rsidRPr="002F0B4A">
        <w:rPr>
          <w:sz w:val="22"/>
          <w:szCs w:val="22"/>
        </w:rPr>
        <w:t xml:space="preserve"> and</w:t>
      </w:r>
      <w:r w:rsidR="008D0C4B" w:rsidRPr="002F0B4A">
        <w:rPr>
          <w:sz w:val="22"/>
          <w:szCs w:val="22"/>
        </w:rPr>
        <w:t xml:space="preserve"> repeatedly</w:t>
      </w:r>
      <w:r w:rsidRPr="002F0B4A">
        <w:rPr>
          <w:sz w:val="22"/>
          <w:szCs w:val="22"/>
        </w:rPr>
        <w:t xml:space="preserve"> </w:t>
      </w:r>
      <w:r w:rsidR="00B97123" w:rsidRPr="002F0B4A">
        <w:rPr>
          <w:sz w:val="22"/>
          <w:szCs w:val="22"/>
        </w:rPr>
        <w:t>violating Section 325(a) of the Act and Section 11.45 of the Commission’s rules</w:t>
      </w:r>
      <w:r w:rsidR="00A36999" w:rsidRPr="002F0B4A">
        <w:rPr>
          <w:sz w:val="22"/>
          <w:szCs w:val="22"/>
        </w:rPr>
        <w:t>.</w:t>
      </w:r>
    </w:p>
    <w:p w:rsidR="008D0C4B" w:rsidRDefault="009B445B" w:rsidP="000E59DC">
      <w:pPr>
        <w:widowControl/>
        <w:numPr>
          <w:ilvl w:val="0"/>
          <w:numId w:val="22"/>
        </w:numPr>
        <w:tabs>
          <w:tab w:val="clear" w:pos="1260"/>
          <w:tab w:val="num" w:pos="1440"/>
        </w:tabs>
        <w:autoSpaceDE/>
        <w:autoSpaceDN/>
        <w:adjustRightInd/>
        <w:ind w:left="0"/>
        <w:rPr>
          <w:color w:val="000000"/>
          <w:sz w:val="22"/>
          <w:szCs w:val="22"/>
        </w:rPr>
      </w:pPr>
      <w:r w:rsidRPr="002F0B4A">
        <w:rPr>
          <w:sz w:val="22"/>
          <w:szCs w:val="22"/>
        </w:rPr>
        <w:t xml:space="preserve">Pursuant to Section 325(a) of the Act, </w:t>
      </w:r>
      <w:r w:rsidR="002F0B4A">
        <w:rPr>
          <w:sz w:val="22"/>
          <w:szCs w:val="22"/>
        </w:rPr>
        <w:t>“</w:t>
      </w:r>
      <w:r w:rsidR="001646B8">
        <w:rPr>
          <w:sz w:val="22"/>
          <w:szCs w:val="22"/>
        </w:rPr>
        <w:t>[</w:t>
      </w:r>
      <w:r w:rsidRPr="002F0B4A">
        <w:rPr>
          <w:sz w:val="22"/>
          <w:szCs w:val="22"/>
        </w:rPr>
        <w:t>n</w:t>
      </w:r>
      <w:r w:rsidR="001646B8">
        <w:rPr>
          <w:sz w:val="22"/>
          <w:szCs w:val="22"/>
        </w:rPr>
        <w:t>]</w:t>
      </w:r>
      <w:r w:rsidRPr="002F0B4A">
        <w:rPr>
          <w:sz w:val="22"/>
          <w:szCs w:val="22"/>
        </w:rPr>
        <w:t xml:space="preserve">o person within the jurisdiction of the United States shall knowingly utter </w:t>
      </w:r>
      <w:r w:rsidR="002F0B4A" w:rsidRPr="002F0B4A">
        <w:rPr>
          <w:sz w:val="22"/>
          <w:szCs w:val="22"/>
        </w:rPr>
        <w:t>or transmit, or cause to be uttered or transmitted, any false or fraudulent signal of distress, or communication relating thereto</w:t>
      </w:r>
      <w:r w:rsidRPr="002F0B4A">
        <w:rPr>
          <w:sz w:val="22"/>
          <w:szCs w:val="22"/>
        </w:rPr>
        <w:t>.</w:t>
      </w:r>
      <w:r w:rsidR="002F0B4A">
        <w:rPr>
          <w:sz w:val="22"/>
          <w:szCs w:val="22"/>
        </w:rPr>
        <w:t>”</w:t>
      </w:r>
      <w:r w:rsidRPr="002F0B4A">
        <w:rPr>
          <w:rStyle w:val="FootnoteReference"/>
          <w:sz w:val="22"/>
          <w:szCs w:val="22"/>
        </w:rPr>
        <w:footnoteReference w:id="24"/>
      </w:r>
      <w:r w:rsidRPr="002F0B4A">
        <w:rPr>
          <w:sz w:val="22"/>
          <w:szCs w:val="22"/>
        </w:rPr>
        <w:t xml:space="preserve">  </w:t>
      </w:r>
      <w:bookmarkStart w:id="1" w:name="ID8C6A0A2DFB711E09E30CFCCF2216C1F"/>
      <w:bookmarkEnd w:id="1"/>
      <w:r w:rsidR="008D0C4B" w:rsidRPr="002F0B4A">
        <w:rPr>
          <w:color w:val="000000"/>
          <w:sz w:val="22"/>
          <w:szCs w:val="22"/>
        </w:rPr>
        <w:t>Under Section 11.45</w:t>
      </w:r>
      <w:r w:rsidR="000E59DC" w:rsidRPr="002F0B4A">
        <w:rPr>
          <w:color w:val="000000"/>
          <w:sz w:val="22"/>
          <w:szCs w:val="22"/>
        </w:rPr>
        <w:t xml:space="preserve"> of the Commission’s rules, </w:t>
      </w:r>
      <w:r w:rsidR="008D0C4B" w:rsidRPr="002F0B4A">
        <w:rPr>
          <w:color w:val="000000"/>
          <w:sz w:val="22"/>
          <w:szCs w:val="22"/>
        </w:rPr>
        <w:t>“[n]o person may transmit or cause to transmit the EAS codes or Attention Signal, or a recording or simulation thereof, in any circumstance other than in an actual National, State or Local Area emergency or authorized test of the EAS.”</w:t>
      </w:r>
      <w:r w:rsidR="008D0C4B" w:rsidRPr="002F0B4A">
        <w:rPr>
          <w:rStyle w:val="FootnoteReference"/>
          <w:color w:val="000000"/>
          <w:sz w:val="22"/>
          <w:szCs w:val="22"/>
        </w:rPr>
        <w:footnoteReference w:id="25"/>
      </w:r>
      <w:r w:rsidR="008D0C4B" w:rsidRPr="002F0B4A">
        <w:rPr>
          <w:color w:val="000000"/>
          <w:sz w:val="22"/>
          <w:szCs w:val="22"/>
        </w:rPr>
        <w:t xml:space="preserve">  </w:t>
      </w:r>
      <w:r w:rsidR="0094057E">
        <w:rPr>
          <w:sz w:val="22"/>
          <w:szCs w:val="22"/>
        </w:rPr>
        <w:t xml:space="preserve">Moreover, </w:t>
      </w:r>
      <w:r w:rsidR="0094057E">
        <w:rPr>
          <w:color w:val="000000"/>
          <w:sz w:val="22"/>
          <w:szCs w:val="22"/>
        </w:rPr>
        <w:t>a</w:t>
      </w:r>
      <w:r w:rsidR="00B97123" w:rsidRPr="002F0B4A">
        <w:rPr>
          <w:color w:val="000000"/>
          <w:sz w:val="22"/>
          <w:szCs w:val="22"/>
        </w:rPr>
        <w:t xml:space="preserve">s </w:t>
      </w:r>
      <w:r w:rsidR="0094057E">
        <w:rPr>
          <w:color w:val="000000"/>
          <w:sz w:val="22"/>
          <w:szCs w:val="22"/>
        </w:rPr>
        <w:t>Section 11.45 of the Commission’s rules</w:t>
      </w:r>
      <w:r w:rsidR="00B97123" w:rsidRPr="002F0B4A">
        <w:rPr>
          <w:color w:val="000000"/>
          <w:sz w:val="22"/>
          <w:szCs w:val="22"/>
        </w:rPr>
        <w:t xml:space="preserve"> clearly and separately addresses “simulation” of the EAS codes or Attention Signal, it is axiomatic that a “</w:t>
      </w:r>
      <w:r w:rsidR="008D0C4B" w:rsidRPr="002F0B4A">
        <w:rPr>
          <w:color w:val="000000"/>
          <w:sz w:val="22"/>
          <w:szCs w:val="22"/>
        </w:rPr>
        <w:t>simulation</w:t>
      </w:r>
      <w:r w:rsidR="00B97123" w:rsidRPr="002F0B4A">
        <w:rPr>
          <w:color w:val="000000"/>
          <w:sz w:val="22"/>
          <w:szCs w:val="22"/>
        </w:rPr>
        <w:t>”</w:t>
      </w:r>
      <w:r w:rsidR="008D0C4B" w:rsidRPr="002F0B4A">
        <w:rPr>
          <w:color w:val="000000"/>
          <w:sz w:val="22"/>
          <w:szCs w:val="22"/>
        </w:rPr>
        <w:t xml:space="preserve"> of the EAS codes or Attention Signal </w:t>
      </w:r>
      <w:r w:rsidR="00B97123" w:rsidRPr="002F0B4A">
        <w:rPr>
          <w:color w:val="000000"/>
          <w:sz w:val="22"/>
          <w:szCs w:val="22"/>
        </w:rPr>
        <w:t xml:space="preserve">is not limited to </w:t>
      </w:r>
      <w:r w:rsidR="008D0C4B" w:rsidRPr="002F0B4A">
        <w:rPr>
          <w:color w:val="000000"/>
          <w:sz w:val="22"/>
          <w:szCs w:val="22"/>
        </w:rPr>
        <w:t>recordings of actual EAS codes or Attention Signals,</w:t>
      </w:r>
      <w:r w:rsidR="008D0C4B" w:rsidRPr="00F563A3">
        <w:rPr>
          <w:rStyle w:val="FootnoteReference"/>
          <w:color w:val="000000"/>
          <w:sz w:val="22"/>
          <w:szCs w:val="22"/>
        </w:rPr>
        <w:footnoteReference w:id="26"/>
      </w:r>
      <w:r w:rsidR="008D0C4B" w:rsidRPr="002F0B4A">
        <w:rPr>
          <w:color w:val="000000"/>
          <w:sz w:val="22"/>
          <w:szCs w:val="22"/>
        </w:rPr>
        <w:t xml:space="preserve"> but also </w:t>
      </w:r>
      <w:r w:rsidR="00B97123" w:rsidRPr="002F0B4A">
        <w:rPr>
          <w:color w:val="000000"/>
          <w:sz w:val="22"/>
          <w:szCs w:val="22"/>
        </w:rPr>
        <w:t xml:space="preserve">includes </w:t>
      </w:r>
      <w:r w:rsidR="008D0C4B" w:rsidRPr="002F0B4A">
        <w:rPr>
          <w:color w:val="000000"/>
          <w:sz w:val="22"/>
          <w:szCs w:val="22"/>
        </w:rPr>
        <w:t>the transmission of sounds that mimic or are substantially similar to the sounds made by the transmission of EAS codes or the EAS Attention Signal.</w:t>
      </w:r>
    </w:p>
    <w:p w:rsidR="00793EA5" w:rsidRDefault="00793EA5" w:rsidP="00CA4548">
      <w:pPr>
        <w:widowControl/>
        <w:autoSpaceDE/>
        <w:autoSpaceDN/>
        <w:adjustRightInd/>
        <w:ind w:left="720"/>
        <w:rPr>
          <w:color w:val="000000"/>
          <w:sz w:val="22"/>
          <w:szCs w:val="22"/>
        </w:rPr>
      </w:pPr>
    </w:p>
    <w:p w:rsidR="00793EA5" w:rsidRPr="002F0B4A" w:rsidRDefault="00793EA5" w:rsidP="000E59DC">
      <w:pPr>
        <w:widowControl/>
        <w:numPr>
          <w:ilvl w:val="0"/>
          <w:numId w:val="22"/>
        </w:numPr>
        <w:tabs>
          <w:tab w:val="clear" w:pos="1260"/>
          <w:tab w:val="num" w:pos="1440"/>
        </w:tabs>
        <w:autoSpaceDE/>
        <w:autoSpaceDN/>
        <w:adjustRightInd/>
        <w:ind w:left="0"/>
        <w:rPr>
          <w:color w:val="000000"/>
          <w:sz w:val="22"/>
          <w:szCs w:val="22"/>
        </w:rPr>
      </w:pPr>
      <w:r>
        <w:rPr>
          <w:color w:val="000000"/>
          <w:sz w:val="22"/>
          <w:szCs w:val="22"/>
        </w:rPr>
        <w:t xml:space="preserve">The record reflects that </w:t>
      </w:r>
      <w:r>
        <w:rPr>
          <w:sz w:val="22"/>
          <w:szCs w:val="22"/>
        </w:rPr>
        <w:t xml:space="preserve">Turner itself produced the </w:t>
      </w:r>
      <w:r w:rsidRPr="00957F8B">
        <w:rPr>
          <w:i/>
          <w:sz w:val="22"/>
          <w:szCs w:val="22"/>
        </w:rPr>
        <w:t>Conan</w:t>
      </w:r>
      <w:r>
        <w:rPr>
          <w:sz w:val="22"/>
          <w:szCs w:val="22"/>
        </w:rPr>
        <w:t xml:space="preserve"> promotion and inserted </w:t>
      </w:r>
      <w:r w:rsidR="00FD2F8C">
        <w:rPr>
          <w:sz w:val="22"/>
          <w:szCs w:val="22"/>
        </w:rPr>
        <w:t>it</w:t>
      </w:r>
      <w:r>
        <w:rPr>
          <w:sz w:val="22"/>
          <w:szCs w:val="22"/>
        </w:rPr>
        <w:t xml:space="preserve"> into the TBS Network programming.</w:t>
      </w:r>
      <w:r>
        <w:rPr>
          <w:rStyle w:val="FootnoteReference"/>
          <w:sz w:val="22"/>
          <w:szCs w:val="22"/>
        </w:rPr>
        <w:footnoteReference w:id="27"/>
      </w:r>
      <w:r>
        <w:rPr>
          <w:sz w:val="22"/>
          <w:szCs w:val="22"/>
        </w:rPr>
        <w:t xml:space="preserve">  It is our understanding that TBS Network programming </w:t>
      </w:r>
      <w:r w:rsidR="00DF4BA9">
        <w:rPr>
          <w:sz w:val="22"/>
          <w:szCs w:val="22"/>
        </w:rPr>
        <w:t>is</w:t>
      </w:r>
      <w:r>
        <w:rPr>
          <w:sz w:val="22"/>
          <w:szCs w:val="22"/>
        </w:rPr>
        <w:t xml:space="preserve"> delivered by Turner to various multichannel video programming distributors (MVPDs</w:t>
      </w:r>
      <w:r w:rsidR="000708E6">
        <w:rPr>
          <w:sz w:val="22"/>
          <w:szCs w:val="22"/>
        </w:rPr>
        <w:t>)</w:t>
      </w:r>
      <w:r>
        <w:rPr>
          <w:sz w:val="22"/>
          <w:szCs w:val="22"/>
        </w:rPr>
        <w:t xml:space="preserve"> throughout the country </w:t>
      </w:r>
      <w:r w:rsidRPr="00957F8B">
        <w:rPr>
          <w:sz w:val="22"/>
          <w:szCs w:val="22"/>
        </w:rPr>
        <w:t>via</w:t>
      </w:r>
      <w:r>
        <w:rPr>
          <w:i/>
          <w:sz w:val="22"/>
          <w:szCs w:val="22"/>
        </w:rPr>
        <w:t xml:space="preserve"> </w:t>
      </w:r>
      <w:r>
        <w:rPr>
          <w:sz w:val="22"/>
          <w:szCs w:val="22"/>
        </w:rPr>
        <w:t xml:space="preserve">satellite with the intent (indeed, the contractual </w:t>
      </w:r>
      <w:r w:rsidRPr="000708E6">
        <w:rPr>
          <w:sz w:val="22"/>
          <w:szCs w:val="22"/>
        </w:rPr>
        <w:t>obligation) that the network programming ultimately be transmitted by the MVPDs to the MVPDs’ subscribers.</w:t>
      </w:r>
      <w:r w:rsidR="000708E6" w:rsidRPr="000708E6">
        <w:rPr>
          <w:rStyle w:val="FootnoteReference"/>
          <w:sz w:val="22"/>
          <w:szCs w:val="22"/>
        </w:rPr>
        <w:footnoteReference w:id="28"/>
      </w:r>
      <w:r w:rsidRPr="000708E6">
        <w:rPr>
          <w:sz w:val="22"/>
          <w:szCs w:val="22"/>
        </w:rPr>
        <w:t xml:space="preserve"> </w:t>
      </w:r>
      <w:r w:rsidR="000708E6" w:rsidRPr="000708E6">
        <w:rPr>
          <w:sz w:val="22"/>
          <w:szCs w:val="22"/>
        </w:rPr>
        <w:t xml:space="preserve"> It is our further understanding that Turner actually delivers </w:t>
      </w:r>
      <w:r w:rsidR="000708E6" w:rsidRPr="00CA4548">
        <w:rPr>
          <w:sz w:val="22"/>
          <w:szCs w:val="22"/>
        </w:rPr>
        <w:t>two feeds of its network programming in this manner—an East Coast feed and an essentially identical West Coast feed, which is the same programming time</w:t>
      </w:r>
      <w:r w:rsidR="00CB7AFD">
        <w:rPr>
          <w:sz w:val="22"/>
          <w:szCs w:val="22"/>
        </w:rPr>
        <w:t>-</w:t>
      </w:r>
      <w:r w:rsidR="000708E6" w:rsidRPr="00CA4548">
        <w:rPr>
          <w:sz w:val="22"/>
          <w:szCs w:val="22"/>
        </w:rPr>
        <w:t>shifted by three hours</w:t>
      </w:r>
      <w:r w:rsidR="000708E6">
        <w:rPr>
          <w:sz w:val="22"/>
          <w:szCs w:val="22"/>
        </w:rPr>
        <w:t>.</w:t>
      </w:r>
      <w:r w:rsidR="00665F57">
        <w:rPr>
          <w:rStyle w:val="FootnoteReference"/>
          <w:sz w:val="22"/>
          <w:szCs w:val="22"/>
        </w:rPr>
        <w:footnoteReference w:id="29"/>
      </w:r>
      <w:r w:rsidR="000708E6">
        <w:rPr>
          <w:sz w:val="22"/>
          <w:szCs w:val="22"/>
        </w:rPr>
        <w:t xml:space="preserve">  Based on the for</w:t>
      </w:r>
      <w:r w:rsidR="00BE0EDF">
        <w:rPr>
          <w:sz w:val="22"/>
          <w:szCs w:val="22"/>
        </w:rPr>
        <w:t>e</w:t>
      </w:r>
      <w:r w:rsidR="000708E6">
        <w:rPr>
          <w:sz w:val="22"/>
          <w:szCs w:val="22"/>
        </w:rPr>
        <w:t xml:space="preserve">going, we find that Turner transmitted, or caused to be transmitted, </w:t>
      </w:r>
      <w:r w:rsidR="00955028">
        <w:rPr>
          <w:sz w:val="22"/>
          <w:szCs w:val="22"/>
        </w:rPr>
        <w:t xml:space="preserve">the </w:t>
      </w:r>
      <w:r w:rsidR="00955028">
        <w:rPr>
          <w:i/>
          <w:sz w:val="22"/>
          <w:szCs w:val="22"/>
        </w:rPr>
        <w:t>Conan</w:t>
      </w:r>
      <w:r w:rsidR="00955028">
        <w:rPr>
          <w:sz w:val="22"/>
          <w:szCs w:val="22"/>
        </w:rPr>
        <w:t xml:space="preserve"> promotion on April 26, 2013</w:t>
      </w:r>
      <w:r w:rsidR="000708E6">
        <w:rPr>
          <w:sz w:val="22"/>
          <w:szCs w:val="22"/>
        </w:rPr>
        <w:t xml:space="preserve">.  </w:t>
      </w:r>
    </w:p>
    <w:p w:rsidR="008D0C4B" w:rsidRPr="00F563A3" w:rsidRDefault="008D0C4B" w:rsidP="008D0C4B">
      <w:pPr>
        <w:widowControl/>
        <w:rPr>
          <w:color w:val="000000"/>
          <w:sz w:val="22"/>
          <w:szCs w:val="22"/>
        </w:rPr>
      </w:pPr>
    </w:p>
    <w:p w:rsidR="005E6B95" w:rsidRPr="008A281C" w:rsidRDefault="008D0C4B" w:rsidP="005E6B95">
      <w:pPr>
        <w:widowControl/>
        <w:numPr>
          <w:ilvl w:val="0"/>
          <w:numId w:val="22"/>
        </w:numPr>
        <w:tabs>
          <w:tab w:val="clear" w:pos="1260"/>
          <w:tab w:val="num" w:pos="1440"/>
        </w:tabs>
        <w:ind w:left="0"/>
        <w:rPr>
          <w:color w:val="000000"/>
          <w:sz w:val="22"/>
          <w:szCs w:val="22"/>
        </w:rPr>
      </w:pPr>
      <w:r w:rsidRPr="008A281C">
        <w:rPr>
          <w:color w:val="000000"/>
          <w:sz w:val="22"/>
          <w:szCs w:val="22"/>
        </w:rPr>
        <w:t>Based on our review of the recording</w:t>
      </w:r>
      <w:r w:rsidR="00FD2F8C">
        <w:rPr>
          <w:color w:val="000000"/>
          <w:sz w:val="22"/>
          <w:szCs w:val="22"/>
        </w:rPr>
        <w:t xml:space="preserve"> of the promotion</w:t>
      </w:r>
      <w:r w:rsidRPr="008A281C">
        <w:rPr>
          <w:color w:val="000000"/>
          <w:sz w:val="22"/>
          <w:szCs w:val="22"/>
        </w:rPr>
        <w:t xml:space="preserve"> provided by Turner in the </w:t>
      </w:r>
      <w:r w:rsidR="00611C09">
        <w:rPr>
          <w:color w:val="000000"/>
          <w:sz w:val="22"/>
          <w:szCs w:val="22"/>
        </w:rPr>
        <w:t>LOI</w:t>
      </w:r>
      <w:r w:rsidR="00955028">
        <w:rPr>
          <w:color w:val="000000"/>
          <w:sz w:val="22"/>
          <w:szCs w:val="22"/>
        </w:rPr>
        <w:t xml:space="preserve"> Response</w:t>
      </w:r>
      <w:r w:rsidRPr="008A281C">
        <w:rPr>
          <w:color w:val="000000"/>
          <w:sz w:val="22"/>
          <w:szCs w:val="22"/>
        </w:rPr>
        <w:t xml:space="preserve">, </w:t>
      </w:r>
      <w:r w:rsidR="008B4FB7" w:rsidRPr="008A281C">
        <w:rPr>
          <w:color w:val="000000"/>
          <w:sz w:val="22"/>
          <w:szCs w:val="22"/>
        </w:rPr>
        <w:t>we find</w:t>
      </w:r>
      <w:r w:rsidRPr="008A281C">
        <w:rPr>
          <w:color w:val="000000"/>
          <w:sz w:val="22"/>
          <w:szCs w:val="22"/>
        </w:rPr>
        <w:t xml:space="preserve"> that </w:t>
      </w:r>
      <w:r w:rsidR="00955028">
        <w:rPr>
          <w:color w:val="000000"/>
          <w:sz w:val="22"/>
          <w:szCs w:val="22"/>
        </w:rPr>
        <w:t xml:space="preserve">the </w:t>
      </w:r>
      <w:r w:rsidR="00955028">
        <w:rPr>
          <w:i/>
          <w:sz w:val="22"/>
          <w:szCs w:val="22"/>
        </w:rPr>
        <w:t>Conan</w:t>
      </w:r>
      <w:r w:rsidR="00955028">
        <w:rPr>
          <w:sz w:val="22"/>
          <w:szCs w:val="22"/>
        </w:rPr>
        <w:t xml:space="preserve"> promotion</w:t>
      </w:r>
      <w:r w:rsidRPr="008A281C">
        <w:rPr>
          <w:color w:val="000000"/>
          <w:sz w:val="22"/>
          <w:szCs w:val="22"/>
        </w:rPr>
        <w:t xml:space="preserve"> includes audio material that constitutes a simulation of the EAS</w:t>
      </w:r>
      <w:r w:rsidR="00B97123" w:rsidRPr="008A281C">
        <w:rPr>
          <w:color w:val="000000"/>
          <w:sz w:val="22"/>
          <w:szCs w:val="22"/>
        </w:rPr>
        <w:t xml:space="preserve"> codes</w:t>
      </w:r>
      <w:r w:rsidR="00146021">
        <w:rPr>
          <w:color w:val="000000"/>
          <w:sz w:val="22"/>
          <w:szCs w:val="22"/>
        </w:rPr>
        <w:t xml:space="preserve"> and Attention Signal</w:t>
      </w:r>
      <w:r w:rsidRPr="008A281C">
        <w:rPr>
          <w:color w:val="000000"/>
          <w:sz w:val="22"/>
          <w:szCs w:val="22"/>
        </w:rPr>
        <w:t>.  Although Turner asserts that none of the material includes embedded EAS data,</w:t>
      </w:r>
      <w:r w:rsidRPr="00F563A3">
        <w:rPr>
          <w:rStyle w:val="FootnoteReference"/>
          <w:color w:val="000000"/>
          <w:sz w:val="22"/>
          <w:szCs w:val="22"/>
        </w:rPr>
        <w:footnoteReference w:id="30"/>
      </w:r>
      <w:r w:rsidRPr="008A281C">
        <w:rPr>
          <w:color w:val="000000"/>
          <w:sz w:val="22"/>
          <w:szCs w:val="22"/>
        </w:rPr>
        <w:t xml:space="preserve"> </w:t>
      </w:r>
      <w:r w:rsidR="00B97123" w:rsidRPr="008A281C">
        <w:rPr>
          <w:color w:val="000000"/>
          <w:sz w:val="22"/>
          <w:szCs w:val="22"/>
        </w:rPr>
        <w:t xml:space="preserve">as noted above, a “simulation” </w:t>
      </w:r>
      <w:r w:rsidR="008A281C" w:rsidRPr="008A281C">
        <w:rPr>
          <w:color w:val="000000"/>
          <w:sz w:val="22"/>
          <w:szCs w:val="22"/>
        </w:rPr>
        <w:t>need not be</w:t>
      </w:r>
      <w:r w:rsidR="00B97123" w:rsidRPr="008A281C">
        <w:rPr>
          <w:color w:val="000000"/>
          <w:sz w:val="22"/>
          <w:szCs w:val="22"/>
        </w:rPr>
        <w:t xml:space="preserve"> an exact copy or recording of the EAS codes</w:t>
      </w:r>
      <w:r w:rsidR="008A281C" w:rsidRPr="008A281C">
        <w:rPr>
          <w:color w:val="000000"/>
          <w:sz w:val="22"/>
          <w:szCs w:val="22"/>
        </w:rPr>
        <w:t>.  Nor does the rule require the inclusion of embedded EAS data.</w:t>
      </w:r>
      <w:r w:rsidR="008A281C">
        <w:rPr>
          <w:rStyle w:val="FootnoteReference"/>
          <w:color w:val="000000"/>
          <w:sz w:val="22"/>
          <w:szCs w:val="22"/>
        </w:rPr>
        <w:footnoteReference w:id="31"/>
      </w:r>
      <w:r w:rsidR="008A281C" w:rsidRPr="008A281C">
        <w:rPr>
          <w:color w:val="000000"/>
          <w:sz w:val="22"/>
          <w:szCs w:val="22"/>
        </w:rPr>
        <w:t xml:space="preserve">  Based on our review of the recording, </w:t>
      </w:r>
      <w:r w:rsidR="008B4FB7" w:rsidRPr="008A281C">
        <w:rPr>
          <w:color w:val="000000"/>
          <w:sz w:val="22"/>
          <w:szCs w:val="22"/>
        </w:rPr>
        <w:t>we find</w:t>
      </w:r>
      <w:r w:rsidRPr="008A281C">
        <w:rPr>
          <w:color w:val="000000"/>
          <w:sz w:val="22"/>
          <w:szCs w:val="22"/>
        </w:rPr>
        <w:t xml:space="preserve"> that the sounds used in the material are substantially similar to the sounds made by the transmission of EAS codes</w:t>
      </w:r>
      <w:r w:rsidR="008A281C" w:rsidRPr="008A281C">
        <w:rPr>
          <w:color w:val="000000"/>
          <w:sz w:val="22"/>
          <w:szCs w:val="22"/>
        </w:rPr>
        <w:t xml:space="preserve"> such that an average </w:t>
      </w:r>
      <w:r w:rsidR="00472FA7">
        <w:rPr>
          <w:color w:val="000000"/>
          <w:sz w:val="22"/>
          <w:szCs w:val="22"/>
        </w:rPr>
        <w:t>audience member</w:t>
      </w:r>
      <w:r w:rsidR="008A281C" w:rsidRPr="008A281C">
        <w:rPr>
          <w:color w:val="000000"/>
          <w:sz w:val="22"/>
          <w:szCs w:val="22"/>
        </w:rPr>
        <w:t xml:space="preserve"> would reasonably mistake the sounds for </w:t>
      </w:r>
      <w:r w:rsidR="001B1BBD">
        <w:rPr>
          <w:color w:val="000000"/>
          <w:sz w:val="22"/>
          <w:szCs w:val="22"/>
        </w:rPr>
        <w:t xml:space="preserve">the sounds made by </w:t>
      </w:r>
      <w:r w:rsidR="008A281C" w:rsidRPr="008A281C">
        <w:rPr>
          <w:color w:val="000000"/>
          <w:sz w:val="22"/>
          <w:szCs w:val="22"/>
        </w:rPr>
        <w:t>actual EAS codes.</w:t>
      </w:r>
      <w:r w:rsidR="00690D99">
        <w:rPr>
          <w:rStyle w:val="FootnoteReference"/>
          <w:color w:val="000000"/>
          <w:sz w:val="22"/>
          <w:szCs w:val="22"/>
        </w:rPr>
        <w:footnoteReference w:id="32"/>
      </w:r>
      <w:r w:rsidR="008A281C" w:rsidRPr="008A281C">
        <w:rPr>
          <w:color w:val="000000"/>
          <w:sz w:val="22"/>
          <w:szCs w:val="22"/>
        </w:rPr>
        <w:t xml:space="preserve">  Turner further asserts that the second audio element in the </w:t>
      </w:r>
      <w:r w:rsidR="008A281C" w:rsidRPr="00957F8B">
        <w:rPr>
          <w:i/>
          <w:color w:val="000000"/>
          <w:sz w:val="22"/>
          <w:szCs w:val="22"/>
        </w:rPr>
        <w:t>Conan</w:t>
      </w:r>
      <w:r w:rsidR="008A281C" w:rsidRPr="008A281C">
        <w:rPr>
          <w:color w:val="000000"/>
          <w:sz w:val="22"/>
          <w:szCs w:val="22"/>
        </w:rPr>
        <w:t xml:space="preserve"> promotion was similar to the “bars and tone” sound associated with color bar test patterns.</w:t>
      </w:r>
      <w:r w:rsidR="00957F8B">
        <w:rPr>
          <w:rStyle w:val="FootnoteReference"/>
          <w:color w:val="000000"/>
          <w:sz w:val="22"/>
          <w:szCs w:val="22"/>
        </w:rPr>
        <w:footnoteReference w:id="33"/>
      </w:r>
      <w:r w:rsidR="008A281C" w:rsidRPr="008A281C">
        <w:rPr>
          <w:color w:val="000000"/>
          <w:sz w:val="22"/>
          <w:szCs w:val="22"/>
        </w:rPr>
        <w:t xml:space="preserve">  </w:t>
      </w:r>
      <w:r w:rsidR="001B1BBD">
        <w:rPr>
          <w:color w:val="000000"/>
          <w:sz w:val="22"/>
          <w:szCs w:val="22"/>
        </w:rPr>
        <w:t>B</w:t>
      </w:r>
      <w:r w:rsidR="008A281C" w:rsidRPr="008A281C">
        <w:rPr>
          <w:color w:val="000000"/>
          <w:sz w:val="22"/>
          <w:szCs w:val="22"/>
        </w:rPr>
        <w:t>ased on our review</w:t>
      </w:r>
      <w:r w:rsidR="008A281C" w:rsidRPr="00351788">
        <w:rPr>
          <w:color w:val="000000"/>
          <w:sz w:val="22"/>
        </w:rPr>
        <w:t xml:space="preserve"> of the recording</w:t>
      </w:r>
      <w:r w:rsidR="008A281C" w:rsidRPr="008A281C">
        <w:rPr>
          <w:color w:val="000000"/>
          <w:sz w:val="22"/>
          <w:szCs w:val="22"/>
        </w:rPr>
        <w:t xml:space="preserve">, </w:t>
      </w:r>
      <w:r w:rsidR="001B1BBD">
        <w:rPr>
          <w:color w:val="000000"/>
          <w:sz w:val="22"/>
          <w:szCs w:val="22"/>
        </w:rPr>
        <w:t xml:space="preserve">however, </w:t>
      </w:r>
      <w:r w:rsidR="008A281C" w:rsidRPr="008A281C">
        <w:rPr>
          <w:color w:val="000000"/>
          <w:sz w:val="22"/>
          <w:szCs w:val="22"/>
        </w:rPr>
        <w:t xml:space="preserve">we find that </w:t>
      </w:r>
      <w:r w:rsidR="000708E6">
        <w:rPr>
          <w:color w:val="000000"/>
          <w:sz w:val="22"/>
          <w:szCs w:val="22"/>
        </w:rPr>
        <w:t>the second audio element</w:t>
      </w:r>
      <w:r w:rsidR="008A281C" w:rsidRPr="008A281C">
        <w:rPr>
          <w:color w:val="000000"/>
          <w:sz w:val="22"/>
          <w:szCs w:val="22"/>
        </w:rPr>
        <w:t xml:space="preserve"> used in the </w:t>
      </w:r>
      <w:r w:rsidR="008A281C" w:rsidRPr="00957F8B">
        <w:rPr>
          <w:i/>
          <w:color w:val="000000"/>
          <w:sz w:val="22"/>
          <w:szCs w:val="22"/>
        </w:rPr>
        <w:t>Conan</w:t>
      </w:r>
      <w:r w:rsidR="008A281C" w:rsidRPr="008A281C">
        <w:rPr>
          <w:color w:val="000000"/>
          <w:sz w:val="22"/>
          <w:szCs w:val="22"/>
        </w:rPr>
        <w:t xml:space="preserve"> promotion was</w:t>
      </w:r>
      <w:r w:rsidR="0094057E">
        <w:rPr>
          <w:color w:val="000000"/>
          <w:sz w:val="22"/>
          <w:szCs w:val="22"/>
        </w:rPr>
        <w:t xml:space="preserve"> a dual tone sound that is</w:t>
      </w:r>
      <w:r w:rsidR="008A281C" w:rsidRPr="00351788">
        <w:rPr>
          <w:color w:val="000000"/>
          <w:sz w:val="22"/>
        </w:rPr>
        <w:t xml:space="preserve"> substantially similar to the </w:t>
      </w:r>
      <w:r w:rsidR="008A281C" w:rsidRPr="008A281C">
        <w:rPr>
          <w:color w:val="000000"/>
          <w:sz w:val="22"/>
          <w:szCs w:val="22"/>
        </w:rPr>
        <w:t>dual</w:t>
      </w:r>
      <w:r w:rsidR="00944D07">
        <w:rPr>
          <w:color w:val="000000"/>
          <w:sz w:val="22"/>
          <w:szCs w:val="22"/>
        </w:rPr>
        <w:t>-</w:t>
      </w:r>
      <w:r w:rsidR="008A281C" w:rsidRPr="008A281C">
        <w:rPr>
          <w:color w:val="000000"/>
          <w:sz w:val="22"/>
          <w:szCs w:val="22"/>
        </w:rPr>
        <w:t>tone</w:t>
      </w:r>
      <w:r w:rsidR="008A281C" w:rsidRPr="00351788">
        <w:rPr>
          <w:color w:val="000000"/>
          <w:sz w:val="22"/>
        </w:rPr>
        <w:t xml:space="preserve"> </w:t>
      </w:r>
      <w:r w:rsidR="005E6B95" w:rsidRPr="008A281C">
        <w:rPr>
          <w:sz w:val="22"/>
          <w:szCs w:val="22"/>
        </w:rPr>
        <w:t>EAS Attention Signa</w:t>
      </w:r>
      <w:r w:rsidR="0094057E">
        <w:rPr>
          <w:sz w:val="22"/>
          <w:szCs w:val="22"/>
        </w:rPr>
        <w:t>l</w:t>
      </w:r>
      <w:r w:rsidR="001B1BBD" w:rsidRPr="00F563A3">
        <w:rPr>
          <w:rStyle w:val="FootnoteReference"/>
          <w:sz w:val="22"/>
          <w:szCs w:val="22"/>
        </w:rPr>
        <w:footnoteReference w:id="34"/>
      </w:r>
      <w:r w:rsidR="000708E6">
        <w:rPr>
          <w:sz w:val="22"/>
          <w:szCs w:val="22"/>
        </w:rPr>
        <w:t>—</w:t>
      </w:r>
      <w:r w:rsidR="0094057E">
        <w:rPr>
          <w:sz w:val="22"/>
          <w:szCs w:val="22"/>
        </w:rPr>
        <w:t>such that an average listener would reasonably mistake the sounds for an actual EAS Attention Signal</w:t>
      </w:r>
      <w:r w:rsidR="000708E6">
        <w:rPr>
          <w:sz w:val="22"/>
          <w:szCs w:val="22"/>
        </w:rPr>
        <w:t>—</w:t>
      </w:r>
      <w:r w:rsidR="0094057E">
        <w:rPr>
          <w:sz w:val="22"/>
          <w:szCs w:val="22"/>
        </w:rPr>
        <w:t>and was unlike the single tone sound typically used in bars and tone test patterns.</w:t>
      </w:r>
      <w:r w:rsidR="005E6B95" w:rsidRPr="008A281C">
        <w:rPr>
          <w:sz w:val="22"/>
          <w:szCs w:val="22"/>
        </w:rPr>
        <w:t xml:space="preserve"> </w:t>
      </w:r>
      <w:r w:rsidR="0094057E">
        <w:rPr>
          <w:sz w:val="22"/>
          <w:szCs w:val="22"/>
        </w:rPr>
        <w:t xml:space="preserve"> </w:t>
      </w:r>
      <w:r w:rsidRPr="008A281C">
        <w:rPr>
          <w:color w:val="000000"/>
          <w:sz w:val="22"/>
          <w:szCs w:val="22"/>
        </w:rPr>
        <w:t>As Turner a</w:t>
      </w:r>
      <w:r w:rsidR="008A281C">
        <w:rPr>
          <w:color w:val="000000"/>
          <w:sz w:val="22"/>
          <w:szCs w:val="22"/>
        </w:rPr>
        <w:t>dmits</w:t>
      </w:r>
      <w:r w:rsidRPr="008A281C">
        <w:rPr>
          <w:color w:val="000000"/>
          <w:sz w:val="22"/>
          <w:szCs w:val="22"/>
        </w:rPr>
        <w:t xml:space="preserve"> that none of the material in question was transmitted in connection with an actual national, state or local emergency or authorized test of the EAS,</w:t>
      </w:r>
      <w:r w:rsidRPr="00F563A3">
        <w:rPr>
          <w:rStyle w:val="FootnoteReference"/>
          <w:color w:val="000000"/>
          <w:sz w:val="22"/>
          <w:szCs w:val="22"/>
        </w:rPr>
        <w:footnoteReference w:id="35"/>
      </w:r>
      <w:r w:rsidRPr="008A281C">
        <w:rPr>
          <w:color w:val="000000"/>
          <w:sz w:val="22"/>
          <w:szCs w:val="22"/>
        </w:rPr>
        <w:t xml:space="preserve"> </w:t>
      </w:r>
      <w:r w:rsidR="008B4FB7" w:rsidRPr="008A281C">
        <w:rPr>
          <w:color w:val="000000"/>
          <w:sz w:val="22"/>
          <w:szCs w:val="22"/>
        </w:rPr>
        <w:t xml:space="preserve">we </w:t>
      </w:r>
      <w:r w:rsidR="001B1BBD">
        <w:rPr>
          <w:color w:val="000000"/>
          <w:sz w:val="22"/>
          <w:szCs w:val="22"/>
        </w:rPr>
        <w:t xml:space="preserve">find that </w:t>
      </w:r>
      <w:r w:rsidR="001B588A">
        <w:rPr>
          <w:color w:val="000000"/>
          <w:sz w:val="22"/>
          <w:szCs w:val="22"/>
        </w:rPr>
        <w:t>the</w:t>
      </w:r>
      <w:r w:rsidR="00AF41ED">
        <w:rPr>
          <w:color w:val="000000"/>
          <w:sz w:val="22"/>
          <w:szCs w:val="22"/>
        </w:rPr>
        <w:t xml:space="preserve"> </w:t>
      </w:r>
      <w:r w:rsidR="001B1BBD">
        <w:rPr>
          <w:color w:val="000000"/>
          <w:sz w:val="22"/>
          <w:szCs w:val="22"/>
        </w:rPr>
        <w:t>transmission of</w:t>
      </w:r>
      <w:r w:rsidR="004031DC">
        <w:rPr>
          <w:color w:val="000000"/>
          <w:sz w:val="22"/>
          <w:szCs w:val="22"/>
        </w:rPr>
        <w:t xml:space="preserve"> </w:t>
      </w:r>
      <w:r w:rsidR="00955028">
        <w:rPr>
          <w:sz w:val="22"/>
          <w:szCs w:val="22"/>
        </w:rPr>
        <w:t xml:space="preserve">the </w:t>
      </w:r>
      <w:r w:rsidR="00955028">
        <w:rPr>
          <w:i/>
          <w:sz w:val="22"/>
          <w:szCs w:val="22"/>
        </w:rPr>
        <w:t>Conan</w:t>
      </w:r>
      <w:r w:rsidR="00955028">
        <w:rPr>
          <w:sz w:val="22"/>
          <w:szCs w:val="22"/>
        </w:rPr>
        <w:t xml:space="preserve"> promotion </w:t>
      </w:r>
      <w:r w:rsidR="001B1BBD">
        <w:rPr>
          <w:color w:val="000000"/>
          <w:sz w:val="22"/>
          <w:szCs w:val="22"/>
        </w:rPr>
        <w:t>described herein</w:t>
      </w:r>
      <w:r w:rsidR="004031DC">
        <w:rPr>
          <w:color w:val="000000"/>
          <w:sz w:val="22"/>
          <w:szCs w:val="22"/>
        </w:rPr>
        <w:t xml:space="preserve"> violated Section 11.45 of the Commission’s rules</w:t>
      </w:r>
      <w:r w:rsidR="00DD0A08" w:rsidRPr="008A281C">
        <w:rPr>
          <w:color w:val="000000"/>
          <w:sz w:val="22"/>
          <w:szCs w:val="22"/>
        </w:rPr>
        <w:t>.</w:t>
      </w:r>
    </w:p>
    <w:p w:rsidR="005E6B95" w:rsidRDefault="005E6B95" w:rsidP="005E6B95">
      <w:pPr>
        <w:widowControl/>
        <w:ind w:left="720"/>
        <w:rPr>
          <w:color w:val="000000"/>
          <w:sz w:val="22"/>
          <w:szCs w:val="22"/>
        </w:rPr>
      </w:pPr>
    </w:p>
    <w:p w:rsidR="00EA16BB" w:rsidRPr="002E00BB" w:rsidRDefault="005E6B95" w:rsidP="00F45B4B">
      <w:pPr>
        <w:pStyle w:val="ListParagraph"/>
        <w:widowControl/>
        <w:numPr>
          <w:ilvl w:val="0"/>
          <w:numId w:val="22"/>
        </w:numPr>
        <w:tabs>
          <w:tab w:val="clear" w:pos="1260"/>
          <w:tab w:val="num" w:pos="1440"/>
        </w:tabs>
        <w:ind w:left="0"/>
        <w:rPr>
          <w:b/>
          <w:sz w:val="22"/>
          <w:szCs w:val="22"/>
        </w:rPr>
      </w:pPr>
      <w:r w:rsidRPr="008B4FB7">
        <w:rPr>
          <w:sz w:val="22"/>
          <w:szCs w:val="22"/>
        </w:rPr>
        <w:t xml:space="preserve">In addition, </w:t>
      </w:r>
      <w:r w:rsidR="001319F8">
        <w:rPr>
          <w:sz w:val="22"/>
          <w:szCs w:val="22"/>
        </w:rPr>
        <w:t>misuse</w:t>
      </w:r>
      <w:r w:rsidRPr="008B4FB7">
        <w:rPr>
          <w:sz w:val="22"/>
          <w:szCs w:val="22"/>
        </w:rPr>
        <w:t xml:space="preserve"> of the EAS codes or Attention Signal or simulations thereof may violate Section 325(a) of the Act, which prohibits transmission of false distress signals.</w:t>
      </w:r>
      <w:r w:rsidRPr="002E00BB">
        <w:rPr>
          <w:vertAlign w:val="superscript"/>
        </w:rPr>
        <w:footnoteReference w:id="36"/>
      </w:r>
      <w:r w:rsidRPr="008B4FB7">
        <w:rPr>
          <w:sz w:val="22"/>
          <w:szCs w:val="22"/>
        </w:rPr>
        <w:t xml:space="preserve">  For example, in </w:t>
      </w:r>
      <w:r w:rsidRPr="008B4FB7">
        <w:rPr>
          <w:i/>
          <w:sz w:val="22"/>
          <w:szCs w:val="22"/>
        </w:rPr>
        <w:t>Emmis Broadcasting Co</w:t>
      </w:r>
      <w:r w:rsidR="00B35898">
        <w:rPr>
          <w:i/>
          <w:sz w:val="22"/>
          <w:szCs w:val="22"/>
        </w:rPr>
        <w:t>rp</w:t>
      </w:r>
      <w:r w:rsidRPr="008B4FB7">
        <w:rPr>
          <w:i/>
          <w:sz w:val="22"/>
          <w:szCs w:val="22"/>
        </w:rPr>
        <w:t>. of St. Louis</w:t>
      </w:r>
      <w:r w:rsidRPr="008B4FB7">
        <w:rPr>
          <w:sz w:val="22"/>
          <w:szCs w:val="22"/>
        </w:rPr>
        <w:t>, the Commission found a radio station in Missouri apparently liable for</w:t>
      </w:r>
      <w:r w:rsidR="00D52AB2">
        <w:rPr>
          <w:sz w:val="22"/>
          <w:szCs w:val="22"/>
        </w:rPr>
        <w:t xml:space="preserve"> a forfeiture for its</w:t>
      </w:r>
      <w:r w:rsidRPr="008B4FB7">
        <w:rPr>
          <w:sz w:val="22"/>
          <w:szCs w:val="22"/>
        </w:rPr>
        <w:t xml:space="preserve"> violation of Section 325(a) after the station </w:t>
      </w:r>
      <w:r w:rsidR="00E06B55">
        <w:rPr>
          <w:sz w:val="22"/>
          <w:szCs w:val="22"/>
        </w:rPr>
        <w:t xml:space="preserve">aired a hoax announcement that the United States was under nuclear attack and </w:t>
      </w:r>
      <w:r w:rsidRPr="008B4FB7">
        <w:rPr>
          <w:sz w:val="22"/>
          <w:szCs w:val="22"/>
        </w:rPr>
        <w:t>broadcast a “bleep” that listeners mistook as the tone for an authentic emergency signal</w:t>
      </w:r>
      <w:r w:rsidR="00E06B55">
        <w:rPr>
          <w:sz w:val="22"/>
          <w:szCs w:val="22"/>
        </w:rPr>
        <w:t>.</w:t>
      </w:r>
      <w:r w:rsidR="00B30263">
        <w:rPr>
          <w:rStyle w:val="FootnoteReference"/>
          <w:sz w:val="22"/>
          <w:szCs w:val="22"/>
        </w:rPr>
        <w:footnoteReference w:id="37"/>
      </w:r>
      <w:r w:rsidR="00E06B55">
        <w:rPr>
          <w:sz w:val="22"/>
          <w:szCs w:val="22"/>
        </w:rPr>
        <w:t xml:space="preserve"> </w:t>
      </w:r>
      <w:r w:rsidR="00EA08D2">
        <w:rPr>
          <w:sz w:val="22"/>
          <w:szCs w:val="22"/>
        </w:rPr>
        <w:t xml:space="preserve"> </w:t>
      </w:r>
      <w:r w:rsidR="00E06B55">
        <w:rPr>
          <w:sz w:val="22"/>
          <w:szCs w:val="22"/>
        </w:rPr>
        <w:t xml:space="preserve">The Commission held </w:t>
      </w:r>
      <w:r w:rsidRPr="008B4FB7">
        <w:rPr>
          <w:sz w:val="22"/>
          <w:szCs w:val="22"/>
        </w:rPr>
        <w:t>that using the tone to “cry wolf” undermined the integrity of the Emergency Broadcast System (EBS) and endangered the effectiveness of the EBS warning tone as a method of alerting the public to danger in the first instance.</w:t>
      </w:r>
      <w:r w:rsidRPr="002E00BB">
        <w:rPr>
          <w:vertAlign w:val="superscript"/>
        </w:rPr>
        <w:footnoteReference w:id="38"/>
      </w:r>
      <w:r w:rsidRPr="008B4FB7">
        <w:rPr>
          <w:sz w:val="22"/>
          <w:szCs w:val="22"/>
        </w:rPr>
        <w:t xml:space="preserve"> </w:t>
      </w:r>
      <w:r w:rsidR="00944D07">
        <w:rPr>
          <w:sz w:val="22"/>
          <w:szCs w:val="22"/>
        </w:rPr>
        <w:t xml:space="preserve"> </w:t>
      </w:r>
      <w:r w:rsidRPr="008B4FB7">
        <w:rPr>
          <w:sz w:val="22"/>
          <w:szCs w:val="22"/>
        </w:rPr>
        <w:t xml:space="preserve">At that time, the Commission lacked a rule that explicitly prohibited </w:t>
      </w:r>
      <w:r w:rsidR="001319F8">
        <w:rPr>
          <w:sz w:val="22"/>
          <w:szCs w:val="22"/>
        </w:rPr>
        <w:t>misuse</w:t>
      </w:r>
      <w:r w:rsidRPr="008B4FB7">
        <w:rPr>
          <w:sz w:val="22"/>
          <w:szCs w:val="22"/>
        </w:rPr>
        <w:t xml:space="preserve"> of emergency broadcast signals, and relied on Section 325(a)</w:t>
      </w:r>
      <w:r w:rsidR="001319F8">
        <w:rPr>
          <w:sz w:val="22"/>
          <w:szCs w:val="22"/>
        </w:rPr>
        <w:t>, finding that such misuse of the emergency broadcast signals constituted a false distress signal</w:t>
      </w:r>
      <w:r w:rsidRPr="008B4FB7">
        <w:rPr>
          <w:sz w:val="22"/>
          <w:szCs w:val="22"/>
        </w:rPr>
        <w:t>.</w:t>
      </w:r>
      <w:r w:rsidR="001319F8">
        <w:rPr>
          <w:rStyle w:val="FootnoteReference"/>
          <w:sz w:val="22"/>
          <w:szCs w:val="22"/>
        </w:rPr>
        <w:footnoteReference w:id="39"/>
      </w:r>
      <w:r w:rsidRPr="008B4FB7">
        <w:rPr>
          <w:sz w:val="22"/>
          <w:szCs w:val="22"/>
        </w:rPr>
        <w:t xml:space="preserve">  </w:t>
      </w:r>
      <w:r w:rsidR="00E06B55" w:rsidRPr="008B4FB7">
        <w:rPr>
          <w:sz w:val="22"/>
          <w:szCs w:val="22"/>
        </w:rPr>
        <w:t>The Commission pointed to the effect of the broadcast on the EBS (the predecessor to EAS) as a</w:t>
      </w:r>
      <w:r w:rsidR="00E06B55">
        <w:rPr>
          <w:sz w:val="22"/>
          <w:szCs w:val="22"/>
        </w:rPr>
        <w:t>n exacerbating</w:t>
      </w:r>
      <w:r w:rsidR="00E06B55" w:rsidRPr="008B4FB7">
        <w:rPr>
          <w:sz w:val="22"/>
          <w:szCs w:val="22"/>
        </w:rPr>
        <w:t xml:space="preserve"> factor, even though the station did not use the actual EBS attention signal.</w:t>
      </w:r>
      <w:r w:rsidR="00E06B55" w:rsidRPr="002E00BB">
        <w:rPr>
          <w:vertAlign w:val="superscript"/>
        </w:rPr>
        <w:footnoteReference w:id="40"/>
      </w:r>
      <w:r w:rsidR="00E06B55" w:rsidRPr="008B4FB7">
        <w:rPr>
          <w:sz w:val="22"/>
          <w:szCs w:val="22"/>
        </w:rPr>
        <w:t xml:space="preserve">  </w:t>
      </w:r>
      <w:r w:rsidR="00096094">
        <w:rPr>
          <w:sz w:val="22"/>
          <w:szCs w:val="22"/>
        </w:rPr>
        <w:t xml:space="preserve">Even as </w:t>
      </w:r>
      <w:r w:rsidR="00E06B55">
        <w:rPr>
          <w:sz w:val="22"/>
          <w:szCs w:val="22"/>
        </w:rPr>
        <w:t xml:space="preserve">the Commission </w:t>
      </w:r>
      <w:r w:rsidRPr="008B4FB7">
        <w:rPr>
          <w:sz w:val="22"/>
          <w:szCs w:val="22"/>
        </w:rPr>
        <w:t xml:space="preserve">subsequently proposed and adopted the prohibition in </w:t>
      </w:r>
      <w:r w:rsidR="008B4FB7">
        <w:rPr>
          <w:sz w:val="22"/>
          <w:szCs w:val="22"/>
        </w:rPr>
        <w:t>S</w:t>
      </w:r>
      <w:r w:rsidRPr="008B4FB7">
        <w:rPr>
          <w:sz w:val="22"/>
          <w:szCs w:val="22"/>
        </w:rPr>
        <w:t>ection 11.45</w:t>
      </w:r>
      <w:r w:rsidR="00096094">
        <w:rPr>
          <w:sz w:val="22"/>
          <w:szCs w:val="22"/>
        </w:rPr>
        <w:t xml:space="preserve">, however, </w:t>
      </w:r>
      <w:r w:rsidR="00E06B55">
        <w:rPr>
          <w:sz w:val="22"/>
          <w:szCs w:val="22"/>
        </w:rPr>
        <w:t xml:space="preserve">it </w:t>
      </w:r>
      <w:r w:rsidR="00096094">
        <w:rPr>
          <w:sz w:val="22"/>
          <w:szCs w:val="22"/>
        </w:rPr>
        <w:t>continued to affirm that false use of the EAS codes and Attention Signal “will be considered a false distress communication</w:t>
      </w:r>
      <w:r w:rsidRPr="008B4FB7">
        <w:rPr>
          <w:sz w:val="22"/>
          <w:szCs w:val="22"/>
        </w:rPr>
        <w:t>.</w:t>
      </w:r>
      <w:r w:rsidR="00096094">
        <w:rPr>
          <w:sz w:val="22"/>
          <w:szCs w:val="22"/>
        </w:rPr>
        <w:t>”</w:t>
      </w:r>
      <w:r w:rsidRPr="00F563A3">
        <w:rPr>
          <w:rStyle w:val="FootnoteReference"/>
          <w:sz w:val="22"/>
          <w:szCs w:val="22"/>
        </w:rPr>
        <w:footnoteReference w:id="41"/>
      </w:r>
    </w:p>
    <w:p w:rsidR="002E00BB" w:rsidRPr="002E00BB" w:rsidRDefault="002E00BB" w:rsidP="002E00BB">
      <w:pPr>
        <w:widowControl/>
        <w:rPr>
          <w:b/>
          <w:sz w:val="22"/>
          <w:szCs w:val="22"/>
        </w:rPr>
      </w:pPr>
    </w:p>
    <w:p w:rsidR="002E00BB" w:rsidRPr="003F43DA" w:rsidRDefault="002E00BB" w:rsidP="00F45B4B">
      <w:pPr>
        <w:pStyle w:val="ListParagraph"/>
        <w:widowControl/>
        <w:numPr>
          <w:ilvl w:val="0"/>
          <w:numId w:val="22"/>
        </w:numPr>
        <w:tabs>
          <w:tab w:val="clear" w:pos="1260"/>
          <w:tab w:val="num" w:pos="1440"/>
        </w:tabs>
        <w:ind w:left="0"/>
        <w:rPr>
          <w:b/>
          <w:sz w:val="22"/>
          <w:szCs w:val="22"/>
        </w:rPr>
      </w:pPr>
      <w:r>
        <w:rPr>
          <w:sz w:val="22"/>
          <w:szCs w:val="22"/>
        </w:rPr>
        <w:t xml:space="preserve">In this case, </w:t>
      </w:r>
      <w:r w:rsidR="00C76A45">
        <w:rPr>
          <w:sz w:val="22"/>
          <w:szCs w:val="22"/>
        </w:rPr>
        <w:t xml:space="preserve">we find that </w:t>
      </w:r>
      <w:r w:rsidR="003C487B">
        <w:rPr>
          <w:sz w:val="22"/>
          <w:szCs w:val="22"/>
        </w:rPr>
        <w:t>Turner’s</w:t>
      </w:r>
      <w:r w:rsidR="001319F8">
        <w:rPr>
          <w:sz w:val="22"/>
          <w:szCs w:val="22"/>
        </w:rPr>
        <w:t xml:space="preserve"> inclusion of simulated</w:t>
      </w:r>
      <w:r>
        <w:rPr>
          <w:sz w:val="22"/>
          <w:szCs w:val="22"/>
        </w:rPr>
        <w:t xml:space="preserve"> EAS codes and Attention Signal</w:t>
      </w:r>
      <w:r w:rsidR="003C487B">
        <w:rPr>
          <w:sz w:val="22"/>
          <w:szCs w:val="22"/>
        </w:rPr>
        <w:t>s</w:t>
      </w:r>
      <w:r w:rsidR="001319F8">
        <w:rPr>
          <w:sz w:val="22"/>
          <w:szCs w:val="22"/>
        </w:rPr>
        <w:t xml:space="preserve"> </w:t>
      </w:r>
      <w:r w:rsidR="003C487B">
        <w:rPr>
          <w:sz w:val="22"/>
          <w:szCs w:val="22"/>
        </w:rPr>
        <w:t>caused the</w:t>
      </w:r>
      <w:r w:rsidR="001319F8">
        <w:rPr>
          <w:sz w:val="22"/>
          <w:szCs w:val="22"/>
        </w:rPr>
        <w:t xml:space="preserve"> transmission of </w:t>
      </w:r>
      <w:r>
        <w:rPr>
          <w:sz w:val="22"/>
          <w:szCs w:val="22"/>
        </w:rPr>
        <w:t>false distress signals in violation of Section 325(a)</w:t>
      </w:r>
      <w:r w:rsidR="00314175">
        <w:rPr>
          <w:sz w:val="22"/>
          <w:szCs w:val="22"/>
        </w:rPr>
        <w:t xml:space="preserve"> of the Act</w:t>
      </w:r>
      <w:r>
        <w:rPr>
          <w:sz w:val="22"/>
          <w:szCs w:val="22"/>
        </w:rPr>
        <w:t>.</w:t>
      </w:r>
      <w:r w:rsidR="003A12D8">
        <w:rPr>
          <w:rStyle w:val="FootnoteReference"/>
          <w:sz w:val="22"/>
          <w:szCs w:val="22"/>
        </w:rPr>
        <w:footnoteReference w:id="42"/>
      </w:r>
      <w:r>
        <w:rPr>
          <w:sz w:val="22"/>
          <w:szCs w:val="22"/>
        </w:rPr>
        <w:t xml:space="preserve">  </w:t>
      </w:r>
      <w:r w:rsidR="00690D99">
        <w:rPr>
          <w:sz w:val="22"/>
          <w:szCs w:val="22"/>
        </w:rPr>
        <w:t>As</w:t>
      </w:r>
      <w:r w:rsidR="001F2E12">
        <w:rPr>
          <w:sz w:val="22"/>
          <w:szCs w:val="22"/>
        </w:rPr>
        <w:t xml:space="preserve"> noted above, the Commission has affirmed that such actions “will be considered a false distress communication</w:t>
      </w:r>
      <w:r w:rsidR="001F2E12" w:rsidRPr="008B4FB7">
        <w:rPr>
          <w:sz w:val="22"/>
          <w:szCs w:val="22"/>
        </w:rPr>
        <w:t>.</w:t>
      </w:r>
      <w:r w:rsidR="001F2E12">
        <w:rPr>
          <w:sz w:val="22"/>
          <w:szCs w:val="22"/>
        </w:rPr>
        <w:t>”</w:t>
      </w:r>
      <w:r w:rsidR="001F2E12" w:rsidRPr="00F563A3">
        <w:rPr>
          <w:rStyle w:val="FootnoteReference"/>
          <w:sz w:val="22"/>
          <w:szCs w:val="22"/>
        </w:rPr>
        <w:footnoteReference w:id="43"/>
      </w:r>
      <w:r w:rsidR="001F2E12">
        <w:rPr>
          <w:sz w:val="22"/>
          <w:szCs w:val="22"/>
        </w:rPr>
        <w:t xml:space="preserve">  </w:t>
      </w:r>
      <w:r w:rsidR="00C45259">
        <w:rPr>
          <w:sz w:val="22"/>
          <w:szCs w:val="22"/>
        </w:rPr>
        <w:t xml:space="preserve">Since the </w:t>
      </w:r>
      <w:r w:rsidR="0072464B">
        <w:rPr>
          <w:sz w:val="22"/>
          <w:szCs w:val="22"/>
        </w:rPr>
        <w:t>origin</w:t>
      </w:r>
      <w:r w:rsidR="00C45259">
        <w:rPr>
          <w:sz w:val="22"/>
          <w:szCs w:val="22"/>
        </w:rPr>
        <w:t xml:space="preserve"> of the</w:t>
      </w:r>
      <w:r w:rsidR="00F84B8C">
        <w:rPr>
          <w:sz w:val="22"/>
          <w:szCs w:val="22"/>
        </w:rPr>
        <w:t xml:space="preserve"> EBS</w:t>
      </w:r>
      <w:r w:rsidR="0072464B">
        <w:rPr>
          <w:sz w:val="22"/>
          <w:szCs w:val="22"/>
        </w:rPr>
        <w:t>, and its</w:t>
      </w:r>
      <w:r w:rsidR="00C45259">
        <w:rPr>
          <w:sz w:val="22"/>
          <w:szCs w:val="22"/>
        </w:rPr>
        <w:t xml:space="preserve"> </w:t>
      </w:r>
      <w:r w:rsidR="0072464B">
        <w:rPr>
          <w:sz w:val="22"/>
          <w:szCs w:val="22"/>
        </w:rPr>
        <w:t xml:space="preserve">evolution </w:t>
      </w:r>
      <w:r w:rsidR="00C45259">
        <w:rPr>
          <w:sz w:val="22"/>
          <w:szCs w:val="22"/>
        </w:rPr>
        <w:t>into the</w:t>
      </w:r>
      <w:r w:rsidR="0072464B">
        <w:rPr>
          <w:sz w:val="22"/>
          <w:szCs w:val="22"/>
        </w:rPr>
        <w:t xml:space="preserve"> current</w:t>
      </w:r>
      <w:r w:rsidR="00C45259">
        <w:rPr>
          <w:sz w:val="22"/>
          <w:szCs w:val="22"/>
        </w:rPr>
        <w:t xml:space="preserve"> EAS System, </w:t>
      </w:r>
      <w:r w:rsidR="00C76A45">
        <w:rPr>
          <w:sz w:val="22"/>
          <w:szCs w:val="22"/>
        </w:rPr>
        <w:t>preserving</w:t>
      </w:r>
      <w:r>
        <w:rPr>
          <w:sz w:val="22"/>
          <w:szCs w:val="22"/>
        </w:rPr>
        <w:t xml:space="preserve"> </w:t>
      </w:r>
      <w:r w:rsidR="00C45259">
        <w:rPr>
          <w:sz w:val="22"/>
          <w:szCs w:val="22"/>
        </w:rPr>
        <w:t xml:space="preserve">the </w:t>
      </w:r>
      <w:r w:rsidR="000357B8">
        <w:rPr>
          <w:sz w:val="22"/>
          <w:szCs w:val="22"/>
        </w:rPr>
        <w:t>i</w:t>
      </w:r>
      <w:r>
        <w:rPr>
          <w:sz w:val="22"/>
          <w:szCs w:val="22"/>
        </w:rPr>
        <w:t xml:space="preserve">ntegrity of the </w:t>
      </w:r>
      <w:r w:rsidR="00C45259">
        <w:rPr>
          <w:sz w:val="22"/>
          <w:szCs w:val="22"/>
        </w:rPr>
        <w:t>system</w:t>
      </w:r>
      <w:r w:rsidR="00521478">
        <w:rPr>
          <w:sz w:val="22"/>
          <w:szCs w:val="22"/>
        </w:rPr>
        <w:t xml:space="preserve"> </w:t>
      </w:r>
      <w:r w:rsidR="00FF3235">
        <w:rPr>
          <w:sz w:val="22"/>
          <w:szCs w:val="22"/>
        </w:rPr>
        <w:t>has been of paramount importance.</w:t>
      </w:r>
      <w:r w:rsidR="001319F8">
        <w:rPr>
          <w:rStyle w:val="FootnoteReference"/>
          <w:sz w:val="22"/>
          <w:szCs w:val="22"/>
        </w:rPr>
        <w:footnoteReference w:id="44"/>
      </w:r>
      <w:r w:rsidR="00FF3235">
        <w:rPr>
          <w:sz w:val="22"/>
          <w:szCs w:val="22"/>
        </w:rPr>
        <w:t xml:space="preserve">  I</w:t>
      </w:r>
      <w:r w:rsidR="0072464B">
        <w:rPr>
          <w:sz w:val="22"/>
          <w:szCs w:val="22"/>
        </w:rPr>
        <w:t>t is imperative</w:t>
      </w:r>
      <w:r>
        <w:rPr>
          <w:sz w:val="22"/>
          <w:szCs w:val="22"/>
        </w:rPr>
        <w:t xml:space="preserve"> </w:t>
      </w:r>
      <w:r w:rsidR="0072464B">
        <w:rPr>
          <w:sz w:val="22"/>
          <w:szCs w:val="22"/>
        </w:rPr>
        <w:t>t</w:t>
      </w:r>
      <w:r>
        <w:rPr>
          <w:sz w:val="22"/>
          <w:szCs w:val="22"/>
        </w:rPr>
        <w:t xml:space="preserve">hat the public not be desensitized to the serious implications </w:t>
      </w:r>
      <w:r w:rsidR="003F43DA">
        <w:rPr>
          <w:sz w:val="22"/>
          <w:szCs w:val="22"/>
        </w:rPr>
        <w:t xml:space="preserve">of </w:t>
      </w:r>
      <w:r w:rsidR="0072464B">
        <w:rPr>
          <w:sz w:val="22"/>
          <w:szCs w:val="22"/>
        </w:rPr>
        <w:t>t</w:t>
      </w:r>
      <w:r w:rsidR="003F43DA">
        <w:rPr>
          <w:sz w:val="22"/>
          <w:szCs w:val="22"/>
        </w:rPr>
        <w:t>he</w:t>
      </w:r>
      <w:r>
        <w:rPr>
          <w:sz w:val="22"/>
          <w:szCs w:val="22"/>
        </w:rPr>
        <w:t xml:space="preserve"> EAS codes and Attention Signal</w:t>
      </w:r>
      <w:r w:rsidR="003F43DA">
        <w:rPr>
          <w:sz w:val="22"/>
          <w:szCs w:val="22"/>
        </w:rPr>
        <w:t xml:space="preserve"> or a simulation thereof</w:t>
      </w:r>
      <w:r>
        <w:rPr>
          <w:sz w:val="22"/>
          <w:szCs w:val="22"/>
        </w:rPr>
        <w:t>.</w:t>
      </w:r>
      <w:r w:rsidR="003A12D8">
        <w:rPr>
          <w:rStyle w:val="FootnoteReference"/>
          <w:sz w:val="22"/>
          <w:szCs w:val="22"/>
        </w:rPr>
        <w:footnoteReference w:id="45"/>
      </w:r>
      <w:r>
        <w:rPr>
          <w:sz w:val="22"/>
          <w:szCs w:val="22"/>
        </w:rPr>
        <w:t xml:space="preserve">  </w:t>
      </w:r>
      <w:r w:rsidRPr="003F43DA">
        <w:rPr>
          <w:sz w:val="22"/>
          <w:szCs w:val="22"/>
        </w:rPr>
        <w:t xml:space="preserve">By </w:t>
      </w:r>
      <w:r w:rsidR="001319F8">
        <w:rPr>
          <w:sz w:val="22"/>
          <w:szCs w:val="22"/>
        </w:rPr>
        <w:t>including</w:t>
      </w:r>
      <w:r w:rsidRPr="003F43DA">
        <w:rPr>
          <w:sz w:val="22"/>
          <w:szCs w:val="22"/>
        </w:rPr>
        <w:t xml:space="preserve"> </w:t>
      </w:r>
      <w:r w:rsidR="001B1BBD">
        <w:rPr>
          <w:sz w:val="22"/>
          <w:szCs w:val="22"/>
        </w:rPr>
        <w:t xml:space="preserve">in its network programming </w:t>
      </w:r>
      <w:r w:rsidRPr="003F43DA">
        <w:rPr>
          <w:sz w:val="22"/>
          <w:szCs w:val="22"/>
        </w:rPr>
        <w:t>the EAS codes and Attention Signal or simulation</w:t>
      </w:r>
      <w:r w:rsidR="001319F8">
        <w:rPr>
          <w:sz w:val="22"/>
          <w:szCs w:val="22"/>
        </w:rPr>
        <w:t>s</w:t>
      </w:r>
      <w:r w:rsidRPr="003F43DA">
        <w:rPr>
          <w:sz w:val="22"/>
          <w:szCs w:val="22"/>
        </w:rPr>
        <w:t xml:space="preserve"> thereof</w:t>
      </w:r>
      <w:r w:rsidR="0072464B">
        <w:rPr>
          <w:sz w:val="22"/>
          <w:szCs w:val="22"/>
        </w:rPr>
        <w:t>,</w:t>
      </w:r>
      <w:r w:rsidRPr="003F43DA">
        <w:rPr>
          <w:sz w:val="22"/>
          <w:szCs w:val="22"/>
        </w:rPr>
        <w:t xml:space="preserve"> in non-emergency situations</w:t>
      </w:r>
      <w:r w:rsidR="000357B8" w:rsidRPr="003F43DA">
        <w:rPr>
          <w:sz w:val="22"/>
          <w:szCs w:val="22"/>
        </w:rPr>
        <w:t xml:space="preserve"> that are promotional </w:t>
      </w:r>
      <w:r w:rsidR="001319F8">
        <w:rPr>
          <w:sz w:val="22"/>
          <w:szCs w:val="22"/>
        </w:rPr>
        <w:t xml:space="preserve">or commercial </w:t>
      </w:r>
      <w:r w:rsidR="000357B8" w:rsidRPr="003F43DA">
        <w:rPr>
          <w:sz w:val="22"/>
          <w:szCs w:val="22"/>
        </w:rPr>
        <w:t>in nature</w:t>
      </w:r>
      <w:r w:rsidRPr="003F43DA">
        <w:rPr>
          <w:sz w:val="22"/>
          <w:szCs w:val="22"/>
        </w:rPr>
        <w:t xml:space="preserve">, Turner created a “cry wolf” scenario similar to that </w:t>
      </w:r>
      <w:r w:rsidR="00FF3235">
        <w:rPr>
          <w:sz w:val="22"/>
          <w:szCs w:val="22"/>
        </w:rPr>
        <w:t>encountered in</w:t>
      </w:r>
      <w:r w:rsidR="00FF3235" w:rsidRPr="003F43DA">
        <w:rPr>
          <w:sz w:val="22"/>
          <w:szCs w:val="22"/>
        </w:rPr>
        <w:t xml:space="preserve"> </w:t>
      </w:r>
      <w:r w:rsidRPr="003F43DA">
        <w:rPr>
          <w:i/>
          <w:sz w:val="22"/>
          <w:szCs w:val="22"/>
        </w:rPr>
        <w:t>Emmis</w:t>
      </w:r>
      <w:r w:rsidR="00FF3235">
        <w:rPr>
          <w:sz w:val="22"/>
          <w:szCs w:val="22"/>
        </w:rPr>
        <w:t>.</w:t>
      </w:r>
      <w:r w:rsidR="003A12D8" w:rsidRPr="0072464B">
        <w:rPr>
          <w:rStyle w:val="FootnoteReference"/>
          <w:sz w:val="22"/>
          <w:szCs w:val="22"/>
        </w:rPr>
        <w:footnoteReference w:id="46"/>
      </w:r>
      <w:r w:rsidRPr="0072464B">
        <w:rPr>
          <w:sz w:val="22"/>
          <w:szCs w:val="22"/>
        </w:rPr>
        <w:t xml:space="preserve"> </w:t>
      </w:r>
      <w:r w:rsidRPr="003F43DA">
        <w:rPr>
          <w:sz w:val="22"/>
          <w:szCs w:val="22"/>
        </w:rPr>
        <w:t xml:space="preserve"> Indeed, the</w:t>
      </w:r>
      <w:r w:rsidR="00BB14AC">
        <w:rPr>
          <w:sz w:val="22"/>
          <w:szCs w:val="22"/>
        </w:rPr>
        <w:t xml:space="preserve"> complaints Turner received directly from its viewers specifically express</w:t>
      </w:r>
      <w:r w:rsidR="000357B8" w:rsidRPr="003F43DA">
        <w:rPr>
          <w:sz w:val="22"/>
          <w:szCs w:val="22"/>
        </w:rPr>
        <w:t xml:space="preserve"> concern that such transmissions created a false sense of emergency and have the potential to desensitize the public to the signal that could be life-saving in a real national, state or local area emergency.</w:t>
      </w:r>
      <w:r w:rsidR="00BB14AC" w:rsidRPr="00BB14AC">
        <w:rPr>
          <w:rStyle w:val="FootnoteReference"/>
          <w:sz w:val="22"/>
          <w:szCs w:val="22"/>
        </w:rPr>
        <w:t xml:space="preserve"> </w:t>
      </w:r>
      <w:r w:rsidR="00BB14AC">
        <w:rPr>
          <w:rStyle w:val="FootnoteReference"/>
          <w:sz w:val="22"/>
          <w:szCs w:val="22"/>
        </w:rPr>
        <w:footnoteReference w:id="47"/>
      </w:r>
      <w:r w:rsidR="00955028">
        <w:rPr>
          <w:sz w:val="22"/>
          <w:szCs w:val="22"/>
        </w:rPr>
        <w:t xml:space="preserve">  The Complaint expresses similar concerns.</w:t>
      </w:r>
      <w:r w:rsidR="00BB14AC">
        <w:rPr>
          <w:rStyle w:val="FootnoteReference"/>
          <w:sz w:val="22"/>
          <w:szCs w:val="22"/>
        </w:rPr>
        <w:footnoteReference w:id="48"/>
      </w:r>
    </w:p>
    <w:p w:rsidR="00BE6456" w:rsidRPr="00F563A3" w:rsidRDefault="00BE6456" w:rsidP="003A12D8">
      <w:pPr>
        <w:rPr>
          <w:b/>
          <w:sz w:val="22"/>
          <w:szCs w:val="22"/>
        </w:rPr>
      </w:pPr>
    </w:p>
    <w:p w:rsidR="00BB249A" w:rsidRPr="003B1AB9" w:rsidRDefault="000E59DC" w:rsidP="000E59DC">
      <w:pPr>
        <w:widowControl/>
        <w:numPr>
          <w:ilvl w:val="0"/>
          <w:numId w:val="22"/>
        </w:numPr>
        <w:tabs>
          <w:tab w:val="clear" w:pos="1260"/>
          <w:tab w:val="num" w:pos="1440"/>
        </w:tabs>
        <w:ind w:left="0"/>
        <w:rPr>
          <w:rStyle w:val="documentbody1"/>
        </w:rPr>
      </w:pPr>
      <w:r w:rsidRPr="00F563A3">
        <w:rPr>
          <w:sz w:val="22"/>
          <w:szCs w:val="22"/>
        </w:rPr>
        <w:t>Based upon the evidence before us, we find th</w:t>
      </w:r>
      <w:r w:rsidR="004318E0" w:rsidRPr="00F563A3">
        <w:rPr>
          <w:sz w:val="22"/>
          <w:szCs w:val="22"/>
        </w:rPr>
        <w:t xml:space="preserve">at </w:t>
      </w:r>
      <w:r w:rsidR="00FF3235">
        <w:rPr>
          <w:sz w:val="22"/>
          <w:szCs w:val="22"/>
        </w:rPr>
        <w:t>Turner</w:t>
      </w:r>
      <w:r w:rsidRPr="00F563A3">
        <w:rPr>
          <w:sz w:val="22"/>
          <w:szCs w:val="22"/>
        </w:rPr>
        <w:t xml:space="preserve"> apparently willfully an</w:t>
      </w:r>
      <w:r w:rsidR="00DD0A08" w:rsidRPr="00F563A3">
        <w:rPr>
          <w:sz w:val="22"/>
          <w:szCs w:val="22"/>
        </w:rPr>
        <w:t>d repeatedly violated Section 11</w:t>
      </w:r>
      <w:r w:rsidRPr="00F563A3">
        <w:rPr>
          <w:sz w:val="22"/>
          <w:szCs w:val="22"/>
        </w:rPr>
        <w:t>.</w:t>
      </w:r>
      <w:r w:rsidR="00DD0A08" w:rsidRPr="00F563A3">
        <w:rPr>
          <w:sz w:val="22"/>
          <w:szCs w:val="22"/>
        </w:rPr>
        <w:t>45</w:t>
      </w:r>
      <w:r w:rsidRPr="00F563A3">
        <w:rPr>
          <w:sz w:val="22"/>
          <w:szCs w:val="22"/>
        </w:rPr>
        <w:t xml:space="preserve"> of the Commission’s rules</w:t>
      </w:r>
      <w:r w:rsidR="008B4FB7">
        <w:rPr>
          <w:sz w:val="22"/>
          <w:szCs w:val="22"/>
        </w:rPr>
        <w:t xml:space="preserve"> </w:t>
      </w:r>
      <w:r w:rsidR="00457F13">
        <w:rPr>
          <w:sz w:val="22"/>
          <w:szCs w:val="22"/>
        </w:rPr>
        <w:t>and</w:t>
      </w:r>
      <w:r w:rsidR="008B4FB7">
        <w:rPr>
          <w:sz w:val="22"/>
          <w:szCs w:val="22"/>
        </w:rPr>
        <w:t xml:space="preserve"> Section 325(a) of the Act</w:t>
      </w:r>
      <w:r w:rsidRPr="00F563A3">
        <w:rPr>
          <w:sz w:val="22"/>
          <w:szCs w:val="22"/>
        </w:rPr>
        <w:t xml:space="preserve">.  The Commission’s </w:t>
      </w:r>
      <w:r w:rsidRPr="00F563A3">
        <w:rPr>
          <w:i/>
          <w:sz w:val="22"/>
          <w:szCs w:val="22"/>
        </w:rPr>
        <w:t xml:space="preserve">Forfeiture Policy Statement </w:t>
      </w:r>
      <w:r w:rsidRPr="00F563A3">
        <w:rPr>
          <w:spacing w:val="-2"/>
          <w:sz w:val="22"/>
          <w:szCs w:val="22"/>
        </w:rPr>
        <w:t xml:space="preserve">sets a base forfeiture amount of </w:t>
      </w:r>
      <w:r w:rsidR="00DD0A08" w:rsidRPr="00F563A3">
        <w:rPr>
          <w:spacing w:val="-2"/>
          <w:sz w:val="22"/>
          <w:szCs w:val="22"/>
        </w:rPr>
        <w:t>eight</w:t>
      </w:r>
      <w:r w:rsidRPr="00F563A3">
        <w:rPr>
          <w:spacing w:val="-2"/>
          <w:sz w:val="22"/>
          <w:szCs w:val="22"/>
        </w:rPr>
        <w:t xml:space="preserve"> thousand dollars ($</w:t>
      </w:r>
      <w:r w:rsidR="00DD0A08" w:rsidRPr="00F563A3">
        <w:rPr>
          <w:spacing w:val="-2"/>
          <w:sz w:val="22"/>
          <w:szCs w:val="22"/>
        </w:rPr>
        <w:t>8</w:t>
      </w:r>
      <w:r w:rsidRPr="00F563A3">
        <w:rPr>
          <w:spacing w:val="-2"/>
          <w:sz w:val="22"/>
          <w:szCs w:val="22"/>
        </w:rPr>
        <w:t xml:space="preserve">,000) for </w:t>
      </w:r>
      <w:r w:rsidR="00DD0A08" w:rsidRPr="00F563A3">
        <w:rPr>
          <w:spacing w:val="-2"/>
          <w:sz w:val="22"/>
          <w:szCs w:val="22"/>
        </w:rPr>
        <w:t>false distress communications</w:t>
      </w:r>
      <w:r w:rsidRPr="00F563A3">
        <w:rPr>
          <w:spacing w:val="-2"/>
          <w:sz w:val="22"/>
          <w:szCs w:val="22"/>
        </w:rPr>
        <w:t>.</w:t>
      </w:r>
      <w:r w:rsidRPr="00F563A3">
        <w:rPr>
          <w:rStyle w:val="FootnoteReference"/>
          <w:spacing w:val="-2"/>
          <w:sz w:val="22"/>
          <w:szCs w:val="22"/>
        </w:rPr>
        <w:footnoteReference w:id="49"/>
      </w:r>
      <w:r w:rsidR="00A10DCB" w:rsidRPr="00F563A3">
        <w:rPr>
          <w:spacing w:val="-2"/>
          <w:sz w:val="22"/>
          <w:szCs w:val="22"/>
        </w:rPr>
        <w:t xml:space="preserve">  </w:t>
      </w:r>
      <w:r w:rsidRPr="00F563A3">
        <w:rPr>
          <w:spacing w:val="-2"/>
          <w:sz w:val="22"/>
          <w:szCs w:val="22"/>
        </w:rPr>
        <w:t xml:space="preserve">In assessing the monetary forfeiture amount, we must take into account the statutory factors set forth in Section 503(b)(2)(E) of the Act and Section 1.80 of the Commission’s rules, </w:t>
      </w:r>
      <w:r w:rsidRPr="00F563A3">
        <w:rPr>
          <w:rStyle w:val="documentbody1"/>
          <w:rFonts w:ascii="Times New Roman" w:hAnsi="Times New Roman"/>
          <w:color w:val="000000"/>
          <w:sz w:val="22"/>
          <w:szCs w:val="22"/>
        </w:rPr>
        <w:t>which include the nature, circumstances, extent, and gravity of the violation, and with respect to the violator, the degree of culpability, any history of prior offenses, ability to pay, and other such matters as justice may require.</w:t>
      </w:r>
      <w:r w:rsidRPr="00F563A3">
        <w:rPr>
          <w:rStyle w:val="FootnoteReference"/>
          <w:color w:val="000000"/>
          <w:sz w:val="22"/>
          <w:szCs w:val="22"/>
          <w:shd w:val="clear" w:color="auto" w:fill="FFFFFF"/>
        </w:rPr>
        <w:footnoteReference w:id="50"/>
      </w:r>
      <w:r w:rsidRPr="00F563A3">
        <w:rPr>
          <w:rStyle w:val="documentbody1"/>
          <w:rFonts w:ascii="Times New Roman" w:hAnsi="Times New Roman"/>
          <w:color w:val="000000"/>
          <w:sz w:val="22"/>
          <w:szCs w:val="22"/>
        </w:rPr>
        <w:t xml:space="preserve">  </w:t>
      </w:r>
    </w:p>
    <w:p w:rsidR="00BB249A" w:rsidRPr="003B1AB9" w:rsidRDefault="00BB249A" w:rsidP="00BB249A">
      <w:pPr>
        <w:pStyle w:val="ListParagraph"/>
        <w:rPr>
          <w:rStyle w:val="documentbody1"/>
        </w:rPr>
      </w:pPr>
    </w:p>
    <w:p w:rsidR="00E86F92" w:rsidRPr="00F563A3" w:rsidRDefault="00053443" w:rsidP="006E4CEC">
      <w:pPr>
        <w:widowControl/>
        <w:numPr>
          <w:ilvl w:val="0"/>
          <w:numId w:val="22"/>
        </w:numPr>
        <w:tabs>
          <w:tab w:val="clear" w:pos="1260"/>
          <w:tab w:val="num" w:pos="1440"/>
        </w:tabs>
        <w:ind w:left="0"/>
        <w:rPr>
          <w:color w:val="000000"/>
          <w:sz w:val="22"/>
          <w:szCs w:val="22"/>
          <w:shd w:val="clear" w:color="auto" w:fill="FFFFFF"/>
        </w:rPr>
      </w:pPr>
      <w:r>
        <w:rPr>
          <w:rStyle w:val="documentbody1"/>
          <w:rFonts w:ascii="Times New Roman" w:hAnsi="Times New Roman"/>
          <w:color w:val="000000"/>
          <w:sz w:val="22"/>
          <w:szCs w:val="22"/>
        </w:rPr>
        <w:t xml:space="preserve">As noted above, </w:t>
      </w:r>
      <w:r w:rsidR="003D3D54">
        <w:rPr>
          <w:rStyle w:val="documentbody1"/>
          <w:rFonts w:ascii="Times New Roman" w:hAnsi="Times New Roman"/>
          <w:color w:val="000000"/>
          <w:sz w:val="22"/>
          <w:szCs w:val="22"/>
        </w:rPr>
        <w:t xml:space="preserve">violations of this nature </w:t>
      </w:r>
      <w:r>
        <w:rPr>
          <w:rStyle w:val="documentbody1"/>
          <w:rFonts w:ascii="Times New Roman" w:hAnsi="Times New Roman"/>
          <w:color w:val="000000"/>
          <w:sz w:val="22"/>
          <w:szCs w:val="22"/>
        </w:rPr>
        <w:t xml:space="preserve">are particularly serious because they </w:t>
      </w:r>
      <w:r w:rsidR="00807892">
        <w:rPr>
          <w:rStyle w:val="documentbody1"/>
          <w:rFonts w:ascii="Times New Roman" w:hAnsi="Times New Roman"/>
          <w:color w:val="000000"/>
          <w:sz w:val="22"/>
          <w:szCs w:val="22"/>
        </w:rPr>
        <w:t>undermine</w:t>
      </w:r>
      <w:r>
        <w:rPr>
          <w:rStyle w:val="documentbody1"/>
          <w:rFonts w:ascii="Times New Roman" w:hAnsi="Times New Roman"/>
          <w:color w:val="000000"/>
          <w:sz w:val="22"/>
          <w:szCs w:val="22"/>
        </w:rPr>
        <w:t xml:space="preserve"> the integrity of the EAS and therefore implicate substantial public safety concerns.  </w:t>
      </w:r>
      <w:r>
        <w:rPr>
          <w:color w:val="000000"/>
          <w:sz w:val="22"/>
          <w:szCs w:val="22"/>
        </w:rPr>
        <w:t>As described above</w:t>
      </w:r>
      <w:r w:rsidRPr="00F45B4B">
        <w:t>,</w:t>
      </w:r>
      <w:r w:rsidR="000658F2">
        <w:t xml:space="preserve"> it</w:t>
      </w:r>
      <w:r w:rsidRPr="00F45B4B">
        <w:t xml:space="preserve"> </w:t>
      </w:r>
      <w:r w:rsidR="00741C03">
        <w:rPr>
          <w:color w:val="000000"/>
          <w:sz w:val="22"/>
          <w:szCs w:val="22"/>
        </w:rPr>
        <w:t>is our understanding that T</w:t>
      </w:r>
      <w:r w:rsidR="0083334B">
        <w:rPr>
          <w:color w:val="000000"/>
          <w:sz w:val="22"/>
          <w:szCs w:val="22"/>
        </w:rPr>
        <w:t>urner distributes dual feeds of the TBS Network</w:t>
      </w:r>
      <w:r w:rsidR="00741C03">
        <w:rPr>
          <w:color w:val="000000"/>
          <w:sz w:val="22"/>
          <w:szCs w:val="22"/>
        </w:rPr>
        <w:t xml:space="preserve"> (</w:t>
      </w:r>
      <w:r w:rsidR="00741C03" w:rsidRPr="00AD11C7">
        <w:rPr>
          <w:color w:val="000000"/>
          <w:sz w:val="22"/>
          <w:szCs w:val="22"/>
        </w:rPr>
        <w:t>i.e</w:t>
      </w:r>
      <w:r w:rsidR="00741C03" w:rsidRPr="00741C03">
        <w:rPr>
          <w:i/>
          <w:color w:val="000000"/>
          <w:sz w:val="22"/>
          <w:szCs w:val="22"/>
        </w:rPr>
        <w:t>.</w:t>
      </w:r>
      <w:r w:rsidR="00A05594">
        <w:rPr>
          <w:color w:val="000000"/>
          <w:sz w:val="22"/>
          <w:szCs w:val="22"/>
        </w:rPr>
        <w:t>,</w:t>
      </w:r>
      <w:r w:rsidRPr="00F563A3">
        <w:rPr>
          <w:color w:val="000000"/>
          <w:sz w:val="22"/>
          <w:szCs w:val="22"/>
        </w:rPr>
        <w:t xml:space="preserve"> East Coast and West Coast programming feeds</w:t>
      </w:r>
      <w:r w:rsidR="00741C03">
        <w:rPr>
          <w:color w:val="000000"/>
          <w:sz w:val="22"/>
          <w:szCs w:val="22"/>
        </w:rPr>
        <w:t>) and nothing in the record indicates that the promotion</w:t>
      </w:r>
      <w:r w:rsidR="0083334B">
        <w:rPr>
          <w:color w:val="000000"/>
          <w:sz w:val="22"/>
          <w:szCs w:val="22"/>
        </w:rPr>
        <w:t xml:space="preserve"> at issue was</w:t>
      </w:r>
      <w:r w:rsidR="00741C03">
        <w:rPr>
          <w:color w:val="000000"/>
          <w:sz w:val="22"/>
          <w:szCs w:val="22"/>
        </w:rPr>
        <w:t xml:space="preserve"> removed from the second feed.  </w:t>
      </w:r>
      <w:r w:rsidR="0083334B">
        <w:rPr>
          <w:color w:val="000000"/>
          <w:sz w:val="22"/>
          <w:szCs w:val="22"/>
        </w:rPr>
        <w:t xml:space="preserve">Moreover, </w:t>
      </w:r>
      <w:r w:rsidR="00BB249A" w:rsidRPr="00F563A3">
        <w:rPr>
          <w:rStyle w:val="documentbody1"/>
          <w:rFonts w:ascii="Times New Roman" w:hAnsi="Times New Roman"/>
          <w:color w:val="000000"/>
          <w:sz w:val="22"/>
          <w:szCs w:val="22"/>
        </w:rPr>
        <w:t>Turner</w:t>
      </w:r>
      <w:r w:rsidR="00DA0138">
        <w:rPr>
          <w:rStyle w:val="documentbody1"/>
          <w:rFonts w:ascii="Times New Roman" w:hAnsi="Times New Roman"/>
          <w:color w:val="000000"/>
          <w:sz w:val="22"/>
          <w:szCs w:val="22"/>
        </w:rPr>
        <w:t xml:space="preserve"> transmitted</w:t>
      </w:r>
      <w:r w:rsidR="004031DC">
        <w:rPr>
          <w:rStyle w:val="documentbody1"/>
          <w:rFonts w:ascii="Times New Roman" w:hAnsi="Times New Roman"/>
          <w:color w:val="000000"/>
          <w:sz w:val="22"/>
          <w:szCs w:val="22"/>
        </w:rPr>
        <w:t>,</w:t>
      </w:r>
      <w:r w:rsidR="00DA0138">
        <w:rPr>
          <w:rStyle w:val="documentbody1"/>
          <w:rFonts w:ascii="Times New Roman" w:hAnsi="Times New Roman"/>
          <w:color w:val="000000"/>
          <w:sz w:val="22"/>
          <w:szCs w:val="22"/>
        </w:rPr>
        <w:t xml:space="preserve"> or</w:t>
      </w:r>
      <w:r w:rsidR="00124569">
        <w:rPr>
          <w:rStyle w:val="documentbody1"/>
          <w:rFonts w:ascii="Times New Roman" w:hAnsi="Times New Roman"/>
          <w:color w:val="000000"/>
          <w:sz w:val="22"/>
          <w:szCs w:val="22"/>
        </w:rPr>
        <w:t xml:space="preserve"> caused the transmission</w:t>
      </w:r>
      <w:r w:rsidR="00124569" w:rsidRPr="00F45B4B">
        <w:rPr>
          <w:rStyle w:val="documentbody1"/>
          <w:rFonts w:ascii="Times New Roman" w:hAnsi="Times New Roman"/>
          <w:sz w:val="22"/>
        </w:rPr>
        <w:t xml:space="preserve"> of</w:t>
      </w:r>
      <w:r w:rsidR="004031DC">
        <w:rPr>
          <w:rStyle w:val="documentbody1"/>
          <w:rFonts w:ascii="Times New Roman" w:hAnsi="Times New Roman"/>
          <w:sz w:val="22"/>
        </w:rPr>
        <w:t>,</w:t>
      </w:r>
      <w:r w:rsidR="00124569" w:rsidRPr="00F45B4B">
        <w:rPr>
          <w:rStyle w:val="documentbody1"/>
          <w:rFonts w:ascii="Times New Roman" w:hAnsi="Times New Roman"/>
          <w:sz w:val="22"/>
        </w:rPr>
        <w:t xml:space="preserve"> </w:t>
      </w:r>
      <w:r w:rsidR="00BB249A" w:rsidRPr="00F563A3">
        <w:rPr>
          <w:color w:val="000000"/>
          <w:sz w:val="22"/>
          <w:szCs w:val="22"/>
        </w:rPr>
        <w:t>simulat</w:t>
      </w:r>
      <w:r>
        <w:rPr>
          <w:color w:val="000000"/>
          <w:sz w:val="22"/>
          <w:szCs w:val="22"/>
        </w:rPr>
        <w:t xml:space="preserve">ed </w:t>
      </w:r>
      <w:r w:rsidR="00BB249A" w:rsidRPr="00F563A3">
        <w:rPr>
          <w:color w:val="000000"/>
          <w:sz w:val="22"/>
          <w:szCs w:val="22"/>
        </w:rPr>
        <w:t xml:space="preserve">EAS codes </w:t>
      </w:r>
      <w:r w:rsidR="00124569">
        <w:rPr>
          <w:color w:val="000000"/>
          <w:sz w:val="22"/>
          <w:szCs w:val="22"/>
        </w:rPr>
        <w:t>and</w:t>
      </w:r>
      <w:r w:rsidR="00BB249A" w:rsidRPr="00F563A3">
        <w:rPr>
          <w:color w:val="000000"/>
          <w:sz w:val="22"/>
          <w:szCs w:val="22"/>
        </w:rPr>
        <w:t xml:space="preserve"> Attention Signal</w:t>
      </w:r>
      <w:r>
        <w:rPr>
          <w:color w:val="000000"/>
          <w:sz w:val="22"/>
          <w:szCs w:val="22"/>
        </w:rPr>
        <w:t>s</w:t>
      </w:r>
      <w:r w:rsidR="00BB249A" w:rsidRPr="00F563A3">
        <w:rPr>
          <w:color w:val="000000"/>
          <w:sz w:val="22"/>
          <w:szCs w:val="22"/>
        </w:rPr>
        <w:t>, in circumstance</w:t>
      </w:r>
      <w:r w:rsidR="00314673" w:rsidRPr="00F563A3">
        <w:rPr>
          <w:color w:val="000000"/>
          <w:sz w:val="22"/>
          <w:szCs w:val="22"/>
        </w:rPr>
        <w:t>s</w:t>
      </w:r>
      <w:r w:rsidR="00BB249A" w:rsidRPr="00F563A3">
        <w:rPr>
          <w:color w:val="000000"/>
          <w:sz w:val="22"/>
          <w:szCs w:val="22"/>
        </w:rPr>
        <w:t xml:space="preserve"> other than an actual emergency or authorized test of the EAS, over </w:t>
      </w:r>
      <w:r w:rsidR="0083334B">
        <w:rPr>
          <w:color w:val="000000"/>
          <w:sz w:val="22"/>
          <w:szCs w:val="22"/>
        </w:rPr>
        <w:t xml:space="preserve">a network </w:t>
      </w:r>
      <w:r w:rsidR="00124569">
        <w:rPr>
          <w:color w:val="000000"/>
          <w:sz w:val="22"/>
          <w:szCs w:val="22"/>
        </w:rPr>
        <w:t>with</w:t>
      </w:r>
      <w:r w:rsidR="00BB249A" w:rsidRPr="00F563A3">
        <w:rPr>
          <w:color w:val="000000"/>
          <w:sz w:val="22"/>
          <w:szCs w:val="22"/>
        </w:rPr>
        <w:t xml:space="preserve"> </w:t>
      </w:r>
      <w:r w:rsidR="0083334B">
        <w:rPr>
          <w:color w:val="000000"/>
          <w:sz w:val="22"/>
          <w:szCs w:val="22"/>
        </w:rPr>
        <w:t xml:space="preserve">a </w:t>
      </w:r>
      <w:r w:rsidR="00124569">
        <w:rPr>
          <w:color w:val="000000"/>
          <w:sz w:val="22"/>
          <w:szCs w:val="22"/>
        </w:rPr>
        <w:t xml:space="preserve">substantial </w:t>
      </w:r>
      <w:r>
        <w:rPr>
          <w:color w:val="000000"/>
          <w:sz w:val="22"/>
          <w:szCs w:val="22"/>
        </w:rPr>
        <w:t xml:space="preserve">nationwide </w:t>
      </w:r>
      <w:r w:rsidR="00BB249A" w:rsidRPr="00F563A3">
        <w:rPr>
          <w:color w:val="000000"/>
          <w:sz w:val="22"/>
          <w:szCs w:val="22"/>
        </w:rPr>
        <w:t>audience.  Turner</w:t>
      </w:r>
      <w:r w:rsidR="00C16531" w:rsidRPr="00F563A3">
        <w:rPr>
          <w:color w:val="000000"/>
          <w:sz w:val="22"/>
          <w:szCs w:val="22"/>
        </w:rPr>
        <w:t>’s parent company, Time Warner Inc.</w:t>
      </w:r>
      <w:r w:rsidR="00E86F92" w:rsidRPr="00F563A3">
        <w:rPr>
          <w:color w:val="000000"/>
          <w:sz w:val="22"/>
          <w:szCs w:val="22"/>
        </w:rPr>
        <w:t xml:space="preserve"> (Time Warner)</w:t>
      </w:r>
      <w:r w:rsidR="00C16531" w:rsidRPr="00F563A3">
        <w:rPr>
          <w:color w:val="000000"/>
          <w:sz w:val="22"/>
          <w:szCs w:val="22"/>
        </w:rPr>
        <w:t>,</w:t>
      </w:r>
      <w:r w:rsidR="00BB249A" w:rsidRPr="00F563A3">
        <w:rPr>
          <w:color w:val="000000"/>
          <w:sz w:val="22"/>
          <w:szCs w:val="22"/>
        </w:rPr>
        <w:t xml:space="preserve"> </w:t>
      </w:r>
      <w:r w:rsidR="00314673" w:rsidRPr="00F563A3">
        <w:rPr>
          <w:color w:val="000000"/>
          <w:sz w:val="22"/>
          <w:szCs w:val="22"/>
        </w:rPr>
        <w:t>states</w:t>
      </w:r>
      <w:r w:rsidR="00C16531" w:rsidRPr="00F563A3">
        <w:rPr>
          <w:color w:val="000000"/>
          <w:sz w:val="22"/>
          <w:szCs w:val="22"/>
        </w:rPr>
        <w:t xml:space="preserve"> in its 2012 </w:t>
      </w:r>
      <w:r w:rsidR="00C16531" w:rsidRPr="00B40B4D">
        <w:rPr>
          <w:i/>
          <w:color w:val="000000"/>
          <w:sz w:val="22"/>
          <w:szCs w:val="22"/>
        </w:rPr>
        <w:t>Annual Report</w:t>
      </w:r>
      <w:r w:rsidR="00C16531" w:rsidRPr="00F563A3">
        <w:rPr>
          <w:color w:val="000000"/>
          <w:sz w:val="22"/>
          <w:szCs w:val="22"/>
        </w:rPr>
        <w:t xml:space="preserve"> that the TBS Network, which </w:t>
      </w:r>
      <w:r w:rsidR="00124569">
        <w:rPr>
          <w:color w:val="000000"/>
          <w:sz w:val="22"/>
          <w:szCs w:val="22"/>
        </w:rPr>
        <w:t>includes</w:t>
      </w:r>
      <w:r w:rsidR="00C16531" w:rsidRPr="00F563A3">
        <w:rPr>
          <w:color w:val="000000"/>
          <w:sz w:val="22"/>
          <w:szCs w:val="22"/>
        </w:rPr>
        <w:t xml:space="preserve"> the </w:t>
      </w:r>
      <w:r w:rsidR="00C16531" w:rsidRPr="00AD11C7">
        <w:rPr>
          <w:i/>
          <w:color w:val="000000"/>
          <w:sz w:val="22"/>
          <w:szCs w:val="22"/>
        </w:rPr>
        <w:t>Conan</w:t>
      </w:r>
      <w:r w:rsidR="00C16531" w:rsidRPr="00F563A3">
        <w:rPr>
          <w:color w:val="000000"/>
          <w:sz w:val="22"/>
          <w:szCs w:val="22"/>
        </w:rPr>
        <w:t xml:space="preserve"> show, “reached approximately 99.7 million U.S. television households as of December 2012</w:t>
      </w:r>
      <w:r w:rsidR="0083334B">
        <w:rPr>
          <w:color w:val="000000"/>
          <w:sz w:val="22"/>
          <w:szCs w:val="22"/>
        </w:rPr>
        <w:t>.</w:t>
      </w:r>
      <w:r w:rsidR="00C16531" w:rsidRPr="00F563A3">
        <w:rPr>
          <w:color w:val="000000"/>
          <w:sz w:val="22"/>
          <w:szCs w:val="22"/>
        </w:rPr>
        <w:t>”</w:t>
      </w:r>
      <w:r w:rsidR="00C16531" w:rsidRPr="00F563A3">
        <w:rPr>
          <w:rStyle w:val="FootnoteReference"/>
          <w:color w:val="000000"/>
          <w:sz w:val="22"/>
          <w:szCs w:val="22"/>
        </w:rPr>
        <w:footnoteReference w:id="51"/>
      </w:r>
      <w:r w:rsidR="00C16531" w:rsidRPr="00F563A3">
        <w:rPr>
          <w:color w:val="000000"/>
          <w:sz w:val="22"/>
          <w:szCs w:val="22"/>
        </w:rPr>
        <w:t xml:space="preserve">  </w:t>
      </w:r>
      <w:r>
        <w:rPr>
          <w:color w:val="000000"/>
          <w:sz w:val="22"/>
          <w:szCs w:val="22"/>
        </w:rPr>
        <w:t>The fact that Turner’s violations reached such</w:t>
      </w:r>
      <w:r w:rsidR="0083334B">
        <w:rPr>
          <w:color w:val="000000"/>
          <w:sz w:val="22"/>
          <w:szCs w:val="22"/>
        </w:rPr>
        <w:t xml:space="preserve"> a</w:t>
      </w:r>
      <w:r>
        <w:rPr>
          <w:color w:val="000000"/>
          <w:sz w:val="22"/>
          <w:szCs w:val="22"/>
        </w:rPr>
        <w:t xml:space="preserve"> potentially vast audience greatly increases </w:t>
      </w:r>
      <w:r w:rsidR="00AF41ED">
        <w:rPr>
          <w:color w:val="000000"/>
          <w:sz w:val="22"/>
          <w:szCs w:val="22"/>
        </w:rPr>
        <w:t xml:space="preserve">the </w:t>
      </w:r>
      <w:r w:rsidRPr="00F563A3">
        <w:rPr>
          <w:rStyle w:val="documentbody1"/>
          <w:rFonts w:ascii="Times New Roman" w:hAnsi="Times New Roman"/>
          <w:color w:val="000000"/>
          <w:sz w:val="22"/>
          <w:szCs w:val="22"/>
        </w:rPr>
        <w:t>extent and gravity of the</w:t>
      </w:r>
      <w:r w:rsidRPr="00F45B4B">
        <w:rPr>
          <w:rStyle w:val="documentbody1"/>
          <w:rFonts w:ascii="Times New Roman" w:hAnsi="Times New Roman"/>
          <w:sz w:val="22"/>
        </w:rPr>
        <w:t xml:space="preserve"> violations.</w:t>
      </w:r>
    </w:p>
    <w:p w:rsidR="00E86F92" w:rsidRPr="00F563A3" w:rsidRDefault="00E86F92" w:rsidP="00E86F92">
      <w:pPr>
        <w:pStyle w:val="ListParagraph"/>
        <w:rPr>
          <w:color w:val="000000"/>
          <w:sz w:val="22"/>
          <w:szCs w:val="22"/>
        </w:rPr>
      </w:pPr>
    </w:p>
    <w:p w:rsidR="00FF3235" w:rsidRDefault="00314673" w:rsidP="00C77657">
      <w:pPr>
        <w:widowControl/>
        <w:numPr>
          <w:ilvl w:val="0"/>
          <w:numId w:val="22"/>
        </w:numPr>
        <w:tabs>
          <w:tab w:val="clear" w:pos="1260"/>
          <w:tab w:val="num" w:pos="1440"/>
        </w:tabs>
        <w:ind w:left="0"/>
        <w:rPr>
          <w:color w:val="000000"/>
          <w:sz w:val="22"/>
          <w:szCs w:val="22"/>
          <w:shd w:val="clear" w:color="auto" w:fill="FFFFFF"/>
        </w:rPr>
      </w:pPr>
      <w:r w:rsidRPr="00F563A3">
        <w:rPr>
          <w:color w:val="000000"/>
          <w:sz w:val="22"/>
          <w:szCs w:val="22"/>
        </w:rPr>
        <w:t xml:space="preserve">With respect to Turner’s ability to pay, </w:t>
      </w:r>
      <w:r w:rsidR="008B4FB7">
        <w:rPr>
          <w:color w:val="000000"/>
          <w:sz w:val="22"/>
          <w:szCs w:val="22"/>
        </w:rPr>
        <w:t xml:space="preserve">we note that </w:t>
      </w:r>
      <w:r w:rsidRPr="00F563A3">
        <w:rPr>
          <w:color w:val="000000"/>
          <w:sz w:val="22"/>
          <w:szCs w:val="22"/>
        </w:rPr>
        <w:t xml:space="preserve">Turner is </w:t>
      </w:r>
      <w:r w:rsidR="00520262" w:rsidRPr="00F563A3">
        <w:rPr>
          <w:color w:val="000000"/>
          <w:sz w:val="22"/>
          <w:szCs w:val="22"/>
        </w:rPr>
        <w:t xml:space="preserve">part of </w:t>
      </w:r>
      <w:r w:rsidR="00E86F92" w:rsidRPr="00F563A3">
        <w:rPr>
          <w:color w:val="000000"/>
          <w:sz w:val="22"/>
          <w:szCs w:val="22"/>
        </w:rPr>
        <w:t>Time Warner’s N</w:t>
      </w:r>
      <w:r w:rsidR="00520262" w:rsidRPr="00F563A3">
        <w:rPr>
          <w:color w:val="000000"/>
          <w:sz w:val="22"/>
          <w:szCs w:val="22"/>
        </w:rPr>
        <w:t xml:space="preserve">etworks </w:t>
      </w:r>
      <w:r w:rsidR="00E86F92" w:rsidRPr="00F563A3">
        <w:rPr>
          <w:color w:val="000000"/>
          <w:sz w:val="22"/>
          <w:szCs w:val="22"/>
        </w:rPr>
        <w:t>D</w:t>
      </w:r>
      <w:r w:rsidR="00BA7EC4" w:rsidRPr="00F563A3">
        <w:rPr>
          <w:color w:val="000000"/>
          <w:sz w:val="22"/>
          <w:szCs w:val="22"/>
        </w:rPr>
        <w:t>ivision</w:t>
      </w:r>
      <w:r w:rsidR="00E86F92" w:rsidRPr="00F563A3">
        <w:rPr>
          <w:color w:val="000000"/>
          <w:sz w:val="22"/>
          <w:szCs w:val="22"/>
        </w:rPr>
        <w:t xml:space="preserve">, </w:t>
      </w:r>
      <w:r w:rsidRPr="00F563A3">
        <w:rPr>
          <w:color w:val="000000"/>
          <w:sz w:val="22"/>
          <w:szCs w:val="22"/>
        </w:rPr>
        <w:t>which</w:t>
      </w:r>
      <w:r w:rsidR="00520262" w:rsidRPr="00F563A3">
        <w:rPr>
          <w:color w:val="000000"/>
          <w:sz w:val="22"/>
          <w:szCs w:val="22"/>
        </w:rPr>
        <w:t xml:space="preserve"> </w:t>
      </w:r>
      <w:r w:rsidR="00124569">
        <w:rPr>
          <w:color w:val="000000"/>
          <w:sz w:val="22"/>
          <w:szCs w:val="22"/>
        </w:rPr>
        <w:t xml:space="preserve">reported annual </w:t>
      </w:r>
      <w:r w:rsidR="00BA7EC4" w:rsidRPr="00F563A3">
        <w:rPr>
          <w:color w:val="000000"/>
          <w:sz w:val="22"/>
          <w:szCs w:val="22"/>
        </w:rPr>
        <w:t xml:space="preserve">revenues </w:t>
      </w:r>
      <w:r w:rsidR="008B4FB7">
        <w:rPr>
          <w:color w:val="000000"/>
          <w:sz w:val="22"/>
          <w:szCs w:val="22"/>
        </w:rPr>
        <w:t xml:space="preserve">in excess of </w:t>
      </w:r>
      <w:r w:rsidR="00BA7EC4" w:rsidRPr="00F563A3">
        <w:rPr>
          <w:color w:val="000000"/>
          <w:sz w:val="22"/>
          <w:szCs w:val="22"/>
        </w:rPr>
        <w:t>$14</w:t>
      </w:r>
      <w:r w:rsidR="008B4FB7">
        <w:rPr>
          <w:color w:val="000000"/>
          <w:sz w:val="22"/>
          <w:szCs w:val="22"/>
        </w:rPr>
        <w:t>.</w:t>
      </w:r>
      <w:r w:rsidR="000F78FE" w:rsidRPr="00F563A3">
        <w:rPr>
          <w:color w:val="000000"/>
          <w:sz w:val="22"/>
          <w:szCs w:val="22"/>
        </w:rPr>
        <w:t>2 b</w:t>
      </w:r>
      <w:r w:rsidR="00BA7EC4" w:rsidRPr="00F563A3">
        <w:rPr>
          <w:color w:val="000000"/>
          <w:sz w:val="22"/>
          <w:szCs w:val="22"/>
        </w:rPr>
        <w:t>illion</w:t>
      </w:r>
      <w:r w:rsidR="00520262" w:rsidRPr="00F563A3">
        <w:rPr>
          <w:color w:val="000000"/>
          <w:sz w:val="22"/>
          <w:szCs w:val="22"/>
        </w:rPr>
        <w:t xml:space="preserve"> dollars, as of December 31, 2012</w:t>
      </w:r>
      <w:r w:rsidR="00124569">
        <w:rPr>
          <w:color w:val="000000"/>
          <w:sz w:val="22"/>
          <w:szCs w:val="22"/>
        </w:rPr>
        <w:t>.</w:t>
      </w:r>
      <w:r w:rsidR="00124569">
        <w:rPr>
          <w:rStyle w:val="FootnoteReference"/>
          <w:color w:val="000000"/>
          <w:sz w:val="22"/>
          <w:szCs w:val="22"/>
        </w:rPr>
        <w:footnoteReference w:id="52"/>
      </w:r>
      <w:r w:rsidR="00124569">
        <w:rPr>
          <w:color w:val="000000"/>
          <w:sz w:val="22"/>
          <w:szCs w:val="22"/>
        </w:rPr>
        <w:t xml:space="preserve">  </w:t>
      </w:r>
      <w:r w:rsidR="00C271E3" w:rsidRPr="00F563A3">
        <w:rPr>
          <w:color w:val="000000"/>
          <w:sz w:val="22"/>
          <w:szCs w:val="22"/>
        </w:rPr>
        <w:t xml:space="preserve">As the Commission made clear in the </w:t>
      </w:r>
      <w:r w:rsidR="00C271E3" w:rsidRPr="00F563A3">
        <w:rPr>
          <w:i/>
          <w:color w:val="000000"/>
          <w:sz w:val="22"/>
          <w:szCs w:val="22"/>
        </w:rPr>
        <w:t>Forfeiture Policy Statement</w:t>
      </w:r>
      <w:r w:rsidR="00C271E3" w:rsidRPr="00F563A3">
        <w:rPr>
          <w:color w:val="000000"/>
          <w:sz w:val="22"/>
          <w:szCs w:val="22"/>
        </w:rPr>
        <w:t xml:space="preserve">, companies with higher revenues, such as Turner, </w:t>
      </w:r>
      <w:r w:rsidR="00E52DB9">
        <w:rPr>
          <w:color w:val="000000"/>
          <w:sz w:val="22"/>
          <w:szCs w:val="22"/>
        </w:rPr>
        <w:t>may</w:t>
      </w:r>
      <w:r w:rsidR="00C271E3" w:rsidRPr="00F563A3">
        <w:rPr>
          <w:color w:val="000000"/>
          <w:sz w:val="22"/>
          <w:szCs w:val="22"/>
        </w:rPr>
        <w:t xml:space="preserve"> expect </w:t>
      </w:r>
      <w:r w:rsidR="00E52DB9">
        <w:rPr>
          <w:color w:val="000000"/>
          <w:sz w:val="22"/>
          <w:szCs w:val="22"/>
        </w:rPr>
        <w:t xml:space="preserve">the imposition of </w:t>
      </w:r>
      <w:r w:rsidR="00C271E3" w:rsidRPr="00F563A3">
        <w:rPr>
          <w:color w:val="000000"/>
          <w:sz w:val="22"/>
          <w:szCs w:val="22"/>
        </w:rPr>
        <w:t>forfeitures higher than those reflected in the base amounts.</w:t>
      </w:r>
      <w:r w:rsidR="00C271E3" w:rsidRPr="00F563A3">
        <w:rPr>
          <w:rStyle w:val="FootnoteReference"/>
          <w:color w:val="000000"/>
          <w:sz w:val="22"/>
          <w:szCs w:val="22"/>
        </w:rPr>
        <w:footnoteReference w:id="53"/>
      </w:r>
      <w:r w:rsidR="00FF3235">
        <w:rPr>
          <w:color w:val="000000"/>
          <w:sz w:val="22"/>
          <w:szCs w:val="22"/>
          <w:shd w:val="clear" w:color="auto" w:fill="FFFFFF"/>
        </w:rPr>
        <w:t xml:space="preserve">  </w:t>
      </w:r>
    </w:p>
    <w:p w:rsidR="00FF3235" w:rsidRDefault="00FF3235" w:rsidP="0038720E">
      <w:pPr>
        <w:pStyle w:val="ListParagraph"/>
        <w:rPr>
          <w:color w:val="000000"/>
          <w:sz w:val="22"/>
          <w:szCs w:val="22"/>
        </w:rPr>
      </w:pPr>
    </w:p>
    <w:p w:rsidR="000E59DC" w:rsidRPr="003B1AB9" w:rsidRDefault="004031DC" w:rsidP="004D1D82">
      <w:pPr>
        <w:widowControl/>
        <w:numPr>
          <w:ilvl w:val="0"/>
          <w:numId w:val="22"/>
        </w:numPr>
        <w:tabs>
          <w:tab w:val="clear" w:pos="1260"/>
          <w:tab w:val="num" w:pos="1440"/>
        </w:tabs>
        <w:ind w:left="0"/>
        <w:rPr>
          <w:rStyle w:val="documentbody1"/>
          <w:rFonts w:ascii="Times New Roman" w:hAnsi="Times New Roman"/>
          <w:color w:val="000000"/>
          <w:sz w:val="22"/>
        </w:rPr>
      </w:pPr>
      <w:r>
        <w:rPr>
          <w:color w:val="000000"/>
          <w:sz w:val="22"/>
          <w:szCs w:val="22"/>
        </w:rPr>
        <w:t>Although Turner asserts that it</w:t>
      </w:r>
      <w:r w:rsidR="00DA0138">
        <w:rPr>
          <w:color w:val="000000"/>
          <w:sz w:val="22"/>
          <w:szCs w:val="22"/>
        </w:rPr>
        <w:t xml:space="preserve"> changed its review practices </w:t>
      </w:r>
      <w:r>
        <w:rPr>
          <w:color w:val="000000"/>
          <w:sz w:val="22"/>
          <w:szCs w:val="22"/>
        </w:rPr>
        <w:t xml:space="preserve">following viewer complaints about the </w:t>
      </w:r>
      <w:r w:rsidRPr="00AD11C7">
        <w:rPr>
          <w:i/>
          <w:color w:val="000000"/>
          <w:sz w:val="22"/>
          <w:szCs w:val="22"/>
        </w:rPr>
        <w:t>Conan</w:t>
      </w:r>
      <w:r>
        <w:rPr>
          <w:color w:val="000000"/>
          <w:sz w:val="22"/>
          <w:szCs w:val="22"/>
        </w:rPr>
        <w:t xml:space="preserve"> promotion, we cannot find that such efforts </w:t>
      </w:r>
      <w:r w:rsidR="0083334B">
        <w:rPr>
          <w:color w:val="000000"/>
          <w:sz w:val="22"/>
          <w:szCs w:val="22"/>
        </w:rPr>
        <w:t xml:space="preserve">fully </w:t>
      </w:r>
      <w:r>
        <w:rPr>
          <w:color w:val="000000"/>
          <w:sz w:val="22"/>
          <w:szCs w:val="22"/>
        </w:rPr>
        <w:t xml:space="preserve">mitigated the violations addressed herein.  </w:t>
      </w:r>
      <w:r w:rsidR="00FF3235" w:rsidRPr="0038720E">
        <w:rPr>
          <w:sz w:val="22"/>
          <w:szCs w:val="22"/>
        </w:rPr>
        <w:t>It is well settled</w:t>
      </w:r>
      <w:r w:rsidR="00FF3235">
        <w:rPr>
          <w:sz w:val="22"/>
          <w:szCs w:val="22"/>
        </w:rPr>
        <w:t xml:space="preserve"> </w:t>
      </w:r>
      <w:r w:rsidR="00FF3235" w:rsidRPr="00C77657">
        <w:rPr>
          <w:sz w:val="22"/>
          <w:szCs w:val="22"/>
        </w:rPr>
        <w:t>precedent</w:t>
      </w:r>
      <w:r w:rsidR="00FF3235" w:rsidRPr="0038720E">
        <w:rPr>
          <w:sz w:val="22"/>
          <w:szCs w:val="22"/>
        </w:rPr>
        <w:t xml:space="preserve"> that subsequent remedial actions do not excuse or nullify a licensee’s violation of a Commission rule.</w:t>
      </w:r>
      <w:r w:rsidR="00FF3235" w:rsidRPr="00C77657">
        <w:rPr>
          <w:rStyle w:val="FootnoteReference"/>
          <w:sz w:val="22"/>
          <w:szCs w:val="22"/>
        </w:rPr>
        <w:footnoteReference w:id="54"/>
      </w:r>
      <w:r w:rsidR="00FF3235" w:rsidRPr="0038720E">
        <w:rPr>
          <w:sz w:val="22"/>
          <w:szCs w:val="22"/>
        </w:rPr>
        <w:t xml:space="preserve">  </w:t>
      </w:r>
      <w:r>
        <w:rPr>
          <w:sz w:val="22"/>
          <w:szCs w:val="22"/>
        </w:rPr>
        <w:t xml:space="preserve">Although </w:t>
      </w:r>
      <w:r w:rsidR="00FF3235" w:rsidRPr="0038720E">
        <w:rPr>
          <w:sz w:val="22"/>
          <w:szCs w:val="22"/>
        </w:rPr>
        <w:t>we may consider pre-investigative remedial measures when we determine the sanction to be imposed for a rule violation</w:t>
      </w:r>
      <w:r>
        <w:rPr>
          <w:sz w:val="22"/>
          <w:szCs w:val="22"/>
        </w:rPr>
        <w:t>,</w:t>
      </w:r>
      <w:r w:rsidR="00FF3235" w:rsidRPr="00C77657">
        <w:rPr>
          <w:rStyle w:val="FootnoteReference"/>
          <w:sz w:val="22"/>
          <w:szCs w:val="22"/>
        </w:rPr>
        <w:footnoteReference w:id="55"/>
      </w:r>
      <w:r w:rsidR="00FF3235" w:rsidRPr="0038720E">
        <w:rPr>
          <w:sz w:val="22"/>
          <w:szCs w:val="22"/>
        </w:rPr>
        <w:t xml:space="preserve"> </w:t>
      </w:r>
      <w:r>
        <w:rPr>
          <w:color w:val="000000"/>
          <w:sz w:val="22"/>
          <w:szCs w:val="22"/>
        </w:rPr>
        <w:t>w</w:t>
      </w:r>
      <w:r w:rsidR="0083334B">
        <w:rPr>
          <w:color w:val="000000"/>
          <w:sz w:val="22"/>
          <w:szCs w:val="22"/>
        </w:rPr>
        <w:t xml:space="preserve">e cannot find that Turner’s efforts in this instance outweigh the other factors described above. </w:t>
      </w:r>
      <w:r w:rsidR="000A6764" w:rsidRPr="00C77657">
        <w:rPr>
          <w:color w:val="000000"/>
          <w:sz w:val="22"/>
          <w:szCs w:val="22"/>
          <w:shd w:val="clear" w:color="auto" w:fill="FFFFFF"/>
        </w:rPr>
        <w:t xml:space="preserve"> </w:t>
      </w:r>
      <w:r w:rsidR="005F4C71" w:rsidRPr="0038720E">
        <w:rPr>
          <w:color w:val="000000"/>
          <w:sz w:val="22"/>
          <w:szCs w:val="22"/>
          <w:shd w:val="clear" w:color="auto" w:fill="FFFFFF"/>
        </w:rPr>
        <w:t xml:space="preserve">Therefore, </w:t>
      </w:r>
      <w:r w:rsidR="00DA0138">
        <w:rPr>
          <w:color w:val="000000"/>
          <w:sz w:val="22"/>
          <w:szCs w:val="22"/>
          <w:shd w:val="clear" w:color="auto" w:fill="FFFFFF"/>
        </w:rPr>
        <w:t>based on the</w:t>
      </w:r>
      <w:r w:rsidR="0083334B">
        <w:rPr>
          <w:color w:val="000000"/>
          <w:sz w:val="22"/>
          <w:szCs w:val="22"/>
          <w:shd w:val="clear" w:color="auto" w:fill="FFFFFF"/>
        </w:rPr>
        <w:t xml:space="preserve"> nature and extent of the violations</w:t>
      </w:r>
      <w:r w:rsidR="00CC3527">
        <w:rPr>
          <w:color w:val="000000"/>
          <w:sz w:val="22"/>
          <w:szCs w:val="22"/>
          <w:shd w:val="clear" w:color="auto" w:fill="FFFFFF"/>
        </w:rPr>
        <w:t xml:space="preserve"> at issue</w:t>
      </w:r>
      <w:r w:rsidR="00DA0138">
        <w:rPr>
          <w:color w:val="000000"/>
          <w:sz w:val="22"/>
          <w:szCs w:val="22"/>
          <w:shd w:val="clear" w:color="auto" w:fill="FFFFFF"/>
        </w:rPr>
        <w:t>, the natio</w:t>
      </w:r>
      <w:r w:rsidR="00CC3527">
        <w:rPr>
          <w:color w:val="000000"/>
          <w:sz w:val="22"/>
          <w:szCs w:val="22"/>
          <w:shd w:val="clear" w:color="auto" w:fill="FFFFFF"/>
        </w:rPr>
        <w:t>nwide</w:t>
      </w:r>
      <w:r w:rsidR="00DA0138">
        <w:rPr>
          <w:color w:val="000000"/>
          <w:sz w:val="22"/>
          <w:szCs w:val="22"/>
          <w:shd w:val="clear" w:color="auto" w:fill="FFFFFF"/>
        </w:rPr>
        <w:t xml:space="preserve"> scope of Turner’s audience reach, and Turner’s ability to pay, along with </w:t>
      </w:r>
      <w:r w:rsidR="00DA0138">
        <w:rPr>
          <w:rStyle w:val="documentbody1"/>
          <w:rFonts w:ascii="Times New Roman" w:hAnsi="Times New Roman"/>
          <w:color w:val="000000"/>
          <w:sz w:val="22"/>
          <w:szCs w:val="22"/>
        </w:rPr>
        <w:t>t</w:t>
      </w:r>
      <w:r w:rsidR="0057199D" w:rsidRPr="0038720E">
        <w:rPr>
          <w:rStyle w:val="documentbody1"/>
          <w:rFonts w:ascii="Times New Roman" w:hAnsi="Times New Roman"/>
          <w:color w:val="000000"/>
          <w:sz w:val="22"/>
          <w:szCs w:val="22"/>
        </w:rPr>
        <w:t xml:space="preserve">he factors as outlined in the Commission’s </w:t>
      </w:r>
      <w:r w:rsidR="0057199D" w:rsidRPr="0038720E">
        <w:rPr>
          <w:rStyle w:val="documentbody1"/>
          <w:rFonts w:ascii="Times New Roman" w:hAnsi="Times New Roman"/>
          <w:i/>
          <w:color w:val="000000"/>
          <w:sz w:val="22"/>
          <w:szCs w:val="22"/>
        </w:rPr>
        <w:t>Forfeiture Policy Statement</w:t>
      </w:r>
      <w:r w:rsidR="0057199D" w:rsidRPr="0038720E">
        <w:rPr>
          <w:rStyle w:val="documentbody1"/>
          <w:rFonts w:ascii="Times New Roman" w:hAnsi="Times New Roman"/>
          <w:color w:val="000000"/>
          <w:sz w:val="22"/>
          <w:szCs w:val="22"/>
        </w:rPr>
        <w:t xml:space="preserve">, </w:t>
      </w:r>
      <w:r w:rsidR="006E1D3F" w:rsidRPr="0038720E">
        <w:rPr>
          <w:rStyle w:val="documentbody1"/>
          <w:rFonts w:ascii="Times New Roman" w:hAnsi="Times New Roman"/>
          <w:color w:val="000000"/>
          <w:sz w:val="22"/>
          <w:szCs w:val="22"/>
        </w:rPr>
        <w:t xml:space="preserve">we find that </w:t>
      </w:r>
      <w:r w:rsidR="00DD0A08" w:rsidRPr="0038720E">
        <w:rPr>
          <w:rStyle w:val="documentbody1"/>
          <w:rFonts w:ascii="Times New Roman" w:hAnsi="Times New Roman"/>
          <w:color w:val="000000"/>
          <w:sz w:val="22"/>
          <w:szCs w:val="22"/>
        </w:rPr>
        <w:t>a forfeiture of tw</w:t>
      </w:r>
      <w:r w:rsidR="0083334B">
        <w:rPr>
          <w:rStyle w:val="documentbody1"/>
          <w:rFonts w:ascii="Times New Roman" w:hAnsi="Times New Roman"/>
          <w:color w:val="000000"/>
          <w:sz w:val="22"/>
          <w:szCs w:val="22"/>
        </w:rPr>
        <w:t>enty-five</w:t>
      </w:r>
      <w:r w:rsidR="00DD0A08" w:rsidRPr="0038720E">
        <w:rPr>
          <w:rStyle w:val="documentbody1"/>
          <w:rFonts w:ascii="Times New Roman" w:hAnsi="Times New Roman"/>
          <w:color w:val="000000"/>
          <w:sz w:val="22"/>
          <w:szCs w:val="22"/>
        </w:rPr>
        <w:t xml:space="preserve"> thousand d</w:t>
      </w:r>
      <w:r w:rsidR="009B445B" w:rsidRPr="0038720E">
        <w:rPr>
          <w:rStyle w:val="documentbody1"/>
          <w:rFonts w:ascii="Times New Roman" w:hAnsi="Times New Roman"/>
          <w:color w:val="000000"/>
          <w:sz w:val="22"/>
          <w:szCs w:val="22"/>
        </w:rPr>
        <w:t>ollars ($25</w:t>
      </w:r>
      <w:r w:rsidR="00DD0A08" w:rsidRPr="0038720E">
        <w:rPr>
          <w:rStyle w:val="documentbody1"/>
          <w:rFonts w:ascii="Times New Roman" w:hAnsi="Times New Roman"/>
          <w:color w:val="000000"/>
          <w:sz w:val="22"/>
          <w:szCs w:val="22"/>
        </w:rPr>
        <w:t xml:space="preserve">,000) is </w:t>
      </w:r>
      <w:r w:rsidR="004C39C0" w:rsidRPr="0038720E">
        <w:rPr>
          <w:rStyle w:val="documentbody1"/>
          <w:rFonts w:ascii="Times New Roman" w:hAnsi="Times New Roman"/>
          <w:color w:val="000000"/>
          <w:sz w:val="22"/>
          <w:szCs w:val="22"/>
        </w:rPr>
        <w:t>appropriate</w:t>
      </w:r>
      <w:r w:rsidR="00DD0A08" w:rsidRPr="0038720E">
        <w:rPr>
          <w:rStyle w:val="documentbody1"/>
          <w:rFonts w:ascii="Times New Roman" w:hAnsi="Times New Roman"/>
          <w:color w:val="000000"/>
          <w:sz w:val="22"/>
          <w:szCs w:val="22"/>
        </w:rPr>
        <w:t>.</w:t>
      </w:r>
      <w:r w:rsidR="000A6764">
        <w:rPr>
          <w:rStyle w:val="FootnoteReference"/>
          <w:color w:val="000000"/>
          <w:sz w:val="22"/>
          <w:szCs w:val="22"/>
          <w:shd w:val="clear" w:color="auto" w:fill="FFFFFF"/>
        </w:rPr>
        <w:footnoteReference w:id="56"/>
      </w:r>
    </w:p>
    <w:p w:rsidR="00FD2F8C" w:rsidRDefault="00FD2F8C" w:rsidP="004D1D82">
      <w:pPr>
        <w:pStyle w:val="Heading1"/>
        <w:widowControl/>
        <w:numPr>
          <w:ilvl w:val="0"/>
          <w:numId w:val="0"/>
        </w:numPr>
        <w:spacing w:after="0"/>
        <w:ind w:left="720"/>
        <w:rPr>
          <w:sz w:val="22"/>
          <w:szCs w:val="22"/>
        </w:rPr>
      </w:pPr>
    </w:p>
    <w:p w:rsidR="000E59DC" w:rsidRPr="00DF4BA9" w:rsidRDefault="000E59DC" w:rsidP="00DF4BA9">
      <w:pPr>
        <w:pStyle w:val="Heading1"/>
        <w:widowControl/>
        <w:rPr>
          <w:sz w:val="22"/>
          <w:szCs w:val="22"/>
        </w:rPr>
      </w:pPr>
      <w:r w:rsidRPr="00DF4BA9">
        <w:rPr>
          <w:sz w:val="22"/>
          <w:szCs w:val="22"/>
        </w:rPr>
        <w:t>ORDERING CLAUSES</w:t>
      </w:r>
    </w:p>
    <w:p w:rsidR="000E59DC" w:rsidRPr="00F563A3" w:rsidRDefault="000E59DC" w:rsidP="000E59DC">
      <w:pPr>
        <w:widowControl/>
        <w:numPr>
          <w:ilvl w:val="0"/>
          <w:numId w:val="22"/>
        </w:numPr>
        <w:tabs>
          <w:tab w:val="clear" w:pos="1260"/>
          <w:tab w:val="num" w:pos="1440"/>
        </w:tabs>
        <w:ind w:left="0"/>
        <w:rPr>
          <w:sz w:val="22"/>
          <w:szCs w:val="22"/>
        </w:rPr>
      </w:pPr>
      <w:r w:rsidRPr="00F563A3">
        <w:rPr>
          <w:b/>
          <w:sz w:val="22"/>
          <w:szCs w:val="22"/>
        </w:rPr>
        <w:t>ACCORDINGLY</w:t>
      </w:r>
      <w:r w:rsidRPr="00F563A3">
        <w:rPr>
          <w:sz w:val="22"/>
          <w:szCs w:val="22"/>
        </w:rPr>
        <w:t xml:space="preserve">, </w:t>
      </w:r>
      <w:r w:rsidRPr="00F563A3">
        <w:rPr>
          <w:b/>
          <w:sz w:val="22"/>
          <w:szCs w:val="22"/>
        </w:rPr>
        <w:t>IT IS ORDERED</w:t>
      </w:r>
      <w:r w:rsidRPr="00F563A3">
        <w:rPr>
          <w:sz w:val="22"/>
          <w:szCs w:val="22"/>
        </w:rPr>
        <w:t xml:space="preserve">, pursuant to Section 503(b) of the </w:t>
      </w:r>
      <w:r w:rsidRPr="00F563A3">
        <w:rPr>
          <w:color w:val="000000"/>
          <w:sz w:val="22"/>
          <w:szCs w:val="22"/>
        </w:rPr>
        <w:t>Communications</w:t>
      </w:r>
      <w:r w:rsidRPr="00F563A3">
        <w:rPr>
          <w:sz w:val="22"/>
          <w:szCs w:val="22"/>
        </w:rPr>
        <w:t xml:space="preserve"> Act of 1934, as amended,</w:t>
      </w:r>
      <w:r w:rsidRPr="00F563A3">
        <w:rPr>
          <w:rStyle w:val="FootnoteReference"/>
          <w:spacing w:val="-2"/>
          <w:sz w:val="22"/>
          <w:szCs w:val="22"/>
        </w:rPr>
        <w:footnoteReference w:id="57"/>
      </w:r>
      <w:r w:rsidRPr="00F563A3">
        <w:rPr>
          <w:sz w:val="22"/>
          <w:szCs w:val="22"/>
        </w:rPr>
        <w:t xml:space="preserve"> </w:t>
      </w:r>
      <w:r w:rsidR="00244923">
        <w:rPr>
          <w:sz w:val="22"/>
          <w:szCs w:val="22"/>
        </w:rPr>
        <w:t>and</w:t>
      </w:r>
      <w:r w:rsidRPr="00F563A3">
        <w:rPr>
          <w:sz w:val="22"/>
          <w:szCs w:val="22"/>
        </w:rPr>
        <w:t xml:space="preserve"> </w:t>
      </w:r>
      <w:r w:rsidR="007B4C97" w:rsidRPr="00F563A3">
        <w:rPr>
          <w:sz w:val="22"/>
          <w:szCs w:val="22"/>
        </w:rPr>
        <w:t>Section 1.80 of the Commission’s rules,</w:t>
      </w:r>
      <w:r w:rsidR="007B4C97" w:rsidRPr="00F563A3">
        <w:rPr>
          <w:rStyle w:val="FootnoteReference"/>
          <w:spacing w:val="-2"/>
          <w:sz w:val="22"/>
          <w:szCs w:val="22"/>
        </w:rPr>
        <w:footnoteReference w:id="58"/>
      </w:r>
      <w:r w:rsidR="007B4C97" w:rsidRPr="00496977">
        <w:rPr>
          <w:sz w:val="22"/>
          <w:szCs w:val="22"/>
        </w:rPr>
        <w:t xml:space="preserve"> </w:t>
      </w:r>
      <w:r w:rsidR="007B4C97" w:rsidRPr="004B67C5">
        <w:rPr>
          <w:sz w:val="22"/>
          <w:szCs w:val="22"/>
        </w:rPr>
        <w:t>and authority delegated by Sections 0.111, 0.204, and 0.311 of the</w:t>
      </w:r>
      <w:r w:rsidR="007B4C97">
        <w:rPr>
          <w:sz w:val="22"/>
        </w:rPr>
        <w:t xml:space="preserve"> </w:t>
      </w:r>
      <w:r w:rsidR="007B4C97" w:rsidRPr="004B67C5">
        <w:rPr>
          <w:sz w:val="22"/>
          <w:szCs w:val="22"/>
        </w:rPr>
        <w:t>Commissio</w:t>
      </w:r>
      <w:r w:rsidR="00FB0824">
        <w:rPr>
          <w:sz w:val="22"/>
          <w:szCs w:val="22"/>
        </w:rPr>
        <w:t>n’s</w:t>
      </w:r>
      <w:r w:rsidR="007B4C97" w:rsidRPr="004B67C5">
        <w:rPr>
          <w:sz w:val="22"/>
          <w:szCs w:val="22"/>
        </w:rPr>
        <w:t xml:space="preserve"> rules,</w:t>
      </w:r>
      <w:r w:rsidR="007B4C97">
        <w:rPr>
          <w:rStyle w:val="FootnoteReference"/>
          <w:sz w:val="22"/>
          <w:szCs w:val="22"/>
        </w:rPr>
        <w:footnoteReference w:id="59"/>
      </w:r>
      <w:r w:rsidR="007B4C97" w:rsidRPr="00F563A3">
        <w:rPr>
          <w:sz w:val="22"/>
          <w:szCs w:val="22"/>
        </w:rPr>
        <w:t xml:space="preserve"> </w:t>
      </w:r>
      <w:r w:rsidRPr="00F563A3">
        <w:rPr>
          <w:sz w:val="22"/>
          <w:szCs w:val="22"/>
        </w:rPr>
        <w:t xml:space="preserve">that </w:t>
      </w:r>
      <w:r w:rsidR="00314587" w:rsidRPr="00F563A3">
        <w:rPr>
          <w:spacing w:val="-2"/>
          <w:sz w:val="22"/>
          <w:szCs w:val="22"/>
        </w:rPr>
        <w:t>Turner Broadcasting System, Inc.</w:t>
      </w:r>
      <w:r w:rsidR="006E1D3F" w:rsidRPr="00F563A3">
        <w:rPr>
          <w:spacing w:val="-2"/>
          <w:sz w:val="22"/>
          <w:szCs w:val="22"/>
        </w:rPr>
        <w:t xml:space="preserve"> is</w:t>
      </w:r>
      <w:r w:rsidRPr="00F563A3">
        <w:rPr>
          <w:spacing w:val="-2"/>
          <w:sz w:val="22"/>
          <w:szCs w:val="22"/>
        </w:rPr>
        <w:t xml:space="preserve"> </w:t>
      </w:r>
      <w:r w:rsidRPr="00F563A3">
        <w:rPr>
          <w:sz w:val="22"/>
          <w:szCs w:val="22"/>
        </w:rPr>
        <w:t xml:space="preserve">hereby </w:t>
      </w:r>
      <w:r w:rsidRPr="00F563A3">
        <w:rPr>
          <w:b/>
          <w:sz w:val="22"/>
          <w:szCs w:val="22"/>
        </w:rPr>
        <w:t>NOTIFIED</w:t>
      </w:r>
      <w:r w:rsidRPr="00F563A3">
        <w:rPr>
          <w:sz w:val="22"/>
          <w:szCs w:val="22"/>
        </w:rPr>
        <w:t xml:space="preserve"> of </w:t>
      </w:r>
      <w:r w:rsidR="006E1D3F" w:rsidRPr="00F563A3">
        <w:rPr>
          <w:sz w:val="22"/>
          <w:szCs w:val="22"/>
        </w:rPr>
        <w:t xml:space="preserve">its </w:t>
      </w:r>
      <w:r w:rsidRPr="00F563A3">
        <w:rPr>
          <w:b/>
          <w:sz w:val="22"/>
          <w:szCs w:val="22"/>
        </w:rPr>
        <w:t>APPARENT LIABILITY FOR FORFEITURE</w:t>
      </w:r>
      <w:r w:rsidRPr="00F563A3">
        <w:rPr>
          <w:sz w:val="22"/>
          <w:szCs w:val="22"/>
        </w:rPr>
        <w:t xml:space="preserve"> in the amount of </w:t>
      </w:r>
      <w:r w:rsidR="00314587" w:rsidRPr="00F563A3">
        <w:rPr>
          <w:sz w:val="22"/>
          <w:szCs w:val="22"/>
        </w:rPr>
        <w:t>tw</w:t>
      </w:r>
      <w:r w:rsidR="0083334B">
        <w:rPr>
          <w:sz w:val="22"/>
          <w:szCs w:val="22"/>
        </w:rPr>
        <w:t>enty-five</w:t>
      </w:r>
      <w:r w:rsidR="00E86F92" w:rsidRPr="00F563A3">
        <w:rPr>
          <w:sz w:val="22"/>
          <w:szCs w:val="22"/>
        </w:rPr>
        <w:t xml:space="preserve"> thousand</w:t>
      </w:r>
      <w:r w:rsidR="00314587" w:rsidRPr="00F563A3">
        <w:rPr>
          <w:sz w:val="22"/>
          <w:szCs w:val="22"/>
        </w:rPr>
        <w:t xml:space="preserve"> dollars</w:t>
      </w:r>
      <w:r w:rsidRPr="00F563A3">
        <w:rPr>
          <w:sz w:val="22"/>
          <w:szCs w:val="22"/>
        </w:rPr>
        <w:t xml:space="preserve"> ($</w:t>
      </w:r>
      <w:r w:rsidR="00E86F92" w:rsidRPr="00F563A3">
        <w:rPr>
          <w:sz w:val="22"/>
          <w:szCs w:val="22"/>
        </w:rPr>
        <w:t>25</w:t>
      </w:r>
      <w:r w:rsidRPr="00F563A3">
        <w:rPr>
          <w:sz w:val="22"/>
          <w:szCs w:val="22"/>
        </w:rPr>
        <w:t>,000) for apparently willfully and</w:t>
      </w:r>
      <w:r w:rsidR="00314587" w:rsidRPr="00F563A3">
        <w:rPr>
          <w:sz w:val="22"/>
          <w:szCs w:val="22"/>
        </w:rPr>
        <w:t xml:space="preserve"> repeatedly violating Section 11.45</w:t>
      </w:r>
      <w:r w:rsidR="00E86F92" w:rsidRPr="00F563A3">
        <w:rPr>
          <w:sz w:val="22"/>
          <w:szCs w:val="22"/>
        </w:rPr>
        <w:t xml:space="preserve"> </w:t>
      </w:r>
      <w:r w:rsidRPr="00F563A3">
        <w:rPr>
          <w:sz w:val="22"/>
          <w:szCs w:val="22"/>
        </w:rPr>
        <w:t>of the Commission’s rules</w:t>
      </w:r>
      <w:r w:rsidRPr="00F563A3">
        <w:rPr>
          <w:rStyle w:val="FootnoteReference"/>
          <w:sz w:val="22"/>
          <w:szCs w:val="22"/>
        </w:rPr>
        <w:footnoteReference w:id="60"/>
      </w:r>
      <w:r w:rsidR="00E86F92" w:rsidRPr="00F563A3">
        <w:rPr>
          <w:sz w:val="22"/>
          <w:szCs w:val="22"/>
        </w:rPr>
        <w:t xml:space="preserve"> and Section 325(a) of the Act.</w:t>
      </w:r>
      <w:r w:rsidR="00E86F92" w:rsidRPr="00F563A3">
        <w:rPr>
          <w:rStyle w:val="FootnoteReference"/>
          <w:sz w:val="22"/>
          <w:szCs w:val="22"/>
        </w:rPr>
        <w:footnoteReference w:id="61"/>
      </w:r>
    </w:p>
    <w:p w:rsidR="00EC41DE" w:rsidRPr="00F563A3" w:rsidRDefault="00EC41DE" w:rsidP="00101F75">
      <w:pPr>
        <w:widowControl/>
        <w:rPr>
          <w:sz w:val="22"/>
          <w:szCs w:val="22"/>
        </w:rPr>
      </w:pPr>
    </w:p>
    <w:p w:rsidR="000E59DC" w:rsidRPr="00F563A3" w:rsidRDefault="000E59DC" w:rsidP="000E59DC">
      <w:pPr>
        <w:widowControl/>
        <w:numPr>
          <w:ilvl w:val="0"/>
          <w:numId w:val="22"/>
        </w:numPr>
        <w:tabs>
          <w:tab w:val="clear" w:pos="1260"/>
          <w:tab w:val="num" w:pos="1440"/>
        </w:tabs>
        <w:ind w:left="0"/>
        <w:rPr>
          <w:sz w:val="22"/>
          <w:szCs w:val="22"/>
        </w:rPr>
      </w:pPr>
      <w:r w:rsidRPr="00F563A3">
        <w:rPr>
          <w:b/>
          <w:sz w:val="22"/>
          <w:szCs w:val="22"/>
        </w:rPr>
        <w:t>IT IS FURTHER ORDERED</w:t>
      </w:r>
      <w:r w:rsidRPr="00F563A3">
        <w:rPr>
          <w:sz w:val="22"/>
          <w:szCs w:val="22"/>
        </w:rPr>
        <w:t>, pursuant to Section 1.80 of the Commission’s rules,</w:t>
      </w:r>
      <w:r w:rsidRPr="00F563A3">
        <w:rPr>
          <w:rStyle w:val="FootnoteReference"/>
          <w:sz w:val="22"/>
          <w:szCs w:val="22"/>
        </w:rPr>
        <w:footnoteReference w:id="62"/>
      </w:r>
      <w:r w:rsidRPr="00F563A3">
        <w:rPr>
          <w:sz w:val="22"/>
          <w:szCs w:val="22"/>
        </w:rPr>
        <w:t xml:space="preserve"> that within thirty (30) days of the release date of this </w:t>
      </w:r>
      <w:r w:rsidR="0058414C" w:rsidRPr="00AD11C7">
        <w:rPr>
          <w:sz w:val="22"/>
          <w:szCs w:val="22"/>
        </w:rPr>
        <w:t>NAL</w:t>
      </w:r>
      <w:r w:rsidRPr="00F563A3">
        <w:rPr>
          <w:sz w:val="22"/>
          <w:szCs w:val="22"/>
        </w:rPr>
        <w:t xml:space="preserve">, </w:t>
      </w:r>
      <w:r w:rsidR="00314587" w:rsidRPr="00F563A3">
        <w:rPr>
          <w:spacing w:val="-2"/>
          <w:sz w:val="22"/>
          <w:szCs w:val="22"/>
        </w:rPr>
        <w:t>Turner Broadcasting System, Inc.</w:t>
      </w:r>
      <w:r w:rsidRPr="00F563A3">
        <w:rPr>
          <w:sz w:val="22"/>
          <w:szCs w:val="22"/>
        </w:rPr>
        <w:t xml:space="preserve"> </w:t>
      </w:r>
      <w:r w:rsidRPr="00F563A3">
        <w:rPr>
          <w:b/>
          <w:sz w:val="22"/>
          <w:szCs w:val="22"/>
        </w:rPr>
        <w:t>SHALL PAY</w:t>
      </w:r>
      <w:r w:rsidRPr="00F563A3">
        <w:rPr>
          <w:sz w:val="22"/>
          <w:szCs w:val="22"/>
        </w:rPr>
        <w:t xml:space="preserve"> the full am</w:t>
      </w:r>
      <w:r w:rsidR="00E066F7" w:rsidRPr="00F563A3">
        <w:rPr>
          <w:sz w:val="22"/>
          <w:szCs w:val="22"/>
        </w:rPr>
        <w:t>ount of the proposed forfeiture</w:t>
      </w:r>
      <w:r w:rsidRPr="00F563A3">
        <w:rPr>
          <w:sz w:val="22"/>
          <w:szCs w:val="22"/>
        </w:rPr>
        <w:t xml:space="preserve"> or </w:t>
      </w:r>
      <w:r w:rsidRPr="00F563A3">
        <w:rPr>
          <w:b/>
          <w:sz w:val="22"/>
          <w:szCs w:val="22"/>
        </w:rPr>
        <w:t>SHALL FILE</w:t>
      </w:r>
      <w:r w:rsidRPr="00F563A3">
        <w:rPr>
          <w:sz w:val="22"/>
          <w:szCs w:val="22"/>
        </w:rPr>
        <w:t xml:space="preserve"> a written statement seeking reduction or cancella</w:t>
      </w:r>
      <w:r w:rsidR="00E066F7" w:rsidRPr="00F563A3">
        <w:rPr>
          <w:sz w:val="22"/>
          <w:szCs w:val="22"/>
        </w:rPr>
        <w:t>tion of the proposed forfeiture</w:t>
      </w:r>
      <w:r w:rsidRPr="00F563A3">
        <w:rPr>
          <w:sz w:val="22"/>
          <w:szCs w:val="22"/>
        </w:rPr>
        <w:t>.</w:t>
      </w:r>
    </w:p>
    <w:p w:rsidR="000E59DC" w:rsidRPr="00F563A3" w:rsidRDefault="000E59DC" w:rsidP="000E59DC">
      <w:pPr>
        <w:rPr>
          <w:sz w:val="22"/>
          <w:szCs w:val="22"/>
        </w:rPr>
      </w:pPr>
    </w:p>
    <w:p w:rsidR="000E59DC" w:rsidRPr="00F563A3" w:rsidRDefault="000E59DC" w:rsidP="000E59DC">
      <w:pPr>
        <w:widowControl/>
        <w:numPr>
          <w:ilvl w:val="0"/>
          <w:numId w:val="22"/>
        </w:numPr>
        <w:tabs>
          <w:tab w:val="clear" w:pos="1260"/>
          <w:tab w:val="num" w:pos="1440"/>
        </w:tabs>
        <w:ind w:left="0"/>
        <w:rPr>
          <w:sz w:val="22"/>
          <w:szCs w:val="22"/>
        </w:rPr>
      </w:pPr>
      <w:r w:rsidRPr="00F563A3">
        <w:rPr>
          <w:sz w:val="22"/>
          <w:szCs w:val="22"/>
        </w:rPr>
        <w:t xml:space="preserve">Payment of the forfeiture must be made by check or similar instrument, wire transfer, or credit card, and must include the NAL/Account </w:t>
      </w:r>
      <w:r w:rsidR="00BA2A03">
        <w:rPr>
          <w:sz w:val="22"/>
          <w:szCs w:val="22"/>
        </w:rPr>
        <w:t>N</w:t>
      </w:r>
      <w:r w:rsidRPr="00F563A3">
        <w:rPr>
          <w:sz w:val="22"/>
          <w:szCs w:val="22"/>
        </w:rPr>
        <w:t xml:space="preserve">umber and FRN referenced above.  </w:t>
      </w:r>
      <w:r w:rsidR="00314587" w:rsidRPr="00F563A3">
        <w:rPr>
          <w:spacing w:val="-2"/>
          <w:sz w:val="22"/>
          <w:szCs w:val="22"/>
        </w:rPr>
        <w:t>Turner Broadcasting System, Inc.</w:t>
      </w:r>
      <w:r w:rsidRPr="00F563A3">
        <w:rPr>
          <w:spacing w:val="-2"/>
          <w:sz w:val="22"/>
          <w:szCs w:val="22"/>
        </w:rPr>
        <w:t xml:space="preserve"> </w:t>
      </w:r>
      <w:r w:rsidRPr="00F563A3">
        <w:rPr>
          <w:sz w:val="22"/>
          <w:szCs w:val="22"/>
        </w:rPr>
        <w:t xml:space="preserve">shall send electronic notification of payment to </w:t>
      </w:r>
      <w:r w:rsidR="00244923" w:rsidRPr="00F54D08">
        <w:rPr>
          <w:sz w:val="22"/>
          <w:szCs w:val="22"/>
        </w:rPr>
        <w:t>Terry.Cavanaugh@fcc.gov</w:t>
      </w:r>
      <w:r w:rsidRPr="00F563A3">
        <w:rPr>
          <w:sz w:val="22"/>
          <w:szCs w:val="22"/>
        </w:rPr>
        <w:t>,</w:t>
      </w:r>
      <w:r w:rsidR="00244923">
        <w:rPr>
          <w:sz w:val="22"/>
          <w:szCs w:val="22"/>
        </w:rPr>
        <w:t xml:space="preserve"> </w:t>
      </w:r>
      <w:r w:rsidR="00244923" w:rsidRPr="00244923">
        <w:rPr>
          <w:sz w:val="22"/>
          <w:szCs w:val="22"/>
        </w:rPr>
        <w:t>Jeffrey.Gee@fcc.gov</w:t>
      </w:r>
      <w:r w:rsidR="00244923">
        <w:rPr>
          <w:sz w:val="22"/>
          <w:szCs w:val="22"/>
        </w:rPr>
        <w:t xml:space="preserve">, </w:t>
      </w:r>
      <w:r w:rsidR="00244923" w:rsidRPr="00F54D08">
        <w:rPr>
          <w:sz w:val="22"/>
          <w:szCs w:val="22"/>
        </w:rPr>
        <w:t>Kenneth.Scheibel@fcc.gov</w:t>
      </w:r>
      <w:r w:rsidR="00244923">
        <w:rPr>
          <w:sz w:val="22"/>
          <w:szCs w:val="22"/>
        </w:rPr>
        <w:t>, and</w:t>
      </w:r>
      <w:r w:rsidRPr="00F563A3">
        <w:rPr>
          <w:sz w:val="22"/>
          <w:szCs w:val="22"/>
        </w:rPr>
        <w:t xml:space="preserve"> </w:t>
      </w:r>
      <w:r w:rsidR="00314587" w:rsidRPr="00F563A3">
        <w:rPr>
          <w:sz w:val="22"/>
          <w:szCs w:val="22"/>
        </w:rPr>
        <w:t>Jennifer.Lewis</w:t>
      </w:r>
      <w:r w:rsidRPr="00F563A3">
        <w:rPr>
          <w:sz w:val="22"/>
          <w:szCs w:val="22"/>
        </w:rPr>
        <w:t>@fcc.gov, on the date said payment is made.  Regardless of the form of payment, a completed FCC Form 159 (Remittance Advice) must be submitted.</w:t>
      </w:r>
      <w:r w:rsidRPr="000357B8">
        <w:rPr>
          <w:rStyle w:val="FootnoteReference"/>
          <w:color w:val="000000"/>
          <w:sz w:val="22"/>
          <w:shd w:val="clear" w:color="auto" w:fill="FFFFFF"/>
        </w:rPr>
        <w:footnoteReference w:id="63"/>
      </w:r>
      <w:r w:rsidRPr="000357B8">
        <w:rPr>
          <w:rStyle w:val="FootnoteReference"/>
          <w:color w:val="000000"/>
          <w:sz w:val="22"/>
          <w:shd w:val="clear" w:color="auto" w:fill="FFFFFF"/>
        </w:rPr>
        <w:t xml:space="preserve"> </w:t>
      </w:r>
      <w:r w:rsidRPr="00F563A3">
        <w:rPr>
          <w:sz w:val="22"/>
          <w:szCs w:val="22"/>
        </w:rPr>
        <w:t xml:space="preserve"> When completing the FCC Form 159, enter the Account Number in block number 23A (call sign/other ID) and enter the letters “FORF” in block number 24A (payment type code).  Below are additional instructions you should follow based on the form of payment you select:</w:t>
      </w:r>
    </w:p>
    <w:p w:rsidR="000E59DC" w:rsidRPr="00F563A3" w:rsidRDefault="000E59DC" w:rsidP="000E59DC">
      <w:pPr>
        <w:pStyle w:val="ParaNum"/>
        <w:widowControl/>
        <w:numPr>
          <w:ilvl w:val="0"/>
          <w:numId w:val="0"/>
        </w:numPr>
        <w:spacing w:after="0"/>
        <w:rPr>
          <w:sz w:val="22"/>
          <w:szCs w:val="22"/>
        </w:rPr>
      </w:pPr>
    </w:p>
    <w:p w:rsidR="000E59DC" w:rsidRPr="00F563A3" w:rsidRDefault="000E59DC" w:rsidP="000E59DC">
      <w:pPr>
        <w:pStyle w:val="ParaNum"/>
        <w:numPr>
          <w:ilvl w:val="0"/>
          <w:numId w:val="34"/>
        </w:numPr>
        <w:tabs>
          <w:tab w:val="clear" w:pos="1440"/>
        </w:tabs>
        <w:autoSpaceDE/>
        <w:autoSpaceDN/>
        <w:adjustRightInd/>
        <w:spacing w:after="120"/>
        <w:jc w:val="left"/>
        <w:rPr>
          <w:rFonts w:eastAsia="MS Mincho"/>
          <w:sz w:val="22"/>
          <w:szCs w:val="22"/>
        </w:rPr>
      </w:pPr>
      <w:r w:rsidRPr="00F563A3">
        <w:rPr>
          <w:rFonts w:eastAsia="MS Mincho"/>
          <w:sz w:val="22"/>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0E59DC" w:rsidRPr="00F563A3" w:rsidRDefault="000E59DC" w:rsidP="000E59DC">
      <w:pPr>
        <w:pStyle w:val="ParaNum"/>
        <w:numPr>
          <w:ilvl w:val="0"/>
          <w:numId w:val="34"/>
        </w:numPr>
        <w:tabs>
          <w:tab w:val="clear" w:pos="1440"/>
        </w:tabs>
        <w:autoSpaceDE/>
        <w:autoSpaceDN/>
        <w:adjustRightInd/>
        <w:spacing w:after="120"/>
        <w:jc w:val="left"/>
        <w:rPr>
          <w:rFonts w:eastAsia="MS Mincho"/>
          <w:sz w:val="22"/>
          <w:szCs w:val="22"/>
        </w:rPr>
      </w:pPr>
      <w:r w:rsidRPr="00F563A3">
        <w:rPr>
          <w:rFonts w:eastAsia="MS Mincho"/>
          <w:sz w:val="22"/>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0E59DC" w:rsidRPr="00F563A3" w:rsidRDefault="000E59DC" w:rsidP="000E59DC">
      <w:pPr>
        <w:pStyle w:val="ParaNum"/>
        <w:numPr>
          <w:ilvl w:val="0"/>
          <w:numId w:val="34"/>
        </w:numPr>
        <w:tabs>
          <w:tab w:val="clear" w:pos="1440"/>
        </w:tabs>
        <w:autoSpaceDE/>
        <w:autoSpaceDN/>
        <w:adjustRightInd/>
        <w:spacing w:after="120"/>
        <w:jc w:val="left"/>
        <w:rPr>
          <w:rFonts w:eastAsia="MS Mincho"/>
          <w:sz w:val="22"/>
          <w:szCs w:val="22"/>
        </w:rPr>
      </w:pPr>
      <w:r w:rsidRPr="00F563A3">
        <w:rPr>
          <w:rFonts w:eastAsia="MS Mincho"/>
          <w:sz w:val="22"/>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0E59DC" w:rsidRPr="00F563A3" w:rsidRDefault="000E59DC" w:rsidP="000E59DC">
      <w:pPr>
        <w:widowControl/>
        <w:numPr>
          <w:ilvl w:val="0"/>
          <w:numId w:val="22"/>
        </w:numPr>
        <w:tabs>
          <w:tab w:val="clear" w:pos="1260"/>
          <w:tab w:val="num" w:pos="1440"/>
        </w:tabs>
        <w:ind w:left="0"/>
        <w:rPr>
          <w:sz w:val="22"/>
          <w:szCs w:val="22"/>
        </w:rPr>
      </w:pPr>
      <w:r w:rsidRPr="00F563A3">
        <w:rPr>
          <w:rFonts w:eastAsia="MS Mincho"/>
          <w:sz w:val="22"/>
          <w:szCs w:val="22"/>
        </w:rPr>
        <w:t xml:space="preserve">Any request </w:t>
      </w:r>
      <w:r w:rsidR="00550DA8">
        <w:rPr>
          <w:rFonts w:eastAsia="MS Mincho"/>
          <w:sz w:val="22"/>
          <w:szCs w:val="22"/>
        </w:rPr>
        <w:t xml:space="preserve">to make </w:t>
      </w:r>
      <w:r w:rsidR="00550DA8" w:rsidRPr="00A15688">
        <w:rPr>
          <w:rFonts w:eastAsia="MS Mincho"/>
          <w:sz w:val="22"/>
          <w:szCs w:val="22"/>
        </w:rPr>
        <w:t xml:space="preserve">full payment </w:t>
      </w:r>
      <w:r w:rsidR="00550DA8">
        <w:rPr>
          <w:rFonts w:eastAsia="MS Mincho"/>
          <w:sz w:val="22"/>
          <w:szCs w:val="22"/>
        </w:rPr>
        <w:t xml:space="preserve">over time </w:t>
      </w:r>
      <w:r w:rsidR="00550DA8" w:rsidRPr="00A15688">
        <w:rPr>
          <w:rFonts w:eastAsia="MS Mincho" w:cs="Arial"/>
          <w:sz w:val="22"/>
          <w:szCs w:val="22"/>
        </w:rPr>
        <w:t>under</w:t>
      </w:r>
      <w:r w:rsidR="00550DA8" w:rsidRPr="00A15688">
        <w:rPr>
          <w:rFonts w:eastAsia="MS Mincho"/>
          <w:sz w:val="22"/>
          <w:szCs w:val="22"/>
        </w:rPr>
        <w:t xml:space="preserve"> an installment plan should be sent to</w:t>
      </w:r>
      <w:r w:rsidRPr="00F563A3">
        <w:rPr>
          <w:rFonts w:eastAsia="MS Mincho"/>
          <w:sz w:val="22"/>
          <w:szCs w:val="22"/>
        </w:rPr>
        <w:t>:  Chief</w:t>
      </w:r>
      <w:r w:rsidR="00244923">
        <w:rPr>
          <w:rFonts w:eastAsia="MS Mincho"/>
          <w:sz w:val="22"/>
          <w:szCs w:val="22"/>
        </w:rPr>
        <w:t>,</w:t>
      </w:r>
      <w:r w:rsidRPr="00F563A3">
        <w:rPr>
          <w:rFonts w:eastAsia="MS Mincho"/>
          <w:sz w:val="22"/>
          <w:szCs w:val="22"/>
        </w:rPr>
        <w:t xml:space="preserve"> Financial Officer—Financial Operations, Federal Communications Commission, 445 12th Street, S.W., Room 1-A625, Washington, D.C.  20554.</w:t>
      </w:r>
      <w:r w:rsidRPr="00F563A3">
        <w:rPr>
          <w:rStyle w:val="FootnoteReference"/>
          <w:rFonts w:eastAsia="MS Mincho"/>
          <w:sz w:val="22"/>
          <w:szCs w:val="22"/>
        </w:rPr>
        <w:footnoteReference w:id="64"/>
      </w:r>
      <w:r w:rsidRPr="00F563A3">
        <w:rPr>
          <w:rFonts w:eastAsia="MS Mincho"/>
          <w:sz w:val="22"/>
          <w:szCs w:val="22"/>
        </w:rPr>
        <w:t>  If you have questions regarding payment procedures, please contact the Financial Operations Group Help Desk by phone, 1-877-480-3201, or by e</w:t>
      </w:r>
      <w:r w:rsidRPr="00F563A3">
        <w:rPr>
          <w:rFonts w:eastAsia="MS Mincho"/>
          <w:sz w:val="22"/>
          <w:szCs w:val="22"/>
        </w:rPr>
        <w:noBreakHyphen/>
        <w:t>mail, ARINQUIRIES@fcc.gov.</w:t>
      </w:r>
    </w:p>
    <w:p w:rsidR="000E59DC" w:rsidRPr="00F563A3" w:rsidRDefault="000E59DC" w:rsidP="000E59DC">
      <w:pPr>
        <w:pStyle w:val="ParaNum"/>
        <w:widowControl/>
        <w:numPr>
          <w:ilvl w:val="0"/>
          <w:numId w:val="0"/>
        </w:numPr>
        <w:spacing w:after="0"/>
        <w:ind w:firstLine="630"/>
        <w:rPr>
          <w:sz w:val="22"/>
          <w:szCs w:val="22"/>
        </w:rPr>
      </w:pPr>
    </w:p>
    <w:p w:rsidR="000E59DC" w:rsidRPr="00F563A3" w:rsidRDefault="000E59DC" w:rsidP="000E59DC">
      <w:pPr>
        <w:widowControl/>
        <w:numPr>
          <w:ilvl w:val="0"/>
          <w:numId w:val="22"/>
        </w:numPr>
        <w:tabs>
          <w:tab w:val="clear" w:pos="1260"/>
          <w:tab w:val="num" w:pos="1440"/>
        </w:tabs>
        <w:ind w:left="0"/>
        <w:rPr>
          <w:sz w:val="22"/>
          <w:szCs w:val="22"/>
        </w:rPr>
      </w:pPr>
      <w:r w:rsidRPr="00F563A3">
        <w:rPr>
          <w:sz w:val="22"/>
          <w:szCs w:val="22"/>
        </w:rPr>
        <w:t xml:space="preserve">The response, if any, must be mailed to Theresa Z. Cavanaugh, Chief, Investigations and Hearings Division, Enforcement Bureau, Federal Communications Commission, 445 12th Street, SW, Room 4-C330, Washington, D.C. 20554, and </w:t>
      </w:r>
      <w:r w:rsidRPr="00F563A3">
        <w:rPr>
          <w:b/>
          <w:sz w:val="22"/>
          <w:szCs w:val="22"/>
        </w:rPr>
        <w:t>SHALL INCLUDE</w:t>
      </w:r>
      <w:r w:rsidRPr="00F563A3">
        <w:rPr>
          <w:sz w:val="22"/>
          <w:szCs w:val="22"/>
        </w:rPr>
        <w:t xml:space="preserve"> the NAL/Acct. </w:t>
      </w:r>
      <w:r w:rsidR="00550DA8">
        <w:rPr>
          <w:sz w:val="22"/>
          <w:szCs w:val="22"/>
        </w:rPr>
        <w:t>N</w:t>
      </w:r>
      <w:r w:rsidRPr="00F563A3">
        <w:rPr>
          <w:sz w:val="22"/>
          <w:szCs w:val="22"/>
        </w:rPr>
        <w:t xml:space="preserve">umber referenced above.  In addition, to the extent practicable, a copy of the response, if any, should also be transmitted via e-mail to Terry.Cavanaugh@fcc.gov, </w:t>
      </w:r>
      <w:r w:rsidR="00244923" w:rsidRPr="00F54D08">
        <w:rPr>
          <w:sz w:val="22"/>
          <w:szCs w:val="22"/>
        </w:rPr>
        <w:t>Jeffrey.Gee@fcc.gov</w:t>
      </w:r>
      <w:r w:rsidR="00244923">
        <w:rPr>
          <w:sz w:val="22"/>
          <w:szCs w:val="22"/>
        </w:rPr>
        <w:t xml:space="preserve">, </w:t>
      </w:r>
      <w:r w:rsidRPr="00F563A3">
        <w:rPr>
          <w:sz w:val="22"/>
          <w:szCs w:val="22"/>
        </w:rPr>
        <w:t xml:space="preserve">Kenneth.Scheibel@fcc.gov, and </w:t>
      </w:r>
      <w:r w:rsidR="00314587" w:rsidRPr="00F563A3">
        <w:rPr>
          <w:sz w:val="22"/>
          <w:szCs w:val="22"/>
        </w:rPr>
        <w:t>Jennifer.Lewis</w:t>
      </w:r>
      <w:r w:rsidRPr="00F563A3">
        <w:rPr>
          <w:sz w:val="22"/>
          <w:szCs w:val="22"/>
        </w:rPr>
        <w:t>@fcc.gov.</w:t>
      </w:r>
    </w:p>
    <w:p w:rsidR="000E59DC" w:rsidRPr="00F563A3" w:rsidRDefault="000E59DC" w:rsidP="000E59DC">
      <w:pPr>
        <w:pStyle w:val="ParaNum"/>
        <w:widowControl/>
        <w:numPr>
          <w:ilvl w:val="0"/>
          <w:numId w:val="0"/>
        </w:numPr>
        <w:spacing w:after="0"/>
        <w:ind w:firstLine="630"/>
        <w:rPr>
          <w:sz w:val="22"/>
          <w:szCs w:val="22"/>
        </w:rPr>
      </w:pPr>
    </w:p>
    <w:p w:rsidR="000E59DC" w:rsidRPr="00F563A3" w:rsidRDefault="000E59DC" w:rsidP="000E59DC">
      <w:pPr>
        <w:widowControl/>
        <w:numPr>
          <w:ilvl w:val="0"/>
          <w:numId w:val="22"/>
        </w:numPr>
        <w:tabs>
          <w:tab w:val="clear" w:pos="1260"/>
          <w:tab w:val="num" w:pos="1440"/>
        </w:tabs>
        <w:ind w:left="0"/>
        <w:rPr>
          <w:sz w:val="22"/>
          <w:szCs w:val="22"/>
        </w:rPr>
      </w:pPr>
      <w:r w:rsidRPr="00F563A3">
        <w:rPr>
          <w:sz w:val="22"/>
          <w:szCs w:val="22"/>
        </w:rPr>
        <w:t>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p>
    <w:p w:rsidR="000E59DC" w:rsidRPr="00F563A3" w:rsidRDefault="000E59DC" w:rsidP="000E59DC">
      <w:pPr>
        <w:rPr>
          <w:sz w:val="22"/>
          <w:szCs w:val="22"/>
        </w:rPr>
      </w:pPr>
    </w:p>
    <w:p w:rsidR="00101185" w:rsidRDefault="000E59DC" w:rsidP="000E59DC">
      <w:pPr>
        <w:widowControl/>
        <w:numPr>
          <w:ilvl w:val="0"/>
          <w:numId w:val="22"/>
        </w:numPr>
        <w:tabs>
          <w:tab w:val="clear" w:pos="1260"/>
          <w:tab w:val="num" w:pos="1440"/>
        </w:tabs>
        <w:ind w:left="0"/>
        <w:rPr>
          <w:spacing w:val="-2"/>
          <w:sz w:val="22"/>
          <w:szCs w:val="22"/>
        </w:rPr>
      </w:pPr>
      <w:r w:rsidRPr="00F563A3">
        <w:rPr>
          <w:b/>
          <w:spacing w:val="-2"/>
          <w:sz w:val="22"/>
          <w:szCs w:val="22"/>
        </w:rPr>
        <w:t>IT IS FURTHER ORDERED</w:t>
      </w:r>
      <w:r w:rsidRPr="00F563A3">
        <w:rPr>
          <w:spacing w:val="-2"/>
          <w:sz w:val="22"/>
          <w:szCs w:val="22"/>
        </w:rPr>
        <w:t xml:space="preserve">, that the Complaint referenced in this proceeding </w:t>
      </w:r>
      <w:r w:rsidR="0083334B">
        <w:rPr>
          <w:b/>
          <w:spacing w:val="-2"/>
          <w:sz w:val="22"/>
          <w:szCs w:val="22"/>
        </w:rPr>
        <w:t>IS</w:t>
      </w:r>
      <w:r w:rsidRPr="00F563A3">
        <w:rPr>
          <w:b/>
          <w:spacing w:val="-2"/>
          <w:sz w:val="22"/>
          <w:szCs w:val="22"/>
        </w:rPr>
        <w:t xml:space="preserve"> GRANTED</w:t>
      </w:r>
      <w:r w:rsidRPr="00F563A3">
        <w:rPr>
          <w:spacing w:val="-2"/>
          <w:sz w:val="22"/>
          <w:szCs w:val="22"/>
        </w:rPr>
        <w:t xml:space="preserve"> to the extent indicated herein and </w:t>
      </w:r>
      <w:r w:rsidR="0083334B">
        <w:rPr>
          <w:b/>
          <w:spacing w:val="-2"/>
          <w:sz w:val="22"/>
          <w:szCs w:val="22"/>
        </w:rPr>
        <w:t>IS</w:t>
      </w:r>
      <w:r w:rsidRPr="00F563A3">
        <w:rPr>
          <w:b/>
          <w:spacing w:val="-2"/>
          <w:sz w:val="22"/>
          <w:szCs w:val="22"/>
        </w:rPr>
        <w:t xml:space="preserve"> OTHERWISE DENIED</w:t>
      </w:r>
      <w:r w:rsidRPr="00F563A3">
        <w:rPr>
          <w:spacing w:val="-2"/>
          <w:sz w:val="22"/>
          <w:szCs w:val="22"/>
        </w:rPr>
        <w:t xml:space="preserve">, and the complaint proceeding </w:t>
      </w:r>
      <w:r w:rsidRPr="00F563A3">
        <w:rPr>
          <w:b/>
          <w:spacing w:val="-2"/>
          <w:sz w:val="22"/>
          <w:szCs w:val="22"/>
        </w:rPr>
        <w:t>IS HEREBY TERMINATED</w:t>
      </w:r>
      <w:r w:rsidRPr="00F563A3">
        <w:rPr>
          <w:spacing w:val="-2"/>
          <w:sz w:val="22"/>
          <w:szCs w:val="22"/>
        </w:rPr>
        <w:t>.</w:t>
      </w:r>
      <w:r w:rsidRPr="00F563A3">
        <w:rPr>
          <w:rStyle w:val="FootnoteReference"/>
          <w:spacing w:val="-2"/>
          <w:sz w:val="22"/>
          <w:szCs w:val="22"/>
        </w:rPr>
        <w:footnoteReference w:id="65"/>
      </w:r>
    </w:p>
    <w:p w:rsidR="00AD11C7" w:rsidRDefault="00AD11C7" w:rsidP="00AD11C7">
      <w:pPr>
        <w:pStyle w:val="ListParagraph"/>
        <w:rPr>
          <w:spacing w:val="-2"/>
          <w:sz w:val="22"/>
          <w:szCs w:val="22"/>
        </w:rPr>
      </w:pPr>
    </w:p>
    <w:p w:rsidR="000E59DC" w:rsidRPr="00F563A3" w:rsidRDefault="000E59DC" w:rsidP="000E59DC">
      <w:pPr>
        <w:widowControl/>
        <w:numPr>
          <w:ilvl w:val="0"/>
          <w:numId w:val="22"/>
        </w:numPr>
        <w:tabs>
          <w:tab w:val="clear" w:pos="1260"/>
          <w:tab w:val="num" w:pos="1440"/>
        </w:tabs>
        <w:ind w:left="0"/>
        <w:rPr>
          <w:spacing w:val="-2"/>
          <w:sz w:val="22"/>
          <w:szCs w:val="22"/>
        </w:rPr>
      </w:pPr>
      <w:r w:rsidRPr="00F563A3">
        <w:rPr>
          <w:b/>
          <w:spacing w:val="-2"/>
          <w:sz w:val="22"/>
          <w:szCs w:val="22"/>
        </w:rPr>
        <w:t xml:space="preserve">IT IS FURTHER ORDERED, </w:t>
      </w:r>
      <w:r w:rsidRPr="00F563A3">
        <w:rPr>
          <w:spacing w:val="-2"/>
          <w:sz w:val="22"/>
          <w:szCs w:val="22"/>
        </w:rPr>
        <w:t xml:space="preserve">that copies of this NAL shall be sent, by First Class Mail and </w:t>
      </w:r>
      <w:r w:rsidR="00A0711C" w:rsidRPr="00F563A3">
        <w:rPr>
          <w:spacing w:val="-2"/>
          <w:sz w:val="22"/>
          <w:szCs w:val="22"/>
        </w:rPr>
        <w:t>Certified Mail, to Susan A. Mort, Assistant General Counsel, Time Warner Inc., 800 Connecticut Avenue, NW, Suite 800, Washington, DC 20006</w:t>
      </w:r>
      <w:r w:rsidRPr="00F563A3">
        <w:rPr>
          <w:spacing w:val="-2"/>
          <w:sz w:val="22"/>
          <w:szCs w:val="22"/>
        </w:rPr>
        <w:t>.</w:t>
      </w:r>
    </w:p>
    <w:p w:rsidR="000E59DC" w:rsidRPr="00F563A3" w:rsidRDefault="000E59DC" w:rsidP="000E59DC">
      <w:pPr>
        <w:widowControl/>
        <w:tabs>
          <w:tab w:val="left" w:pos="0"/>
          <w:tab w:val="num" w:pos="1440"/>
        </w:tabs>
        <w:suppressAutoHyphens/>
        <w:spacing w:line="240" w:lineRule="atLeast"/>
        <w:rPr>
          <w:spacing w:val="-2"/>
          <w:sz w:val="22"/>
          <w:szCs w:val="22"/>
        </w:rPr>
      </w:pPr>
    </w:p>
    <w:p w:rsidR="000E59DC" w:rsidRPr="00F563A3" w:rsidRDefault="000E59DC" w:rsidP="000E59DC">
      <w:pPr>
        <w:widowControl/>
        <w:tabs>
          <w:tab w:val="left" w:pos="0"/>
          <w:tab w:val="num" w:pos="1440"/>
        </w:tabs>
        <w:suppressAutoHyphens/>
        <w:spacing w:line="240" w:lineRule="atLeast"/>
        <w:rPr>
          <w:spacing w:val="-2"/>
          <w:sz w:val="22"/>
          <w:szCs w:val="22"/>
        </w:rPr>
      </w:pPr>
    </w:p>
    <w:p w:rsidR="000E59DC" w:rsidRDefault="000E59DC" w:rsidP="000E59DC">
      <w:pPr>
        <w:widowControl/>
        <w:tabs>
          <w:tab w:val="left" w:pos="0"/>
          <w:tab w:val="num" w:pos="1440"/>
        </w:tabs>
        <w:suppressAutoHyphens/>
        <w:spacing w:line="240" w:lineRule="atLeast"/>
        <w:rPr>
          <w:spacing w:val="-2"/>
          <w:sz w:val="22"/>
          <w:szCs w:val="22"/>
        </w:rPr>
      </w:pPr>
      <w:r w:rsidRPr="00F563A3">
        <w:rPr>
          <w:spacing w:val="-2"/>
          <w:sz w:val="22"/>
          <w:szCs w:val="22"/>
        </w:rPr>
        <w:tab/>
      </w:r>
      <w:r w:rsidRPr="00F563A3">
        <w:rPr>
          <w:spacing w:val="-2"/>
          <w:sz w:val="22"/>
          <w:szCs w:val="22"/>
        </w:rPr>
        <w:tab/>
      </w:r>
      <w:r w:rsidRPr="00F563A3">
        <w:rPr>
          <w:spacing w:val="-2"/>
          <w:sz w:val="22"/>
          <w:szCs w:val="22"/>
        </w:rPr>
        <w:tab/>
      </w:r>
      <w:r w:rsidRPr="00F563A3">
        <w:rPr>
          <w:spacing w:val="-2"/>
          <w:sz w:val="22"/>
          <w:szCs w:val="22"/>
        </w:rPr>
        <w:tab/>
      </w:r>
      <w:r w:rsidRPr="00F563A3">
        <w:rPr>
          <w:spacing w:val="-2"/>
          <w:sz w:val="22"/>
          <w:szCs w:val="22"/>
        </w:rPr>
        <w:tab/>
        <w:t>FEDERAL COMMUNICATIONS COMMISSION</w:t>
      </w:r>
    </w:p>
    <w:p w:rsidR="00F54D08" w:rsidRDefault="00F54D08" w:rsidP="000E59DC">
      <w:pPr>
        <w:widowControl/>
        <w:tabs>
          <w:tab w:val="left" w:pos="0"/>
          <w:tab w:val="num" w:pos="1440"/>
        </w:tabs>
        <w:suppressAutoHyphens/>
        <w:spacing w:line="240" w:lineRule="atLeast"/>
        <w:rPr>
          <w:spacing w:val="-2"/>
          <w:sz w:val="22"/>
          <w:szCs w:val="22"/>
        </w:rPr>
      </w:pPr>
    </w:p>
    <w:p w:rsidR="00F54D08" w:rsidRDefault="00F54D08" w:rsidP="000E59DC">
      <w:pPr>
        <w:widowControl/>
        <w:tabs>
          <w:tab w:val="left" w:pos="0"/>
          <w:tab w:val="num" w:pos="1440"/>
        </w:tabs>
        <w:suppressAutoHyphens/>
        <w:spacing w:line="240" w:lineRule="atLeast"/>
        <w:rPr>
          <w:spacing w:val="-2"/>
          <w:sz w:val="22"/>
          <w:szCs w:val="22"/>
        </w:rPr>
      </w:pPr>
    </w:p>
    <w:p w:rsidR="00F54D08" w:rsidRDefault="00F54D08" w:rsidP="000E59DC">
      <w:pPr>
        <w:widowControl/>
        <w:tabs>
          <w:tab w:val="left" w:pos="0"/>
          <w:tab w:val="num" w:pos="1440"/>
        </w:tabs>
        <w:suppressAutoHyphens/>
        <w:spacing w:line="240" w:lineRule="atLeast"/>
        <w:rPr>
          <w:spacing w:val="-2"/>
          <w:sz w:val="22"/>
          <w:szCs w:val="22"/>
        </w:rPr>
      </w:pPr>
    </w:p>
    <w:p w:rsidR="00BA2A03" w:rsidRDefault="00F54D08" w:rsidP="000E59DC">
      <w:pPr>
        <w:widowControl/>
        <w:tabs>
          <w:tab w:val="left" w:pos="0"/>
          <w:tab w:val="num" w:pos="1440"/>
        </w:tabs>
        <w:suppressAutoHyphens/>
        <w:spacing w:line="240" w:lineRule="atLeast"/>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p>
    <w:p w:rsidR="00F54D08" w:rsidRDefault="00BA2A03" w:rsidP="000E59DC">
      <w:pPr>
        <w:widowControl/>
        <w:tabs>
          <w:tab w:val="left" w:pos="0"/>
          <w:tab w:val="num" w:pos="1440"/>
        </w:tabs>
        <w:suppressAutoHyphens/>
        <w:spacing w:line="240" w:lineRule="atLeast"/>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sidR="002528F0">
        <w:rPr>
          <w:spacing w:val="-2"/>
          <w:sz w:val="22"/>
          <w:szCs w:val="22"/>
        </w:rPr>
        <w:t>Robert H. Ratcliffe</w:t>
      </w:r>
    </w:p>
    <w:p w:rsidR="000E59DC" w:rsidRPr="00F563A3" w:rsidRDefault="00F54D08" w:rsidP="006E453C">
      <w:pPr>
        <w:widowControl/>
        <w:tabs>
          <w:tab w:val="left" w:pos="0"/>
          <w:tab w:val="num" w:pos="1440"/>
        </w:tabs>
        <w:suppressAutoHyphens/>
        <w:spacing w:line="240" w:lineRule="atLeast"/>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sidR="002528F0">
        <w:rPr>
          <w:spacing w:val="-2"/>
          <w:sz w:val="22"/>
          <w:szCs w:val="22"/>
        </w:rPr>
        <w:t>Acting Chief, Enforcement Bureau</w:t>
      </w:r>
      <w:r>
        <w:rPr>
          <w:spacing w:val="-2"/>
          <w:sz w:val="22"/>
          <w:szCs w:val="22"/>
        </w:rPr>
        <w:tab/>
      </w:r>
    </w:p>
    <w:sectPr w:rsidR="000E59DC" w:rsidRPr="00F563A3" w:rsidSect="000E59D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706" w:rsidRDefault="00401706">
      <w:r>
        <w:separator/>
      </w:r>
    </w:p>
  </w:endnote>
  <w:endnote w:type="continuationSeparator" w:id="0">
    <w:p w:rsidR="00401706" w:rsidRDefault="00401706">
      <w:r>
        <w:continuationSeparator/>
      </w:r>
    </w:p>
  </w:endnote>
  <w:endnote w:type="continuationNotice" w:id="1">
    <w:p w:rsidR="00401706" w:rsidRDefault="004017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A9A" w:rsidRDefault="00AD6A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C3" w:rsidRPr="00D70086" w:rsidRDefault="008E10C3" w:rsidP="000E59DC">
    <w:pPr>
      <w:pStyle w:val="Footer"/>
      <w:jc w:val="center"/>
      <w:rPr>
        <w:rStyle w:val="PageNumber"/>
      </w:rPr>
    </w:pPr>
    <w:r w:rsidRPr="00A57787">
      <w:rPr>
        <w:rStyle w:val="PageNumber"/>
        <w:sz w:val="22"/>
        <w:szCs w:val="22"/>
      </w:rPr>
      <w:fldChar w:fldCharType="begin"/>
    </w:r>
    <w:r w:rsidRPr="00A57787">
      <w:rPr>
        <w:rStyle w:val="PageNumber"/>
        <w:sz w:val="22"/>
        <w:szCs w:val="22"/>
      </w:rPr>
      <w:instrText xml:space="preserve"> PAGE </w:instrText>
    </w:r>
    <w:r w:rsidRPr="00A57787">
      <w:rPr>
        <w:rStyle w:val="PageNumber"/>
        <w:sz w:val="22"/>
        <w:szCs w:val="22"/>
      </w:rPr>
      <w:fldChar w:fldCharType="separate"/>
    </w:r>
    <w:r w:rsidR="00234617">
      <w:rPr>
        <w:rStyle w:val="PageNumber"/>
        <w:noProof/>
        <w:sz w:val="22"/>
        <w:szCs w:val="22"/>
      </w:rPr>
      <w:t>2</w:t>
    </w:r>
    <w:r w:rsidRPr="00A57787">
      <w:rPr>
        <w:rStyle w:val="PageNumbe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A9A" w:rsidRDefault="00AD6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706" w:rsidRDefault="00401706">
      <w:r>
        <w:separator/>
      </w:r>
    </w:p>
  </w:footnote>
  <w:footnote w:type="continuationSeparator" w:id="0">
    <w:p w:rsidR="00401706" w:rsidRDefault="00401706">
      <w:r>
        <w:separator/>
      </w:r>
    </w:p>
    <w:p w:rsidR="00401706" w:rsidRDefault="00401706">
      <w:r>
        <w:t>(...continued from previous page)</w:t>
      </w:r>
    </w:p>
  </w:footnote>
  <w:footnote w:type="continuationNotice" w:id="1">
    <w:p w:rsidR="00401706" w:rsidRDefault="00401706">
      <w:pPr>
        <w:jc w:val="right"/>
      </w:pPr>
      <w:r>
        <w:t>(continued....)</w:t>
      </w:r>
    </w:p>
  </w:footnote>
  <w:footnote w:id="2">
    <w:p w:rsidR="008E10C3" w:rsidRDefault="008E10C3" w:rsidP="002E00BB">
      <w:pPr>
        <w:pStyle w:val="FootnoteText"/>
        <w:jc w:val="left"/>
      </w:pPr>
      <w:r>
        <w:rPr>
          <w:rStyle w:val="FootnoteReference"/>
        </w:rPr>
        <w:footnoteRef/>
      </w:r>
      <w:r>
        <w:t xml:space="preserve"> </w:t>
      </w:r>
      <w:r>
        <w:rPr>
          <w:i/>
        </w:rPr>
        <w:t xml:space="preserve">See </w:t>
      </w:r>
      <w:r>
        <w:t>47 U.S.C. § 325(a).</w:t>
      </w:r>
    </w:p>
  </w:footnote>
  <w:footnote w:id="3">
    <w:p w:rsidR="008E10C3" w:rsidRPr="00146021" w:rsidRDefault="008E10C3" w:rsidP="002E00BB">
      <w:pPr>
        <w:pStyle w:val="FootnoteText"/>
        <w:jc w:val="left"/>
      </w:pPr>
      <w:r w:rsidRPr="00146021">
        <w:rPr>
          <w:rStyle w:val="FootnoteReference"/>
        </w:rPr>
        <w:footnoteRef/>
      </w:r>
      <w:r w:rsidRPr="00146021">
        <w:t xml:space="preserve"> 47 C.F.R. §</w:t>
      </w:r>
      <w:r w:rsidRPr="00146021">
        <w:rPr>
          <w:b/>
        </w:rPr>
        <w:t xml:space="preserve"> </w:t>
      </w:r>
      <w:r w:rsidRPr="00146021">
        <w:t>11.45.</w:t>
      </w:r>
    </w:p>
  </w:footnote>
  <w:footnote w:id="4">
    <w:p w:rsidR="008E10C3" w:rsidRPr="00BF535B" w:rsidRDefault="008E10C3" w:rsidP="00146021">
      <w:pPr>
        <w:pStyle w:val="FootnoteText"/>
      </w:pPr>
      <w:r w:rsidRPr="00CA4548">
        <w:rPr>
          <w:rStyle w:val="FootnoteReference"/>
        </w:rPr>
        <w:footnoteRef/>
      </w:r>
      <w:r w:rsidRPr="00CA4548">
        <w:t xml:space="preserve"> The four parts are: Preamble and EAS Header Codes; audio Attention Signal; message; and, Preamble and EAS End Of Message (EOM) Codes.  47 C.F.R. § 11.31.</w:t>
      </w:r>
    </w:p>
  </w:footnote>
  <w:footnote w:id="5">
    <w:p w:rsidR="008E10C3" w:rsidRDefault="008E10C3">
      <w:pPr>
        <w:pStyle w:val="FootnoteText"/>
      </w:pPr>
      <w:r>
        <w:rPr>
          <w:rStyle w:val="FootnoteReference"/>
        </w:rPr>
        <w:footnoteRef/>
      </w:r>
      <w:r>
        <w:t xml:space="preserve"> 47 C.F.R. § 11.31(a)(2).</w:t>
      </w:r>
    </w:p>
  </w:footnote>
  <w:footnote w:id="6">
    <w:p w:rsidR="008E10C3" w:rsidRPr="004B4583" w:rsidRDefault="008E10C3" w:rsidP="00457F13">
      <w:pPr>
        <w:pStyle w:val="FootnoteText"/>
        <w:jc w:val="left"/>
      </w:pPr>
      <w:r w:rsidRPr="004B4583">
        <w:rPr>
          <w:rStyle w:val="FootnoteReference"/>
        </w:rPr>
        <w:footnoteRef/>
      </w:r>
      <w:r w:rsidRPr="004B4583">
        <w:t xml:space="preserve"> </w:t>
      </w:r>
      <w:r>
        <w:rPr>
          <w:i/>
        </w:rPr>
        <w:t xml:space="preserve">See </w:t>
      </w:r>
      <w:r>
        <w:t>Complaint, Form 2000D, Key No. 12</w:t>
      </w:r>
      <w:r w:rsidRPr="004B4583">
        <w:t>-C00</w:t>
      </w:r>
      <w:r>
        <w:t>392073-1 (Apr</w:t>
      </w:r>
      <w:r w:rsidR="003B1AB9">
        <w:t>.</w:t>
      </w:r>
      <w:r>
        <w:t xml:space="preserve"> 26, 2012</w:t>
      </w:r>
      <w:r w:rsidRPr="004B4583">
        <w:t>)</w:t>
      </w:r>
      <w:r>
        <w:t xml:space="preserve"> (on file in EB-12-IH-0874)</w:t>
      </w:r>
      <w:r w:rsidRPr="004B4583">
        <w:t xml:space="preserve"> (Complaint).</w:t>
      </w:r>
    </w:p>
  </w:footnote>
  <w:footnote w:id="7">
    <w:p w:rsidR="008E10C3" w:rsidRPr="004B4583" w:rsidRDefault="008E10C3" w:rsidP="00457F13">
      <w:pPr>
        <w:pStyle w:val="FootnoteText"/>
        <w:jc w:val="left"/>
      </w:pPr>
      <w:r w:rsidRPr="004B4583">
        <w:rPr>
          <w:rStyle w:val="FootnoteReference"/>
        </w:rPr>
        <w:footnoteRef/>
      </w:r>
      <w:r w:rsidRPr="004B4583">
        <w:t xml:space="preserve"> </w:t>
      </w:r>
      <w:r w:rsidRPr="004B4583">
        <w:rPr>
          <w:i/>
        </w:rPr>
        <w:t>Id</w:t>
      </w:r>
      <w:r w:rsidRPr="004B4583">
        <w:t>.</w:t>
      </w:r>
    </w:p>
  </w:footnote>
  <w:footnote w:id="8">
    <w:p w:rsidR="008E10C3" w:rsidRPr="004B4583" w:rsidRDefault="008E10C3" w:rsidP="00457F13">
      <w:pPr>
        <w:pStyle w:val="FootnoteText"/>
        <w:jc w:val="left"/>
      </w:pPr>
      <w:r w:rsidRPr="004B4583">
        <w:rPr>
          <w:rStyle w:val="FootnoteReference"/>
        </w:rPr>
        <w:footnoteRef/>
      </w:r>
      <w:r w:rsidRPr="004B4583">
        <w:t xml:space="preserve"> </w:t>
      </w:r>
      <w:r>
        <w:rPr>
          <w:i/>
        </w:rPr>
        <w:t xml:space="preserve">See </w:t>
      </w:r>
      <w:r w:rsidRPr="004B4583">
        <w:t xml:space="preserve">Letter from </w:t>
      </w:r>
      <w:r>
        <w:t>Jeffrey J. Gee, Deputy Chief, Investigations and Hearings Division,</w:t>
      </w:r>
      <w:r w:rsidR="00DD0B1D">
        <w:t xml:space="preserve"> </w:t>
      </w:r>
      <w:r w:rsidR="00D755DF">
        <w:t>FCC</w:t>
      </w:r>
      <w:r>
        <w:t xml:space="preserve"> Enforcement Bureau, to Louise S. Sams, Executive Vice President, General Counsel and Secretary, Turner Broadcasting System, Inc</w:t>
      </w:r>
      <w:r w:rsidR="00DD0B1D">
        <w:t>.</w:t>
      </w:r>
      <w:r w:rsidR="00D755DF">
        <w:t xml:space="preserve"> (</w:t>
      </w:r>
      <w:r w:rsidR="00881AE1">
        <w:t>Feb</w:t>
      </w:r>
      <w:r w:rsidR="00D755DF">
        <w:t>.</w:t>
      </w:r>
      <w:r>
        <w:t xml:space="preserve"> 15, 2013</w:t>
      </w:r>
      <w:r w:rsidR="00A74350">
        <w:t>)</w:t>
      </w:r>
      <w:r>
        <w:t xml:space="preserve"> (on file in EB-12-IH-0874</w:t>
      </w:r>
      <w:r w:rsidRPr="004B4583">
        <w:t>) (</w:t>
      </w:r>
      <w:r w:rsidR="00611C09">
        <w:t>LOI</w:t>
      </w:r>
      <w:r w:rsidRPr="004B4583">
        <w:t>).</w:t>
      </w:r>
    </w:p>
  </w:footnote>
  <w:footnote w:id="9">
    <w:p w:rsidR="008E10C3" w:rsidRPr="004B4583" w:rsidRDefault="008E10C3" w:rsidP="00457F13">
      <w:pPr>
        <w:pStyle w:val="FootnoteText"/>
        <w:jc w:val="left"/>
      </w:pPr>
      <w:r w:rsidRPr="004B4583">
        <w:rPr>
          <w:rStyle w:val="FootnoteReference"/>
        </w:rPr>
        <w:footnoteRef/>
      </w:r>
      <w:r w:rsidRPr="004B4583">
        <w:t xml:space="preserve"> Letter from </w:t>
      </w:r>
      <w:r>
        <w:t xml:space="preserve">Louise S. Sams, Executive Vice President, General Counsel and Secretary, Turner Broadcasting System, Inc., to Jennifer A. Lewis, Attorney Advisor, Investigations and Hearings Division, </w:t>
      </w:r>
      <w:r w:rsidR="00D755DF">
        <w:t xml:space="preserve">FCC </w:t>
      </w:r>
      <w:r>
        <w:t>Enforcement Bureau</w:t>
      </w:r>
      <w:r w:rsidR="00881AE1">
        <w:t xml:space="preserve"> </w:t>
      </w:r>
      <w:r w:rsidR="00D755DF">
        <w:t>(</w:t>
      </w:r>
      <w:r w:rsidR="00881AE1">
        <w:t>Feb</w:t>
      </w:r>
      <w:r w:rsidR="00D755DF">
        <w:t>.</w:t>
      </w:r>
      <w:r>
        <w:t xml:space="preserve"> 26, 2013</w:t>
      </w:r>
      <w:r w:rsidR="00D755DF">
        <w:t>)</w:t>
      </w:r>
      <w:r>
        <w:t xml:space="preserve"> (on file in EB-12-IH-0874</w:t>
      </w:r>
      <w:r w:rsidRPr="004B4583">
        <w:t>) (</w:t>
      </w:r>
      <w:r w:rsidR="00611C09">
        <w:t>LOI</w:t>
      </w:r>
      <w:r w:rsidRPr="004B4583">
        <w:t xml:space="preserve"> Response</w:t>
      </w:r>
      <w:r>
        <w:t>).</w:t>
      </w:r>
    </w:p>
  </w:footnote>
  <w:footnote w:id="10">
    <w:p w:rsidR="008E10C3" w:rsidRPr="004B4583" w:rsidRDefault="008E10C3" w:rsidP="002E00BB">
      <w:pPr>
        <w:pStyle w:val="FootnoteText"/>
        <w:jc w:val="left"/>
      </w:pPr>
      <w:r w:rsidRPr="004B4583">
        <w:rPr>
          <w:rStyle w:val="FootnoteReference"/>
        </w:rPr>
        <w:footnoteRef/>
      </w:r>
      <w:r w:rsidRPr="004B4583">
        <w:t xml:space="preserve"> </w:t>
      </w:r>
      <w:r w:rsidRPr="004B4583">
        <w:rPr>
          <w:i/>
        </w:rPr>
        <w:t>See id</w:t>
      </w:r>
      <w:r>
        <w:t>. at 2</w:t>
      </w:r>
      <w:r w:rsidRPr="004B4583">
        <w:t>.</w:t>
      </w:r>
    </w:p>
  </w:footnote>
  <w:footnote w:id="11">
    <w:p w:rsidR="008E10C3" w:rsidRPr="00A10DCB" w:rsidRDefault="008E10C3" w:rsidP="002E00BB">
      <w:pPr>
        <w:pStyle w:val="FootnoteText"/>
        <w:jc w:val="left"/>
      </w:pPr>
      <w:r w:rsidRPr="00B40B4D">
        <w:rPr>
          <w:rStyle w:val="FootnoteReference"/>
        </w:rPr>
        <w:footnoteRef/>
      </w:r>
      <w:r>
        <w:t xml:space="preserve"> </w:t>
      </w:r>
      <w:r w:rsidRPr="00C77657">
        <w:rPr>
          <w:i/>
        </w:rPr>
        <w:t>I</w:t>
      </w:r>
      <w:r w:rsidRPr="0038720E">
        <w:rPr>
          <w:i/>
        </w:rPr>
        <w:t>d</w:t>
      </w:r>
      <w:r>
        <w:t xml:space="preserve">. </w:t>
      </w:r>
      <w:r w:rsidRPr="00C77657">
        <w:t>at</w:t>
      </w:r>
      <w:r w:rsidR="00611C09">
        <w:t xml:space="preserve"> Appendix B</w:t>
      </w:r>
      <w:r>
        <w:t xml:space="preserve">.  </w:t>
      </w:r>
    </w:p>
  </w:footnote>
  <w:footnote w:id="12">
    <w:p w:rsidR="008E10C3" w:rsidRPr="00F430D5" w:rsidRDefault="008E10C3" w:rsidP="002E00BB">
      <w:pPr>
        <w:pStyle w:val="FootnoteText"/>
        <w:jc w:val="left"/>
      </w:pPr>
      <w:r>
        <w:rPr>
          <w:rStyle w:val="FootnoteReference"/>
        </w:rPr>
        <w:footnoteRef/>
      </w:r>
      <w:r>
        <w:t xml:space="preserve"> </w:t>
      </w:r>
      <w:r>
        <w:rPr>
          <w:i/>
        </w:rPr>
        <w:t>Id.</w:t>
      </w:r>
      <w:r>
        <w:t xml:space="preserve"> at 2.</w:t>
      </w:r>
    </w:p>
  </w:footnote>
  <w:footnote w:id="13">
    <w:p w:rsidR="00957F8B" w:rsidRPr="00957F8B" w:rsidRDefault="00957F8B">
      <w:pPr>
        <w:pStyle w:val="FootnoteText"/>
      </w:pPr>
      <w:r>
        <w:rPr>
          <w:rStyle w:val="FootnoteReference"/>
        </w:rPr>
        <w:footnoteRef/>
      </w:r>
      <w:r>
        <w:t xml:space="preserve"> </w:t>
      </w:r>
      <w:r>
        <w:rPr>
          <w:i/>
        </w:rPr>
        <w:t>Id</w:t>
      </w:r>
      <w:r>
        <w:t>. at Appendix D</w:t>
      </w:r>
      <w:r w:rsidR="00807892">
        <w:t>.</w:t>
      </w:r>
    </w:p>
  </w:footnote>
  <w:footnote w:id="14">
    <w:p w:rsidR="008E10C3" w:rsidRPr="00957F8B" w:rsidRDefault="008E10C3" w:rsidP="002E00BB">
      <w:pPr>
        <w:pStyle w:val="FootnoteText"/>
        <w:jc w:val="left"/>
      </w:pPr>
      <w:r>
        <w:rPr>
          <w:rStyle w:val="FootnoteReference"/>
        </w:rPr>
        <w:footnoteRef/>
      </w:r>
      <w:r>
        <w:t xml:space="preserve"> </w:t>
      </w:r>
      <w:r>
        <w:rPr>
          <w:i/>
        </w:rPr>
        <w:t>Id.</w:t>
      </w:r>
      <w:r w:rsidR="00957F8B">
        <w:t xml:space="preserve"> at 2.</w:t>
      </w:r>
    </w:p>
  </w:footnote>
  <w:footnote w:id="15">
    <w:p w:rsidR="008E10C3" w:rsidRPr="00025490" w:rsidRDefault="008E10C3" w:rsidP="002E00BB">
      <w:pPr>
        <w:pStyle w:val="FootnoteText"/>
        <w:jc w:val="left"/>
      </w:pPr>
      <w:r>
        <w:rPr>
          <w:rStyle w:val="FootnoteReference"/>
        </w:rPr>
        <w:footnoteRef/>
      </w:r>
      <w:r>
        <w:t xml:space="preserve"> </w:t>
      </w:r>
      <w:r>
        <w:rPr>
          <w:i/>
        </w:rPr>
        <w:t>Id</w:t>
      </w:r>
      <w:r>
        <w:t>. at 3.</w:t>
      </w:r>
    </w:p>
  </w:footnote>
  <w:footnote w:id="16">
    <w:p w:rsidR="008E10C3" w:rsidRPr="004B4583" w:rsidRDefault="008E10C3" w:rsidP="00457F13">
      <w:pPr>
        <w:pStyle w:val="FootnoteText"/>
        <w:jc w:val="left"/>
      </w:pPr>
      <w:r w:rsidRPr="004B4583">
        <w:rPr>
          <w:rStyle w:val="FootnoteReference"/>
        </w:rPr>
        <w:footnoteRef/>
      </w:r>
      <w:r w:rsidRPr="004B4583">
        <w:rPr>
          <w:i/>
        </w:rPr>
        <w:t xml:space="preserve"> </w:t>
      </w:r>
      <w:r w:rsidRPr="004B4583">
        <w:t>47 U.S.C. § 503(b)(1)(B)</w:t>
      </w:r>
      <w:r w:rsidR="00862A96">
        <w:t xml:space="preserve">.  </w:t>
      </w:r>
      <w:r w:rsidR="00862A96" w:rsidRPr="00957F8B">
        <w:rPr>
          <w:i/>
        </w:rPr>
        <w:t>See also</w:t>
      </w:r>
      <w:r w:rsidRPr="004B4583">
        <w:t xml:space="preserve"> 47 C.F.R. § 1.80(a)(</w:t>
      </w:r>
      <w:r w:rsidR="005B2FE1">
        <w:t>2</w:t>
      </w:r>
      <w:r w:rsidRPr="004B4583">
        <w:t xml:space="preserve">).  </w:t>
      </w:r>
    </w:p>
  </w:footnote>
  <w:footnote w:id="17">
    <w:p w:rsidR="008E10C3" w:rsidRPr="004B4583" w:rsidRDefault="008E10C3" w:rsidP="00457F13">
      <w:pPr>
        <w:pStyle w:val="FootnoteText"/>
        <w:jc w:val="left"/>
      </w:pPr>
      <w:r w:rsidRPr="004B4583">
        <w:rPr>
          <w:rStyle w:val="FootnoteReference"/>
        </w:rPr>
        <w:footnoteRef/>
      </w:r>
      <w:r w:rsidRPr="004B4583">
        <w:t xml:space="preserve"> 47 U.S.C. § 312(f)(1).</w:t>
      </w:r>
    </w:p>
  </w:footnote>
  <w:footnote w:id="18">
    <w:p w:rsidR="008E10C3" w:rsidRPr="004B4583" w:rsidRDefault="008E10C3" w:rsidP="00457F13">
      <w:pPr>
        <w:pStyle w:val="FootnoteText"/>
        <w:jc w:val="left"/>
      </w:pPr>
      <w:r w:rsidRPr="004B4583">
        <w:rPr>
          <w:rStyle w:val="FootnoteReference"/>
        </w:rPr>
        <w:footnoteRef/>
      </w:r>
      <w:r w:rsidRPr="004B4583">
        <w:t xml:space="preserve"> H.R. Rep. No. 97-765, 97</w:t>
      </w:r>
      <w:r w:rsidRPr="00D70086">
        <w:rPr>
          <w:vertAlign w:val="superscript"/>
        </w:rPr>
        <w:t>th</w:t>
      </w:r>
      <w:r w:rsidRPr="004B4583">
        <w:t xml:space="preserve"> Cong. 2d Sess. 51 (1982).</w:t>
      </w:r>
    </w:p>
  </w:footnote>
  <w:footnote w:id="19">
    <w:p w:rsidR="008E10C3" w:rsidRPr="004B4583" w:rsidRDefault="008E10C3" w:rsidP="00457F13">
      <w:pPr>
        <w:pStyle w:val="FootnoteText"/>
        <w:jc w:val="left"/>
      </w:pPr>
      <w:r w:rsidRPr="004B4583">
        <w:rPr>
          <w:rStyle w:val="FootnoteReference"/>
        </w:rPr>
        <w:footnoteRef/>
      </w:r>
      <w:r w:rsidRPr="004B4583">
        <w:t xml:space="preserve"> </w:t>
      </w:r>
      <w:r w:rsidRPr="004B4583">
        <w:rPr>
          <w:i/>
          <w:iCs/>
        </w:rPr>
        <w:t>See, e.g.</w:t>
      </w:r>
      <w:r w:rsidR="005B2FE1">
        <w:rPr>
          <w:iCs/>
        </w:rPr>
        <w:t>,</w:t>
      </w:r>
      <w:r w:rsidRPr="004B4583">
        <w:rPr>
          <w:i/>
          <w:iCs/>
        </w:rPr>
        <w:t xml:space="preserve"> Southern California Broadcasting Co.</w:t>
      </w:r>
      <w:r w:rsidRPr="004B4583">
        <w:t>, Memorandum Opinion and Order, 6 FCC Rcd 4387, 4388, para. 5 (1991).</w:t>
      </w:r>
    </w:p>
  </w:footnote>
  <w:footnote w:id="20">
    <w:p w:rsidR="008E10C3" w:rsidRPr="004B4583" w:rsidRDefault="008E10C3" w:rsidP="00457F13">
      <w:pPr>
        <w:pStyle w:val="FootnoteText"/>
        <w:jc w:val="left"/>
      </w:pPr>
      <w:r w:rsidRPr="004B4583">
        <w:rPr>
          <w:rStyle w:val="FootnoteReference"/>
        </w:rPr>
        <w:footnoteRef/>
      </w:r>
      <w:r w:rsidRPr="004B4583">
        <w:t xml:space="preserve"> </w:t>
      </w:r>
      <w:r w:rsidRPr="004B4583">
        <w:rPr>
          <w:i/>
        </w:rPr>
        <w:t>See, e.g.</w:t>
      </w:r>
      <w:r w:rsidR="005B2FE1">
        <w:t>,</w:t>
      </w:r>
      <w:r w:rsidRPr="004B4583">
        <w:t xml:space="preserve"> </w:t>
      </w:r>
      <w:r w:rsidRPr="004B4583">
        <w:rPr>
          <w:i/>
        </w:rPr>
        <w:t>Callais Cablevision, Inc., Grand Isle, Louisiana</w:t>
      </w:r>
      <w:r w:rsidRPr="004B4583">
        <w:t>, Notice of Apparent Liability for Monetary Forfeiture, 16 FCC Rcd 1359, 1362, para. 10 (2001) (</w:t>
      </w:r>
      <w:r w:rsidRPr="004B4583">
        <w:rPr>
          <w:i/>
        </w:rPr>
        <w:t>Callais Cablevision</w:t>
      </w:r>
      <w:r w:rsidRPr="004B4583">
        <w:t xml:space="preserve">) (assessing a forfeiture for a cable television operator’s repeated signal leakage). </w:t>
      </w:r>
    </w:p>
  </w:footnote>
  <w:footnote w:id="21">
    <w:p w:rsidR="008E10C3" w:rsidRPr="004B4583" w:rsidRDefault="008E10C3" w:rsidP="00457F13">
      <w:pPr>
        <w:pStyle w:val="FootnoteText"/>
        <w:jc w:val="left"/>
      </w:pPr>
      <w:r w:rsidRPr="004B4583">
        <w:rPr>
          <w:rStyle w:val="FootnoteReference"/>
        </w:rPr>
        <w:footnoteRef/>
      </w:r>
      <w:r w:rsidRPr="00D70086">
        <w:t xml:space="preserve"> </w:t>
      </w:r>
      <w:r w:rsidRPr="004B4583">
        <w:rPr>
          <w:i/>
        </w:rPr>
        <w:t xml:space="preserve">Southern California </w:t>
      </w:r>
      <w:r w:rsidRPr="004B4583">
        <w:rPr>
          <w:i/>
          <w:iCs/>
        </w:rPr>
        <w:t>Broadcasting</w:t>
      </w:r>
      <w:r w:rsidRPr="004B4583">
        <w:rPr>
          <w:i/>
        </w:rPr>
        <w:t xml:space="preserve"> Co.</w:t>
      </w:r>
      <w:r w:rsidR="005B2FE1">
        <w:t>,</w:t>
      </w:r>
      <w:r w:rsidRPr="004B4583">
        <w:rPr>
          <w:i/>
        </w:rPr>
        <w:t xml:space="preserve"> </w:t>
      </w:r>
      <w:r w:rsidRPr="004B4583">
        <w:t xml:space="preserve">6 FCC Rcd at 4388, para. 5; </w:t>
      </w:r>
      <w:r w:rsidRPr="004B4583">
        <w:rPr>
          <w:i/>
        </w:rPr>
        <w:t xml:space="preserve">Callais Cablevision, </w:t>
      </w:r>
      <w:r w:rsidRPr="004B4583">
        <w:t>16 FCC Rcd at 1362, para. 9.</w:t>
      </w:r>
    </w:p>
  </w:footnote>
  <w:footnote w:id="22">
    <w:p w:rsidR="008E10C3" w:rsidRPr="004B4583" w:rsidRDefault="008E10C3" w:rsidP="00457F13">
      <w:pPr>
        <w:pStyle w:val="FootnoteText"/>
        <w:jc w:val="left"/>
      </w:pPr>
      <w:r w:rsidRPr="004B4583">
        <w:rPr>
          <w:rStyle w:val="FootnoteReference"/>
        </w:rPr>
        <w:footnoteRef/>
      </w:r>
      <w:r w:rsidRPr="004B4583">
        <w:t xml:space="preserve"> 47 U.S.C. § 503(b); 47 C.F.R. § 1.80(f).</w:t>
      </w:r>
    </w:p>
  </w:footnote>
  <w:footnote w:id="23">
    <w:p w:rsidR="008E10C3" w:rsidRPr="004B4583" w:rsidRDefault="008E10C3" w:rsidP="00457F13">
      <w:pPr>
        <w:pStyle w:val="FootnoteText"/>
        <w:jc w:val="left"/>
      </w:pPr>
      <w:r w:rsidRPr="004B4583">
        <w:rPr>
          <w:rStyle w:val="FootnoteReference"/>
        </w:rPr>
        <w:footnoteRef/>
      </w:r>
      <w:r w:rsidRPr="004B4583">
        <w:rPr>
          <w:i/>
        </w:rPr>
        <w:t xml:space="preserve"> See, e.g.</w:t>
      </w:r>
      <w:r w:rsidR="001646B8">
        <w:t>,</w:t>
      </w:r>
      <w:r w:rsidRPr="004B4583">
        <w:rPr>
          <w:i/>
        </w:rPr>
        <w:t xml:space="preserve"> SBC Communications, Inc</w:t>
      </w:r>
      <w:r w:rsidRPr="004B4583">
        <w:t>.,</w:t>
      </w:r>
      <w:r w:rsidRPr="004B4583">
        <w:rPr>
          <w:i/>
        </w:rPr>
        <w:t xml:space="preserve"> </w:t>
      </w:r>
      <w:r w:rsidRPr="004B4583">
        <w:t xml:space="preserve">Forfeiture Order, 17 FCC Rcd 7589, 7591, para. 4 (2002) (forfeiture paid). </w:t>
      </w:r>
    </w:p>
  </w:footnote>
  <w:footnote w:id="24">
    <w:p w:rsidR="008E10C3" w:rsidRPr="00843A23" w:rsidRDefault="008E10C3" w:rsidP="002E00BB">
      <w:pPr>
        <w:pStyle w:val="FootnoteText"/>
        <w:jc w:val="left"/>
      </w:pPr>
      <w:r>
        <w:rPr>
          <w:rStyle w:val="FootnoteReference"/>
          <w:rFonts w:eastAsia="Calibri"/>
        </w:rPr>
        <w:footnoteRef/>
      </w:r>
      <w:r w:rsidR="001646B8">
        <w:rPr>
          <w:i/>
        </w:rPr>
        <w:t xml:space="preserve"> </w:t>
      </w:r>
      <w:r>
        <w:t>47 U.S.C. § 325(a).</w:t>
      </w:r>
    </w:p>
  </w:footnote>
  <w:footnote w:id="25">
    <w:p w:rsidR="008E10C3" w:rsidRDefault="008E10C3" w:rsidP="002E00BB">
      <w:pPr>
        <w:pStyle w:val="FootnoteText"/>
        <w:jc w:val="left"/>
      </w:pPr>
      <w:r>
        <w:rPr>
          <w:rStyle w:val="FootnoteReference"/>
        </w:rPr>
        <w:footnoteRef/>
      </w:r>
      <w:r>
        <w:t xml:space="preserve"> </w:t>
      </w:r>
      <w:r w:rsidRPr="00BF0792">
        <w:t>47 C.F.R. § 11.45.</w:t>
      </w:r>
    </w:p>
  </w:footnote>
  <w:footnote w:id="26">
    <w:p w:rsidR="008E10C3" w:rsidRDefault="008E10C3" w:rsidP="002E00BB">
      <w:pPr>
        <w:pStyle w:val="FootnoteText"/>
        <w:jc w:val="left"/>
      </w:pPr>
      <w:r>
        <w:rPr>
          <w:rStyle w:val="FootnoteReference"/>
        </w:rPr>
        <w:footnoteRef/>
      </w:r>
      <w:r>
        <w:t xml:space="preserve"> </w:t>
      </w:r>
      <w:r w:rsidRPr="00BF0792">
        <w:rPr>
          <w:i/>
        </w:rPr>
        <w:t>See</w:t>
      </w:r>
      <w:r w:rsidRPr="00BF0792">
        <w:t xml:space="preserve"> 47 C.F.R. § 11.31</w:t>
      </w:r>
      <w:r>
        <w:t xml:space="preserve"> (defining Attention Signal).</w:t>
      </w:r>
    </w:p>
  </w:footnote>
  <w:footnote w:id="27">
    <w:p w:rsidR="008E10C3" w:rsidRDefault="008E10C3">
      <w:pPr>
        <w:pStyle w:val="FootnoteText"/>
      </w:pPr>
      <w:r>
        <w:rPr>
          <w:rStyle w:val="FootnoteReference"/>
        </w:rPr>
        <w:footnoteRef/>
      </w:r>
      <w:r>
        <w:t xml:space="preserve"> </w:t>
      </w:r>
      <w:r>
        <w:rPr>
          <w:i/>
        </w:rPr>
        <w:t xml:space="preserve">See </w:t>
      </w:r>
      <w:r w:rsidR="00611C09">
        <w:t>LOI</w:t>
      </w:r>
      <w:r>
        <w:t xml:space="preserve"> Response at 2.</w:t>
      </w:r>
    </w:p>
  </w:footnote>
  <w:footnote w:id="28">
    <w:p w:rsidR="008E10C3" w:rsidRDefault="008E10C3" w:rsidP="00741C03">
      <w:pPr>
        <w:pStyle w:val="FootnoteText"/>
        <w:jc w:val="left"/>
      </w:pPr>
      <w:r>
        <w:rPr>
          <w:rStyle w:val="FootnoteReference"/>
        </w:rPr>
        <w:footnoteRef/>
      </w:r>
      <w:r>
        <w:t xml:space="preserve"> </w:t>
      </w:r>
      <w:r w:rsidRPr="006B31FF">
        <w:rPr>
          <w:i/>
        </w:rPr>
        <w:t xml:space="preserve">See </w:t>
      </w:r>
      <w:r w:rsidRPr="006B31FF">
        <w:t>Time</w:t>
      </w:r>
      <w:r>
        <w:t xml:space="preserve"> Warner Inc., Annual Report 2012 (Form 10-K), at 2 (Feb</w:t>
      </w:r>
      <w:r w:rsidR="00B20886">
        <w:t>.</w:t>
      </w:r>
      <w:r>
        <w:t xml:space="preserve"> 22, 2013) (“Turner</w:t>
      </w:r>
      <w:r w:rsidR="008B5978">
        <w:t xml:space="preserve"> . . . </w:t>
      </w:r>
      <w:r>
        <w:t>generates revenues principally from providing programming to cable system operators, satellite service distributors, telephone companies and other distributors (known as affiliates) that have contracted to receive and distribute this programming to subscribers.”)</w:t>
      </w:r>
      <w:r w:rsidR="00F66C3D">
        <w:t xml:space="preserve"> (</w:t>
      </w:r>
      <w:r w:rsidR="00F66C3D" w:rsidRPr="00957F8B">
        <w:rPr>
          <w:i/>
        </w:rPr>
        <w:t>Annual Report</w:t>
      </w:r>
      <w:r w:rsidR="00F66C3D">
        <w:t>)</w:t>
      </w:r>
      <w:r>
        <w:t>.</w:t>
      </w:r>
    </w:p>
  </w:footnote>
  <w:footnote w:id="29">
    <w:p w:rsidR="008E10C3" w:rsidRPr="00741C03" w:rsidRDefault="008E10C3" w:rsidP="00741C03">
      <w:pPr>
        <w:pStyle w:val="FootnoteText"/>
        <w:jc w:val="left"/>
      </w:pPr>
      <w:r>
        <w:rPr>
          <w:rStyle w:val="FootnoteReference"/>
        </w:rPr>
        <w:footnoteRef/>
      </w:r>
      <w:r>
        <w:t xml:space="preserve"> </w:t>
      </w:r>
      <w:r>
        <w:rPr>
          <w:i/>
        </w:rPr>
        <w:t>See</w:t>
      </w:r>
      <w:r>
        <w:t xml:space="preserve"> Cable Television Advertising Bureau, Live vs. Dual Feed Cable Networks, </w:t>
      </w:r>
      <w:r w:rsidR="001646B8" w:rsidRPr="00B30263">
        <w:t>http://www.thecab.tv/main/resources/lvdFeeds/index.shtml</w:t>
      </w:r>
      <w:r w:rsidRPr="00741C03">
        <w:rPr>
          <w:color w:val="000000" w:themeColor="text1"/>
        </w:rPr>
        <w:t xml:space="preserve"> (</w:t>
      </w:r>
      <w:r>
        <w:rPr>
          <w:color w:val="000000" w:themeColor="text1"/>
        </w:rPr>
        <w:t>last visited Aug. 19, 2013).</w:t>
      </w:r>
    </w:p>
  </w:footnote>
  <w:footnote w:id="30">
    <w:p w:rsidR="008E10C3" w:rsidRPr="005E6B95" w:rsidRDefault="008E10C3" w:rsidP="00741C03">
      <w:pPr>
        <w:pStyle w:val="FootnoteText"/>
        <w:jc w:val="left"/>
      </w:pPr>
      <w:r w:rsidRPr="005E6B95">
        <w:rPr>
          <w:rStyle w:val="FootnoteReference"/>
        </w:rPr>
        <w:footnoteRef/>
      </w:r>
      <w:r w:rsidRPr="005E6B95">
        <w:t xml:space="preserve"> </w:t>
      </w:r>
      <w:r w:rsidR="00306DE3">
        <w:rPr>
          <w:i/>
        </w:rPr>
        <w:t>See</w:t>
      </w:r>
      <w:r w:rsidRPr="00D70086">
        <w:rPr>
          <w:i/>
        </w:rPr>
        <w:t xml:space="preserve"> </w:t>
      </w:r>
      <w:r w:rsidR="00611C09">
        <w:t>LOI</w:t>
      </w:r>
      <w:r w:rsidRPr="005E6B95">
        <w:t xml:space="preserve"> Respons</w:t>
      </w:r>
      <w:r w:rsidR="00DF4BA9">
        <w:t>e at 2</w:t>
      </w:r>
      <w:r w:rsidRPr="005E6B95">
        <w:t>.</w:t>
      </w:r>
    </w:p>
  </w:footnote>
  <w:footnote w:id="31">
    <w:p w:rsidR="008E10C3" w:rsidRPr="001F2E12" w:rsidRDefault="008E10C3">
      <w:pPr>
        <w:pStyle w:val="FootnoteText"/>
      </w:pPr>
      <w:r>
        <w:rPr>
          <w:rStyle w:val="FootnoteReference"/>
        </w:rPr>
        <w:footnoteRef/>
      </w:r>
      <w:r>
        <w:t xml:space="preserve"> </w:t>
      </w:r>
      <w:r>
        <w:rPr>
          <w:i/>
        </w:rPr>
        <w:t xml:space="preserve">See </w:t>
      </w:r>
      <w:r>
        <w:t xml:space="preserve">47 </w:t>
      </w:r>
      <w:r w:rsidRPr="00BF0792">
        <w:t>C.F.R</w:t>
      </w:r>
      <w:r w:rsidRPr="001F2E12">
        <w:t>. § 11.45.</w:t>
      </w:r>
    </w:p>
  </w:footnote>
  <w:footnote w:id="32">
    <w:p w:rsidR="00690D99" w:rsidRPr="001F2E12" w:rsidRDefault="00690D99">
      <w:pPr>
        <w:pStyle w:val="FootnoteText"/>
      </w:pPr>
      <w:r w:rsidRPr="001F2E12">
        <w:rPr>
          <w:rStyle w:val="FootnoteReference"/>
        </w:rPr>
        <w:footnoteRef/>
      </w:r>
      <w:r w:rsidRPr="001F2E12">
        <w:t xml:space="preserve"> </w:t>
      </w:r>
      <w:r w:rsidR="001F2E12" w:rsidRPr="001F2E12">
        <w:rPr>
          <w:color w:val="000000"/>
        </w:rPr>
        <w:t>In particular, audiences relying primarily on audio cues, such as those with visual impairments or those listening from another room, would reasonably focus on such sounds.</w:t>
      </w:r>
    </w:p>
  </w:footnote>
  <w:footnote w:id="33">
    <w:p w:rsidR="00957F8B" w:rsidRPr="00957F8B" w:rsidRDefault="00957F8B">
      <w:pPr>
        <w:pStyle w:val="FootnoteText"/>
      </w:pPr>
      <w:r w:rsidRPr="001F2E12">
        <w:rPr>
          <w:rStyle w:val="FootnoteReference"/>
        </w:rPr>
        <w:footnoteRef/>
      </w:r>
      <w:r w:rsidRPr="001F2E12">
        <w:t xml:space="preserve"> </w:t>
      </w:r>
      <w:r w:rsidRPr="001F2E12">
        <w:rPr>
          <w:i/>
        </w:rPr>
        <w:t>See</w:t>
      </w:r>
      <w:r w:rsidRPr="001F2E12">
        <w:t xml:space="preserve"> </w:t>
      </w:r>
      <w:r w:rsidR="00611C09" w:rsidRPr="001F2E12">
        <w:t>LOI</w:t>
      </w:r>
      <w:r w:rsidRPr="001F2E12">
        <w:t xml:space="preserve"> Response at 2</w:t>
      </w:r>
      <w:r>
        <w:t>.</w:t>
      </w:r>
    </w:p>
  </w:footnote>
  <w:footnote w:id="34">
    <w:p w:rsidR="008E10C3" w:rsidRPr="005E6B95" w:rsidRDefault="008E10C3" w:rsidP="001B1BBD">
      <w:pPr>
        <w:pStyle w:val="FootnoteText"/>
        <w:jc w:val="left"/>
      </w:pPr>
      <w:r w:rsidRPr="005E6B95">
        <w:rPr>
          <w:rStyle w:val="FootnoteReference"/>
        </w:rPr>
        <w:footnoteRef/>
      </w:r>
      <w:r w:rsidRPr="005E6B95">
        <w:t xml:space="preserve"> </w:t>
      </w:r>
      <w:r w:rsidRPr="005E6B95">
        <w:rPr>
          <w:i/>
        </w:rPr>
        <w:t>See</w:t>
      </w:r>
      <w:r w:rsidRPr="005E6B95">
        <w:t xml:space="preserve"> 47 C.F.R. §11.31(a)(2).</w:t>
      </w:r>
    </w:p>
  </w:footnote>
  <w:footnote w:id="35">
    <w:p w:rsidR="008E10C3" w:rsidRPr="005E6B95" w:rsidRDefault="008E10C3" w:rsidP="002E00BB">
      <w:pPr>
        <w:pStyle w:val="FootnoteText"/>
        <w:jc w:val="left"/>
      </w:pPr>
      <w:r w:rsidRPr="005E6B95">
        <w:rPr>
          <w:rStyle w:val="FootnoteReference"/>
        </w:rPr>
        <w:footnoteRef/>
      </w:r>
      <w:r w:rsidR="008D0C4B" w:rsidRPr="005E6B95">
        <w:t xml:space="preserve"> </w:t>
      </w:r>
      <w:r w:rsidR="00306DE3">
        <w:rPr>
          <w:i/>
        </w:rPr>
        <w:t>See</w:t>
      </w:r>
      <w:r w:rsidRPr="00D70086">
        <w:rPr>
          <w:i/>
        </w:rPr>
        <w:t xml:space="preserve"> </w:t>
      </w:r>
      <w:r w:rsidR="00611C09">
        <w:t>LOI</w:t>
      </w:r>
      <w:r w:rsidRPr="005E6B95">
        <w:t xml:space="preserve"> Respons</w:t>
      </w:r>
      <w:r w:rsidR="00DF4BA9">
        <w:t>e at 2</w:t>
      </w:r>
      <w:r w:rsidRPr="005E6B95">
        <w:t>.</w:t>
      </w:r>
    </w:p>
  </w:footnote>
  <w:footnote w:id="36">
    <w:p w:rsidR="008E10C3" w:rsidRPr="005E6B95" w:rsidRDefault="008E10C3" w:rsidP="002E00BB">
      <w:pPr>
        <w:pStyle w:val="FootnoteText"/>
        <w:jc w:val="left"/>
        <w:rPr>
          <w:b/>
        </w:rPr>
      </w:pPr>
      <w:r w:rsidRPr="005E6B95">
        <w:rPr>
          <w:rStyle w:val="FootnoteReference"/>
        </w:rPr>
        <w:footnoteRef/>
      </w:r>
      <w:r w:rsidRPr="005E6B95">
        <w:t xml:space="preserve"> </w:t>
      </w:r>
      <w:r w:rsidRPr="005E6B95">
        <w:rPr>
          <w:i/>
        </w:rPr>
        <w:t xml:space="preserve">See </w:t>
      </w:r>
      <w:r w:rsidRPr="005E6B95">
        <w:t>47 U.S.C. § 325(a) (“No person within the jurisdiction of the United States shall knowingly utter or transmit, or cause to be uttered or transmitted, any false or fraudulent signals of distress, or communication relating thereto . . .</w:t>
      </w:r>
      <w:r w:rsidR="005E2F0F">
        <w:t xml:space="preserve"> .</w:t>
      </w:r>
      <w:r w:rsidRPr="005E6B95">
        <w:t xml:space="preserve">”).  </w:t>
      </w:r>
    </w:p>
  </w:footnote>
  <w:footnote w:id="37">
    <w:p w:rsidR="00B30263" w:rsidRDefault="00B30263">
      <w:pPr>
        <w:pStyle w:val="FootnoteText"/>
      </w:pPr>
      <w:r>
        <w:rPr>
          <w:rStyle w:val="FootnoteReference"/>
        </w:rPr>
        <w:footnoteRef/>
      </w:r>
      <w:r>
        <w:t xml:space="preserve"> </w:t>
      </w:r>
      <w:r w:rsidRPr="005E6B95">
        <w:rPr>
          <w:i/>
        </w:rPr>
        <w:t xml:space="preserve">See </w:t>
      </w:r>
      <w:r w:rsidRPr="0097543A">
        <w:rPr>
          <w:i/>
        </w:rPr>
        <w:t>Emmi</w:t>
      </w:r>
      <w:r>
        <w:rPr>
          <w:i/>
        </w:rPr>
        <w:t xml:space="preserve">s </w:t>
      </w:r>
      <w:r w:rsidRPr="0097543A">
        <w:rPr>
          <w:i/>
        </w:rPr>
        <w:t>Broadcasting Co</w:t>
      </w:r>
      <w:r>
        <w:rPr>
          <w:i/>
        </w:rPr>
        <w:t>rp</w:t>
      </w:r>
      <w:r w:rsidRPr="0097543A">
        <w:rPr>
          <w:i/>
        </w:rPr>
        <w:t>. of St. Louis</w:t>
      </w:r>
      <w:r w:rsidRPr="0097543A">
        <w:t>,</w:t>
      </w:r>
      <w:r>
        <w:t xml:space="preserve"> </w:t>
      </w:r>
      <w:r w:rsidRPr="0097543A">
        <w:t>Notice of Apparent Liability for Forfeiture, 6 FCC Rcd 2289</w:t>
      </w:r>
      <w:r>
        <w:t xml:space="preserve"> </w:t>
      </w:r>
      <w:r w:rsidRPr="0097543A">
        <w:t>(1991)</w:t>
      </w:r>
      <w:r>
        <w:t xml:space="preserve"> (</w:t>
      </w:r>
      <w:r>
        <w:rPr>
          <w:i/>
        </w:rPr>
        <w:t>Emmis</w:t>
      </w:r>
      <w:r>
        <w:t>).</w:t>
      </w:r>
    </w:p>
  </w:footnote>
  <w:footnote w:id="38">
    <w:p w:rsidR="008E10C3" w:rsidRPr="005E6B95" w:rsidRDefault="008E10C3" w:rsidP="002E00BB">
      <w:pPr>
        <w:pStyle w:val="FootnoteText"/>
        <w:jc w:val="left"/>
      </w:pPr>
      <w:r w:rsidRPr="005E6B95">
        <w:rPr>
          <w:rStyle w:val="FootnoteReference"/>
        </w:rPr>
        <w:footnoteRef/>
      </w:r>
      <w:r w:rsidRPr="005E6B95">
        <w:t xml:space="preserve"> </w:t>
      </w:r>
      <w:r w:rsidRPr="005E6B95">
        <w:rPr>
          <w:i/>
        </w:rPr>
        <w:t xml:space="preserve">See </w:t>
      </w:r>
      <w:r w:rsidR="00B30263">
        <w:rPr>
          <w:i/>
        </w:rPr>
        <w:t xml:space="preserve">id. </w:t>
      </w:r>
      <w:r w:rsidR="00B30263" w:rsidRPr="00B40B4D">
        <w:t>at</w:t>
      </w:r>
      <w:r w:rsidRPr="00251625">
        <w:t xml:space="preserve"> </w:t>
      </w:r>
      <w:r w:rsidRPr="005E6B95">
        <w:t>2289</w:t>
      </w:r>
      <w:r w:rsidR="00306DE3">
        <w:t>–</w:t>
      </w:r>
      <w:r w:rsidRPr="005E6B95">
        <w:t>90 (Emmis announced, with the sound of civil defense sirens in the background, that the tone was not a test and the United States was under nuclear attack).</w:t>
      </w:r>
    </w:p>
  </w:footnote>
  <w:footnote w:id="39">
    <w:p w:rsidR="008E10C3" w:rsidRPr="001319F8" w:rsidRDefault="008E10C3">
      <w:pPr>
        <w:pStyle w:val="FootnoteText"/>
      </w:pPr>
      <w:r>
        <w:rPr>
          <w:rStyle w:val="FootnoteReference"/>
        </w:rPr>
        <w:footnoteRef/>
      </w:r>
      <w:r>
        <w:t xml:space="preserve"> </w:t>
      </w:r>
      <w:r w:rsidR="00944D07" w:rsidRPr="00957F8B">
        <w:rPr>
          <w:i/>
        </w:rPr>
        <w:t>See</w:t>
      </w:r>
      <w:r w:rsidR="00944D07">
        <w:t xml:space="preserve"> </w:t>
      </w:r>
      <w:r w:rsidR="00944D07" w:rsidRPr="00807892">
        <w:rPr>
          <w:i/>
        </w:rPr>
        <w:t>i</w:t>
      </w:r>
      <w:r w:rsidRPr="00807892">
        <w:rPr>
          <w:i/>
        </w:rPr>
        <w:t>d</w:t>
      </w:r>
      <w:r w:rsidRPr="00F45B4B">
        <w:t>.</w:t>
      </w:r>
    </w:p>
  </w:footnote>
  <w:footnote w:id="40">
    <w:p w:rsidR="00E06B55" w:rsidRPr="005E6B95" w:rsidRDefault="00E06B55" w:rsidP="00FD68A8">
      <w:pPr>
        <w:spacing w:after="120"/>
      </w:pPr>
      <w:r w:rsidRPr="005E6B95">
        <w:rPr>
          <w:rStyle w:val="FootnoteReference"/>
        </w:rPr>
        <w:footnoteRef/>
      </w:r>
      <w:r w:rsidRPr="005E6B95">
        <w:t xml:space="preserve"> </w:t>
      </w:r>
      <w:r w:rsidRPr="005E6B95">
        <w:rPr>
          <w:i/>
        </w:rPr>
        <w:t>Id</w:t>
      </w:r>
      <w:r w:rsidRPr="005E6B95">
        <w:t xml:space="preserve">. (noting that </w:t>
      </w:r>
      <w:r w:rsidRPr="007529A9">
        <w:t>Emmis</w:t>
      </w:r>
      <w:r w:rsidRPr="005E6B95">
        <w:t xml:space="preserve"> used a common “bleep” tone rather than the two-tone </w:t>
      </w:r>
      <w:r w:rsidR="00251625">
        <w:t xml:space="preserve">EBS </w:t>
      </w:r>
      <w:r w:rsidRPr="005E6B95">
        <w:t xml:space="preserve">warning and thus no EBS equipment was activated, but listeners mistook the tone for the authentic EBS signal).  </w:t>
      </w:r>
      <w:r w:rsidRPr="001C03C1">
        <w:t xml:space="preserve">The Commission nevertheless noted that the airing of such sound-alike “mimic” tones conflicted with the underlying purpose of the EBS rules, </w:t>
      </w:r>
      <w:r w:rsidR="00853A2C">
        <w:t xml:space="preserve">i.e., </w:t>
      </w:r>
      <w:r w:rsidRPr="001C03C1">
        <w:t xml:space="preserve">“to ensure prior authentication of a true national emergency before activation of the tone for emergency cuing.” </w:t>
      </w:r>
      <w:r w:rsidR="00F84B8C">
        <w:t xml:space="preserve"> </w:t>
      </w:r>
      <w:r w:rsidRPr="005E6B95">
        <w:rPr>
          <w:i/>
        </w:rPr>
        <w:t>Id</w:t>
      </w:r>
      <w:r w:rsidRPr="005E6B95">
        <w:t>. at 2290.</w:t>
      </w:r>
    </w:p>
  </w:footnote>
  <w:footnote w:id="41">
    <w:p w:rsidR="008E10C3" w:rsidRPr="005E6B95" w:rsidRDefault="008E10C3" w:rsidP="00FD68A8">
      <w:pPr>
        <w:pStyle w:val="FootnoteText"/>
        <w:jc w:val="left"/>
      </w:pPr>
      <w:r w:rsidRPr="005E6B95">
        <w:rPr>
          <w:rStyle w:val="FootnoteReference"/>
        </w:rPr>
        <w:footnoteRef/>
      </w:r>
      <w:r w:rsidRPr="005E6B95">
        <w:t xml:space="preserve"> </w:t>
      </w:r>
      <w:r w:rsidRPr="005E6B95">
        <w:rPr>
          <w:i/>
        </w:rPr>
        <w:t>See Amendment of Part 73, Subpart G, of the Comm</w:t>
      </w:r>
      <w:r>
        <w:rPr>
          <w:i/>
        </w:rPr>
        <w:t>ission’s</w:t>
      </w:r>
      <w:r w:rsidRPr="005E6B95">
        <w:rPr>
          <w:i/>
        </w:rPr>
        <w:t xml:space="preserve"> Rules Regarding the Emergency Broad</w:t>
      </w:r>
      <w:r>
        <w:rPr>
          <w:i/>
        </w:rPr>
        <w:t>casting</w:t>
      </w:r>
      <w:r w:rsidRPr="005E6B95">
        <w:rPr>
          <w:i/>
        </w:rPr>
        <w:t xml:space="preserve"> Sys</w:t>
      </w:r>
      <w:r>
        <w:rPr>
          <w:i/>
        </w:rPr>
        <w:t>tem</w:t>
      </w:r>
      <w:r w:rsidRPr="005E6B95">
        <w:t>, Notice of Proposed Rule Making/Further Notice of Proposed Rule Making, 7 FCC Rcd 6903, 690</w:t>
      </w:r>
      <w:r w:rsidR="00F84B8C">
        <w:t>7–08, paras. 39–45</w:t>
      </w:r>
      <w:r w:rsidRPr="005E6B95">
        <w:t xml:space="preserve"> (1992)</w:t>
      </w:r>
      <w:r>
        <w:t xml:space="preserve"> (</w:t>
      </w:r>
      <w:r>
        <w:rPr>
          <w:i/>
        </w:rPr>
        <w:t>1992 EBS Notice</w:t>
      </w:r>
      <w:r>
        <w:t>)</w:t>
      </w:r>
      <w:r w:rsidRPr="005E6B95">
        <w:t>; Report and Order and Further Notice of Proposed Rule Making, 10 FCC Rcd 1786</w:t>
      </w:r>
      <w:r w:rsidR="00306DE3">
        <w:t>, 1815, para. 84</w:t>
      </w:r>
      <w:r w:rsidRPr="005E6B95">
        <w:t xml:space="preserve"> (1994)</w:t>
      </w:r>
      <w:r>
        <w:t xml:space="preserve"> (</w:t>
      </w:r>
      <w:r>
        <w:rPr>
          <w:i/>
        </w:rPr>
        <w:t>1994 EBS Order</w:t>
      </w:r>
      <w:r>
        <w:t>) (</w:t>
      </w:r>
      <w:r w:rsidRPr="00F82C40">
        <w:t>subsequent history omitted)</w:t>
      </w:r>
      <w:r w:rsidRPr="005E6B95">
        <w:t xml:space="preserve"> (stating “</w:t>
      </w:r>
      <w:r>
        <w:t>[s]</w:t>
      </w:r>
      <w:r w:rsidRPr="005E6B95">
        <w:t xml:space="preserve">uch false use and misconduct will be considered a false distress communication and will be subject to Commission penalties, such as monetary forfeiture or other appropriate sanctions”).  </w:t>
      </w:r>
    </w:p>
  </w:footnote>
  <w:footnote w:id="42">
    <w:p w:rsidR="008E10C3" w:rsidRPr="00C45259" w:rsidRDefault="008E10C3">
      <w:pPr>
        <w:pStyle w:val="FootnoteText"/>
      </w:pPr>
      <w:r>
        <w:rPr>
          <w:rStyle w:val="FootnoteReference"/>
        </w:rPr>
        <w:footnoteRef/>
      </w:r>
      <w:r>
        <w:t xml:space="preserve"> </w:t>
      </w:r>
      <w:r w:rsidRPr="005E6B95">
        <w:rPr>
          <w:i/>
        </w:rPr>
        <w:t xml:space="preserve">See </w:t>
      </w:r>
      <w:r w:rsidRPr="005E6B95">
        <w:t>47 U.S.C. § 325(a)</w:t>
      </w:r>
      <w:r>
        <w:t>.</w:t>
      </w:r>
    </w:p>
  </w:footnote>
  <w:footnote w:id="43">
    <w:p w:rsidR="001F2E12" w:rsidRPr="005E6B95" w:rsidRDefault="001F2E12" w:rsidP="001F2E12">
      <w:pPr>
        <w:pStyle w:val="FootnoteText"/>
        <w:jc w:val="left"/>
      </w:pPr>
      <w:r w:rsidRPr="005E6B95">
        <w:rPr>
          <w:rStyle w:val="FootnoteReference"/>
        </w:rPr>
        <w:footnoteRef/>
      </w:r>
      <w:r w:rsidRPr="005E6B95">
        <w:t xml:space="preserve"> </w:t>
      </w:r>
      <w:r w:rsidRPr="005E6B95">
        <w:rPr>
          <w:i/>
        </w:rPr>
        <w:t xml:space="preserve">See </w:t>
      </w:r>
      <w:r>
        <w:rPr>
          <w:i/>
        </w:rPr>
        <w:t xml:space="preserve">1994 EBS Order </w:t>
      </w:r>
      <w:r w:rsidRPr="00B40B4D">
        <w:t xml:space="preserve">at </w:t>
      </w:r>
      <w:r w:rsidR="00F84B8C">
        <w:t xml:space="preserve">1815, </w:t>
      </w:r>
      <w:r w:rsidRPr="00B40B4D">
        <w:t>para. 84.</w:t>
      </w:r>
      <w:r w:rsidRPr="005E6B95">
        <w:t xml:space="preserve">  </w:t>
      </w:r>
    </w:p>
  </w:footnote>
  <w:footnote w:id="44">
    <w:p w:rsidR="008E10C3" w:rsidRDefault="008E10C3">
      <w:pPr>
        <w:pStyle w:val="FootnoteText"/>
      </w:pPr>
      <w:r>
        <w:rPr>
          <w:rStyle w:val="FootnoteReference"/>
        </w:rPr>
        <w:footnoteRef/>
      </w:r>
      <w:r>
        <w:t xml:space="preserve"> </w:t>
      </w:r>
      <w:r>
        <w:rPr>
          <w:i/>
        </w:rPr>
        <w:t>See</w:t>
      </w:r>
      <w:r w:rsidRPr="00F45B4B">
        <w:rPr>
          <w:i/>
        </w:rPr>
        <w:t xml:space="preserve"> </w:t>
      </w:r>
      <w:r>
        <w:rPr>
          <w:i/>
        </w:rPr>
        <w:t>1992 EBS Notice</w:t>
      </w:r>
      <w:r w:rsidR="007A348F">
        <w:rPr>
          <w:i/>
        </w:rPr>
        <w:t>,</w:t>
      </w:r>
      <w:r w:rsidR="007529A9">
        <w:t xml:space="preserve"> </w:t>
      </w:r>
      <w:r w:rsidR="00B35898">
        <w:t>7 FCC Rcd</w:t>
      </w:r>
      <w:r>
        <w:t xml:space="preserve"> at 6907</w:t>
      </w:r>
      <w:r w:rsidR="00F84B8C">
        <w:t>, para. 39</w:t>
      </w:r>
      <w:r>
        <w:t xml:space="preserve">; </w:t>
      </w:r>
      <w:r w:rsidRPr="00F45B4B">
        <w:rPr>
          <w:i/>
        </w:rPr>
        <w:t>Emmis</w:t>
      </w:r>
      <w:r w:rsidR="00154BD5">
        <w:t>, 6 FCC Rcd</w:t>
      </w:r>
      <w:r>
        <w:t xml:space="preserve"> at 2290.</w:t>
      </w:r>
    </w:p>
  </w:footnote>
  <w:footnote w:id="45">
    <w:p w:rsidR="008E10C3" w:rsidRDefault="008E10C3" w:rsidP="0038720E">
      <w:pPr>
        <w:pStyle w:val="FootnoteText"/>
        <w:jc w:val="left"/>
      </w:pPr>
      <w:r>
        <w:rPr>
          <w:rStyle w:val="FootnoteReference"/>
        </w:rPr>
        <w:footnoteRef/>
      </w:r>
      <w:r>
        <w:t xml:space="preserve"> </w:t>
      </w:r>
      <w:r>
        <w:rPr>
          <w:i/>
        </w:rPr>
        <w:t>See</w:t>
      </w:r>
      <w:r>
        <w:t xml:space="preserve"> </w:t>
      </w:r>
      <w:r>
        <w:rPr>
          <w:i/>
        </w:rPr>
        <w:t>1992 EBS Notice</w:t>
      </w:r>
      <w:r w:rsidR="007A348F" w:rsidRPr="007A348F">
        <w:t xml:space="preserve">, </w:t>
      </w:r>
      <w:r w:rsidR="007A348F">
        <w:t>7 FCC Rcd at 6907, paras. 39</w:t>
      </w:r>
      <w:r w:rsidR="007A348F" w:rsidRPr="005E6B95">
        <w:t>–</w:t>
      </w:r>
      <w:r w:rsidR="007A348F">
        <w:t>40</w:t>
      </w:r>
      <w:r w:rsidR="00F84B8C">
        <w:t>;</w:t>
      </w:r>
      <w:r>
        <w:rPr>
          <w:i/>
        </w:rPr>
        <w:t xml:space="preserve"> 1994 EBS Order</w:t>
      </w:r>
      <w:r w:rsidR="00F84B8C">
        <w:t>,</w:t>
      </w:r>
      <w:r w:rsidR="007A348F">
        <w:rPr>
          <w:i/>
        </w:rPr>
        <w:t xml:space="preserve"> </w:t>
      </w:r>
      <w:r w:rsidR="007A348F">
        <w:t>10 FCC Rcd at</w:t>
      </w:r>
      <w:r w:rsidR="00F84B8C">
        <w:t xml:space="preserve"> </w:t>
      </w:r>
      <w:r w:rsidR="007A348F">
        <w:t>1815, paras. 83</w:t>
      </w:r>
      <w:r w:rsidR="007A348F" w:rsidRPr="005E6B95">
        <w:t>–</w:t>
      </w:r>
      <w:r w:rsidR="007A348F">
        <w:t>84</w:t>
      </w:r>
      <w:r>
        <w:t xml:space="preserve"> (noting that several commenters stressed that any use of the EBS attention signal, other than for tests and activations, could be “an enormous detriment to the system.”  And further stating that “[s]uch false use and misconduct will be considered a false distress communication, and will be subject to Commission penalties, such as monetary forfeiture or other appropriate sanctions”).</w:t>
      </w:r>
    </w:p>
  </w:footnote>
  <w:footnote w:id="46">
    <w:p w:rsidR="008E10C3" w:rsidRPr="0072464B" w:rsidRDefault="008E10C3">
      <w:pPr>
        <w:pStyle w:val="FootnoteText"/>
      </w:pPr>
      <w:r>
        <w:rPr>
          <w:rStyle w:val="FootnoteReference"/>
        </w:rPr>
        <w:footnoteRef/>
      </w:r>
      <w:r>
        <w:t xml:space="preserve"> </w:t>
      </w:r>
      <w:r>
        <w:rPr>
          <w:i/>
        </w:rPr>
        <w:t>See Emmis</w:t>
      </w:r>
      <w:r>
        <w:t xml:space="preserve">, </w:t>
      </w:r>
      <w:r>
        <w:rPr>
          <w:i/>
        </w:rPr>
        <w:t>supra</w:t>
      </w:r>
      <w:r>
        <w:t xml:space="preserve"> n</w:t>
      </w:r>
      <w:r w:rsidR="00B30263">
        <w:t xml:space="preserve">ote </w:t>
      </w:r>
      <w:r w:rsidR="00403A7F">
        <w:t>3</w:t>
      </w:r>
      <w:r w:rsidR="00CC5669">
        <w:t>6</w:t>
      </w:r>
      <w:r>
        <w:t>.</w:t>
      </w:r>
      <w:r w:rsidR="00853A2C">
        <w:t xml:space="preserve"> </w:t>
      </w:r>
    </w:p>
  </w:footnote>
  <w:footnote w:id="47">
    <w:p w:rsidR="00BB14AC" w:rsidRPr="0072464B" w:rsidRDefault="00BB14AC" w:rsidP="00BB14AC">
      <w:pPr>
        <w:pStyle w:val="FootnoteText"/>
        <w:jc w:val="left"/>
      </w:pPr>
      <w:r>
        <w:rPr>
          <w:rStyle w:val="FootnoteReference"/>
        </w:rPr>
        <w:footnoteRef/>
      </w:r>
      <w:r>
        <w:t xml:space="preserve"> </w:t>
      </w:r>
      <w:r>
        <w:rPr>
          <w:i/>
        </w:rPr>
        <w:t xml:space="preserve">See </w:t>
      </w:r>
      <w:r>
        <w:t xml:space="preserve">LOI Response at Appendix D (referring to complaints received by Turner expressing concern that the </w:t>
      </w:r>
      <w:r w:rsidRPr="00AD11C7">
        <w:rPr>
          <w:i/>
        </w:rPr>
        <w:t xml:space="preserve">Conan </w:t>
      </w:r>
      <w:r>
        <w:t>promotion use</w:t>
      </w:r>
      <w:r w:rsidR="00CF5B3A">
        <w:t>s</w:t>
      </w:r>
      <w:r>
        <w:t xml:space="preserve"> the EAS tone, which “should be reserved for emergencies,” and that the </w:t>
      </w:r>
      <w:r w:rsidRPr="00AD11C7">
        <w:rPr>
          <w:i/>
        </w:rPr>
        <w:t>Conan</w:t>
      </w:r>
      <w:r>
        <w:t xml:space="preserve"> promotion include</w:t>
      </w:r>
      <w:r w:rsidR="00CF5B3A">
        <w:t>s</w:t>
      </w:r>
      <w:r>
        <w:t xml:space="preserve"> an “alarm” which makes viewers nervous “because they live in an area that depends on such alarms for safety”). </w:t>
      </w:r>
    </w:p>
  </w:footnote>
  <w:footnote w:id="48">
    <w:p w:rsidR="00BB14AC" w:rsidRDefault="00BB14AC" w:rsidP="00BB14AC">
      <w:pPr>
        <w:pStyle w:val="FootnoteText"/>
      </w:pPr>
      <w:r>
        <w:rPr>
          <w:rStyle w:val="FootnoteReference"/>
        </w:rPr>
        <w:footnoteRef/>
      </w:r>
      <w:r>
        <w:t xml:space="preserve"> </w:t>
      </w:r>
      <w:r>
        <w:rPr>
          <w:i/>
        </w:rPr>
        <w:t>See</w:t>
      </w:r>
      <w:r>
        <w:t xml:space="preserve"> </w:t>
      </w:r>
      <w:r w:rsidR="008F3620">
        <w:t>Complaint</w:t>
      </w:r>
      <w:r>
        <w:t xml:space="preserve"> (stating, in part, “I am very concerned that such usage of the emergency tones undermines the seriousness of those tones when aired on T.V.”).  </w:t>
      </w:r>
    </w:p>
  </w:footnote>
  <w:footnote w:id="49">
    <w:p w:rsidR="008E10C3" w:rsidRPr="00C271E3" w:rsidRDefault="008E10C3" w:rsidP="00C77657">
      <w:pPr>
        <w:pStyle w:val="FootnoteText"/>
        <w:jc w:val="left"/>
      </w:pPr>
      <w:r w:rsidRPr="005E6B95">
        <w:rPr>
          <w:rStyle w:val="FootnoteReference"/>
        </w:rPr>
        <w:footnoteRef/>
      </w:r>
      <w:r w:rsidRPr="005E6B95">
        <w:t xml:space="preserve"> </w:t>
      </w:r>
      <w:r w:rsidRPr="005E6B95">
        <w:rPr>
          <w:i/>
        </w:rPr>
        <w:t>See</w:t>
      </w:r>
      <w:r w:rsidRPr="005E6B95">
        <w:t xml:space="preserve"> </w:t>
      </w:r>
      <w:r w:rsidRPr="005E6B95">
        <w:rPr>
          <w:i/>
        </w:rPr>
        <w:t>Commission’s Forfeiture Policy Statement and Amendment of Section 1.80 of the Rules to Incorporate the</w:t>
      </w:r>
      <w:r w:rsidRPr="004B4583">
        <w:rPr>
          <w:i/>
        </w:rPr>
        <w:t xml:space="preserve"> Forfeiture Guidelines</w:t>
      </w:r>
      <w:r w:rsidRPr="004B4583">
        <w:t xml:space="preserve">, Report and Order, 12 FCC Rcd 17087, 17113 (1997), </w:t>
      </w:r>
      <w:r w:rsidRPr="004B4583">
        <w:rPr>
          <w:i/>
        </w:rPr>
        <w:t>recons. denied</w:t>
      </w:r>
      <w:r>
        <w:t>, 15 FCC Rcd 303 (1999) (</w:t>
      </w:r>
      <w:r>
        <w:rPr>
          <w:i/>
        </w:rPr>
        <w:t>Forfeiture Policy Statement</w:t>
      </w:r>
      <w:r>
        <w:t>).</w:t>
      </w:r>
    </w:p>
  </w:footnote>
  <w:footnote w:id="50">
    <w:p w:rsidR="008E10C3" w:rsidRPr="004B4583" w:rsidRDefault="008E10C3" w:rsidP="00457F13">
      <w:pPr>
        <w:pStyle w:val="FootnoteText"/>
        <w:jc w:val="left"/>
      </w:pPr>
      <w:r w:rsidRPr="004B4583">
        <w:rPr>
          <w:rStyle w:val="FootnoteReference"/>
        </w:rPr>
        <w:footnoteRef/>
      </w:r>
      <w:r w:rsidRPr="004B4583">
        <w:t xml:space="preserve"> </w:t>
      </w:r>
      <w:r w:rsidRPr="004B4583">
        <w:rPr>
          <w:i/>
        </w:rPr>
        <w:t>See</w:t>
      </w:r>
      <w:r w:rsidRPr="004B4583">
        <w:t xml:space="preserve"> 47 U.S.C. § 503(b)(2)(E); 47 C.F.R. § 1.80(b)(4).</w:t>
      </w:r>
    </w:p>
  </w:footnote>
  <w:footnote w:id="51">
    <w:p w:rsidR="008E10C3" w:rsidRPr="00C16531" w:rsidRDefault="008E10C3" w:rsidP="00457F13">
      <w:pPr>
        <w:pStyle w:val="FootnoteText"/>
        <w:jc w:val="left"/>
      </w:pPr>
      <w:r>
        <w:rPr>
          <w:rStyle w:val="FootnoteReference"/>
        </w:rPr>
        <w:footnoteRef/>
      </w:r>
      <w:r>
        <w:t xml:space="preserve"> </w:t>
      </w:r>
      <w:r>
        <w:rPr>
          <w:i/>
        </w:rPr>
        <w:t>See</w:t>
      </w:r>
      <w:r>
        <w:t xml:space="preserve"> </w:t>
      </w:r>
      <w:r w:rsidRPr="00AD11C7">
        <w:rPr>
          <w:i/>
        </w:rPr>
        <w:t>Annual Report</w:t>
      </w:r>
      <w:r>
        <w:t xml:space="preserve"> at 3.</w:t>
      </w:r>
    </w:p>
  </w:footnote>
  <w:footnote w:id="52">
    <w:p w:rsidR="008E10C3" w:rsidRPr="00703073" w:rsidRDefault="008E10C3">
      <w:pPr>
        <w:pStyle w:val="FootnoteText"/>
      </w:pPr>
      <w:r>
        <w:rPr>
          <w:rStyle w:val="FootnoteReference"/>
        </w:rPr>
        <w:footnoteRef/>
      </w:r>
      <w:r>
        <w:t xml:space="preserve"> </w:t>
      </w:r>
      <w:r w:rsidRPr="00C271E3">
        <w:rPr>
          <w:i/>
        </w:rPr>
        <w:t>See</w:t>
      </w:r>
      <w:r w:rsidRPr="00C271E3">
        <w:t xml:space="preserve"> </w:t>
      </w:r>
      <w:r>
        <w:rPr>
          <w:i/>
        </w:rPr>
        <w:t xml:space="preserve">id. </w:t>
      </w:r>
      <w:r w:rsidRPr="00703073">
        <w:t xml:space="preserve">at </w:t>
      </w:r>
      <w:r>
        <w:t>54.</w:t>
      </w:r>
    </w:p>
  </w:footnote>
  <w:footnote w:id="53">
    <w:p w:rsidR="008E10C3" w:rsidRDefault="008E10C3" w:rsidP="00457F13">
      <w:pPr>
        <w:rPr>
          <w:color w:val="000000"/>
        </w:rPr>
      </w:pPr>
      <w:r w:rsidRPr="00C271E3">
        <w:rPr>
          <w:rStyle w:val="FootnoteReference"/>
        </w:rPr>
        <w:footnoteRef/>
      </w:r>
      <w:r w:rsidRPr="00C271E3">
        <w:t xml:space="preserve"> </w:t>
      </w:r>
      <w:r w:rsidRPr="00C271E3">
        <w:rPr>
          <w:color w:val="000000"/>
        </w:rPr>
        <w:t>Specifically, the Commission stated:</w:t>
      </w:r>
    </w:p>
    <w:p w:rsidR="008E10C3" w:rsidRPr="00C271E3" w:rsidRDefault="008E10C3" w:rsidP="00457F13">
      <w:pPr>
        <w:rPr>
          <w:color w:val="000000"/>
        </w:rPr>
      </w:pPr>
    </w:p>
    <w:p w:rsidR="008E10C3" w:rsidRDefault="008E10C3" w:rsidP="00457F13">
      <w:pPr>
        <w:widowControl/>
        <w:autoSpaceDE/>
        <w:autoSpaceDN/>
        <w:adjustRightInd/>
        <w:ind w:left="720" w:right="720"/>
        <w:rPr>
          <w:color w:val="000000"/>
        </w:rPr>
      </w:pPr>
      <w:r w:rsidRPr="00C271E3">
        <w:rPr>
          <w:color w:val="000000"/>
        </w:rPr>
        <w:t>[O]n the other end of the spectrum of potential violators, we recognize that for large or highly profitable communications entities, the base forfeiture amounts</w:t>
      </w:r>
      <w:r w:rsidR="001D6C51">
        <w:rPr>
          <w:color w:val="000000"/>
        </w:rPr>
        <w:t xml:space="preserve"> . . .</w:t>
      </w:r>
      <w:r w:rsidRPr="00C271E3">
        <w:rPr>
          <w:color w:val="000000"/>
        </w:rPr>
        <w:t xml:space="preserve"> are generally low. </w:t>
      </w:r>
      <w:r w:rsidR="00F66C3D">
        <w:rPr>
          <w:color w:val="000000"/>
        </w:rPr>
        <w:t xml:space="preserve"> </w:t>
      </w:r>
      <w:r w:rsidRPr="00C271E3">
        <w:rPr>
          <w:color w:val="000000"/>
        </w:rPr>
        <w:t xml:space="preserve">In this regard, we are mindful that, as Congress has stated, for a forfeiture to be an effective deterrent against these entities, the forfeiture must be issued at a high level. </w:t>
      </w:r>
      <w:r w:rsidR="00F66C3D">
        <w:rPr>
          <w:color w:val="000000"/>
        </w:rPr>
        <w:t xml:space="preserve"> </w:t>
      </w:r>
      <w:r w:rsidRPr="00C271E3">
        <w:rPr>
          <w:color w:val="000000"/>
        </w:rPr>
        <w:t>For this reason, we caution all entities and individuals that, independent from the uniform base forfeiture amounts</w:t>
      </w:r>
      <w:r w:rsidR="001D6C51">
        <w:rPr>
          <w:color w:val="000000"/>
        </w:rPr>
        <w:t xml:space="preserve"> . . .</w:t>
      </w:r>
      <w:r w:rsidRPr="00C271E3">
        <w:rPr>
          <w:color w:val="000000"/>
        </w:rPr>
        <w:t xml:space="preserve"> we intend to take into account the subject violator</w:t>
      </w:r>
      <w:r w:rsidR="00F66C3D">
        <w:rPr>
          <w:color w:val="000000"/>
        </w:rPr>
        <w:t>’</w:t>
      </w:r>
      <w:r w:rsidRPr="00C271E3">
        <w:rPr>
          <w:color w:val="000000"/>
        </w:rPr>
        <w:t xml:space="preserve">s ability to pay in determining the amount of a forfeiture to guarantee that forfeitures issued against large or highly profitable entities are not considered merely an affordable cost of doing business. </w:t>
      </w:r>
      <w:r w:rsidR="00F66C3D">
        <w:rPr>
          <w:color w:val="000000"/>
        </w:rPr>
        <w:t xml:space="preserve"> </w:t>
      </w:r>
      <w:r w:rsidRPr="00C271E3">
        <w:rPr>
          <w:color w:val="000000"/>
        </w:rPr>
        <w:t>Such large or highly profitable entities should expect in this regard that the forfeiture amount set out in a Notice of Apparent Liability against them may in many cases be above, or even well above, the relevant base amount.</w:t>
      </w:r>
    </w:p>
    <w:p w:rsidR="008E10C3" w:rsidRPr="00C271E3" w:rsidRDefault="008E10C3" w:rsidP="00457F13">
      <w:pPr>
        <w:widowControl/>
        <w:autoSpaceDE/>
        <w:autoSpaceDN/>
        <w:adjustRightInd/>
        <w:ind w:left="720" w:right="720"/>
        <w:rPr>
          <w:color w:val="000000"/>
        </w:rPr>
      </w:pPr>
    </w:p>
    <w:p w:rsidR="008E10C3" w:rsidRPr="00C271E3" w:rsidRDefault="00234617" w:rsidP="000357B8">
      <w:pPr>
        <w:pStyle w:val="FootnoteText"/>
        <w:jc w:val="left"/>
      </w:pPr>
      <w:hyperlink r:id="rId1" w:tgtFrame="_top" w:history="1">
        <w:r w:rsidR="008E10C3" w:rsidRPr="00C271E3">
          <w:rPr>
            <w:i/>
            <w:iCs/>
          </w:rPr>
          <w:t>Forfeiture Policy Statement</w:t>
        </w:r>
        <w:r w:rsidR="008E10C3" w:rsidRPr="00C271E3">
          <w:t>, 12 FCC Rcd at 17099</w:t>
        </w:r>
        <w:r w:rsidR="003F4CD6">
          <w:t>–</w:t>
        </w:r>
        <w:r w:rsidR="008E10C3" w:rsidRPr="00C271E3">
          <w:t>100, para. 24</w:t>
        </w:r>
      </w:hyperlink>
      <w:r w:rsidR="008E10C3" w:rsidRPr="00C271E3">
        <w:t>.</w:t>
      </w:r>
    </w:p>
  </w:footnote>
  <w:footnote w:id="54">
    <w:p w:rsidR="008E10C3" w:rsidRPr="009658BE" w:rsidRDefault="008E10C3" w:rsidP="0038720E">
      <w:pPr>
        <w:pStyle w:val="FootnoteText"/>
        <w:jc w:val="left"/>
      </w:pPr>
      <w:r>
        <w:rPr>
          <w:rStyle w:val="FootnoteReference"/>
        </w:rPr>
        <w:footnoteRef/>
      </w:r>
      <w:r>
        <w:t xml:space="preserve"> </w:t>
      </w:r>
      <w:r>
        <w:rPr>
          <w:i/>
          <w:iCs/>
        </w:rPr>
        <w:t>See, e.g.</w:t>
      </w:r>
      <w:r w:rsidR="00EB38D8">
        <w:rPr>
          <w:iCs/>
        </w:rPr>
        <w:t>,</w:t>
      </w:r>
      <w:r w:rsidRPr="00860FE8">
        <w:rPr>
          <w:i/>
          <w:iCs/>
        </w:rPr>
        <w:t xml:space="preserve"> </w:t>
      </w:r>
      <w:hyperlink r:id="rId2" w:tgtFrame="_top" w:history="1">
        <w:r w:rsidR="009658BE">
          <w:rPr>
            <w:i/>
            <w:iCs/>
          </w:rPr>
          <w:t>Seawest Yacht Brokers dba San Juan Marina Friday Harbor</w:t>
        </w:r>
        <w:r w:rsidRPr="00860FE8">
          <w:t>,</w:t>
        </w:r>
        <w:r>
          <w:t xml:space="preserve"> </w:t>
        </w:r>
        <w:r w:rsidR="009658BE">
          <w:t xml:space="preserve">Notice of Forfeiture, 9 FCC Rcd 6099 (1994) (noting that “corrective action taken to come into compliance with Commission rules or policy is expected, and does not nullify or mitigate any prior forfeitures or violations”) </w:t>
        </w:r>
        <w:r w:rsidR="009658BE" w:rsidRPr="009658BE">
          <w:t>citing</w:t>
        </w:r>
      </w:hyperlink>
      <w:r w:rsidR="009658BE">
        <w:t xml:space="preserve"> </w:t>
      </w:r>
      <w:r w:rsidR="009658BE">
        <w:rPr>
          <w:i/>
        </w:rPr>
        <w:t>Station KGVL, Inc.</w:t>
      </w:r>
      <w:r w:rsidR="009658BE">
        <w:t>, Memorandum Opinion and Order, 42 FCC</w:t>
      </w:r>
      <w:r w:rsidR="00D4528A">
        <w:t xml:space="preserve"> </w:t>
      </w:r>
      <w:r w:rsidR="009658BE">
        <w:t>2d 258, 259</w:t>
      </w:r>
      <w:r w:rsidR="00EB38D8">
        <w:t>, para. 6</w:t>
      </w:r>
      <w:r w:rsidR="009658BE">
        <w:t xml:space="preserve"> (1973)</w:t>
      </w:r>
      <w:r w:rsidR="005D06C5">
        <w:t xml:space="preserve"> (</w:t>
      </w:r>
      <w:r w:rsidR="005D06C5">
        <w:rPr>
          <w:i/>
        </w:rPr>
        <w:t>Seawest</w:t>
      </w:r>
      <w:r w:rsidR="005D06C5">
        <w:t>)</w:t>
      </w:r>
      <w:r w:rsidR="009658BE">
        <w:t xml:space="preserve">; </w:t>
      </w:r>
      <w:r w:rsidR="009658BE">
        <w:rPr>
          <w:i/>
        </w:rPr>
        <w:t>Executive Broadcasting Corp.</w:t>
      </w:r>
      <w:r w:rsidR="009658BE">
        <w:t>, 3 FCC</w:t>
      </w:r>
      <w:r w:rsidR="00FB0824">
        <w:t xml:space="preserve"> </w:t>
      </w:r>
      <w:r w:rsidR="009658BE">
        <w:t>2d 699</w:t>
      </w:r>
      <w:r w:rsidR="00EB38D8">
        <w:t>, 699, para. 6</w:t>
      </w:r>
      <w:r w:rsidR="009658BE">
        <w:t xml:space="preserve"> (1966) (“The fact that prompt corrective action was taken . . . does not excuse the prior violations.”).</w:t>
      </w:r>
    </w:p>
  </w:footnote>
  <w:footnote w:id="55">
    <w:p w:rsidR="008E10C3" w:rsidRDefault="008E10C3" w:rsidP="0038720E">
      <w:pPr>
        <w:pStyle w:val="FootnoteText"/>
        <w:jc w:val="left"/>
      </w:pPr>
      <w:r>
        <w:rPr>
          <w:rStyle w:val="FootnoteReference"/>
        </w:rPr>
        <w:footnoteRef/>
      </w:r>
      <w:r>
        <w:t xml:space="preserve"> </w:t>
      </w:r>
      <w:r w:rsidRPr="00860FE8">
        <w:rPr>
          <w:i/>
          <w:iCs/>
        </w:rPr>
        <w:t>See</w:t>
      </w:r>
      <w:r w:rsidRPr="00860FE8">
        <w:t>,</w:t>
      </w:r>
      <w:r w:rsidRPr="00860FE8">
        <w:rPr>
          <w:i/>
          <w:iCs/>
        </w:rPr>
        <w:t xml:space="preserve"> e.g., Guy Gannett Publishing Co.</w:t>
      </w:r>
      <w:r w:rsidRPr="00860FE8">
        <w:t xml:space="preserve">, Memorandum Opinion and Order, </w:t>
      </w:r>
      <w:hyperlink r:id="rId3" w:tgtFrame="_top" w:history="1">
        <w:r w:rsidRPr="00860FE8">
          <w:t>5 FCC Rcd 7688, 7</w:t>
        </w:r>
        <w:r w:rsidR="00EB38D8">
          <w:t>689</w:t>
        </w:r>
        <w:r w:rsidRPr="00860FE8">
          <w:t>, para. 12 (Mass Media Bur. 1990)</w:t>
        </w:r>
      </w:hyperlink>
      <w:r>
        <w:t xml:space="preserve"> (“[T]</w:t>
      </w:r>
      <w:r w:rsidRPr="00860FE8">
        <w:t>he Commission generally considers prompt and effective remedial action by a licensee as mitigative in determining the appropriate sanction level in an enforcement proceeding</w:t>
      </w:r>
      <w:r w:rsidRPr="00860FE8">
        <w:rPr>
          <w:color w:val="000000"/>
        </w:rPr>
        <w:t>.”).</w:t>
      </w:r>
    </w:p>
  </w:footnote>
  <w:footnote w:id="56">
    <w:p w:rsidR="008E10C3" w:rsidRPr="00860FE8" w:rsidRDefault="008E10C3" w:rsidP="0038720E">
      <w:pPr>
        <w:pStyle w:val="FootnoteText"/>
        <w:jc w:val="left"/>
      </w:pPr>
      <w:r>
        <w:rPr>
          <w:rStyle w:val="FootnoteReference"/>
        </w:rPr>
        <w:footnoteRef/>
      </w:r>
      <w:r>
        <w:t xml:space="preserve"> </w:t>
      </w:r>
      <w:r>
        <w:rPr>
          <w:i/>
        </w:rPr>
        <w:t>See</w:t>
      </w:r>
      <w:r>
        <w:t xml:space="preserve"> </w:t>
      </w:r>
      <w:r w:rsidR="005D06C5">
        <w:rPr>
          <w:i/>
        </w:rPr>
        <w:t>Seawest</w:t>
      </w:r>
      <w:r>
        <w:t xml:space="preserve">, </w:t>
      </w:r>
      <w:r>
        <w:rPr>
          <w:i/>
        </w:rPr>
        <w:t xml:space="preserve">supra </w:t>
      </w:r>
      <w:r>
        <w:t>n.</w:t>
      </w:r>
      <w:r w:rsidR="00472FA7">
        <w:t>5</w:t>
      </w:r>
      <w:r w:rsidR="00EB38D8">
        <w:t>3</w:t>
      </w:r>
      <w:r>
        <w:t xml:space="preserve">; </w:t>
      </w:r>
      <w:r>
        <w:rPr>
          <w:i/>
        </w:rPr>
        <w:t xml:space="preserve">see also </w:t>
      </w:r>
      <w:r w:rsidRPr="00860FE8">
        <w:rPr>
          <w:i/>
          <w:iCs/>
        </w:rPr>
        <w:t>SBC Communications Inc. v. FCC</w:t>
      </w:r>
      <w:r w:rsidR="00EB38D8">
        <w:rPr>
          <w:iCs/>
        </w:rPr>
        <w:t>,</w:t>
      </w:r>
      <w:r w:rsidRPr="00860FE8">
        <w:rPr>
          <w:i/>
          <w:iCs/>
        </w:rPr>
        <w:t xml:space="preserve"> </w:t>
      </w:r>
      <w:r w:rsidRPr="00860FE8">
        <w:t>373 F</w:t>
      </w:r>
      <w:r>
        <w:t>.3d 140, 1</w:t>
      </w:r>
      <w:r w:rsidR="00AD11C7">
        <w:t>5</w:t>
      </w:r>
      <w:r w:rsidR="00EB38D8">
        <w:t>2</w:t>
      </w:r>
      <w:r>
        <w:t xml:space="preserve"> (D.C. Cir. 2004) (noting that “substantial and widespread</w:t>
      </w:r>
      <w:r w:rsidR="00EB38D8">
        <w:t>”</w:t>
      </w:r>
      <w:r>
        <w:t xml:space="preserve"> behavior with a national scope may warrant an increased forfeiture, and that it is “reasonable to expect that a larger fine might be necessary to deter a large company</w:t>
      </w:r>
      <w:r w:rsidR="001D6C51">
        <w:t xml:space="preserve"> </w:t>
      </w:r>
      <w:r>
        <w:t>. . .</w:t>
      </w:r>
      <w:r w:rsidR="005E2F0F">
        <w:t xml:space="preserve"> .</w:t>
      </w:r>
      <w:r>
        <w:t xml:space="preserve">”). </w:t>
      </w:r>
    </w:p>
  </w:footnote>
  <w:footnote w:id="57">
    <w:p w:rsidR="008E10C3" w:rsidRPr="004B4583" w:rsidRDefault="008E10C3" w:rsidP="00457F13">
      <w:pPr>
        <w:pStyle w:val="FootnoteText"/>
        <w:jc w:val="left"/>
      </w:pPr>
      <w:r w:rsidRPr="004B4583">
        <w:rPr>
          <w:rStyle w:val="FootnoteReference"/>
        </w:rPr>
        <w:footnoteRef/>
      </w:r>
      <w:r w:rsidRPr="004B4583">
        <w:t xml:space="preserve"> 47 U.S.C. § 503(b).</w:t>
      </w:r>
    </w:p>
  </w:footnote>
  <w:footnote w:id="58">
    <w:p w:rsidR="007B4C97" w:rsidRPr="004B4583" w:rsidRDefault="007B4C97" w:rsidP="007B4C97">
      <w:pPr>
        <w:pStyle w:val="FootnoteText"/>
        <w:jc w:val="left"/>
      </w:pPr>
      <w:r w:rsidRPr="004B4583">
        <w:rPr>
          <w:rStyle w:val="FootnoteReference"/>
        </w:rPr>
        <w:footnoteRef/>
      </w:r>
      <w:r w:rsidRPr="004B4583">
        <w:t xml:space="preserve"> 47 C.F.R. §</w:t>
      </w:r>
      <w:r w:rsidR="00882F2A">
        <w:t xml:space="preserve"> </w:t>
      </w:r>
      <w:r w:rsidRPr="004B4583">
        <w:t>1.80.</w:t>
      </w:r>
    </w:p>
  </w:footnote>
  <w:footnote w:id="59">
    <w:p w:rsidR="007B4C97" w:rsidRDefault="007B4C97" w:rsidP="007B4C97">
      <w:pPr>
        <w:pStyle w:val="FootnoteText"/>
      </w:pPr>
      <w:r>
        <w:rPr>
          <w:rStyle w:val="FootnoteReference"/>
        </w:rPr>
        <w:footnoteRef/>
      </w:r>
      <w:r>
        <w:t xml:space="preserve"> </w:t>
      </w:r>
      <w:r w:rsidRPr="004B4583">
        <w:t xml:space="preserve">47 </w:t>
      </w:r>
      <w:r w:rsidRPr="00496977">
        <w:t xml:space="preserve">C.F.R. §§ </w:t>
      </w:r>
      <w:r w:rsidRPr="004B67C5">
        <w:t>0.111, 0.204, and 0.311</w:t>
      </w:r>
      <w:r w:rsidRPr="00496977">
        <w:t>.</w:t>
      </w:r>
    </w:p>
  </w:footnote>
  <w:footnote w:id="60">
    <w:p w:rsidR="008E10C3" w:rsidRPr="004B4583" w:rsidRDefault="008E10C3" w:rsidP="00457F13">
      <w:pPr>
        <w:pStyle w:val="FootnoteText"/>
        <w:jc w:val="left"/>
      </w:pPr>
      <w:r w:rsidRPr="004B4583">
        <w:rPr>
          <w:rStyle w:val="FootnoteReference"/>
        </w:rPr>
        <w:footnoteRef/>
      </w:r>
      <w:r w:rsidRPr="004B4583">
        <w:t xml:space="preserve"> 47 C.F.R. §</w:t>
      </w:r>
      <w:r>
        <w:t xml:space="preserve"> 11.45</w:t>
      </w:r>
      <w:r w:rsidRPr="004B4583">
        <w:t>.</w:t>
      </w:r>
    </w:p>
  </w:footnote>
  <w:footnote w:id="61">
    <w:p w:rsidR="008E10C3" w:rsidRDefault="008E10C3" w:rsidP="000357B8">
      <w:pPr>
        <w:pStyle w:val="FootnoteText"/>
        <w:jc w:val="left"/>
      </w:pPr>
      <w:r>
        <w:rPr>
          <w:rStyle w:val="FootnoteReference"/>
        </w:rPr>
        <w:footnoteRef/>
      </w:r>
      <w:r>
        <w:t xml:space="preserve"> 47 U.S.C. § 325(a).</w:t>
      </w:r>
    </w:p>
  </w:footnote>
  <w:footnote w:id="62">
    <w:p w:rsidR="008E10C3" w:rsidRPr="004B4583" w:rsidRDefault="008E10C3" w:rsidP="00457F13">
      <w:pPr>
        <w:pStyle w:val="FootnoteText"/>
        <w:jc w:val="left"/>
      </w:pPr>
      <w:r w:rsidRPr="004B4583">
        <w:rPr>
          <w:rStyle w:val="FootnoteReference"/>
        </w:rPr>
        <w:footnoteRef/>
      </w:r>
      <w:r w:rsidRPr="004B4583">
        <w:t xml:space="preserve"> 47 C.F.R. §</w:t>
      </w:r>
      <w:r w:rsidR="00251625">
        <w:t xml:space="preserve"> </w:t>
      </w:r>
      <w:r w:rsidRPr="004B4583">
        <w:t>1.80.</w:t>
      </w:r>
    </w:p>
  </w:footnote>
  <w:footnote w:id="63">
    <w:p w:rsidR="008E10C3" w:rsidRPr="004B4583" w:rsidRDefault="008E10C3" w:rsidP="00457F13">
      <w:pPr>
        <w:pStyle w:val="FootnoteText"/>
        <w:jc w:val="left"/>
        <w:rPr>
          <w:color w:val="000000"/>
        </w:rPr>
      </w:pPr>
      <w:r w:rsidRPr="004B4583">
        <w:rPr>
          <w:rStyle w:val="FootnoteReference"/>
          <w:color w:val="000000"/>
        </w:rPr>
        <w:footnoteRef/>
      </w:r>
      <w:r w:rsidRPr="004B4583">
        <w:rPr>
          <w:color w:val="000000"/>
        </w:rPr>
        <w:t xml:space="preserve"> </w:t>
      </w:r>
      <w:r w:rsidRPr="004B4583">
        <w:rPr>
          <w:rFonts w:eastAsia="MS Mincho" w:cs="Arial"/>
          <w:color w:val="000000"/>
        </w:rPr>
        <w:t>An FCC Form 159 and detailed instructions for completing the form may be obtained at http://www.fcc.gov/Forms/Form159/159.pdf.</w:t>
      </w:r>
    </w:p>
  </w:footnote>
  <w:footnote w:id="64">
    <w:p w:rsidR="008E10C3" w:rsidRPr="004B4583" w:rsidRDefault="008E10C3" w:rsidP="000357B8">
      <w:pPr>
        <w:pStyle w:val="FootnoteText"/>
        <w:jc w:val="left"/>
        <w:rPr>
          <w:color w:val="000000"/>
        </w:rPr>
      </w:pPr>
      <w:r w:rsidRPr="004B4583">
        <w:rPr>
          <w:rStyle w:val="FootnoteReference"/>
          <w:color w:val="000000"/>
        </w:rPr>
        <w:footnoteRef/>
      </w:r>
      <w:r w:rsidRPr="004B4583">
        <w:rPr>
          <w:color w:val="000000"/>
        </w:rPr>
        <w:t xml:space="preserve"> </w:t>
      </w:r>
      <w:r w:rsidRPr="004B4583">
        <w:rPr>
          <w:i/>
          <w:color w:val="000000"/>
        </w:rPr>
        <w:t>See</w:t>
      </w:r>
      <w:r w:rsidRPr="004B4583">
        <w:rPr>
          <w:color w:val="000000"/>
        </w:rPr>
        <w:t xml:space="preserve"> 47 C.F.R. § 1.1914.</w:t>
      </w:r>
    </w:p>
  </w:footnote>
  <w:footnote w:id="65">
    <w:p w:rsidR="008E10C3" w:rsidRPr="004B4583" w:rsidRDefault="008E10C3" w:rsidP="00457F13">
      <w:pPr>
        <w:pStyle w:val="FootnoteText"/>
        <w:jc w:val="left"/>
      </w:pPr>
      <w:r w:rsidRPr="004B4583">
        <w:rPr>
          <w:rStyle w:val="FootnoteReference"/>
        </w:rPr>
        <w:footnoteRef/>
      </w:r>
      <w:r w:rsidRPr="004B4583">
        <w:t xml:space="preserve"> For purposes of the forfeiture proceeding initiated by this </w:t>
      </w:r>
      <w:r w:rsidRPr="00AD11C7">
        <w:t>NAL</w:t>
      </w:r>
      <w:r w:rsidR="00550DA8">
        <w:t xml:space="preserve">, </w:t>
      </w:r>
      <w:r>
        <w:t>Turner Broadcasting System, Inc. shall be the only party</w:t>
      </w:r>
      <w:r w:rsidRPr="004B4583">
        <w:t xml:space="preserve"> to this proceeding.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A9A" w:rsidRDefault="00AD6A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C3" w:rsidRPr="00331410" w:rsidRDefault="00027C83" w:rsidP="000E59DC">
    <w:pPr>
      <w:pStyle w:val="Header"/>
      <w:tabs>
        <w:tab w:val="clear" w:pos="4320"/>
        <w:tab w:val="clear" w:pos="8640"/>
        <w:tab w:val="center" w:pos="4680"/>
        <w:tab w:val="right" w:pos="9540"/>
      </w:tabs>
      <w:rPr>
        <w:b/>
        <w:sz w:val="22"/>
        <w:szCs w:val="22"/>
      </w:rPr>
    </w:pPr>
    <w:r>
      <w:rPr>
        <w:b/>
      </w:rPr>
      <w:tab/>
      <w:t xml:space="preserve">                                                           </w:t>
    </w:r>
    <w:r w:rsidR="008E10C3" w:rsidRPr="00331410">
      <w:rPr>
        <w:b/>
        <w:sz w:val="22"/>
        <w:szCs w:val="22"/>
      </w:rPr>
      <w:t>Federal Communications Commission</w:t>
    </w:r>
    <w:r w:rsidR="008E10C3">
      <w:rPr>
        <w:b/>
        <w:sz w:val="22"/>
        <w:szCs w:val="22"/>
      </w:rPr>
      <w:t xml:space="preserve">                              </w:t>
    </w:r>
    <w:r>
      <w:rPr>
        <w:b/>
        <w:sz w:val="22"/>
        <w:szCs w:val="22"/>
      </w:rPr>
      <w:t>DA 13-2125</w:t>
    </w:r>
  </w:p>
  <w:p w:rsidR="008E10C3" w:rsidRDefault="00E06B55">
    <w:pPr>
      <w:pStyle w:val="Header"/>
      <w:tabs>
        <w:tab w:val="clear" w:pos="8640"/>
        <w:tab w:val="right" w:pos="9360"/>
      </w:tabs>
    </w:pPr>
    <w:r>
      <w:rPr>
        <w:noProof/>
      </w:rPr>
      <mc:AlternateContent>
        <mc:Choice Requires="wps">
          <w:drawing>
            <wp:anchor distT="4294967295" distB="4294967295" distL="114300" distR="114300" simplePos="0" relativeHeight="251658240" behindDoc="0" locked="0" layoutInCell="0" allowOverlap="1" wp14:anchorId="1C5B40EE" wp14:editId="73D6B6A9">
              <wp:simplePos x="0" y="0"/>
              <wp:positionH relativeFrom="column">
                <wp:posOffset>0</wp:posOffset>
              </wp:positionH>
              <wp:positionV relativeFrom="paragraph">
                <wp:posOffset>22224</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8E10C3" w:rsidRDefault="008E10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C3" w:rsidRPr="00331410" w:rsidRDefault="008E10C3" w:rsidP="000E59DC">
    <w:pPr>
      <w:pStyle w:val="Header"/>
      <w:tabs>
        <w:tab w:val="clear" w:pos="4320"/>
        <w:tab w:val="clear" w:pos="8640"/>
        <w:tab w:val="center" w:pos="4680"/>
        <w:tab w:val="right" w:pos="9360"/>
      </w:tabs>
      <w:rPr>
        <w:b/>
        <w:sz w:val="22"/>
        <w:szCs w:val="22"/>
      </w:rPr>
    </w:pPr>
    <w:r>
      <w:rPr>
        <w:b/>
        <w:sz w:val="22"/>
        <w:szCs w:val="22"/>
      </w:rPr>
      <w:t xml:space="preserve">                                                  </w:t>
    </w:r>
    <w:r w:rsidRPr="00331410">
      <w:rPr>
        <w:b/>
        <w:sz w:val="22"/>
        <w:szCs w:val="22"/>
      </w:rPr>
      <w:t>Federal Communications Commission</w:t>
    </w:r>
    <w:r>
      <w:rPr>
        <w:b/>
        <w:sz w:val="22"/>
        <w:szCs w:val="22"/>
      </w:rPr>
      <w:t xml:space="preserve">                               </w:t>
    </w:r>
    <w:r w:rsidR="00027C83">
      <w:rPr>
        <w:b/>
        <w:sz w:val="22"/>
        <w:szCs w:val="22"/>
      </w:rPr>
      <w:t xml:space="preserve">   DA 13-2125</w:t>
    </w:r>
  </w:p>
  <w:p w:rsidR="008E10C3" w:rsidRPr="00021463" w:rsidRDefault="00E06B55" w:rsidP="000E59DC">
    <w:pPr>
      <w:pStyle w:val="Header"/>
      <w:tabs>
        <w:tab w:val="clear" w:pos="8640"/>
        <w:tab w:val="right" w:pos="9360"/>
      </w:tabs>
      <w:jc w:val="center"/>
      <w:rPr>
        <w:sz w:val="22"/>
        <w:szCs w:val="22"/>
      </w:rPr>
    </w:pPr>
    <w:r>
      <w:rPr>
        <w:noProof/>
      </w:rPr>
      <mc:AlternateContent>
        <mc:Choice Requires="wps">
          <w:drawing>
            <wp:anchor distT="4294967295" distB="4294967295" distL="114300" distR="114300" simplePos="0" relativeHeight="251657216" behindDoc="0" locked="0" layoutInCell="0" allowOverlap="1" wp14:anchorId="26DF1DC3" wp14:editId="58859AB4">
              <wp:simplePos x="0" y="0"/>
              <wp:positionH relativeFrom="column">
                <wp:posOffset>0</wp:posOffset>
              </wp:positionH>
              <wp:positionV relativeFrom="paragraph">
                <wp:posOffset>22224</wp:posOffset>
              </wp:positionV>
              <wp:extent cx="59436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0C9F4F93"/>
    <w:multiLevelType w:val="multilevel"/>
    <w:tmpl w:val="12361964"/>
    <w:lvl w:ilvl="0">
      <w:start w:val="1"/>
      <w:numFmt w:val="decimal"/>
      <w:lvlText w:val="%1."/>
      <w:lvlJc w:val="left"/>
      <w:pPr>
        <w:tabs>
          <w:tab w:val="num" w:pos="1260"/>
        </w:tabs>
        <w:ind w:left="180" w:firstLine="720"/>
      </w:pPr>
      <w:rPr>
        <w:rFonts w:ascii="Times New Roman" w:hAnsi="Times New Roman" w:hint="default"/>
        <w:b w:val="0"/>
        <w:i w:val="0"/>
        <w:sz w:val="22"/>
        <w:szCs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14A76E5A"/>
    <w:multiLevelType w:val="hybridMultilevel"/>
    <w:tmpl w:val="7E52B4F2"/>
    <w:lvl w:ilvl="0" w:tplc="37B6CB6E">
      <w:start w:val="10"/>
      <w:numFmt w:val="decimal"/>
      <w:lvlText w:val="%1."/>
      <w:lvlJc w:val="left"/>
      <w:pPr>
        <w:tabs>
          <w:tab w:val="num" w:pos="1440"/>
        </w:tabs>
        <w:ind w:left="1440" w:hanging="72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1B083F86"/>
    <w:multiLevelType w:val="hybridMultilevel"/>
    <w:tmpl w:val="5A40C1AE"/>
    <w:lvl w:ilvl="0" w:tplc="D95633DE">
      <w:start w:val="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A1E0235"/>
    <w:multiLevelType w:val="hybridMultilevel"/>
    <w:tmpl w:val="288E1AE6"/>
    <w:lvl w:ilvl="0" w:tplc="7EFAD522">
      <w:start w:val="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2">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3">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4">
    <w:nsid w:val="381073ED"/>
    <w:multiLevelType w:val="hybridMultilevel"/>
    <w:tmpl w:val="343C3AB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7">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8">
    <w:nsid w:val="432817C4"/>
    <w:multiLevelType w:val="multilevel"/>
    <w:tmpl w:val="010C6432"/>
    <w:lvl w:ilvl="0">
      <w:start w:val="1"/>
      <w:numFmt w:val="decimal"/>
      <w:lvlText w:val="%1."/>
      <w:lvlJc w:val="left"/>
      <w:pPr>
        <w:tabs>
          <w:tab w:val="num" w:pos="1260"/>
        </w:tabs>
        <w:ind w:left="180" w:firstLine="720"/>
      </w:pPr>
      <w:rPr>
        <w:rFonts w:ascii="Times New Roman" w:hAnsi="Times New Roman" w:hint="default"/>
        <w:b w:val="0"/>
        <w:i w:val="0"/>
        <w:sz w:val="22"/>
        <w:szCs w:val="22"/>
      </w:rPr>
    </w:lvl>
    <w:lvl w:ilvl="1">
      <w:start w:val="8"/>
      <w:numFmt w:val="decimal"/>
      <w:lvlText w:val="%2"/>
      <w:lvlJc w:val="left"/>
      <w:pPr>
        <w:tabs>
          <w:tab w:val="num" w:pos="1800"/>
        </w:tabs>
        <w:ind w:left="1800" w:hanging="360"/>
      </w:pPr>
      <w:rPr>
        <w:rFonts w:hint="default"/>
        <w:b/>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1">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2">
    <w:nsid w:val="541F6B38"/>
    <w:multiLevelType w:val="multilevel"/>
    <w:tmpl w:val="34EA4870"/>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sz w:val="22"/>
        <w:szCs w:val="22"/>
      </w:r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3">
    <w:nsid w:val="54DC4AB8"/>
    <w:multiLevelType w:val="hybridMultilevel"/>
    <w:tmpl w:val="FC062CDE"/>
    <w:lvl w:ilvl="0" w:tplc="F008E6EE">
      <w:start w:val="1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5">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6">
    <w:nsid w:val="5A677CBC"/>
    <w:multiLevelType w:val="hybridMultilevel"/>
    <w:tmpl w:val="4AE49E34"/>
    <w:lvl w:ilvl="0" w:tplc="0409000F">
      <w:start w:val="1"/>
      <w:numFmt w:val="decimal"/>
      <w:pStyle w:val="StyleParaNumLeftChar"/>
      <w:lvlText w:val="%1."/>
      <w:lvlJc w:val="left"/>
      <w:pPr>
        <w:tabs>
          <w:tab w:val="num" w:pos="1170"/>
        </w:tabs>
        <w:ind w:left="117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B5C0EE3"/>
    <w:multiLevelType w:val="singleLevel"/>
    <w:tmpl w:val="B9D6BA98"/>
    <w:lvl w:ilvl="0">
      <w:start w:val="1"/>
      <w:numFmt w:val="decimal"/>
      <w:lvlText w:val="%1."/>
      <w:lvlJc w:val="left"/>
      <w:pPr>
        <w:tabs>
          <w:tab w:val="num" w:pos="1440"/>
        </w:tabs>
        <w:ind w:left="1440" w:hanging="720"/>
      </w:pPr>
      <w:rPr>
        <w:rFonts w:hint="default"/>
      </w:rPr>
    </w:lvl>
  </w:abstractNum>
  <w:abstractNum w:abstractNumId="2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9">
    <w:nsid w:val="5DE5590C"/>
    <w:multiLevelType w:val="hybridMultilevel"/>
    <w:tmpl w:val="36A2551C"/>
    <w:lvl w:ilvl="0" w:tplc="7F568876">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E2752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1182925"/>
    <w:multiLevelType w:val="singleLevel"/>
    <w:tmpl w:val="70B442FA"/>
    <w:lvl w:ilvl="0">
      <w:start w:val="1"/>
      <w:numFmt w:val="decimal"/>
      <w:lvlText w:val="%1."/>
      <w:lvlJc w:val="left"/>
      <w:pPr>
        <w:tabs>
          <w:tab w:val="num" w:pos="990"/>
        </w:tabs>
        <w:ind w:left="-9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abstractNum>
  <w:abstractNum w:abstractNumId="32">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3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32"/>
  </w:num>
  <w:num w:numId="2">
    <w:abstractNumId w:val="33"/>
  </w:num>
  <w:num w:numId="3">
    <w:abstractNumId w:val="6"/>
  </w:num>
  <w:num w:numId="4">
    <w:abstractNumId w:val="22"/>
  </w:num>
  <w:num w:numId="5">
    <w:abstractNumId w:val="8"/>
  </w:num>
  <w:num w:numId="6">
    <w:abstractNumId w:val="28"/>
  </w:num>
  <w:num w:numId="7">
    <w:abstractNumId w:val="19"/>
  </w:num>
  <w:num w:numId="8">
    <w:abstractNumId w:val="9"/>
  </w:num>
  <w:num w:numId="9">
    <w:abstractNumId w:val="25"/>
  </w:num>
  <w:num w:numId="10">
    <w:abstractNumId w:val="15"/>
  </w:num>
  <w:num w:numId="11">
    <w:abstractNumId w:val="13"/>
  </w:num>
  <w:num w:numId="12">
    <w:abstractNumId w:val="10"/>
  </w:num>
  <w:num w:numId="13">
    <w:abstractNumId w:val="16"/>
  </w:num>
  <w:num w:numId="14">
    <w:abstractNumId w:val="24"/>
  </w:num>
  <w:num w:numId="15">
    <w:abstractNumId w:val="3"/>
  </w:num>
  <w:num w:numId="16">
    <w:abstractNumId w:val="5"/>
  </w:num>
  <w:num w:numId="17">
    <w:abstractNumId w:val="11"/>
  </w:num>
  <w:num w:numId="18">
    <w:abstractNumId w:val="0"/>
  </w:num>
  <w:num w:numId="19">
    <w:abstractNumId w:val="12"/>
  </w:num>
  <w:num w:numId="20">
    <w:abstractNumId w:val="20"/>
  </w:num>
  <w:num w:numId="21">
    <w:abstractNumId w:val="21"/>
  </w:num>
  <w:num w:numId="22">
    <w:abstractNumId w:val="18"/>
  </w:num>
  <w:num w:numId="23">
    <w:abstractNumId w:val="14"/>
  </w:num>
  <w:num w:numId="24">
    <w:abstractNumId w:val="26"/>
  </w:num>
  <w:num w:numId="25">
    <w:abstractNumId w:val="27"/>
  </w:num>
  <w:num w:numId="26">
    <w:abstractNumId w:val="29"/>
  </w:num>
  <w:num w:numId="27">
    <w:abstractNumId w:val="2"/>
  </w:num>
  <w:num w:numId="28">
    <w:abstractNumId w:val="7"/>
  </w:num>
  <w:num w:numId="29">
    <w:abstractNumId w:val="23"/>
  </w:num>
  <w:num w:numId="30">
    <w:abstractNumId w:val="30"/>
  </w:num>
  <w:num w:numId="31">
    <w:abstractNumId w:val="1"/>
  </w:num>
  <w:num w:numId="32">
    <w:abstractNumId w:val="4"/>
  </w:num>
  <w:num w:numId="33">
    <w:abstractNumId w:val="3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874"/>
    <w:rsid w:val="000039EB"/>
    <w:rsid w:val="000117FF"/>
    <w:rsid w:val="00014562"/>
    <w:rsid w:val="00015EDB"/>
    <w:rsid w:val="00025490"/>
    <w:rsid w:val="00027C83"/>
    <w:rsid w:val="000357B8"/>
    <w:rsid w:val="00037169"/>
    <w:rsid w:val="00053443"/>
    <w:rsid w:val="00054075"/>
    <w:rsid w:val="00055A39"/>
    <w:rsid w:val="00060965"/>
    <w:rsid w:val="000658F2"/>
    <w:rsid w:val="000708E6"/>
    <w:rsid w:val="00074190"/>
    <w:rsid w:val="00083271"/>
    <w:rsid w:val="00085005"/>
    <w:rsid w:val="00096094"/>
    <w:rsid w:val="000A6764"/>
    <w:rsid w:val="000A7EAB"/>
    <w:rsid w:val="000C40E9"/>
    <w:rsid w:val="000E30E6"/>
    <w:rsid w:val="000E59DC"/>
    <w:rsid w:val="000F0E32"/>
    <w:rsid w:val="000F78FE"/>
    <w:rsid w:val="00101185"/>
    <w:rsid w:val="00101AF7"/>
    <w:rsid w:val="00101F75"/>
    <w:rsid w:val="0011166B"/>
    <w:rsid w:val="00120573"/>
    <w:rsid w:val="00124569"/>
    <w:rsid w:val="001319F8"/>
    <w:rsid w:val="00131EB2"/>
    <w:rsid w:val="00132BC3"/>
    <w:rsid w:val="00136814"/>
    <w:rsid w:val="00141939"/>
    <w:rsid w:val="00146021"/>
    <w:rsid w:val="00147D72"/>
    <w:rsid w:val="001542D3"/>
    <w:rsid w:val="00154BD5"/>
    <w:rsid w:val="001646B8"/>
    <w:rsid w:val="00177F14"/>
    <w:rsid w:val="001B1BBD"/>
    <w:rsid w:val="001B588A"/>
    <w:rsid w:val="001D6C51"/>
    <w:rsid w:val="001E3AFF"/>
    <w:rsid w:val="001F1A1E"/>
    <w:rsid w:val="001F1D96"/>
    <w:rsid w:val="001F2E12"/>
    <w:rsid w:val="00206B10"/>
    <w:rsid w:val="00210873"/>
    <w:rsid w:val="0021328F"/>
    <w:rsid w:val="00217264"/>
    <w:rsid w:val="00221939"/>
    <w:rsid w:val="00227352"/>
    <w:rsid w:val="00230E46"/>
    <w:rsid w:val="00234617"/>
    <w:rsid w:val="00244923"/>
    <w:rsid w:val="00251625"/>
    <w:rsid w:val="002528F0"/>
    <w:rsid w:val="002625C9"/>
    <w:rsid w:val="00263F59"/>
    <w:rsid w:val="00267D98"/>
    <w:rsid w:val="00270A0F"/>
    <w:rsid w:val="00272158"/>
    <w:rsid w:val="002761EC"/>
    <w:rsid w:val="002766EF"/>
    <w:rsid w:val="00290610"/>
    <w:rsid w:val="0029247A"/>
    <w:rsid w:val="00295D3E"/>
    <w:rsid w:val="002B08D4"/>
    <w:rsid w:val="002B6DD5"/>
    <w:rsid w:val="002E00BB"/>
    <w:rsid w:val="002E157E"/>
    <w:rsid w:val="002F08C2"/>
    <w:rsid w:val="002F0B4A"/>
    <w:rsid w:val="003047EA"/>
    <w:rsid w:val="00306DE3"/>
    <w:rsid w:val="0031168D"/>
    <w:rsid w:val="00314175"/>
    <w:rsid w:val="00314587"/>
    <w:rsid w:val="00314673"/>
    <w:rsid w:val="003206D5"/>
    <w:rsid w:val="00330BEF"/>
    <w:rsid w:val="00335786"/>
    <w:rsid w:val="0034261D"/>
    <w:rsid w:val="003434F8"/>
    <w:rsid w:val="00344822"/>
    <w:rsid w:val="00351788"/>
    <w:rsid w:val="00367F2A"/>
    <w:rsid w:val="003715FD"/>
    <w:rsid w:val="00377259"/>
    <w:rsid w:val="00380678"/>
    <w:rsid w:val="0038720E"/>
    <w:rsid w:val="0039005E"/>
    <w:rsid w:val="00390EF5"/>
    <w:rsid w:val="0039657C"/>
    <w:rsid w:val="003A12D8"/>
    <w:rsid w:val="003A3937"/>
    <w:rsid w:val="003B1AB9"/>
    <w:rsid w:val="003C487B"/>
    <w:rsid w:val="003D1FDB"/>
    <w:rsid w:val="003D3D54"/>
    <w:rsid w:val="003D47AD"/>
    <w:rsid w:val="003D4874"/>
    <w:rsid w:val="003F1B4B"/>
    <w:rsid w:val="003F43DA"/>
    <w:rsid w:val="003F4CD6"/>
    <w:rsid w:val="00401706"/>
    <w:rsid w:val="004031DC"/>
    <w:rsid w:val="00403A7F"/>
    <w:rsid w:val="00411BF5"/>
    <w:rsid w:val="00415D6E"/>
    <w:rsid w:val="00415FA6"/>
    <w:rsid w:val="00427864"/>
    <w:rsid w:val="004318E0"/>
    <w:rsid w:val="0044732D"/>
    <w:rsid w:val="00450486"/>
    <w:rsid w:val="004540B5"/>
    <w:rsid w:val="004545B4"/>
    <w:rsid w:val="00456A7E"/>
    <w:rsid w:val="00457F13"/>
    <w:rsid w:val="00463AE7"/>
    <w:rsid w:val="004658CB"/>
    <w:rsid w:val="00466ABF"/>
    <w:rsid w:val="00472FA7"/>
    <w:rsid w:val="004845DE"/>
    <w:rsid w:val="00485047"/>
    <w:rsid w:val="0049014B"/>
    <w:rsid w:val="004A2805"/>
    <w:rsid w:val="004B4583"/>
    <w:rsid w:val="004C39C0"/>
    <w:rsid w:val="004C4514"/>
    <w:rsid w:val="004C7B8C"/>
    <w:rsid w:val="004D0A73"/>
    <w:rsid w:val="004D1D82"/>
    <w:rsid w:val="004D6B78"/>
    <w:rsid w:val="004F0608"/>
    <w:rsid w:val="004F23B4"/>
    <w:rsid w:val="00504715"/>
    <w:rsid w:val="005063B4"/>
    <w:rsid w:val="00511581"/>
    <w:rsid w:val="005117FB"/>
    <w:rsid w:val="00513A9A"/>
    <w:rsid w:val="00517AD9"/>
    <w:rsid w:val="00520262"/>
    <w:rsid w:val="00521478"/>
    <w:rsid w:val="00536D79"/>
    <w:rsid w:val="00541DAE"/>
    <w:rsid w:val="0054323E"/>
    <w:rsid w:val="00544F64"/>
    <w:rsid w:val="00550DA8"/>
    <w:rsid w:val="00554132"/>
    <w:rsid w:val="0057199D"/>
    <w:rsid w:val="00573515"/>
    <w:rsid w:val="0058414C"/>
    <w:rsid w:val="00584C76"/>
    <w:rsid w:val="005854DF"/>
    <w:rsid w:val="00587AE5"/>
    <w:rsid w:val="005A2146"/>
    <w:rsid w:val="005B24B0"/>
    <w:rsid w:val="005B2FE1"/>
    <w:rsid w:val="005C4DFD"/>
    <w:rsid w:val="005C6B21"/>
    <w:rsid w:val="005C7398"/>
    <w:rsid w:val="005D06C5"/>
    <w:rsid w:val="005E2F0F"/>
    <w:rsid w:val="005E6B95"/>
    <w:rsid w:val="005F4C71"/>
    <w:rsid w:val="005F5083"/>
    <w:rsid w:val="005F6ADD"/>
    <w:rsid w:val="005F700B"/>
    <w:rsid w:val="00606375"/>
    <w:rsid w:val="00606876"/>
    <w:rsid w:val="00606D29"/>
    <w:rsid w:val="00607739"/>
    <w:rsid w:val="00611C09"/>
    <w:rsid w:val="00627117"/>
    <w:rsid w:val="00631DCC"/>
    <w:rsid w:val="006372A1"/>
    <w:rsid w:val="006504B2"/>
    <w:rsid w:val="006531C2"/>
    <w:rsid w:val="006604DF"/>
    <w:rsid w:val="00663A31"/>
    <w:rsid w:val="00665F57"/>
    <w:rsid w:val="006673F0"/>
    <w:rsid w:val="00690D99"/>
    <w:rsid w:val="0069468C"/>
    <w:rsid w:val="00697160"/>
    <w:rsid w:val="006A448A"/>
    <w:rsid w:val="006A75B2"/>
    <w:rsid w:val="006B31FF"/>
    <w:rsid w:val="006B6786"/>
    <w:rsid w:val="006D5073"/>
    <w:rsid w:val="006E1421"/>
    <w:rsid w:val="006E1D3F"/>
    <w:rsid w:val="006E3BAE"/>
    <w:rsid w:val="006E453C"/>
    <w:rsid w:val="006E4CEC"/>
    <w:rsid w:val="006E73DA"/>
    <w:rsid w:val="006E7A18"/>
    <w:rsid w:val="00701725"/>
    <w:rsid w:val="00702ED7"/>
    <w:rsid w:val="00703073"/>
    <w:rsid w:val="00704F3E"/>
    <w:rsid w:val="00706633"/>
    <w:rsid w:val="00715A6A"/>
    <w:rsid w:val="0072464B"/>
    <w:rsid w:val="00726DEE"/>
    <w:rsid w:val="00730E36"/>
    <w:rsid w:val="007328A7"/>
    <w:rsid w:val="00733F2C"/>
    <w:rsid w:val="007372B1"/>
    <w:rsid w:val="0073768E"/>
    <w:rsid w:val="00741C03"/>
    <w:rsid w:val="00747F77"/>
    <w:rsid w:val="007529A9"/>
    <w:rsid w:val="007867BD"/>
    <w:rsid w:val="00793EA5"/>
    <w:rsid w:val="00796AFB"/>
    <w:rsid w:val="007A348F"/>
    <w:rsid w:val="007A5C8B"/>
    <w:rsid w:val="007A7429"/>
    <w:rsid w:val="007B4C97"/>
    <w:rsid w:val="007B59A9"/>
    <w:rsid w:val="007D4441"/>
    <w:rsid w:val="007D5241"/>
    <w:rsid w:val="007D6547"/>
    <w:rsid w:val="007E08D2"/>
    <w:rsid w:val="007E0F5B"/>
    <w:rsid w:val="007F0F49"/>
    <w:rsid w:val="007F5041"/>
    <w:rsid w:val="007F6F18"/>
    <w:rsid w:val="00807892"/>
    <w:rsid w:val="0083334B"/>
    <w:rsid w:val="00842292"/>
    <w:rsid w:val="00842412"/>
    <w:rsid w:val="00853A2C"/>
    <w:rsid w:val="00854E0E"/>
    <w:rsid w:val="00860FE8"/>
    <w:rsid w:val="00862A96"/>
    <w:rsid w:val="00863C1A"/>
    <w:rsid w:val="00863E8D"/>
    <w:rsid w:val="00863F0D"/>
    <w:rsid w:val="00870BB5"/>
    <w:rsid w:val="00881AE1"/>
    <w:rsid w:val="00882F2A"/>
    <w:rsid w:val="00895FE4"/>
    <w:rsid w:val="008A281C"/>
    <w:rsid w:val="008B4FB7"/>
    <w:rsid w:val="008B5978"/>
    <w:rsid w:val="008D0C4B"/>
    <w:rsid w:val="008D528F"/>
    <w:rsid w:val="008E024E"/>
    <w:rsid w:val="008E10C3"/>
    <w:rsid w:val="008E2A34"/>
    <w:rsid w:val="008E3ABD"/>
    <w:rsid w:val="008F2A32"/>
    <w:rsid w:val="008F3620"/>
    <w:rsid w:val="008F64F7"/>
    <w:rsid w:val="00913638"/>
    <w:rsid w:val="00917CA4"/>
    <w:rsid w:val="00922836"/>
    <w:rsid w:val="00926D9A"/>
    <w:rsid w:val="00931492"/>
    <w:rsid w:val="00933692"/>
    <w:rsid w:val="009339A8"/>
    <w:rsid w:val="00936D73"/>
    <w:rsid w:val="0094057E"/>
    <w:rsid w:val="00944D07"/>
    <w:rsid w:val="00945F88"/>
    <w:rsid w:val="0094639E"/>
    <w:rsid w:val="00955028"/>
    <w:rsid w:val="00957F8B"/>
    <w:rsid w:val="009658BE"/>
    <w:rsid w:val="00977D81"/>
    <w:rsid w:val="009818B6"/>
    <w:rsid w:val="00997C85"/>
    <w:rsid w:val="00997CD2"/>
    <w:rsid w:val="009A4DE2"/>
    <w:rsid w:val="009B445B"/>
    <w:rsid w:val="009E4CB5"/>
    <w:rsid w:val="00A045B3"/>
    <w:rsid w:val="00A05594"/>
    <w:rsid w:val="00A0711C"/>
    <w:rsid w:val="00A10DCB"/>
    <w:rsid w:val="00A12657"/>
    <w:rsid w:val="00A12DCA"/>
    <w:rsid w:val="00A31EFA"/>
    <w:rsid w:val="00A36999"/>
    <w:rsid w:val="00A62494"/>
    <w:rsid w:val="00A72195"/>
    <w:rsid w:val="00A721F2"/>
    <w:rsid w:val="00A74350"/>
    <w:rsid w:val="00A74754"/>
    <w:rsid w:val="00A76248"/>
    <w:rsid w:val="00A85C02"/>
    <w:rsid w:val="00A90753"/>
    <w:rsid w:val="00A941BF"/>
    <w:rsid w:val="00AA4139"/>
    <w:rsid w:val="00AA7CFF"/>
    <w:rsid w:val="00AD11C7"/>
    <w:rsid w:val="00AD4ED0"/>
    <w:rsid w:val="00AD6A9A"/>
    <w:rsid w:val="00AE7EEA"/>
    <w:rsid w:val="00AF198F"/>
    <w:rsid w:val="00AF3CD2"/>
    <w:rsid w:val="00AF41ED"/>
    <w:rsid w:val="00AF490F"/>
    <w:rsid w:val="00B20886"/>
    <w:rsid w:val="00B30263"/>
    <w:rsid w:val="00B31C0D"/>
    <w:rsid w:val="00B35898"/>
    <w:rsid w:val="00B35E04"/>
    <w:rsid w:val="00B40B4D"/>
    <w:rsid w:val="00B41C61"/>
    <w:rsid w:val="00B5571B"/>
    <w:rsid w:val="00B56F8B"/>
    <w:rsid w:val="00B62069"/>
    <w:rsid w:val="00B75B8E"/>
    <w:rsid w:val="00B97123"/>
    <w:rsid w:val="00BA2A03"/>
    <w:rsid w:val="00BA7EC4"/>
    <w:rsid w:val="00BB0F30"/>
    <w:rsid w:val="00BB14AC"/>
    <w:rsid w:val="00BB1BCB"/>
    <w:rsid w:val="00BB249A"/>
    <w:rsid w:val="00BB55FD"/>
    <w:rsid w:val="00BD01A2"/>
    <w:rsid w:val="00BD17CF"/>
    <w:rsid w:val="00BD53B3"/>
    <w:rsid w:val="00BE0EDF"/>
    <w:rsid w:val="00BE12D2"/>
    <w:rsid w:val="00BE5758"/>
    <w:rsid w:val="00BE6456"/>
    <w:rsid w:val="00BF40CB"/>
    <w:rsid w:val="00BF7817"/>
    <w:rsid w:val="00BF78D3"/>
    <w:rsid w:val="00C00FCC"/>
    <w:rsid w:val="00C0400E"/>
    <w:rsid w:val="00C10DD4"/>
    <w:rsid w:val="00C16531"/>
    <w:rsid w:val="00C2222B"/>
    <w:rsid w:val="00C271E3"/>
    <w:rsid w:val="00C311E3"/>
    <w:rsid w:val="00C3289E"/>
    <w:rsid w:val="00C34507"/>
    <w:rsid w:val="00C36AC8"/>
    <w:rsid w:val="00C45259"/>
    <w:rsid w:val="00C56CA9"/>
    <w:rsid w:val="00C60E76"/>
    <w:rsid w:val="00C76A45"/>
    <w:rsid w:val="00C76A49"/>
    <w:rsid w:val="00C77657"/>
    <w:rsid w:val="00C84BAA"/>
    <w:rsid w:val="00C9524D"/>
    <w:rsid w:val="00C96929"/>
    <w:rsid w:val="00C97BDD"/>
    <w:rsid w:val="00CA4548"/>
    <w:rsid w:val="00CA7BE1"/>
    <w:rsid w:val="00CB6122"/>
    <w:rsid w:val="00CB7446"/>
    <w:rsid w:val="00CB7AFD"/>
    <w:rsid w:val="00CC3527"/>
    <w:rsid w:val="00CC5669"/>
    <w:rsid w:val="00CD1D68"/>
    <w:rsid w:val="00CD340A"/>
    <w:rsid w:val="00CD6ED4"/>
    <w:rsid w:val="00CF37A0"/>
    <w:rsid w:val="00CF5B3A"/>
    <w:rsid w:val="00D07F3B"/>
    <w:rsid w:val="00D161E8"/>
    <w:rsid w:val="00D25776"/>
    <w:rsid w:val="00D30D0A"/>
    <w:rsid w:val="00D42640"/>
    <w:rsid w:val="00D4528A"/>
    <w:rsid w:val="00D52AB2"/>
    <w:rsid w:val="00D52D7E"/>
    <w:rsid w:val="00D70086"/>
    <w:rsid w:val="00D74D3F"/>
    <w:rsid w:val="00D755DF"/>
    <w:rsid w:val="00D82676"/>
    <w:rsid w:val="00D95E71"/>
    <w:rsid w:val="00D96895"/>
    <w:rsid w:val="00DA0138"/>
    <w:rsid w:val="00DA3DAD"/>
    <w:rsid w:val="00DA4A73"/>
    <w:rsid w:val="00DD0A08"/>
    <w:rsid w:val="00DD0B1D"/>
    <w:rsid w:val="00DD10B3"/>
    <w:rsid w:val="00DD1FD2"/>
    <w:rsid w:val="00DF1671"/>
    <w:rsid w:val="00DF41A3"/>
    <w:rsid w:val="00DF46AC"/>
    <w:rsid w:val="00DF4BA9"/>
    <w:rsid w:val="00E01AC1"/>
    <w:rsid w:val="00E066F7"/>
    <w:rsid w:val="00E06B55"/>
    <w:rsid w:val="00E333FC"/>
    <w:rsid w:val="00E3436F"/>
    <w:rsid w:val="00E42289"/>
    <w:rsid w:val="00E52DB9"/>
    <w:rsid w:val="00E567FF"/>
    <w:rsid w:val="00E60306"/>
    <w:rsid w:val="00E83675"/>
    <w:rsid w:val="00E8534B"/>
    <w:rsid w:val="00E86F92"/>
    <w:rsid w:val="00E97FDD"/>
    <w:rsid w:val="00EA08D2"/>
    <w:rsid w:val="00EA16BB"/>
    <w:rsid w:val="00EA482F"/>
    <w:rsid w:val="00EB38D8"/>
    <w:rsid w:val="00EB6B82"/>
    <w:rsid w:val="00EC1C53"/>
    <w:rsid w:val="00EC2A3A"/>
    <w:rsid w:val="00EC41DE"/>
    <w:rsid w:val="00EC7981"/>
    <w:rsid w:val="00EE38D0"/>
    <w:rsid w:val="00EF0822"/>
    <w:rsid w:val="00EF3C54"/>
    <w:rsid w:val="00EF4940"/>
    <w:rsid w:val="00F214A3"/>
    <w:rsid w:val="00F23057"/>
    <w:rsid w:val="00F26937"/>
    <w:rsid w:val="00F31354"/>
    <w:rsid w:val="00F41B49"/>
    <w:rsid w:val="00F430D5"/>
    <w:rsid w:val="00F45B4B"/>
    <w:rsid w:val="00F54D08"/>
    <w:rsid w:val="00F563A3"/>
    <w:rsid w:val="00F57206"/>
    <w:rsid w:val="00F579C8"/>
    <w:rsid w:val="00F64824"/>
    <w:rsid w:val="00F66C3D"/>
    <w:rsid w:val="00F673B3"/>
    <w:rsid w:val="00F808A7"/>
    <w:rsid w:val="00F82C40"/>
    <w:rsid w:val="00F84B8C"/>
    <w:rsid w:val="00F97F74"/>
    <w:rsid w:val="00FB0824"/>
    <w:rsid w:val="00FD2F8C"/>
    <w:rsid w:val="00FD68A8"/>
    <w:rsid w:val="00FD7EE7"/>
    <w:rsid w:val="00FE4981"/>
    <w:rsid w:val="00FF2288"/>
    <w:rsid w:val="00FF32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5F26"/>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clear" w:pos="1080"/>
        <w:tab w:val="left" w:pos="1440"/>
      </w:tabs>
      <w:spacing w:after="220"/>
      <w:jc w:val="both"/>
    </w:pPr>
  </w:style>
  <w:style w:type="paragraph" w:styleId="FootnoteText">
    <w:name w:val="footnote text"/>
    <w:aliases w:val="Footnote Text Char,Footnote Text Char2 Char1,Footnote Text Char1 Char Char2,Footnote Text Char Char Char Char2,Footnote Text Char2 Char Char1 Char Char1,Footnote Text Char1 Char Char Char Char Char,Footnote Text Char2,rrfootnote,fn,ft,f"/>
    <w:basedOn w:val="Normal"/>
    <w:link w:val="FootnoteTextChar1"/>
    <w:semiHidden/>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Footnote Reference1"/>
    <w:uiPriority w:val="99"/>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documentbody1">
    <w:name w:val="documentbody1"/>
    <w:rsid w:val="00293A24"/>
    <w:rPr>
      <w:rFonts w:ascii="Verdana" w:hAnsi="Verdana" w:hint="default"/>
      <w:sz w:val="19"/>
      <w:szCs w:val="19"/>
      <w:shd w:val="clear" w:color="auto" w:fill="FFFFFF"/>
    </w:rPr>
  </w:style>
  <w:style w:type="paragraph" w:styleId="BalloonText">
    <w:name w:val="Balloon Text"/>
    <w:basedOn w:val="Normal"/>
    <w:semiHidden/>
    <w:rsid w:val="00061FF8"/>
    <w:rPr>
      <w:rFonts w:ascii="Tahoma" w:hAnsi="Tahoma" w:cs="Tahoma"/>
      <w:sz w:val="16"/>
      <w:szCs w:val="16"/>
    </w:rPr>
  </w:style>
  <w:style w:type="paragraph" w:styleId="HTMLPreformatted">
    <w:name w:val="HTML Preformatted"/>
    <w:basedOn w:val="Normal"/>
    <w:rsid w:val="004462B2"/>
    <w:rPr>
      <w:rFonts w:ascii="Courier New" w:hAnsi="Courier New" w:cs="Courier New"/>
    </w:rPr>
  </w:style>
  <w:style w:type="character" w:styleId="Hyperlink">
    <w:name w:val="Hyperlink"/>
    <w:rsid w:val="00E73E6D"/>
    <w:rPr>
      <w:color w:val="0000FF"/>
      <w:u w:val="single"/>
    </w:rPr>
  </w:style>
  <w:style w:type="character" w:styleId="FollowedHyperlink">
    <w:name w:val="FollowedHyperlink"/>
    <w:rsid w:val="00E73E6D"/>
    <w:rPr>
      <w:color w:val="800080"/>
      <w:u w:val="single"/>
    </w:rPr>
  </w:style>
  <w:style w:type="character" w:customStyle="1" w:styleId="FootnoteTextChar1">
    <w:name w:val="Footnote Text Char1"/>
    <w:aliases w:val="Footnote Text Char Char,Footnote Text Char2 Char1 Char,Footnote Text Char1 Char Char2 Char,Footnote Text Char Char Char Char2 Char,Footnote Text Char2 Char Char1 Char Char1 Char,Footnote Text Char1 Char Char Char Char Char Char"/>
    <w:link w:val="FootnoteText"/>
    <w:rsid w:val="006A6B01"/>
    <w:rPr>
      <w:lang w:val="en-US" w:eastAsia="en-US" w:bidi="ar-SA"/>
    </w:rPr>
  </w:style>
  <w:style w:type="paragraph" w:customStyle="1" w:styleId="StyleParaNumLeftChar">
    <w:name w:val="Style ParaNum + Left Char"/>
    <w:basedOn w:val="Normal"/>
    <w:rsid w:val="006A6B01"/>
    <w:pPr>
      <w:widowControl/>
      <w:numPr>
        <w:numId w:val="24"/>
      </w:numPr>
      <w:tabs>
        <w:tab w:val="left" w:pos="0"/>
      </w:tabs>
      <w:autoSpaceDE/>
      <w:autoSpaceDN/>
      <w:adjustRightInd/>
      <w:spacing w:after="220"/>
    </w:pPr>
    <w:rPr>
      <w:bCs/>
      <w:iCs/>
      <w:spacing w:val="-2"/>
      <w:sz w:val="22"/>
      <w:szCs w:val="22"/>
    </w:rPr>
  </w:style>
  <w:style w:type="paragraph" w:customStyle="1" w:styleId="InsideAddressName">
    <w:name w:val="Inside Address Name"/>
    <w:basedOn w:val="Normal"/>
    <w:rsid w:val="0091039D"/>
    <w:pPr>
      <w:widowControl/>
      <w:autoSpaceDE/>
      <w:autoSpaceDN/>
      <w:adjustRightInd/>
    </w:pPr>
    <w:rPr>
      <w:rFonts w:eastAsia="MS Mincho"/>
      <w:sz w:val="24"/>
    </w:rPr>
  </w:style>
  <w:style w:type="character" w:customStyle="1" w:styleId="searchterm1">
    <w:name w:val="searchterm1"/>
    <w:rsid w:val="001E638D"/>
    <w:rPr>
      <w:b/>
      <w:bCs/>
      <w:shd w:val="clear" w:color="auto" w:fill="FFFF00"/>
    </w:rPr>
  </w:style>
  <w:style w:type="character" w:styleId="Strong">
    <w:name w:val="Strong"/>
    <w:qFormat/>
    <w:rsid w:val="007E04C6"/>
    <w:rPr>
      <w:b/>
      <w:bCs/>
    </w:rPr>
  </w:style>
  <w:style w:type="character" w:customStyle="1" w:styleId="ParaNumChar">
    <w:name w:val="ParaNum Char"/>
    <w:link w:val="ParaNum"/>
    <w:rsid w:val="00447AAC"/>
  </w:style>
  <w:style w:type="character" w:styleId="CommentReference">
    <w:name w:val="annotation reference"/>
    <w:rsid w:val="001941A7"/>
    <w:rPr>
      <w:sz w:val="16"/>
      <w:szCs w:val="16"/>
    </w:rPr>
  </w:style>
  <w:style w:type="paragraph" w:styleId="CommentText">
    <w:name w:val="annotation text"/>
    <w:basedOn w:val="Normal"/>
    <w:link w:val="CommentTextChar"/>
    <w:rsid w:val="001941A7"/>
  </w:style>
  <w:style w:type="character" w:customStyle="1" w:styleId="CommentTextChar">
    <w:name w:val="Comment Text Char"/>
    <w:basedOn w:val="DefaultParagraphFont"/>
    <w:link w:val="CommentText"/>
    <w:rsid w:val="001941A7"/>
  </w:style>
  <w:style w:type="paragraph" w:styleId="CommentSubject">
    <w:name w:val="annotation subject"/>
    <w:basedOn w:val="CommentText"/>
    <w:next w:val="CommentText"/>
    <w:link w:val="CommentSubjectChar"/>
    <w:rsid w:val="001941A7"/>
    <w:rPr>
      <w:b/>
      <w:bCs/>
    </w:rPr>
  </w:style>
  <w:style w:type="character" w:customStyle="1" w:styleId="CommentSubjectChar">
    <w:name w:val="Comment Subject Char"/>
    <w:link w:val="CommentSubject"/>
    <w:rsid w:val="001941A7"/>
    <w:rPr>
      <w:b/>
      <w:bCs/>
    </w:rPr>
  </w:style>
  <w:style w:type="paragraph" w:styleId="ListParagraph">
    <w:name w:val="List Paragraph"/>
    <w:basedOn w:val="Normal"/>
    <w:uiPriority w:val="34"/>
    <w:qFormat/>
    <w:rsid w:val="00AF198F"/>
    <w:pPr>
      <w:ind w:left="720"/>
    </w:pPr>
  </w:style>
  <w:style w:type="paragraph" w:styleId="Revision">
    <w:name w:val="Revision"/>
    <w:hidden/>
    <w:uiPriority w:val="99"/>
    <w:semiHidden/>
    <w:rsid w:val="00BE5758"/>
  </w:style>
  <w:style w:type="character" w:customStyle="1" w:styleId="FootnoteTextChar1Char">
    <w:name w:val="Footnote Text Char1 Char"/>
    <w:aliases w:val="Footnote Text Char Char Char,Footnote Text Char1 Char Char Char,Footnote Text Char Char Char Char Char,Footnote Text Char Char Char Char Char Char Char,f Char"/>
    <w:semiHidden/>
    <w:locked/>
    <w:rsid w:val="005E6B95"/>
    <w:rPr>
      <w:rFonts w:ascii="Courier New" w:hAnsi="Courier New" w:cs="Times New Roman"/>
      <w:snapToGrid w:val="0"/>
      <w:sz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5F26"/>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clear" w:pos="1080"/>
        <w:tab w:val="left" w:pos="1440"/>
      </w:tabs>
      <w:spacing w:after="220"/>
      <w:jc w:val="both"/>
    </w:pPr>
  </w:style>
  <w:style w:type="paragraph" w:styleId="FootnoteText">
    <w:name w:val="footnote text"/>
    <w:aliases w:val="Footnote Text Char,Footnote Text Char2 Char1,Footnote Text Char1 Char Char2,Footnote Text Char Char Char Char2,Footnote Text Char2 Char Char1 Char Char1,Footnote Text Char1 Char Char Char Char Char,Footnote Text Char2,rrfootnote,fn,ft,f"/>
    <w:basedOn w:val="Normal"/>
    <w:link w:val="FootnoteTextChar1"/>
    <w:semiHidden/>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Footnote Reference1"/>
    <w:uiPriority w:val="99"/>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documentbody1">
    <w:name w:val="documentbody1"/>
    <w:rsid w:val="00293A24"/>
    <w:rPr>
      <w:rFonts w:ascii="Verdana" w:hAnsi="Verdana" w:hint="default"/>
      <w:sz w:val="19"/>
      <w:szCs w:val="19"/>
      <w:shd w:val="clear" w:color="auto" w:fill="FFFFFF"/>
    </w:rPr>
  </w:style>
  <w:style w:type="paragraph" w:styleId="BalloonText">
    <w:name w:val="Balloon Text"/>
    <w:basedOn w:val="Normal"/>
    <w:semiHidden/>
    <w:rsid w:val="00061FF8"/>
    <w:rPr>
      <w:rFonts w:ascii="Tahoma" w:hAnsi="Tahoma" w:cs="Tahoma"/>
      <w:sz w:val="16"/>
      <w:szCs w:val="16"/>
    </w:rPr>
  </w:style>
  <w:style w:type="paragraph" w:styleId="HTMLPreformatted">
    <w:name w:val="HTML Preformatted"/>
    <w:basedOn w:val="Normal"/>
    <w:rsid w:val="004462B2"/>
    <w:rPr>
      <w:rFonts w:ascii="Courier New" w:hAnsi="Courier New" w:cs="Courier New"/>
    </w:rPr>
  </w:style>
  <w:style w:type="character" w:styleId="Hyperlink">
    <w:name w:val="Hyperlink"/>
    <w:rsid w:val="00E73E6D"/>
    <w:rPr>
      <w:color w:val="0000FF"/>
      <w:u w:val="single"/>
    </w:rPr>
  </w:style>
  <w:style w:type="character" w:styleId="FollowedHyperlink">
    <w:name w:val="FollowedHyperlink"/>
    <w:rsid w:val="00E73E6D"/>
    <w:rPr>
      <w:color w:val="800080"/>
      <w:u w:val="single"/>
    </w:rPr>
  </w:style>
  <w:style w:type="character" w:customStyle="1" w:styleId="FootnoteTextChar1">
    <w:name w:val="Footnote Text Char1"/>
    <w:aliases w:val="Footnote Text Char Char,Footnote Text Char2 Char1 Char,Footnote Text Char1 Char Char2 Char,Footnote Text Char Char Char Char2 Char,Footnote Text Char2 Char Char1 Char Char1 Char,Footnote Text Char1 Char Char Char Char Char Char"/>
    <w:link w:val="FootnoteText"/>
    <w:rsid w:val="006A6B01"/>
    <w:rPr>
      <w:lang w:val="en-US" w:eastAsia="en-US" w:bidi="ar-SA"/>
    </w:rPr>
  </w:style>
  <w:style w:type="paragraph" w:customStyle="1" w:styleId="StyleParaNumLeftChar">
    <w:name w:val="Style ParaNum + Left Char"/>
    <w:basedOn w:val="Normal"/>
    <w:rsid w:val="006A6B01"/>
    <w:pPr>
      <w:widowControl/>
      <w:numPr>
        <w:numId w:val="24"/>
      </w:numPr>
      <w:tabs>
        <w:tab w:val="left" w:pos="0"/>
      </w:tabs>
      <w:autoSpaceDE/>
      <w:autoSpaceDN/>
      <w:adjustRightInd/>
      <w:spacing w:after="220"/>
    </w:pPr>
    <w:rPr>
      <w:bCs/>
      <w:iCs/>
      <w:spacing w:val="-2"/>
      <w:sz w:val="22"/>
      <w:szCs w:val="22"/>
    </w:rPr>
  </w:style>
  <w:style w:type="paragraph" w:customStyle="1" w:styleId="InsideAddressName">
    <w:name w:val="Inside Address Name"/>
    <w:basedOn w:val="Normal"/>
    <w:rsid w:val="0091039D"/>
    <w:pPr>
      <w:widowControl/>
      <w:autoSpaceDE/>
      <w:autoSpaceDN/>
      <w:adjustRightInd/>
    </w:pPr>
    <w:rPr>
      <w:rFonts w:eastAsia="MS Mincho"/>
      <w:sz w:val="24"/>
    </w:rPr>
  </w:style>
  <w:style w:type="character" w:customStyle="1" w:styleId="searchterm1">
    <w:name w:val="searchterm1"/>
    <w:rsid w:val="001E638D"/>
    <w:rPr>
      <w:b/>
      <w:bCs/>
      <w:shd w:val="clear" w:color="auto" w:fill="FFFF00"/>
    </w:rPr>
  </w:style>
  <w:style w:type="character" w:styleId="Strong">
    <w:name w:val="Strong"/>
    <w:qFormat/>
    <w:rsid w:val="007E04C6"/>
    <w:rPr>
      <w:b/>
      <w:bCs/>
    </w:rPr>
  </w:style>
  <w:style w:type="character" w:customStyle="1" w:styleId="ParaNumChar">
    <w:name w:val="ParaNum Char"/>
    <w:link w:val="ParaNum"/>
    <w:rsid w:val="00447AAC"/>
  </w:style>
  <w:style w:type="character" w:styleId="CommentReference">
    <w:name w:val="annotation reference"/>
    <w:rsid w:val="001941A7"/>
    <w:rPr>
      <w:sz w:val="16"/>
      <w:szCs w:val="16"/>
    </w:rPr>
  </w:style>
  <w:style w:type="paragraph" w:styleId="CommentText">
    <w:name w:val="annotation text"/>
    <w:basedOn w:val="Normal"/>
    <w:link w:val="CommentTextChar"/>
    <w:rsid w:val="001941A7"/>
  </w:style>
  <w:style w:type="character" w:customStyle="1" w:styleId="CommentTextChar">
    <w:name w:val="Comment Text Char"/>
    <w:basedOn w:val="DefaultParagraphFont"/>
    <w:link w:val="CommentText"/>
    <w:rsid w:val="001941A7"/>
  </w:style>
  <w:style w:type="paragraph" w:styleId="CommentSubject">
    <w:name w:val="annotation subject"/>
    <w:basedOn w:val="CommentText"/>
    <w:next w:val="CommentText"/>
    <w:link w:val="CommentSubjectChar"/>
    <w:rsid w:val="001941A7"/>
    <w:rPr>
      <w:b/>
      <w:bCs/>
    </w:rPr>
  </w:style>
  <w:style w:type="character" w:customStyle="1" w:styleId="CommentSubjectChar">
    <w:name w:val="Comment Subject Char"/>
    <w:link w:val="CommentSubject"/>
    <w:rsid w:val="001941A7"/>
    <w:rPr>
      <w:b/>
      <w:bCs/>
    </w:rPr>
  </w:style>
  <w:style w:type="paragraph" w:styleId="ListParagraph">
    <w:name w:val="List Paragraph"/>
    <w:basedOn w:val="Normal"/>
    <w:uiPriority w:val="34"/>
    <w:qFormat/>
    <w:rsid w:val="00AF198F"/>
    <w:pPr>
      <w:ind w:left="720"/>
    </w:pPr>
  </w:style>
  <w:style w:type="paragraph" w:styleId="Revision">
    <w:name w:val="Revision"/>
    <w:hidden/>
    <w:uiPriority w:val="99"/>
    <w:semiHidden/>
    <w:rsid w:val="00BE5758"/>
  </w:style>
  <w:style w:type="character" w:customStyle="1" w:styleId="FootnoteTextChar1Char">
    <w:name w:val="Footnote Text Char1 Char"/>
    <w:aliases w:val="Footnote Text Char Char Char,Footnote Text Char1 Char Char Char,Footnote Text Char Char Char Char Char,Footnote Text Char Char Char Char Char Char Char,f Char"/>
    <w:semiHidden/>
    <w:locked/>
    <w:rsid w:val="005E6B95"/>
    <w:rPr>
      <w:rFonts w:ascii="Courier New" w:hAnsi="Courier New" w:cs="Times New Roman"/>
      <w:snapToGrid w:val="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69069">
      <w:bodyDiv w:val="1"/>
      <w:marLeft w:val="0"/>
      <w:marRight w:val="0"/>
      <w:marTop w:val="0"/>
      <w:marBottom w:val="0"/>
      <w:divBdr>
        <w:top w:val="none" w:sz="0" w:space="0" w:color="auto"/>
        <w:left w:val="none" w:sz="0" w:space="0" w:color="auto"/>
        <w:bottom w:val="none" w:sz="0" w:space="0" w:color="auto"/>
        <w:right w:val="none" w:sz="0" w:space="0" w:color="auto"/>
      </w:divBdr>
    </w:div>
    <w:div w:id="158935825">
      <w:bodyDiv w:val="1"/>
      <w:marLeft w:val="0"/>
      <w:marRight w:val="0"/>
      <w:marTop w:val="0"/>
      <w:marBottom w:val="0"/>
      <w:divBdr>
        <w:top w:val="none" w:sz="0" w:space="0" w:color="auto"/>
        <w:left w:val="none" w:sz="0" w:space="0" w:color="auto"/>
        <w:bottom w:val="none" w:sz="0" w:space="0" w:color="auto"/>
        <w:right w:val="none" w:sz="0" w:space="0" w:color="auto"/>
      </w:divBdr>
    </w:div>
    <w:div w:id="186331233">
      <w:bodyDiv w:val="1"/>
      <w:marLeft w:val="30"/>
      <w:marRight w:val="30"/>
      <w:marTop w:val="30"/>
      <w:marBottom w:val="30"/>
      <w:divBdr>
        <w:top w:val="none" w:sz="0" w:space="0" w:color="auto"/>
        <w:left w:val="none" w:sz="0" w:space="0" w:color="auto"/>
        <w:bottom w:val="none" w:sz="0" w:space="0" w:color="auto"/>
        <w:right w:val="none" w:sz="0" w:space="0" w:color="auto"/>
      </w:divBdr>
      <w:divsChild>
        <w:div w:id="1122655709">
          <w:marLeft w:val="0"/>
          <w:marRight w:val="0"/>
          <w:marTop w:val="0"/>
          <w:marBottom w:val="0"/>
          <w:divBdr>
            <w:top w:val="none" w:sz="0" w:space="0" w:color="auto"/>
            <w:left w:val="none" w:sz="0" w:space="0" w:color="auto"/>
            <w:bottom w:val="none" w:sz="0" w:space="0" w:color="auto"/>
            <w:right w:val="none" w:sz="0" w:space="0" w:color="auto"/>
          </w:divBdr>
          <w:divsChild>
            <w:div w:id="1727682297">
              <w:marLeft w:val="45"/>
              <w:marRight w:val="45"/>
              <w:marTop w:val="45"/>
              <w:marBottom w:val="45"/>
              <w:divBdr>
                <w:top w:val="none" w:sz="0" w:space="0" w:color="auto"/>
                <w:left w:val="none" w:sz="0" w:space="0" w:color="auto"/>
                <w:bottom w:val="none" w:sz="0" w:space="0" w:color="auto"/>
                <w:right w:val="none" w:sz="0" w:space="0" w:color="auto"/>
              </w:divBdr>
              <w:divsChild>
                <w:div w:id="268321793">
                  <w:marLeft w:val="0"/>
                  <w:marRight w:val="0"/>
                  <w:marTop w:val="0"/>
                  <w:marBottom w:val="0"/>
                  <w:divBdr>
                    <w:top w:val="none" w:sz="0" w:space="0" w:color="auto"/>
                    <w:left w:val="none" w:sz="0" w:space="0" w:color="auto"/>
                    <w:bottom w:val="none" w:sz="0" w:space="0" w:color="auto"/>
                    <w:right w:val="none" w:sz="0" w:space="0" w:color="auto"/>
                  </w:divBdr>
                  <w:divsChild>
                    <w:div w:id="80990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605727">
      <w:bodyDiv w:val="1"/>
      <w:marLeft w:val="0"/>
      <w:marRight w:val="0"/>
      <w:marTop w:val="0"/>
      <w:marBottom w:val="0"/>
      <w:divBdr>
        <w:top w:val="none" w:sz="0" w:space="0" w:color="auto"/>
        <w:left w:val="none" w:sz="0" w:space="0" w:color="auto"/>
        <w:bottom w:val="none" w:sz="0" w:space="0" w:color="auto"/>
        <w:right w:val="none" w:sz="0" w:space="0" w:color="auto"/>
      </w:divBdr>
    </w:div>
    <w:div w:id="678895230">
      <w:bodyDiv w:val="1"/>
      <w:marLeft w:val="0"/>
      <w:marRight w:val="0"/>
      <w:marTop w:val="0"/>
      <w:marBottom w:val="0"/>
      <w:divBdr>
        <w:top w:val="none" w:sz="0" w:space="0" w:color="auto"/>
        <w:left w:val="none" w:sz="0" w:space="0" w:color="auto"/>
        <w:bottom w:val="none" w:sz="0" w:space="0" w:color="auto"/>
        <w:right w:val="none" w:sz="0" w:space="0" w:color="auto"/>
      </w:divBdr>
    </w:div>
    <w:div w:id="1229729662">
      <w:bodyDiv w:val="1"/>
      <w:marLeft w:val="0"/>
      <w:marRight w:val="0"/>
      <w:marTop w:val="0"/>
      <w:marBottom w:val="0"/>
      <w:divBdr>
        <w:top w:val="none" w:sz="0" w:space="0" w:color="auto"/>
        <w:left w:val="none" w:sz="0" w:space="0" w:color="auto"/>
        <w:bottom w:val="none" w:sz="0" w:space="0" w:color="auto"/>
        <w:right w:val="none" w:sz="0" w:space="0" w:color="auto"/>
      </w:divBdr>
      <w:divsChild>
        <w:div w:id="1134054904">
          <w:marLeft w:val="0"/>
          <w:marRight w:val="0"/>
          <w:marTop w:val="0"/>
          <w:marBottom w:val="0"/>
          <w:divBdr>
            <w:top w:val="none" w:sz="0" w:space="0" w:color="auto"/>
            <w:left w:val="none" w:sz="0" w:space="0" w:color="auto"/>
            <w:bottom w:val="none" w:sz="0" w:space="0" w:color="auto"/>
            <w:right w:val="none" w:sz="0" w:space="0" w:color="auto"/>
          </w:divBdr>
        </w:div>
        <w:div w:id="1259481261">
          <w:marLeft w:val="0"/>
          <w:marRight w:val="0"/>
          <w:marTop w:val="0"/>
          <w:marBottom w:val="0"/>
          <w:divBdr>
            <w:top w:val="none" w:sz="0" w:space="0" w:color="auto"/>
            <w:left w:val="none" w:sz="0" w:space="0" w:color="auto"/>
            <w:bottom w:val="none" w:sz="0" w:space="0" w:color="auto"/>
            <w:right w:val="none" w:sz="0" w:space="0" w:color="auto"/>
          </w:divBdr>
        </w:div>
        <w:div w:id="1434087530">
          <w:marLeft w:val="0"/>
          <w:marRight w:val="0"/>
          <w:marTop w:val="0"/>
          <w:marBottom w:val="0"/>
          <w:divBdr>
            <w:top w:val="none" w:sz="0" w:space="0" w:color="auto"/>
            <w:left w:val="none" w:sz="0" w:space="0" w:color="auto"/>
            <w:bottom w:val="none" w:sz="0" w:space="0" w:color="auto"/>
            <w:right w:val="none" w:sz="0" w:space="0" w:color="auto"/>
          </w:divBdr>
        </w:div>
        <w:div w:id="1628587815">
          <w:marLeft w:val="0"/>
          <w:marRight w:val="0"/>
          <w:marTop w:val="0"/>
          <w:marBottom w:val="0"/>
          <w:divBdr>
            <w:top w:val="none" w:sz="0" w:space="0" w:color="auto"/>
            <w:left w:val="none" w:sz="0" w:space="0" w:color="auto"/>
            <w:bottom w:val="none" w:sz="0" w:space="0" w:color="auto"/>
            <w:right w:val="none" w:sz="0" w:space="0" w:color="auto"/>
          </w:divBdr>
        </w:div>
        <w:div w:id="2031756483">
          <w:marLeft w:val="0"/>
          <w:marRight w:val="0"/>
          <w:marTop w:val="0"/>
          <w:marBottom w:val="0"/>
          <w:divBdr>
            <w:top w:val="none" w:sz="0" w:space="0" w:color="auto"/>
            <w:left w:val="none" w:sz="0" w:space="0" w:color="auto"/>
            <w:bottom w:val="none" w:sz="0" w:space="0" w:color="auto"/>
            <w:right w:val="none" w:sz="0" w:space="0" w:color="auto"/>
          </w:divBdr>
        </w:div>
      </w:divsChild>
    </w:div>
    <w:div w:id="1234465366">
      <w:bodyDiv w:val="1"/>
      <w:marLeft w:val="0"/>
      <w:marRight w:val="0"/>
      <w:marTop w:val="0"/>
      <w:marBottom w:val="0"/>
      <w:divBdr>
        <w:top w:val="none" w:sz="0" w:space="0" w:color="auto"/>
        <w:left w:val="none" w:sz="0" w:space="0" w:color="auto"/>
        <w:bottom w:val="none" w:sz="0" w:space="0" w:color="auto"/>
        <w:right w:val="none" w:sz="0" w:space="0" w:color="auto"/>
      </w:divBdr>
      <w:divsChild>
        <w:div w:id="697509495">
          <w:marLeft w:val="0"/>
          <w:marRight w:val="0"/>
          <w:marTop w:val="0"/>
          <w:marBottom w:val="0"/>
          <w:divBdr>
            <w:top w:val="none" w:sz="0" w:space="0" w:color="auto"/>
            <w:left w:val="none" w:sz="0" w:space="0" w:color="auto"/>
            <w:bottom w:val="none" w:sz="0" w:space="0" w:color="auto"/>
            <w:right w:val="none" w:sz="0" w:space="0" w:color="auto"/>
          </w:divBdr>
        </w:div>
        <w:div w:id="996760544">
          <w:marLeft w:val="0"/>
          <w:marRight w:val="0"/>
          <w:marTop w:val="0"/>
          <w:marBottom w:val="0"/>
          <w:divBdr>
            <w:top w:val="none" w:sz="0" w:space="0" w:color="auto"/>
            <w:left w:val="none" w:sz="0" w:space="0" w:color="auto"/>
            <w:bottom w:val="none" w:sz="0" w:space="0" w:color="auto"/>
            <w:right w:val="none" w:sz="0" w:space="0" w:color="auto"/>
          </w:divBdr>
        </w:div>
      </w:divsChild>
    </w:div>
    <w:div w:id="1411148782">
      <w:bodyDiv w:val="1"/>
      <w:marLeft w:val="0"/>
      <w:marRight w:val="0"/>
      <w:marTop w:val="0"/>
      <w:marBottom w:val="0"/>
      <w:divBdr>
        <w:top w:val="none" w:sz="0" w:space="0" w:color="auto"/>
        <w:left w:val="none" w:sz="0" w:space="0" w:color="auto"/>
        <w:bottom w:val="none" w:sz="0" w:space="0" w:color="auto"/>
        <w:right w:val="none" w:sz="0" w:space="0" w:color="auto"/>
      </w:divBdr>
      <w:divsChild>
        <w:div w:id="667102271">
          <w:marLeft w:val="0"/>
          <w:marRight w:val="0"/>
          <w:marTop w:val="0"/>
          <w:marBottom w:val="0"/>
          <w:divBdr>
            <w:top w:val="none" w:sz="0" w:space="0" w:color="auto"/>
            <w:left w:val="none" w:sz="0" w:space="0" w:color="auto"/>
            <w:bottom w:val="none" w:sz="0" w:space="0" w:color="auto"/>
            <w:right w:val="none" w:sz="0" w:space="0" w:color="auto"/>
          </w:divBdr>
        </w:div>
        <w:div w:id="1005204352">
          <w:marLeft w:val="0"/>
          <w:marRight w:val="0"/>
          <w:marTop w:val="0"/>
          <w:marBottom w:val="0"/>
          <w:divBdr>
            <w:top w:val="none" w:sz="0" w:space="0" w:color="auto"/>
            <w:left w:val="none" w:sz="0" w:space="0" w:color="auto"/>
            <w:bottom w:val="none" w:sz="0" w:space="0" w:color="auto"/>
            <w:right w:val="none" w:sz="0" w:space="0" w:color="auto"/>
          </w:divBdr>
        </w:div>
        <w:div w:id="1014066362">
          <w:marLeft w:val="0"/>
          <w:marRight w:val="0"/>
          <w:marTop w:val="0"/>
          <w:marBottom w:val="0"/>
          <w:divBdr>
            <w:top w:val="none" w:sz="0" w:space="0" w:color="auto"/>
            <w:left w:val="none" w:sz="0" w:space="0" w:color="auto"/>
            <w:bottom w:val="none" w:sz="0" w:space="0" w:color="auto"/>
            <w:right w:val="none" w:sz="0" w:space="0" w:color="auto"/>
          </w:divBdr>
        </w:div>
        <w:div w:id="1412701374">
          <w:marLeft w:val="0"/>
          <w:marRight w:val="0"/>
          <w:marTop w:val="0"/>
          <w:marBottom w:val="0"/>
          <w:divBdr>
            <w:top w:val="none" w:sz="0" w:space="0" w:color="auto"/>
            <w:left w:val="none" w:sz="0" w:space="0" w:color="auto"/>
            <w:bottom w:val="none" w:sz="0" w:space="0" w:color="auto"/>
            <w:right w:val="none" w:sz="0" w:space="0" w:color="auto"/>
          </w:divBdr>
        </w:div>
        <w:div w:id="2066373023">
          <w:marLeft w:val="0"/>
          <w:marRight w:val="0"/>
          <w:marTop w:val="0"/>
          <w:marBottom w:val="0"/>
          <w:divBdr>
            <w:top w:val="none" w:sz="0" w:space="0" w:color="auto"/>
            <w:left w:val="none" w:sz="0" w:space="0" w:color="auto"/>
            <w:bottom w:val="none" w:sz="0" w:space="0" w:color="auto"/>
            <w:right w:val="none" w:sz="0" w:space="0" w:color="auto"/>
          </w:divBdr>
        </w:div>
      </w:divsChild>
    </w:div>
    <w:div w:id="183109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eb2.westlaw.com/find/default.wl?mt=Communications&amp;db=0004493&amp;rs=WLW13.04&amp;tc=-1&amp;rp=%2ffind%2fdefault.wl&amp;findtype=Y&amp;ordoc=2029967801&amp;serialnum=1990195650&amp;vr=2.0&amp;fn=_top&amp;sv=Split&amp;tf=-1&amp;referencepositiontype=S&amp;pbc=8EC73063&amp;referenceposition=7890&amp;utid=1" TargetMode="External"/><Relationship Id="rId2" Type="http://schemas.openxmlformats.org/officeDocument/2006/relationships/hyperlink" Target="http://web2.westlaw.com/find/default.wl?mt=Communications&amp;db=0004493&amp;rs=WLW13.04&amp;tc=-1&amp;rp=%2ffind%2fdefault.wl&amp;findtype=Y&amp;ordoc=2029967801&amp;serialnum=2025591153&amp;vr=2.0&amp;fn=_top&amp;sv=Split&amp;tf=-1&amp;referencepositiontype=S&amp;pbc=8EC73063&amp;referenceposition=9303&amp;utid=1" TargetMode="External"/><Relationship Id="rId1" Type="http://schemas.openxmlformats.org/officeDocument/2006/relationships/hyperlink" Target="http://web2.westlaw.com/find/default.wl?mt=Communications&amp;db=0004493&amp;rs=WLW13.04&amp;tc=-1&amp;rp=%2ffind%2fdefault.wl&amp;findtype=Y&amp;ordoc=2030461424&amp;serialnum=1997263097&amp;vr=2.0&amp;fn=_top&amp;sv=Split&amp;tf=-1&amp;referencepositiontype=S&amp;pbc=83D96126&amp;referenceposition=17099&amp;ut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3058</Words>
  <Characters>16568</Characters>
  <Application>Microsoft Office Word</Application>
  <DocSecurity>0</DocSecurity>
  <Lines>263</Lines>
  <Paragraphs>48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19765</CharactersWithSpaces>
  <SharedDoc>false</SharedDoc>
  <HyperlinkBase> </HyperlinkBase>
  <HLinks>
    <vt:vector size="6" baseType="variant">
      <vt:variant>
        <vt:i4>3866655</vt:i4>
      </vt:variant>
      <vt:variant>
        <vt:i4>0</vt:i4>
      </vt:variant>
      <vt:variant>
        <vt:i4>0</vt:i4>
      </vt:variant>
      <vt:variant>
        <vt:i4>5</vt:i4>
      </vt:variant>
      <vt:variant>
        <vt:lpwstr>http://web2.westlaw.com/find/default.wl?mt=Communications&amp;db=0004493&amp;rs=WLW13.04&amp;tc=-1&amp;rp=%2ffind%2fdefault.wl&amp;findtype=Y&amp;ordoc=2030461424&amp;serialnum=1997263097&amp;vr=2.0&amp;fn=_top&amp;sv=Split&amp;tf=-1&amp;referencepositiontype=S&amp;pbc=83D96126&amp;referenceposition=17099&amp;ut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2012-01-26T19:38:00Z</cp:lastPrinted>
  <dcterms:created xsi:type="dcterms:W3CDTF">2013-11-05T21:21:00Z</dcterms:created>
  <dcterms:modified xsi:type="dcterms:W3CDTF">2013-11-05T21:21:00Z</dcterms:modified>
  <cp:category> </cp:category>
  <cp:contentStatus> </cp:contentStatus>
</cp:coreProperties>
</file>