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F4" w:rsidRPr="00B62651" w:rsidRDefault="005154F4">
      <w:pPr>
        <w:jc w:val="center"/>
        <w:rPr>
          <w:b/>
          <w:sz w:val="22"/>
          <w:szCs w:val="22"/>
        </w:rPr>
      </w:pPr>
      <w:bookmarkStart w:id="0" w:name="_GoBack"/>
      <w:bookmarkEnd w:id="0"/>
      <w:r w:rsidRPr="00B62651">
        <w:rPr>
          <w:b/>
          <w:sz w:val="22"/>
          <w:szCs w:val="22"/>
        </w:rPr>
        <w:t xml:space="preserve">Before the </w:t>
      </w:r>
    </w:p>
    <w:p w:rsidR="005154F4" w:rsidRPr="00B62651" w:rsidRDefault="005154F4">
      <w:pPr>
        <w:jc w:val="center"/>
        <w:rPr>
          <w:b/>
          <w:sz w:val="22"/>
          <w:szCs w:val="22"/>
        </w:rPr>
      </w:pPr>
      <w:r w:rsidRPr="00B62651">
        <w:rPr>
          <w:b/>
          <w:sz w:val="22"/>
          <w:szCs w:val="22"/>
        </w:rPr>
        <w:t>Federal Communications Commission</w:t>
      </w:r>
    </w:p>
    <w:p w:rsidR="005154F4" w:rsidRPr="00B62651" w:rsidRDefault="005154F4">
      <w:pPr>
        <w:jc w:val="center"/>
        <w:rPr>
          <w:b/>
          <w:sz w:val="22"/>
          <w:szCs w:val="22"/>
        </w:rPr>
      </w:pPr>
      <w:r w:rsidRPr="00B62651">
        <w:rPr>
          <w:b/>
          <w:sz w:val="22"/>
          <w:szCs w:val="22"/>
        </w:rPr>
        <w:t>Washington, D.C. 20554</w:t>
      </w:r>
    </w:p>
    <w:p w:rsidR="005154F4" w:rsidRPr="00B62651" w:rsidRDefault="005154F4">
      <w:pPr>
        <w:rPr>
          <w:sz w:val="22"/>
          <w:szCs w:val="22"/>
        </w:rPr>
      </w:pPr>
    </w:p>
    <w:tbl>
      <w:tblPr>
        <w:tblW w:w="9648" w:type="dxa"/>
        <w:tblLayout w:type="fixed"/>
        <w:tblLook w:val="0000" w:firstRow="0" w:lastRow="0" w:firstColumn="0" w:lastColumn="0" w:noHBand="0" w:noVBand="0"/>
      </w:tblPr>
      <w:tblGrid>
        <w:gridCol w:w="4698"/>
        <w:gridCol w:w="720"/>
        <w:gridCol w:w="4230"/>
      </w:tblGrid>
      <w:tr w:rsidR="005154F4" w:rsidRPr="00B62651">
        <w:tc>
          <w:tcPr>
            <w:tcW w:w="4698" w:type="dxa"/>
          </w:tcPr>
          <w:p w:rsidR="005154F4" w:rsidRPr="00B62651" w:rsidRDefault="005154F4">
            <w:pPr>
              <w:ind w:right="-18"/>
              <w:rPr>
                <w:sz w:val="22"/>
                <w:szCs w:val="22"/>
              </w:rPr>
            </w:pPr>
            <w:r w:rsidRPr="00B62651">
              <w:rPr>
                <w:sz w:val="22"/>
                <w:szCs w:val="22"/>
              </w:rPr>
              <w:t>In the Matter of Application of</w:t>
            </w:r>
          </w:p>
          <w:p w:rsidR="005154F4" w:rsidRPr="00B62651" w:rsidRDefault="005154F4">
            <w:pPr>
              <w:ind w:right="-18"/>
              <w:rPr>
                <w:sz w:val="22"/>
                <w:szCs w:val="22"/>
              </w:rPr>
            </w:pPr>
          </w:p>
          <w:p w:rsidR="005154F4" w:rsidRPr="00B62651" w:rsidRDefault="005154F4">
            <w:pPr>
              <w:ind w:right="-18"/>
              <w:rPr>
                <w:sz w:val="22"/>
                <w:szCs w:val="22"/>
              </w:rPr>
            </w:pPr>
            <w:r w:rsidRPr="00B62651">
              <w:rPr>
                <w:sz w:val="22"/>
                <w:szCs w:val="22"/>
              </w:rPr>
              <w:t xml:space="preserve">THE </w:t>
            </w:r>
            <w:r w:rsidR="00494CAF" w:rsidRPr="00B62651">
              <w:rPr>
                <w:sz w:val="22"/>
                <w:szCs w:val="22"/>
              </w:rPr>
              <w:t>NISQUALLY INDIAN TRIBE</w:t>
            </w:r>
          </w:p>
          <w:p w:rsidR="005154F4" w:rsidRPr="00B62651" w:rsidRDefault="005154F4">
            <w:pPr>
              <w:ind w:right="-18"/>
              <w:rPr>
                <w:sz w:val="22"/>
                <w:szCs w:val="22"/>
              </w:rPr>
            </w:pPr>
          </w:p>
          <w:p w:rsidR="005154F4" w:rsidRPr="00B62651" w:rsidRDefault="005154F4">
            <w:pPr>
              <w:ind w:right="-198"/>
              <w:rPr>
                <w:sz w:val="22"/>
                <w:szCs w:val="22"/>
              </w:rPr>
            </w:pPr>
            <w:r w:rsidRPr="00B62651">
              <w:rPr>
                <w:sz w:val="22"/>
                <w:szCs w:val="22"/>
              </w:rPr>
              <w:t xml:space="preserve">For a New Educational Broadband Service Station </w:t>
            </w:r>
          </w:p>
        </w:tc>
        <w:tc>
          <w:tcPr>
            <w:tcW w:w="720" w:type="dxa"/>
          </w:tcPr>
          <w:p w:rsidR="005154F4" w:rsidRPr="00B62651" w:rsidRDefault="005154F4">
            <w:pPr>
              <w:rPr>
                <w:b/>
                <w:sz w:val="22"/>
                <w:szCs w:val="22"/>
              </w:rPr>
            </w:pPr>
            <w:r w:rsidRPr="00B62651">
              <w:rPr>
                <w:b/>
                <w:sz w:val="22"/>
                <w:szCs w:val="22"/>
              </w:rPr>
              <w:t>)</w:t>
            </w:r>
          </w:p>
          <w:p w:rsidR="005154F4" w:rsidRPr="00B62651" w:rsidRDefault="005154F4">
            <w:pPr>
              <w:rPr>
                <w:b/>
                <w:sz w:val="22"/>
                <w:szCs w:val="22"/>
              </w:rPr>
            </w:pPr>
            <w:r w:rsidRPr="00B62651">
              <w:rPr>
                <w:b/>
                <w:sz w:val="22"/>
                <w:szCs w:val="22"/>
              </w:rPr>
              <w:t>)</w:t>
            </w:r>
          </w:p>
          <w:p w:rsidR="005154F4" w:rsidRPr="00B62651" w:rsidRDefault="005154F4">
            <w:pPr>
              <w:rPr>
                <w:b/>
                <w:sz w:val="22"/>
                <w:szCs w:val="22"/>
              </w:rPr>
            </w:pPr>
            <w:r w:rsidRPr="00B62651">
              <w:rPr>
                <w:b/>
                <w:sz w:val="22"/>
                <w:szCs w:val="22"/>
              </w:rPr>
              <w:t>)</w:t>
            </w:r>
          </w:p>
          <w:p w:rsidR="005154F4" w:rsidRPr="00B62651" w:rsidRDefault="005154F4">
            <w:pPr>
              <w:rPr>
                <w:b/>
                <w:sz w:val="22"/>
                <w:szCs w:val="22"/>
              </w:rPr>
            </w:pPr>
            <w:r w:rsidRPr="00B62651">
              <w:rPr>
                <w:b/>
                <w:sz w:val="22"/>
                <w:szCs w:val="22"/>
              </w:rPr>
              <w:t>)</w:t>
            </w:r>
          </w:p>
          <w:p w:rsidR="005154F4" w:rsidRPr="00B62651" w:rsidRDefault="005154F4">
            <w:pPr>
              <w:rPr>
                <w:b/>
                <w:sz w:val="22"/>
                <w:szCs w:val="22"/>
              </w:rPr>
            </w:pPr>
            <w:r w:rsidRPr="00B62651">
              <w:rPr>
                <w:b/>
                <w:sz w:val="22"/>
                <w:szCs w:val="22"/>
              </w:rPr>
              <w:t>)</w:t>
            </w:r>
          </w:p>
          <w:p w:rsidR="005154F4" w:rsidRPr="00B62651" w:rsidRDefault="005154F4">
            <w:pPr>
              <w:rPr>
                <w:b/>
                <w:sz w:val="22"/>
                <w:szCs w:val="22"/>
              </w:rPr>
            </w:pPr>
            <w:r w:rsidRPr="00B62651">
              <w:rPr>
                <w:b/>
                <w:sz w:val="22"/>
                <w:szCs w:val="22"/>
              </w:rPr>
              <w:t>)</w:t>
            </w:r>
          </w:p>
        </w:tc>
        <w:tc>
          <w:tcPr>
            <w:tcW w:w="4230" w:type="dxa"/>
          </w:tcPr>
          <w:p w:rsidR="005154F4" w:rsidRPr="00B62651" w:rsidRDefault="005154F4">
            <w:pPr>
              <w:rPr>
                <w:sz w:val="22"/>
                <w:szCs w:val="22"/>
              </w:rPr>
            </w:pPr>
          </w:p>
          <w:p w:rsidR="005154F4" w:rsidRPr="00B62651" w:rsidRDefault="005154F4">
            <w:pPr>
              <w:rPr>
                <w:sz w:val="22"/>
                <w:szCs w:val="22"/>
              </w:rPr>
            </w:pPr>
          </w:p>
          <w:p w:rsidR="005154F4" w:rsidRPr="00B62651" w:rsidRDefault="005154F4">
            <w:pPr>
              <w:rPr>
                <w:spacing w:val="-2"/>
                <w:sz w:val="22"/>
                <w:szCs w:val="22"/>
              </w:rPr>
            </w:pPr>
            <w:r w:rsidRPr="00B62651">
              <w:rPr>
                <w:spacing w:val="-2"/>
                <w:sz w:val="22"/>
                <w:szCs w:val="22"/>
              </w:rPr>
              <w:t xml:space="preserve">File No. </w:t>
            </w:r>
            <w:r w:rsidRPr="00B62651">
              <w:rPr>
                <w:sz w:val="22"/>
                <w:szCs w:val="22"/>
              </w:rPr>
              <w:t>000</w:t>
            </w:r>
            <w:r w:rsidR="00494CAF" w:rsidRPr="00B62651">
              <w:rPr>
                <w:sz w:val="22"/>
                <w:szCs w:val="22"/>
              </w:rPr>
              <w:t>4713667</w:t>
            </w:r>
          </w:p>
          <w:p w:rsidR="005154F4" w:rsidRPr="00B62651" w:rsidRDefault="005154F4">
            <w:pPr>
              <w:rPr>
                <w:sz w:val="22"/>
                <w:szCs w:val="22"/>
              </w:rPr>
            </w:pPr>
          </w:p>
          <w:p w:rsidR="005154F4" w:rsidRPr="00B62651" w:rsidRDefault="005154F4">
            <w:pPr>
              <w:rPr>
                <w:sz w:val="22"/>
                <w:szCs w:val="22"/>
              </w:rPr>
            </w:pPr>
          </w:p>
        </w:tc>
      </w:tr>
    </w:tbl>
    <w:p w:rsidR="005154F4" w:rsidRPr="00B62651" w:rsidRDefault="005154F4">
      <w:pPr>
        <w:rPr>
          <w:sz w:val="22"/>
          <w:szCs w:val="22"/>
        </w:rPr>
      </w:pPr>
    </w:p>
    <w:p w:rsidR="005154F4" w:rsidRPr="00B62651" w:rsidRDefault="005154F4">
      <w:pPr>
        <w:jc w:val="center"/>
        <w:rPr>
          <w:b/>
          <w:sz w:val="22"/>
          <w:szCs w:val="22"/>
        </w:rPr>
      </w:pPr>
      <w:r w:rsidRPr="00B62651">
        <w:rPr>
          <w:b/>
          <w:sz w:val="22"/>
          <w:szCs w:val="22"/>
        </w:rPr>
        <w:t>MEMORANDUM OPINION AND ORDER</w:t>
      </w:r>
    </w:p>
    <w:p w:rsidR="005154F4" w:rsidRPr="00B62651" w:rsidRDefault="005154F4">
      <w:pPr>
        <w:rPr>
          <w:sz w:val="22"/>
          <w:szCs w:val="22"/>
        </w:rPr>
      </w:pPr>
    </w:p>
    <w:p w:rsidR="005154F4" w:rsidRPr="00B62651" w:rsidRDefault="00494CAF">
      <w:pPr>
        <w:tabs>
          <w:tab w:val="left" w:pos="6480"/>
        </w:tabs>
        <w:rPr>
          <w:b/>
          <w:sz w:val="22"/>
          <w:szCs w:val="22"/>
        </w:rPr>
      </w:pPr>
      <w:r w:rsidRPr="00B62651">
        <w:rPr>
          <w:b/>
          <w:sz w:val="22"/>
          <w:szCs w:val="22"/>
        </w:rPr>
        <w:t xml:space="preserve">Adopted:  </w:t>
      </w:r>
      <w:r w:rsidR="008A0261">
        <w:rPr>
          <w:b/>
          <w:sz w:val="22"/>
          <w:szCs w:val="22"/>
        </w:rPr>
        <w:t xml:space="preserve">November </w:t>
      </w:r>
      <w:r w:rsidR="001A75E6">
        <w:rPr>
          <w:b/>
          <w:sz w:val="22"/>
          <w:szCs w:val="22"/>
        </w:rPr>
        <w:t>7</w:t>
      </w:r>
      <w:r w:rsidR="005154F4" w:rsidRPr="00B62651">
        <w:rPr>
          <w:b/>
          <w:sz w:val="22"/>
          <w:szCs w:val="22"/>
        </w:rPr>
        <w:t>, 20</w:t>
      </w:r>
      <w:r w:rsidRPr="00B62651">
        <w:rPr>
          <w:b/>
          <w:sz w:val="22"/>
          <w:szCs w:val="22"/>
        </w:rPr>
        <w:t>1</w:t>
      </w:r>
      <w:r w:rsidR="004B3B21">
        <w:rPr>
          <w:b/>
          <w:sz w:val="22"/>
          <w:szCs w:val="22"/>
        </w:rPr>
        <w:t>3</w:t>
      </w:r>
      <w:r w:rsidR="005154F4" w:rsidRPr="00B62651">
        <w:rPr>
          <w:sz w:val="22"/>
          <w:szCs w:val="22"/>
        </w:rPr>
        <w:tab/>
      </w:r>
      <w:r w:rsidRPr="00B62651">
        <w:rPr>
          <w:b/>
          <w:sz w:val="22"/>
          <w:szCs w:val="22"/>
        </w:rPr>
        <w:t xml:space="preserve">Released: </w:t>
      </w:r>
      <w:r w:rsidR="008A0261">
        <w:rPr>
          <w:b/>
          <w:sz w:val="22"/>
          <w:szCs w:val="22"/>
        </w:rPr>
        <w:t xml:space="preserve">November </w:t>
      </w:r>
      <w:r w:rsidR="001A75E6">
        <w:rPr>
          <w:b/>
          <w:sz w:val="22"/>
          <w:szCs w:val="22"/>
        </w:rPr>
        <w:t>8</w:t>
      </w:r>
      <w:r w:rsidRPr="00B62651">
        <w:rPr>
          <w:b/>
          <w:sz w:val="22"/>
          <w:szCs w:val="22"/>
        </w:rPr>
        <w:t>, 201</w:t>
      </w:r>
      <w:r w:rsidR="004B3B21">
        <w:rPr>
          <w:b/>
          <w:sz w:val="22"/>
          <w:szCs w:val="22"/>
        </w:rPr>
        <w:t>3</w:t>
      </w:r>
    </w:p>
    <w:p w:rsidR="005154F4" w:rsidRPr="00B62651" w:rsidRDefault="005154F4">
      <w:pPr>
        <w:rPr>
          <w:b/>
          <w:sz w:val="22"/>
          <w:szCs w:val="22"/>
        </w:rPr>
      </w:pPr>
    </w:p>
    <w:p w:rsidR="005154F4" w:rsidRPr="00B62651" w:rsidRDefault="00494CAF">
      <w:pPr>
        <w:rPr>
          <w:sz w:val="22"/>
          <w:szCs w:val="22"/>
        </w:rPr>
      </w:pPr>
      <w:r w:rsidRPr="00B62651">
        <w:rPr>
          <w:sz w:val="22"/>
          <w:szCs w:val="22"/>
        </w:rPr>
        <w:t xml:space="preserve">By the </w:t>
      </w:r>
      <w:r w:rsidR="00712CF4" w:rsidRPr="00B62651">
        <w:rPr>
          <w:sz w:val="22"/>
          <w:szCs w:val="22"/>
        </w:rPr>
        <w:t xml:space="preserve">Deputy </w:t>
      </w:r>
      <w:r w:rsidR="005154F4" w:rsidRPr="00B62651">
        <w:rPr>
          <w:sz w:val="22"/>
          <w:szCs w:val="22"/>
        </w:rPr>
        <w:t xml:space="preserve">Chief, </w:t>
      </w:r>
      <w:r w:rsidR="004B3B21">
        <w:rPr>
          <w:sz w:val="22"/>
          <w:szCs w:val="22"/>
        </w:rPr>
        <w:t xml:space="preserve">Broadband Division, </w:t>
      </w:r>
      <w:r w:rsidR="005154F4" w:rsidRPr="00B62651">
        <w:rPr>
          <w:sz w:val="22"/>
          <w:szCs w:val="22"/>
        </w:rPr>
        <w:t>Wireless Telecommunications Bureau:</w:t>
      </w:r>
    </w:p>
    <w:p w:rsidR="005154F4" w:rsidRPr="00B62651" w:rsidRDefault="005154F4">
      <w:pPr>
        <w:rPr>
          <w:sz w:val="22"/>
          <w:szCs w:val="22"/>
        </w:rPr>
      </w:pPr>
    </w:p>
    <w:p w:rsidR="005154F4" w:rsidRPr="00B62651" w:rsidRDefault="005154F4">
      <w:pPr>
        <w:rPr>
          <w:b/>
          <w:sz w:val="22"/>
          <w:szCs w:val="22"/>
        </w:rPr>
      </w:pPr>
      <w:r w:rsidRPr="00B62651">
        <w:rPr>
          <w:b/>
          <w:sz w:val="22"/>
          <w:szCs w:val="22"/>
        </w:rPr>
        <w:t>I.</w:t>
      </w:r>
      <w:r w:rsidRPr="00B62651">
        <w:rPr>
          <w:b/>
          <w:sz w:val="22"/>
          <w:szCs w:val="22"/>
        </w:rPr>
        <w:tab/>
      </w:r>
      <w:r w:rsidRPr="00B62651">
        <w:rPr>
          <w:rStyle w:val="Heading1Char"/>
          <w:rFonts w:ascii="Times New Roman" w:hAnsi="Times New Roman" w:cs="Times New Roman"/>
          <w:sz w:val="22"/>
          <w:szCs w:val="22"/>
        </w:rPr>
        <w:t>INTRODUCTION</w:t>
      </w:r>
    </w:p>
    <w:p w:rsidR="005154F4" w:rsidRPr="00B62651" w:rsidRDefault="005154F4">
      <w:pPr>
        <w:rPr>
          <w:sz w:val="22"/>
          <w:szCs w:val="22"/>
        </w:rPr>
      </w:pPr>
    </w:p>
    <w:p w:rsidR="005154F4" w:rsidRPr="00B62651" w:rsidRDefault="00712CF4">
      <w:pPr>
        <w:numPr>
          <w:ilvl w:val="1"/>
          <w:numId w:val="16"/>
        </w:numPr>
        <w:tabs>
          <w:tab w:val="clear" w:pos="2160"/>
          <w:tab w:val="num" w:pos="1440"/>
        </w:tabs>
        <w:spacing w:after="220"/>
        <w:ind w:left="0"/>
        <w:rPr>
          <w:sz w:val="22"/>
          <w:szCs w:val="22"/>
        </w:rPr>
      </w:pPr>
      <w:r w:rsidRPr="00B62651">
        <w:rPr>
          <w:sz w:val="22"/>
          <w:szCs w:val="22"/>
        </w:rPr>
        <w:t xml:space="preserve">In this </w:t>
      </w:r>
      <w:r w:rsidRPr="00B62651">
        <w:rPr>
          <w:i/>
          <w:sz w:val="22"/>
          <w:szCs w:val="22"/>
        </w:rPr>
        <w:t>Memorandum Opinion and Order</w:t>
      </w:r>
      <w:r w:rsidRPr="00B62651">
        <w:rPr>
          <w:sz w:val="22"/>
          <w:szCs w:val="22"/>
        </w:rPr>
        <w:t>, we grant the request of the Nisqually Indian Tribe (</w:t>
      </w:r>
      <w:r w:rsidR="00122225">
        <w:rPr>
          <w:sz w:val="22"/>
          <w:szCs w:val="22"/>
        </w:rPr>
        <w:t>Nisqually</w:t>
      </w:r>
      <w:r w:rsidRPr="00B62651">
        <w:rPr>
          <w:sz w:val="22"/>
          <w:szCs w:val="22"/>
        </w:rPr>
        <w:t xml:space="preserve"> or the Tribe) for a waiver of the filing freeze on new Educational Broadband Service (EBS) applications and</w:t>
      </w:r>
      <w:r w:rsidR="00B62651" w:rsidRPr="00B62651">
        <w:rPr>
          <w:sz w:val="22"/>
          <w:szCs w:val="22"/>
        </w:rPr>
        <w:t xml:space="preserve"> for a waiver of Section 1.1913(b) of the Commission’s rules to permit manual filing of its application.</w:t>
      </w:r>
    </w:p>
    <w:p w:rsidR="005154F4" w:rsidRPr="00B62651" w:rsidRDefault="005154F4">
      <w:pPr>
        <w:pStyle w:val="Heading1"/>
        <w:spacing w:before="0" w:after="220"/>
        <w:rPr>
          <w:rFonts w:ascii="Times New Roman" w:hAnsi="Times New Roman"/>
          <w:sz w:val="22"/>
          <w:szCs w:val="22"/>
        </w:rPr>
      </w:pPr>
      <w:r w:rsidRPr="00B62651">
        <w:rPr>
          <w:rFonts w:ascii="Times New Roman" w:hAnsi="Times New Roman"/>
          <w:sz w:val="22"/>
          <w:szCs w:val="22"/>
        </w:rPr>
        <w:t>II.</w:t>
      </w:r>
      <w:r w:rsidRPr="00B62651">
        <w:rPr>
          <w:rFonts w:ascii="Times New Roman" w:hAnsi="Times New Roman"/>
          <w:sz w:val="22"/>
          <w:szCs w:val="22"/>
        </w:rPr>
        <w:tab/>
        <w:t>BACKGROUND</w:t>
      </w:r>
    </w:p>
    <w:p w:rsidR="00712CF4" w:rsidRPr="00B62651" w:rsidRDefault="00712CF4" w:rsidP="00712CF4">
      <w:pPr>
        <w:pStyle w:val="ParaNum"/>
        <w:tabs>
          <w:tab w:val="clear" w:pos="2520"/>
          <w:tab w:val="left" w:pos="1440"/>
        </w:tabs>
        <w:spacing w:after="220"/>
        <w:ind w:left="0"/>
        <w:rPr>
          <w:sz w:val="22"/>
          <w:szCs w:val="22"/>
        </w:rPr>
      </w:pPr>
      <w:r w:rsidRPr="00B62651">
        <w:rPr>
          <w:i/>
          <w:sz w:val="22"/>
          <w:szCs w:val="22"/>
        </w:rPr>
        <w:t>2500-2690 MHz Band Generally</w:t>
      </w:r>
      <w:r w:rsidRPr="00B62651">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sidRPr="00B62651">
        <w:rPr>
          <w:rStyle w:val="FootnoteReference"/>
          <w:sz w:val="22"/>
          <w:szCs w:val="22"/>
        </w:rPr>
        <w:footnoteReference w:id="1"/>
      </w:r>
      <w:r w:rsidRPr="00B62651">
        <w:rPr>
          <w:sz w:val="22"/>
          <w:szCs w:val="22"/>
        </w:rPr>
        <w:t xml:space="preserve"> envisioning that it would be used for transmission of instructional material to accredited public and private schools, colleges and universities for the formal education of students.</w:t>
      </w:r>
      <w:r w:rsidRPr="00B62651">
        <w:rPr>
          <w:rStyle w:val="FootnoteReference"/>
          <w:sz w:val="22"/>
          <w:szCs w:val="22"/>
        </w:rPr>
        <w:footnoteReference w:id="2"/>
      </w:r>
      <w:r w:rsidRPr="00B62651">
        <w:rPr>
          <w:sz w:val="22"/>
          <w:szCs w:val="22"/>
        </w:rPr>
        <w:t xml:space="preserve">  In 1983, in response to the demand for additional spectrum for delivery of video entertainment programming to subscribers, the Commission re-allotted eight ITFS channels (the E and F channel blocks) and associated response channels for use by the Multipoint Distribution Service (MDS).</w:t>
      </w:r>
      <w:r w:rsidRPr="00B62651">
        <w:rPr>
          <w:rStyle w:val="FootnoteReference"/>
          <w:sz w:val="22"/>
          <w:szCs w:val="22"/>
        </w:rPr>
        <w:footnoteReference w:id="3"/>
      </w:r>
      <w:r w:rsidRPr="00B62651">
        <w:rPr>
          <w:sz w:val="22"/>
          <w:szCs w:val="22"/>
        </w:rPr>
        <w:t xml:space="preserve">  In conjunction with this re-allotment, the FCC permitted ITFS licensees to lease “excess capacity” on their facilities to commercial entities.</w:t>
      </w:r>
      <w:r w:rsidRPr="00B62651">
        <w:rPr>
          <w:rStyle w:val="FootnoteReference"/>
          <w:sz w:val="22"/>
          <w:szCs w:val="22"/>
        </w:rPr>
        <w:footnoteReference w:id="4"/>
      </w:r>
    </w:p>
    <w:p w:rsidR="00B62651" w:rsidRPr="00B62651" w:rsidRDefault="00712CF4" w:rsidP="00B62651">
      <w:pPr>
        <w:pStyle w:val="ParaNum"/>
        <w:tabs>
          <w:tab w:val="clear" w:pos="2520"/>
          <w:tab w:val="left" w:pos="1440"/>
        </w:tabs>
        <w:spacing w:after="220"/>
        <w:ind w:left="0"/>
        <w:rPr>
          <w:sz w:val="22"/>
          <w:szCs w:val="22"/>
        </w:rPr>
      </w:pPr>
      <w:r w:rsidRPr="00B62651">
        <w:rPr>
          <w:sz w:val="22"/>
          <w:szCs w:val="22"/>
        </w:rPr>
        <w:lastRenderedPageBreak/>
        <w:t>In April 2003, the Commission proposed new technical rules and a new band plan for ITFS and MDS spectrum (changing the service names to EBS and Broadband Radio Service (BRS), respectively).</w:t>
      </w:r>
      <w:r w:rsidRPr="00B62651">
        <w:rPr>
          <w:rStyle w:val="FootnoteReference"/>
          <w:sz w:val="22"/>
          <w:szCs w:val="22"/>
        </w:rPr>
        <w:footnoteReference w:id="5"/>
      </w:r>
      <w:r w:rsidRPr="00B62651">
        <w:rPr>
          <w:sz w:val="22"/>
          <w:szCs w:val="22"/>
        </w:rPr>
        <w:t xml:space="preserve">  At  the same time, it implemented a filing freeze with respect to all applications for new BRS and EBS licenses, as well as for major modifications of those licenses, in order to permit the orderly and effective resolution of issues in the BRS/EBS proceeding.</w:t>
      </w:r>
      <w:r w:rsidRPr="00B62651">
        <w:rPr>
          <w:rStyle w:val="FootnoteReference"/>
          <w:sz w:val="22"/>
          <w:szCs w:val="22"/>
        </w:rPr>
        <w:footnoteReference w:id="6"/>
      </w:r>
      <w:r w:rsidRPr="00B62651">
        <w:rPr>
          <w:sz w:val="22"/>
          <w:szCs w:val="22"/>
        </w:rPr>
        <w:t xml:space="preserve">  In August 2003, the Commission modified the freeze by permitting the filing of applications for new BRS licenses and major modifications of those licenses.</w:t>
      </w:r>
      <w:r w:rsidRPr="00B62651">
        <w:rPr>
          <w:rStyle w:val="FootnoteReference"/>
          <w:sz w:val="22"/>
          <w:szCs w:val="22"/>
        </w:rPr>
        <w:footnoteReference w:id="7"/>
      </w:r>
      <w:r w:rsidRPr="00B62651">
        <w:rPr>
          <w:sz w:val="22"/>
          <w:szCs w:val="22"/>
        </w:rPr>
        <w:t xml:space="preserve">  The Commission also permitted the filing of applications for major modifications of EBS licenses, but still maintained the filing freeze with respect to applications for new EBS licenses.</w:t>
      </w:r>
      <w:r w:rsidRPr="00B62651">
        <w:rPr>
          <w:rStyle w:val="FootnoteReference"/>
          <w:sz w:val="22"/>
          <w:szCs w:val="22"/>
        </w:rPr>
        <w:footnoteReference w:id="8"/>
      </w:r>
      <w:r w:rsidRPr="00B62651">
        <w:rPr>
          <w:sz w:val="22"/>
          <w:szCs w:val="22"/>
        </w:rPr>
        <w:t xml:space="preserve">  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sidRPr="00B62651">
        <w:rPr>
          <w:rStyle w:val="FootnoteReference"/>
          <w:sz w:val="22"/>
          <w:szCs w:val="22"/>
        </w:rPr>
        <w:t xml:space="preserve"> </w:t>
      </w:r>
      <w:r w:rsidRPr="00B62651">
        <w:rPr>
          <w:rStyle w:val="FootnoteReference"/>
          <w:sz w:val="22"/>
          <w:szCs w:val="22"/>
        </w:rPr>
        <w:footnoteReference w:id="9"/>
      </w:r>
      <w:r w:rsidRPr="00B62651">
        <w:rPr>
          <w:sz w:val="22"/>
          <w:szCs w:val="22"/>
        </w:rPr>
        <w:t xml:space="preserve">  In 2008, the Commission sought comment on how to license unassigned EBS spectrum.</w:t>
      </w:r>
      <w:r w:rsidRPr="00B62651">
        <w:rPr>
          <w:rStyle w:val="FootnoteReference"/>
          <w:sz w:val="22"/>
          <w:szCs w:val="22"/>
        </w:rPr>
        <w:footnoteReference w:id="10"/>
      </w:r>
    </w:p>
    <w:p w:rsidR="00B62651" w:rsidRPr="00B62651" w:rsidRDefault="006C23FA" w:rsidP="00B62651">
      <w:pPr>
        <w:pStyle w:val="ParaNum"/>
        <w:tabs>
          <w:tab w:val="clear" w:pos="2520"/>
          <w:tab w:val="left" w:pos="1440"/>
        </w:tabs>
        <w:spacing w:after="220"/>
        <w:ind w:left="0"/>
        <w:rPr>
          <w:sz w:val="22"/>
          <w:szCs w:val="22"/>
        </w:rPr>
      </w:pPr>
      <w:r w:rsidRPr="00B62651">
        <w:rPr>
          <w:i/>
          <w:sz w:val="22"/>
          <w:szCs w:val="22"/>
        </w:rPr>
        <w:t>Nisqually Indian Tribe</w:t>
      </w:r>
      <w:r w:rsidR="005154F4" w:rsidRPr="00B62651">
        <w:rPr>
          <w:i/>
          <w:sz w:val="22"/>
          <w:szCs w:val="22"/>
        </w:rPr>
        <w:t xml:space="preserve"> License Application</w:t>
      </w:r>
      <w:r w:rsidR="005154F4" w:rsidRPr="00B62651">
        <w:rPr>
          <w:sz w:val="22"/>
          <w:szCs w:val="22"/>
        </w:rPr>
        <w:t xml:space="preserve">.  </w:t>
      </w:r>
      <w:r w:rsidR="00122225">
        <w:rPr>
          <w:sz w:val="22"/>
          <w:szCs w:val="22"/>
        </w:rPr>
        <w:t>Nisqually</w:t>
      </w:r>
      <w:r w:rsidR="005154F4" w:rsidRPr="00B62651">
        <w:rPr>
          <w:sz w:val="22"/>
          <w:szCs w:val="22"/>
        </w:rPr>
        <w:t xml:space="preserve"> is </w:t>
      </w:r>
      <w:r w:rsidRPr="00B62651">
        <w:rPr>
          <w:sz w:val="22"/>
          <w:szCs w:val="22"/>
        </w:rPr>
        <w:t xml:space="preserve">a federally recognized, self-governing Indian </w:t>
      </w:r>
      <w:r w:rsidR="00FF5878">
        <w:rPr>
          <w:sz w:val="22"/>
          <w:szCs w:val="22"/>
        </w:rPr>
        <w:t>T</w:t>
      </w:r>
      <w:r w:rsidRPr="00B62651">
        <w:rPr>
          <w:sz w:val="22"/>
          <w:szCs w:val="22"/>
        </w:rPr>
        <w:t>ribe with a single reservation</w:t>
      </w:r>
      <w:r w:rsidR="007D042B" w:rsidRPr="00B62651">
        <w:rPr>
          <w:sz w:val="22"/>
          <w:szCs w:val="22"/>
        </w:rPr>
        <w:t>,</w:t>
      </w:r>
      <w:r w:rsidRPr="00B62651">
        <w:rPr>
          <w:sz w:val="22"/>
          <w:szCs w:val="22"/>
        </w:rPr>
        <w:t xml:space="preserve"> located along the Nisqually River in rural </w:t>
      </w:r>
      <w:r w:rsidR="001C2DE9" w:rsidRPr="00B62651">
        <w:rPr>
          <w:sz w:val="22"/>
          <w:szCs w:val="22"/>
        </w:rPr>
        <w:t>Washington S</w:t>
      </w:r>
      <w:r w:rsidRPr="00B62651">
        <w:rPr>
          <w:sz w:val="22"/>
          <w:szCs w:val="22"/>
        </w:rPr>
        <w:t>tate</w:t>
      </w:r>
      <w:r w:rsidR="007D042B" w:rsidRPr="00B62651">
        <w:rPr>
          <w:sz w:val="22"/>
          <w:szCs w:val="22"/>
        </w:rPr>
        <w:t xml:space="preserve">, where the </w:t>
      </w:r>
      <w:r w:rsidR="00674C72" w:rsidRPr="00B62651">
        <w:rPr>
          <w:sz w:val="22"/>
          <w:szCs w:val="22"/>
        </w:rPr>
        <w:t>Tribe</w:t>
      </w:r>
      <w:r w:rsidR="007D042B" w:rsidRPr="00B62651">
        <w:rPr>
          <w:sz w:val="22"/>
          <w:szCs w:val="22"/>
        </w:rPr>
        <w:t xml:space="preserve"> has lived for thousands of years and where many of its members still live</w:t>
      </w:r>
      <w:r w:rsidRPr="00B62651">
        <w:rPr>
          <w:sz w:val="22"/>
          <w:szCs w:val="22"/>
        </w:rPr>
        <w:t>.</w:t>
      </w:r>
      <w:r w:rsidR="005154F4" w:rsidRPr="00B62651">
        <w:rPr>
          <w:rStyle w:val="FootnoteReference"/>
          <w:sz w:val="22"/>
          <w:szCs w:val="22"/>
        </w:rPr>
        <w:footnoteReference w:id="11"/>
      </w:r>
      <w:r w:rsidR="005154F4" w:rsidRPr="00B62651">
        <w:rPr>
          <w:sz w:val="22"/>
          <w:szCs w:val="22"/>
        </w:rPr>
        <w:t xml:space="preserve"> </w:t>
      </w:r>
      <w:r w:rsidR="007D042B" w:rsidRPr="00B62651">
        <w:rPr>
          <w:sz w:val="22"/>
          <w:szCs w:val="22"/>
        </w:rPr>
        <w:t xml:space="preserve"> The reservation is the center of the </w:t>
      </w:r>
      <w:r w:rsidR="00674C72" w:rsidRPr="00B62651">
        <w:rPr>
          <w:sz w:val="22"/>
          <w:szCs w:val="22"/>
        </w:rPr>
        <w:t>Tribe</w:t>
      </w:r>
      <w:r w:rsidR="007D042B" w:rsidRPr="00B62651">
        <w:rPr>
          <w:sz w:val="22"/>
          <w:szCs w:val="22"/>
        </w:rPr>
        <w:t>’s efforts to practice, preserve and perpetuate its unique culture and values, but</w:t>
      </w:r>
      <w:r w:rsidR="00FD4B24" w:rsidRPr="00B62651">
        <w:rPr>
          <w:sz w:val="22"/>
          <w:szCs w:val="22"/>
        </w:rPr>
        <w:t xml:space="preserve">, according to </w:t>
      </w:r>
      <w:r w:rsidR="00122225">
        <w:rPr>
          <w:sz w:val="22"/>
          <w:szCs w:val="22"/>
        </w:rPr>
        <w:t>Nisqually</w:t>
      </w:r>
      <w:r w:rsidR="00FD4B24" w:rsidRPr="00B62651">
        <w:rPr>
          <w:sz w:val="22"/>
          <w:szCs w:val="22"/>
        </w:rPr>
        <w:t>,</w:t>
      </w:r>
      <w:r w:rsidR="007D042B" w:rsidRPr="00B62651">
        <w:rPr>
          <w:sz w:val="22"/>
          <w:szCs w:val="22"/>
        </w:rPr>
        <w:t xml:space="preserve"> </w:t>
      </w:r>
      <w:r w:rsidR="00CC54EE" w:rsidRPr="00B62651">
        <w:rPr>
          <w:sz w:val="22"/>
          <w:szCs w:val="22"/>
        </w:rPr>
        <w:t>it</w:t>
      </w:r>
      <w:r w:rsidR="007D042B" w:rsidRPr="00B62651">
        <w:rPr>
          <w:sz w:val="22"/>
          <w:szCs w:val="22"/>
        </w:rPr>
        <w:t xml:space="preserve"> has experienced a cycle of extraordinarily high rates of high school drop-outs and consequent poverty. </w:t>
      </w:r>
      <w:r w:rsidR="00244889" w:rsidRPr="00B62651">
        <w:rPr>
          <w:rStyle w:val="FootnoteReference"/>
          <w:sz w:val="22"/>
          <w:szCs w:val="22"/>
        </w:rPr>
        <w:footnoteReference w:id="12"/>
      </w:r>
      <w:r w:rsidR="007D042B" w:rsidRPr="00B62651">
        <w:rPr>
          <w:sz w:val="22"/>
          <w:szCs w:val="22"/>
        </w:rPr>
        <w:t xml:space="preserve"> Many of those who did graduate could not afford to continue their educations because there was no </w:t>
      </w:r>
      <w:r w:rsidR="002033E4" w:rsidRPr="00B62651">
        <w:rPr>
          <w:sz w:val="22"/>
          <w:szCs w:val="22"/>
        </w:rPr>
        <w:t>accessible college</w:t>
      </w:r>
      <w:r w:rsidR="007D042B" w:rsidRPr="00B62651">
        <w:rPr>
          <w:sz w:val="22"/>
          <w:szCs w:val="22"/>
        </w:rPr>
        <w:t>, but the Tribe has recently contracted with Northwest Indian College</w:t>
      </w:r>
      <w:r w:rsidR="002033E4" w:rsidRPr="00B62651">
        <w:rPr>
          <w:sz w:val="22"/>
          <w:szCs w:val="22"/>
        </w:rPr>
        <w:t xml:space="preserve"> to open a campus on the reservation.</w:t>
      </w:r>
      <w:r w:rsidR="002033E4" w:rsidRPr="00B62651">
        <w:rPr>
          <w:rStyle w:val="FootnoteReference"/>
          <w:sz w:val="22"/>
          <w:szCs w:val="22"/>
        </w:rPr>
        <w:footnoteReference w:id="13"/>
      </w:r>
      <w:r w:rsidR="002033E4" w:rsidRPr="00B62651">
        <w:rPr>
          <w:sz w:val="22"/>
          <w:szCs w:val="22"/>
        </w:rPr>
        <w:t xml:space="preserve"> </w:t>
      </w:r>
      <w:r w:rsidR="007D042B" w:rsidRPr="00B62651">
        <w:rPr>
          <w:sz w:val="22"/>
          <w:szCs w:val="22"/>
        </w:rPr>
        <w:t xml:space="preserve"> </w:t>
      </w:r>
      <w:r w:rsidR="00CC54EE" w:rsidRPr="00B62651">
        <w:rPr>
          <w:sz w:val="22"/>
          <w:szCs w:val="22"/>
        </w:rPr>
        <w:t xml:space="preserve">Northwest Indian College currently offers 1,600 </w:t>
      </w:r>
      <w:r w:rsidR="00CC54EE" w:rsidRPr="00B62651">
        <w:rPr>
          <w:sz w:val="22"/>
          <w:szCs w:val="22"/>
        </w:rPr>
        <w:lastRenderedPageBreak/>
        <w:t>hybrid and Web-based courses in its curriculum targeted at the over 6,000 students who live off campus and are not always able to attend classes in person during the winter months.</w:t>
      </w:r>
      <w:r w:rsidR="00C02E36" w:rsidRPr="00B62651">
        <w:rPr>
          <w:rStyle w:val="FootnoteReference"/>
          <w:sz w:val="22"/>
          <w:szCs w:val="22"/>
        </w:rPr>
        <w:footnoteReference w:id="14"/>
      </w:r>
      <w:r w:rsidR="00CC54EE" w:rsidRPr="00B62651">
        <w:rPr>
          <w:sz w:val="22"/>
          <w:szCs w:val="22"/>
        </w:rPr>
        <w:t xml:space="preserve">  </w:t>
      </w:r>
      <w:r w:rsidR="00A8506A" w:rsidRPr="00B62651">
        <w:rPr>
          <w:sz w:val="22"/>
          <w:szCs w:val="22"/>
        </w:rPr>
        <w:t xml:space="preserve"> Wireless I</w:t>
      </w:r>
      <w:r w:rsidR="00CC54EE" w:rsidRPr="00B62651">
        <w:rPr>
          <w:sz w:val="22"/>
          <w:szCs w:val="22"/>
        </w:rPr>
        <w:t>nternet access could also meet essential needs of K-12 students on the reservation</w:t>
      </w:r>
      <w:r w:rsidR="00A8506A" w:rsidRPr="00B62651">
        <w:rPr>
          <w:sz w:val="22"/>
          <w:szCs w:val="22"/>
        </w:rPr>
        <w:t>, the vast majority of whom</w:t>
      </w:r>
      <w:r w:rsidR="00CC54EE" w:rsidRPr="00B62651">
        <w:rPr>
          <w:sz w:val="22"/>
          <w:szCs w:val="22"/>
        </w:rPr>
        <w:t xml:space="preserve"> do not have access to broadband at home</w:t>
      </w:r>
      <w:r w:rsidR="00A8506A" w:rsidRPr="00B62651">
        <w:rPr>
          <w:sz w:val="22"/>
          <w:szCs w:val="22"/>
        </w:rPr>
        <w:t>.</w:t>
      </w:r>
      <w:r w:rsidR="00E50806">
        <w:rPr>
          <w:rStyle w:val="FootnoteReference"/>
          <w:sz w:val="22"/>
          <w:szCs w:val="22"/>
        </w:rPr>
        <w:footnoteReference w:id="15"/>
      </w:r>
      <w:r w:rsidR="00A8506A" w:rsidRPr="00B62651">
        <w:rPr>
          <w:sz w:val="22"/>
          <w:szCs w:val="22"/>
        </w:rPr>
        <w:t xml:space="preserve">  </w:t>
      </w:r>
      <w:r w:rsidR="00122225">
        <w:rPr>
          <w:sz w:val="22"/>
          <w:szCs w:val="22"/>
        </w:rPr>
        <w:t>Nisqually</w:t>
      </w:r>
      <w:r w:rsidR="00A8506A" w:rsidRPr="00B62651">
        <w:rPr>
          <w:sz w:val="22"/>
          <w:szCs w:val="22"/>
        </w:rPr>
        <w:t xml:space="preserve"> contends that there is a particular opportunity in this situation because broadband can greatly assist the Tribe in its efforts to practice, preserve, continue and pass along its unique culture and values to the younger generation.</w:t>
      </w:r>
      <w:r w:rsidR="00A8506A" w:rsidRPr="00B62651">
        <w:rPr>
          <w:rStyle w:val="FootnoteReference"/>
          <w:sz w:val="22"/>
          <w:szCs w:val="22"/>
        </w:rPr>
        <w:footnoteReference w:id="16"/>
      </w:r>
      <w:r w:rsidR="00EB1F73" w:rsidRPr="00B62651">
        <w:rPr>
          <w:sz w:val="22"/>
          <w:szCs w:val="22"/>
        </w:rPr>
        <w:t xml:space="preserve">  Moreover, </w:t>
      </w:r>
      <w:r w:rsidR="00122225">
        <w:rPr>
          <w:sz w:val="22"/>
          <w:szCs w:val="22"/>
        </w:rPr>
        <w:t>Nisqually</w:t>
      </w:r>
      <w:r w:rsidR="00682664" w:rsidRPr="00B62651">
        <w:rPr>
          <w:sz w:val="22"/>
          <w:szCs w:val="22"/>
        </w:rPr>
        <w:t xml:space="preserve"> says that it plans to offer wireless broadband service </w:t>
      </w:r>
      <w:r w:rsidR="00EB1F73" w:rsidRPr="00B62651">
        <w:rPr>
          <w:sz w:val="22"/>
          <w:szCs w:val="22"/>
        </w:rPr>
        <w:t xml:space="preserve">at no charge to </w:t>
      </w:r>
      <w:r w:rsidR="00682664" w:rsidRPr="00B62651">
        <w:rPr>
          <w:sz w:val="22"/>
          <w:szCs w:val="22"/>
        </w:rPr>
        <w:t>all Trib</w:t>
      </w:r>
      <w:r w:rsidR="00FF5878">
        <w:rPr>
          <w:sz w:val="22"/>
          <w:szCs w:val="22"/>
        </w:rPr>
        <w:t>al</w:t>
      </w:r>
      <w:r w:rsidR="00682664" w:rsidRPr="00B62651">
        <w:rPr>
          <w:sz w:val="22"/>
          <w:szCs w:val="22"/>
        </w:rPr>
        <w:t xml:space="preserve"> members on the reservation</w:t>
      </w:r>
      <w:r w:rsidR="00EB1F73" w:rsidRPr="00B62651">
        <w:rPr>
          <w:sz w:val="22"/>
          <w:szCs w:val="22"/>
        </w:rPr>
        <w:t>, whether or not they are enrolled in a formal education program</w:t>
      </w:r>
      <w:r w:rsidR="00682664" w:rsidRPr="00B62651">
        <w:rPr>
          <w:sz w:val="22"/>
          <w:szCs w:val="22"/>
        </w:rPr>
        <w:t>.</w:t>
      </w:r>
      <w:r w:rsidR="00682664" w:rsidRPr="00B62651">
        <w:rPr>
          <w:rStyle w:val="FootnoteReference"/>
          <w:sz w:val="22"/>
          <w:szCs w:val="22"/>
        </w:rPr>
        <w:footnoteReference w:id="17"/>
      </w:r>
      <w:r w:rsidR="00682664" w:rsidRPr="00B62651">
        <w:rPr>
          <w:sz w:val="22"/>
          <w:szCs w:val="22"/>
        </w:rPr>
        <w:t xml:space="preserve"> </w:t>
      </w:r>
      <w:r w:rsidR="00C02E36" w:rsidRPr="00B62651">
        <w:rPr>
          <w:sz w:val="22"/>
          <w:szCs w:val="22"/>
        </w:rPr>
        <w:t xml:space="preserve"> </w:t>
      </w:r>
      <w:r w:rsidR="00895CF6" w:rsidRPr="00B62651">
        <w:rPr>
          <w:sz w:val="22"/>
          <w:szCs w:val="22"/>
        </w:rPr>
        <w:t xml:space="preserve">For any member who </w:t>
      </w:r>
      <w:r w:rsidR="00682664" w:rsidRPr="00B62651">
        <w:rPr>
          <w:sz w:val="22"/>
          <w:szCs w:val="22"/>
        </w:rPr>
        <w:t xml:space="preserve">cannot afford a computer, the Tribe will provide </w:t>
      </w:r>
      <w:r w:rsidR="00895CF6" w:rsidRPr="00B62651">
        <w:rPr>
          <w:sz w:val="22"/>
          <w:szCs w:val="22"/>
        </w:rPr>
        <w:t>one</w:t>
      </w:r>
      <w:r w:rsidR="00682664" w:rsidRPr="00B62651">
        <w:rPr>
          <w:sz w:val="22"/>
          <w:szCs w:val="22"/>
        </w:rPr>
        <w:t xml:space="preserve"> at no charge</w:t>
      </w:r>
      <w:r w:rsidR="00895CF6" w:rsidRPr="00B62651">
        <w:rPr>
          <w:sz w:val="22"/>
          <w:szCs w:val="22"/>
        </w:rPr>
        <w:t>.</w:t>
      </w:r>
      <w:r w:rsidR="00895CF6" w:rsidRPr="00B62651">
        <w:rPr>
          <w:rStyle w:val="FootnoteReference"/>
          <w:sz w:val="22"/>
          <w:szCs w:val="22"/>
        </w:rPr>
        <w:footnoteReference w:id="18"/>
      </w:r>
    </w:p>
    <w:p w:rsidR="00B62651" w:rsidRPr="00B62651" w:rsidRDefault="00122225" w:rsidP="00B62651">
      <w:pPr>
        <w:pStyle w:val="ParaNum"/>
        <w:tabs>
          <w:tab w:val="clear" w:pos="2520"/>
          <w:tab w:val="left" w:pos="1440"/>
        </w:tabs>
        <w:spacing w:after="220"/>
        <w:ind w:left="0"/>
        <w:rPr>
          <w:sz w:val="22"/>
          <w:szCs w:val="22"/>
        </w:rPr>
      </w:pPr>
      <w:r>
        <w:rPr>
          <w:sz w:val="22"/>
          <w:szCs w:val="22"/>
        </w:rPr>
        <w:t>Nisqually</w:t>
      </w:r>
      <w:r w:rsidR="00EB1F73" w:rsidRPr="00B62651">
        <w:rPr>
          <w:sz w:val="22"/>
          <w:szCs w:val="22"/>
        </w:rPr>
        <w:t xml:space="preserve"> says that it considered other</w:t>
      </w:r>
      <w:r w:rsidR="00682664" w:rsidRPr="00B62651">
        <w:rPr>
          <w:sz w:val="22"/>
          <w:szCs w:val="22"/>
        </w:rPr>
        <w:t xml:space="preserve"> means of providing broadband </w:t>
      </w:r>
      <w:r w:rsidR="00EB1F73" w:rsidRPr="00B62651">
        <w:rPr>
          <w:sz w:val="22"/>
          <w:szCs w:val="22"/>
        </w:rPr>
        <w:t xml:space="preserve">but found them </w:t>
      </w:r>
      <w:r w:rsidR="00682664" w:rsidRPr="00B62651">
        <w:rPr>
          <w:sz w:val="22"/>
          <w:szCs w:val="22"/>
        </w:rPr>
        <w:t>to be unsui</w:t>
      </w:r>
      <w:r w:rsidR="00EB1F73" w:rsidRPr="00B62651">
        <w:rPr>
          <w:sz w:val="22"/>
          <w:szCs w:val="22"/>
        </w:rPr>
        <w:t xml:space="preserve">table or significantly inferior to the service proposed in its application.  </w:t>
      </w:r>
      <w:r>
        <w:rPr>
          <w:sz w:val="22"/>
          <w:szCs w:val="22"/>
        </w:rPr>
        <w:t>Nisqually</w:t>
      </w:r>
      <w:r w:rsidR="00E50806" w:rsidRPr="00E50806">
        <w:rPr>
          <w:sz w:val="22"/>
          <w:szCs w:val="22"/>
        </w:rPr>
        <w:t xml:space="preserve"> says that it conducted a search for EBS stations located within 70 miles of the </w:t>
      </w:r>
      <w:r w:rsidR="00FF5878">
        <w:rPr>
          <w:sz w:val="22"/>
          <w:szCs w:val="22"/>
        </w:rPr>
        <w:t>reservation</w:t>
      </w:r>
      <w:r w:rsidR="00E50806" w:rsidRPr="00E50806">
        <w:rPr>
          <w:sz w:val="22"/>
          <w:szCs w:val="22"/>
        </w:rPr>
        <w:t xml:space="preserve"> to determine if EBS channels were available to satisfy the Tribe's needs but found only one EBS channel group with a GSA that covers the reservation, the B-Group channels licensed to the City University of Seattle under call sign WNC422, but those channels are already leased to Clearwire Spectrum Holdings II, LLC.</w:t>
      </w:r>
      <w:r w:rsidR="00E50806" w:rsidRPr="00E50806">
        <w:rPr>
          <w:sz w:val="22"/>
          <w:szCs w:val="22"/>
          <w:vertAlign w:val="superscript"/>
        </w:rPr>
        <w:footnoteReference w:id="19"/>
      </w:r>
      <w:r w:rsidR="00E50806">
        <w:rPr>
          <w:sz w:val="22"/>
          <w:szCs w:val="22"/>
        </w:rPr>
        <w:t xml:space="preserve">  </w:t>
      </w:r>
      <w:r>
        <w:rPr>
          <w:sz w:val="22"/>
          <w:szCs w:val="22"/>
        </w:rPr>
        <w:t>Nisqually</w:t>
      </w:r>
      <w:r w:rsidR="00C02E36" w:rsidRPr="00B62651">
        <w:rPr>
          <w:sz w:val="22"/>
          <w:szCs w:val="22"/>
        </w:rPr>
        <w:t xml:space="preserve"> also considered using unlicensed spectrum or spectrum in the 3650-3700 MHz band but rejected th</w:t>
      </w:r>
      <w:r w:rsidR="00B33120">
        <w:rPr>
          <w:sz w:val="22"/>
          <w:szCs w:val="22"/>
        </w:rPr>
        <w:t>ose</w:t>
      </w:r>
      <w:r w:rsidR="00C02E36" w:rsidRPr="00B62651">
        <w:rPr>
          <w:sz w:val="22"/>
          <w:szCs w:val="22"/>
        </w:rPr>
        <w:t xml:space="preserve"> option</w:t>
      </w:r>
      <w:r w:rsidR="00B33120">
        <w:rPr>
          <w:sz w:val="22"/>
          <w:szCs w:val="22"/>
        </w:rPr>
        <w:t>s</w:t>
      </w:r>
      <w:r w:rsidR="00C02E36" w:rsidRPr="00B62651">
        <w:rPr>
          <w:sz w:val="22"/>
          <w:szCs w:val="22"/>
        </w:rPr>
        <w:t xml:space="preserve"> because the terrain and foliage on the reservation made it impossible to provide the needed penetration using those bands.</w:t>
      </w:r>
      <w:r w:rsidR="00C02E36" w:rsidRPr="00B62651">
        <w:rPr>
          <w:rStyle w:val="FootnoteReference"/>
          <w:sz w:val="22"/>
          <w:szCs w:val="22"/>
        </w:rPr>
        <w:footnoteReference w:id="20"/>
      </w:r>
      <w:r w:rsidR="00C02E36" w:rsidRPr="00B62651">
        <w:rPr>
          <w:sz w:val="22"/>
          <w:szCs w:val="22"/>
        </w:rPr>
        <w:t xml:space="preserve">  </w:t>
      </w:r>
      <w:r>
        <w:rPr>
          <w:sz w:val="22"/>
          <w:szCs w:val="22"/>
        </w:rPr>
        <w:t>Nisqually</w:t>
      </w:r>
      <w:r w:rsidR="00BC3581" w:rsidRPr="00B62651">
        <w:rPr>
          <w:sz w:val="22"/>
          <w:szCs w:val="22"/>
        </w:rPr>
        <w:t xml:space="preserve"> says that it is proposing </w:t>
      </w:r>
      <w:r w:rsidR="00682664" w:rsidRPr="00B62651">
        <w:rPr>
          <w:sz w:val="22"/>
          <w:szCs w:val="22"/>
        </w:rPr>
        <w:t xml:space="preserve">a minimal use of the EBS spectrum resource, tailored closely to its needs, by limiting the request to </w:t>
      </w:r>
      <w:r w:rsidR="00BC3581" w:rsidRPr="00B62651">
        <w:rPr>
          <w:sz w:val="22"/>
          <w:szCs w:val="22"/>
        </w:rPr>
        <w:t>one</w:t>
      </w:r>
      <w:r w:rsidR="00682664" w:rsidRPr="00B62651">
        <w:rPr>
          <w:sz w:val="22"/>
          <w:szCs w:val="22"/>
        </w:rPr>
        <w:t xml:space="preserve"> EBS channel group and limiting the GS</w:t>
      </w:r>
      <w:r w:rsidR="00170FA6" w:rsidRPr="00B62651">
        <w:rPr>
          <w:sz w:val="22"/>
          <w:szCs w:val="22"/>
        </w:rPr>
        <w:t>A assigned to this group to an eight</w:t>
      </w:r>
      <w:r w:rsidR="00682664" w:rsidRPr="00B62651">
        <w:rPr>
          <w:sz w:val="22"/>
          <w:szCs w:val="22"/>
        </w:rPr>
        <w:t xml:space="preserve"> mile radius centered on the reservation</w:t>
      </w:r>
      <w:r w:rsidR="00BC3581" w:rsidRPr="00B62651">
        <w:rPr>
          <w:sz w:val="22"/>
          <w:szCs w:val="22"/>
        </w:rPr>
        <w:t>.</w:t>
      </w:r>
      <w:r w:rsidR="00FE0E9E">
        <w:rPr>
          <w:rStyle w:val="FootnoteReference"/>
          <w:sz w:val="22"/>
          <w:szCs w:val="22"/>
        </w:rPr>
        <w:footnoteReference w:id="21"/>
      </w:r>
      <w:r w:rsidR="00BC3581" w:rsidRPr="00B62651">
        <w:rPr>
          <w:sz w:val="22"/>
          <w:szCs w:val="22"/>
        </w:rPr>
        <w:t xml:space="preserve">  It states that the EBS channel group that it seeks, the G group, is used nowhere else in the </w:t>
      </w:r>
      <w:r w:rsidR="00102CCC">
        <w:rPr>
          <w:sz w:val="22"/>
          <w:szCs w:val="22"/>
        </w:rPr>
        <w:t xml:space="preserve">Olympia, Washington </w:t>
      </w:r>
      <w:r w:rsidR="00BC3581" w:rsidRPr="00B62651">
        <w:rPr>
          <w:sz w:val="22"/>
          <w:szCs w:val="22"/>
        </w:rPr>
        <w:t>BTA</w:t>
      </w:r>
      <w:r w:rsidR="00102CCC">
        <w:rPr>
          <w:sz w:val="22"/>
          <w:szCs w:val="22"/>
        </w:rPr>
        <w:t xml:space="preserve"> where the reservation is located</w:t>
      </w:r>
      <w:r w:rsidR="00BC3581" w:rsidRPr="00B62651">
        <w:rPr>
          <w:sz w:val="22"/>
          <w:szCs w:val="22"/>
        </w:rPr>
        <w:t>.</w:t>
      </w:r>
      <w:r w:rsidR="00BC3581" w:rsidRPr="00B62651">
        <w:rPr>
          <w:rStyle w:val="FootnoteReference"/>
          <w:sz w:val="22"/>
          <w:szCs w:val="22"/>
        </w:rPr>
        <w:footnoteReference w:id="22"/>
      </w:r>
    </w:p>
    <w:p w:rsidR="00B62651" w:rsidRDefault="00122225" w:rsidP="00B62651">
      <w:pPr>
        <w:pStyle w:val="ParaNum"/>
        <w:tabs>
          <w:tab w:val="clear" w:pos="2520"/>
          <w:tab w:val="left" w:pos="1440"/>
        </w:tabs>
        <w:spacing w:after="220"/>
        <w:ind w:left="0"/>
        <w:rPr>
          <w:sz w:val="22"/>
          <w:szCs w:val="22"/>
        </w:rPr>
      </w:pPr>
      <w:r>
        <w:rPr>
          <w:sz w:val="22"/>
          <w:szCs w:val="22"/>
        </w:rPr>
        <w:t>Nisqually</w:t>
      </w:r>
      <w:r w:rsidR="00822155" w:rsidRPr="00B62651">
        <w:rPr>
          <w:sz w:val="22"/>
          <w:szCs w:val="22"/>
        </w:rPr>
        <w:t xml:space="preserve"> submits that these benefits, standing alone, more than justify a grant of the waivers sought by this application</w:t>
      </w:r>
      <w:r w:rsidR="00C02E36" w:rsidRPr="00B62651">
        <w:rPr>
          <w:sz w:val="22"/>
          <w:szCs w:val="22"/>
        </w:rPr>
        <w:t xml:space="preserve">.  </w:t>
      </w:r>
      <w:r>
        <w:rPr>
          <w:sz w:val="22"/>
          <w:szCs w:val="22"/>
        </w:rPr>
        <w:t>Nisqually</w:t>
      </w:r>
      <w:r w:rsidR="00C02E36" w:rsidRPr="00B62651">
        <w:rPr>
          <w:sz w:val="22"/>
          <w:szCs w:val="22"/>
        </w:rPr>
        <w:t xml:space="preserve"> also argues that </w:t>
      </w:r>
      <w:r w:rsidR="0021086C" w:rsidRPr="00B62651">
        <w:rPr>
          <w:sz w:val="22"/>
          <w:szCs w:val="22"/>
        </w:rPr>
        <w:t xml:space="preserve">it has presented a stronger case for waiver than in two cases where the </w:t>
      </w:r>
      <w:r w:rsidR="00B33120">
        <w:rPr>
          <w:sz w:val="22"/>
          <w:szCs w:val="22"/>
        </w:rPr>
        <w:t>Commission or the Wireless Telecommunications Bureau (“</w:t>
      </w:r>
      <w:r w:rsidR="0021086C" w:rsidRPr="00B62651">
        <w:rPr>
          <w:sz w:val="22"/>
          <w:szCs w:val="22"/>
        </w:rPr>
        <w:t>Bureau</w:t>
      </w:r>
      <w:r w:rsidR="00B33120">
        <w:rPr>
          <w:sz w:val="22"/>
          <w:szCs w:val="22"/>
        </w:rPr>
        <w:t>”)</w:t>
      </w:r>
      <w:r w:rsidR="0021086C" w:rsidRPr="00B62651">
        <w:rPr>
          <w:sz w:val="22"/>
          <w:szCs w:val="22"/>
        </w:rPr>
        <w:t xml:space="preserve"> has granted waivers of the EBS filing freeze.</w:t>
      </w:r>
      <w:r w:rsidR="0021086C" w:rsidRPr="00B62651">
        <w:rPr>
          <w:rStyle w:val="FootnoteReference"/>
          <w:sz w:val="22"/>
          <w:szCs w:val="22"/>
        </w:rPr>
        <w:footnoteReference w:id="23"/>
      </w:r>
      <w:r w:rsidR="0021086C" w:rsidRPr="00B62651">
        <w:rPr>
          <w:sz w:val="22"/>
          <w:szCs w:val="22"/>
        </w:rPr>
        <w:t xml:space="preserve">  </w:t>
      </w:r>
      <w:r>
        <w:rPr>
          <w:sz w:val="22"/>
          <w:szCs w:val="22"/>
        </w:rPr>
        <w:t>Nisqually</w:t>
      </w:r>
      <w:r w:rsidR="007F10F0" w:rsidRPr="00B62651">
        <w:rPr>
          <w:sz w:val="22"/>
          <w:szCs w:val="22"/>
        </w:rPr>
        <w:t xml:space="preserve"> notes that, like the situations addressed in the </w:t>
      </w:r>
      <w:r w:rsidR="007F10F0" w:rsidRPr="00B62651">
        <w:rPr>
          <w:i/>
          <w:sz w:val="22"/>
          <w:szCs w:val="22"/>
        </w:rPr>
        <w:t xml:space="preserve">NMU </w:t>
      </w:r>
      <w:r w:rsidR="0021086C" w:rsidRPr="00B62651">
        <w:rPr>
          <w:i/>
          <w:sz w:val="22"/>
          <w:szCs w:val="22"/>
        </w:rPr>
        <w:t>Order</w:t>
      </w:r>
      <w:r w:rsidR="0021086C" w:rsidRPr="00B62651">
        <w:rPr>
          <w:sz w:val="22"/>
          <w:szCs w:val="22"/>
        </w:rPr>
        <w:t xml:space="preserve"> </w:t>
      </w:r>
      <w:r w:rsidR="007F10F0" w:rsidRPr="00B62651">
        <w:rPr>
          <w:sz w:val="22"/>
          <w:szCs w:val="22"/>
        </w:rPr>
        <w:t>and</w:t>
      </w:r>
      <w:r w:rsidR="0021086C" w:rsidRPr="00B62651">
        <w:rPr>
          <w:sz w:val="22"/>
          <w:szCs w:val="22"/>
        </w:rPr>
        <w:t xml:space="preserve"> </w:t>
      </w:r>
      <w:r w:rsidR="0021086C" w:rsidRPr="00B62651">
        <w:rPr>
          <w:i/>
          <w:sz w:val="22"/>
          <w:szCs w:val="22"/>
        </w:rPr>
        <w:t>StratusWave Order</w:t>
      </w:r>
      <w:r w:rsidR="007F10F0" w:rsidRPr="00B62651">
        <w:rPr>
          <w:sz w:val="22"/>
          <w:szCs w:val="22"/>
        </w:rPr>
        <w:t>, there are no licensed EBS channels available for lease in its proposed service area.</w:t>
      </w:r>
      <w:r w:rsidR="007F10F0" w:rsidRPr="00B62651">
        <w:rPr>
          <w:rStyle w:val="FootnoteReference"/>
          <w:sz w:val="22"/>
          <w:szCs w:val="22"/>
        </w:rPr>
        <w:footnoteReference w:id="24"/>
      </w:r>
      <w:r w:rsidR="007F10F0" w:rsidRPr="00B62651">
        <w:rPr>
          <w:sz w:val="22"/>
          <w:szCs w:val="22"/>
        </w:rPr>
        <w:t xml:space="preserve">  </w:t>
      </w:r>
    </w:p>
    <w:p w:rsidR="00B62651" w:rsidRDefault="00122225" w:rsidP="00B62651">
      <w:pPr>
        <w:pStyle w:val="ParaNum"/>
        <w:tabs>
          <w:tab w:val="clear" w:pos="2520"/>
          <w:tab w:val="left" w:pos="1440"/>
        </w:tabs>
        <w:spacing w:after="220"/>
        <w:ind w:left="0"/>
        <w:rPr>
          <w:sz w:val="22"/>
          <w:szCs w:val="22"/>
        </w:rPr>
      </w:pPr>
      <w:r>
        <w:rPr>
          <w:sz w:val="22"/>
          <w:szCs w:val="22"/>
        </w:rPr>
        <w:t>Nisqually</w:t>
      </w:r>
      <w:r w:rsidR="005154F4" w:rsidRPr="00B62651">
        <w:rPr>
          <w:sz w:val="22"/>
          <w:szCs w:val="22"/>
        </w:rPr>
        <w:t xml:space="preserve">’s application was listed on public notice as accepted for filing on </w:t>
      </w:r>
      <w:r w:rsidR="003A6F6C" w:rsidRPr="00B62651">
        <w:rPr>
          <w:sz w:val="22"/>
          <w:szCs w:val="22"/>
        </w:rPr>
        <w:t>May 18, 2011</w:t>
      </w:r>
      <w:r w:rsidR="005154F4" w:rsidRPr="00B62651">
        <w:rPr>
          <w:sz w:val="22"/>
          <w:szCs w:val="22"/>
        </w:rPr>
        <w:t>.</w:t>
      </w:r>
      <w:r w:rsidR="005154F4" w:rsidRPr="00B62651">
        <w:rPr>
          <w:rStyle w:val="FootnoteReference"/>
          <w:sz w:val="22"/>
          <w:szCs w:val="22"/>
        </w:rPr>
        <w:footnoteReference w:id="25"/>
      </w:r>
      <w:r w:rsidR="005154F4" w:rsidRPr="00B62651">
        <w:rPr>
          <w:sz w:val="22"/>
          <w:szCs w:val="22"/>
        </w:rPr>
        <w:t xml:space="preserve">  No</w:t>
      </w:r>
      <w:r w:rsidR="00140F21" w:rsidRPr="00B62651">
        <w:rPr>
          <w:sz w:val="22"/>
          <w:szCs w:val="22"/>
        </w:rPr>
        <w:t>body filed any petition</w:t>
      </w:r>
      <w:r w:rsidR="005154F4" w:rsidRPr="00B62651">
        <w:rPr>
          <w:sz w:val="22"/>
          <w:szCs w:val="22"/>
        </w:rPr>
        <w:t xml:space="preserve"> to deny</w:t>
      </w:r>
      <w:r w:rsidR="00140F21" w:rsidRPr="00B62651">
        <w:rPr>
          <w:sz w:val="22"/>
          <w:szCs w:val="22"/>
        </w:rPr>
        <w:t xml:space="preserve"> or other opposition</w:t>
      </w:r>
      <w:r w:rsidR="005154F4" w:rsidRPr="00B62651">
        <w:rPr>
          <w:sz w:val="22"/>
          <w:szCs w:val="22"/>
        </w:rPr>
        <w:t>.</w:t>
      </w:r>
    </w:p>
    <w:p w:rsidR="00B62651" w:rsidRPr="00B62651" w:rsidRDefault="00B62651" w:rsidP="00B62651">
      <w:pPr>
        <w:pStyle w:val="Heading1"/>
        <w:spacing w:before="0" w:after="220"/>
        <w:rPr>
          <w:rFonts w:ascii="Times New Roman" w:hAnsi="Times New Roman"/>
          <w:sz w:val="22"/>
          <w:szCs w:val="22"/>
        </w:rPr>
      </w:pPr>
      <w:r w:rsidRPr="00B62651">
        <w:rPr>
          <w:rFonts w:ascii="Times New Roman" w:hAnsi="Times New Roman"/>
          <w:sz w:val="22"/>
          <w:szCs w:val="22"/>
        </w:rPr>
        <w:t>III.</w:t>
      </w:r>
      <w:r w:rsidRPr="00B62651">
        <w:rPr>
          <w:rFonts w:ascii="Times New Roman" w:hAnsi="Times New Roman"/>
          <w:sz w:val="22"/>
          <w:szCs w:val="22"/>
        </w:rPr>
        <w:tab/>
        <w:t>DISCUSSION</w:t>
      </w:r>
    </w:p>
    <w:p w:rsidR="00B62651" w:rsidRDefault="0001340E" w:rsidP="00B62651">
      <w:pPr>
        <w:pStyle w:val="ParaNum"/>
        <w:tabs>
          <w:tab w:val="clear" w:pos="2520"/>
          <w:tab w:val="left" w:pos="1440"/>
        </w:tabs>
        <w:spacing w:after="220"/>
        <w:ind w:left="0"/>
        <w:rPr>
          <w:sz w:val="22"/>
          <w:szCs w:val="22"/>
        </w:rPr>
      </w:pPr>
      <w:r w:rsidRPr="00B62651">
        <w:rPr>
          <w:sz w:val="22"/>
          <w:szCs w:val="22"/>
        </w:rPr>
        <w:t xml:space="preserve">As noted, </w:t>
      </w:r>
      <w:r w:rsidR="00122225">
        <w:rPr>
          <w:sz w:val="22"/>
          <w:szCs w:val="22"/>
        </w:rPr>
        <w:t>Nisqually</w:t>
      </w:r>
      <w:r w:rsidR="005154F4" w:rsidRPr="00B62651">
        <w:rPr>
          <w:sz w:val="22"/>
          <w:szCs w:val="22"/>
        </w:rPr>
        <w:t xml:space="preserve"> seeks both a waiver of the filing freeze on new EBS applications</w:t>
      </w:r>
      <w:r w:rsidR="005154F4" w:rsidRPr="00B62651">
        <w:rPr>
          <w:rStyle w:val="FootnoteReference"/>
          <w:sz w:val="22"/>
          <w:szCs w:val="22"/>
        </w:rPr>
        <w:t xml:space="preserve"> </w:t>
      </w:r>
      <w:r w:rsidR="005154F4" w:rsidRPr="00B62651">
        <w:rPr>
          <w:sz w:val="22"/>
          <w:szCs w:val="22"/>
        </w:rPr>
        <w:t xml:space="preserve">and a waiver of the electronic filing requirement for such applications, to permit it to use available EBS channels to operate a </w:t>
      </w:r>
      <w:r w:rsidR="00B67D5C" w:rsidRPr="00B62651">
        <w:rPr>
          <w:sz w:val="22"/>
          <w:szCs w:val="22"/>
        </w:rPr>
        <w:t>wireless broadband</w:t>
      </w:r>
      <w:r w:rsidR="005154F4" w:rsidRPr="00B62651">
        <w:rPr>
          <w:sz w:val="22"/>
          <w:szCs w:val="22"/>
        </w:rPr>
        <w:t xml:space="preserve"> network for the provision of educational and instructional material.</w:t>
      </w:r>
      <w:r w:rsidR="005154F4" w:rsidRPr="00B62651">
        <w:rPr>
          <w:rStyle w:val="FootnoteReference"/>
          <w:sz w:val="22"/>
          <w:szCs w:val="22"/>
        </w:rPr>
        <w:footnoteReference w:id="26"/>
      </w:r>
      <w:r w:rsidR="005154F4" w:rsidRPr="00B62651">
        <w:rPr>
          <w:sz w:val="22"/>
          <w:szCs w:val="22"/>
        </w:rPr>
        <w:t xml:space="preserve">    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005154F4" w:rsidRPr="00B62651">
        <w:rPr>
          <w:rStyle w:val="FootnoteReference"/>
          <w:sz w:val="22"/>
          <w:szCs w:val="22"/>
        </w:rPr>
        <w:footnoteReference w:id="27"/>
      </w:r>
      <w:r w:rsidR="005154F4" w:rsidRPr="00B62651">
        <w:rPr>
          <w:sz w:val="22"/>
          <w:szCs w:val="22"/>
        </w:rPr>
        <w:t xml:space="preserve">   As discu</w:t>
      </w:r>
      <w:r w:rsidRPr="00B62651">
        <w:rPr>
          <w:sz w:val="22"/>
          <w:szCs w:val="22"/>
        </w:rPr>
        <w:t xml:space="preserve">ssed below, we conclude that </w:t>
      </w:r>
      <w:r w:rsidR="00122225">
        <w:rPr>
          <w:sz w:val="22"/>
          <w:szCs w:val="22"/>
        </w:rPr>
        <w:t>Nisqually</w:t>
      </w:r>
      <w:r w:rsidR="005154F4" w:rsidRPr="00B62651">
        <w:rPr>
          <w:sz w:val="22"/>
          <w:szCs w:val="22"/>
        </w:rPr>
        <w:t xml:space="preserve"> has met the </w:t>
      </w:r>
      <w:r w:rsidR="007A26F8" w:rsidRPr="00B62651">
        <w:rPr>
          <w:sz w:val="22"/>
          <w:szCs w:val="22"/>
        </w:rPr>
        <w:t xml:space="preserve">second prong of the </w:t>
      </w:r>
      <w:r w:rsidR="005154F4" w:rsidRPr="00B62651">
        <w:rPr>
          <w:sz w:val="22"/>
          <w:szCs w:val="22"/>
        </w:rPr>
        <w:t>waiver standard with respect to both of its requests, and accordingly we grant its waiver request, subject to the conditions outlined in the following discussion.</w:t>
      </w:r>
    </w:p>
    <w:p w:rsidR="00C768B0" w:rsidRPr="0023196A" w:rsidRDefault="00C768B0" w:rsidP="00C768B0">
      <w:pPr>
        <w:pStyle w:val="ParaNum"/>
        <w:tabs>
          <w:tab w:val="clear" w:pos="2520"/>
          <w:tab w:val="left" w:pos="1440"/>
        </w:tabs>
        <w:spacing w:after="220"/>
        <w:ind w:left="0"/>
        <w:rPr>
          <w:rStyle w:val="documentbody1"/>
          <w:rFonts w:ascii="Times New Roman" w:hAnsi="Times New Roman"/>
          <w:sz w:val="22"/>
          <w:szCs w:val="22"/>
          <w:shd w:val="clear" w:color="auto" w:fill="auto"/>
        </w:rPr>
      </w:pPr>
      <w:r w:rsidRPr="00322B87">
        <w:rPr>
          <w:rStyle w:val="documentbody1"/>
          <w:rFonts w:ascii="Times New Roman" w:hAnsi="Times New Roman"/>
          <w:color w:val="000000"/>
          <w:sz w:val="22"/>
          <w:szCs w:val="22"/>
        </w:rPr>
        <w:t>With respect to the electronic filing requirement contained in Section 1.1913(b) of the Commission’s Rules,</w:t>
      </w:r>
      <w:r w:rsidRPr="00322B87">
        <w:rPr>
          <w:rStyle w:val="FootnoteReference"/>
          <w:sz w:val="22"/>
          <w:szCs w:val="22"/>
        </w:rPr>
        <w:footnoteReference w:id="28"/>
      </w:r>
      <w:r w:rsidRPr="00322B87">
        <w:rPr>
          <w:sz w:val="22"/>
          <w:szCs w:val="22"/>
        </w:rPr>
        <w:t xml:space="preserve"> we observe that  the Commission’s electronic Universal Licensing System (ULS) is not currently configured to accept applications such as the one submitted by </w:t>
      </w:r>
      <w:r w:rsidR="00122225">
        <w:rPr>
          <w:sz w:val="22"/>
          <w:szCs w:val="22"/>
        </w:rPr>
        <w:t>Nisqually</w:t>
      </w:r>
      <w:r w:rsidRPr="00322B87">
        <w:rPr>
          <w:sz w:val="22"/>
          <w:szCs w:val="22"/>
        </w:rPr>
        <w:t xml:space="preserve">.  We therefore conclude that, in light of these circumstances, </w:t>
      </w:r>
      <w:r w:rsidRPr="00322B87">
        <w:rPr>
          <w:rStyle w:val="documentbody1"/>
          <w:rFonts w:ascii="Times New Roman" w:hAnsi="Times New Roman"/>
          <w:color w:val="000000"/>
          <w:sz w:val="22"/>
          <w:szCs w:val="22"/>
        </w:rPr>
        <w:t xml:space="preserve">application of the rule would be inequitable and contrary to the public interest because it would be unfair to reject an application for failure to file electronically when electronic filing capability is not available.  We therefore grant </w:t>
      </w:r>
      <w:r w:rsidR="00122225">
        <w:rPr>
          <w:rStyle w:val="documentbody1"/>
          <w:rFonts w:ascii="Times New Roman" w:hAnsi="Times New Roman"/>
          <w:color w:val="000000"/>
          <w:sz w:val="22"/>
          <w:szCs w:val="22"/>
        </w:rPr>
        <w:t>Nisqually</w:t>
      </w:r>
      <w:r w:rsidRPr="00322B87">
        <w:rPr>
          <w:rStyle w:val="documentbody1"/>
          <w:rFonts w:ascii="Times New Roman" w:hAnsi="Times New Roman"/>
          <w:color w:val="000000"/>
          <w:sz w:val="22"/>
          <w:szCs w:val="22"/>
        </w:rPr>
        <w:t xml:space="preserve"> a waiver to permit manual filing of its Application.</w:t>
      </w:r>
    </w:p>
    <w:p w:rsidR="00947408" w:rsidRPr="00322B87" w:rsidRDefault="00B62651" w:rsidP="00947408">
      <w:pPr>
        <w:pStyle w:val="ParaNum"/>
        <w:tabs>
          <w:tab w:val="clear" w:pos="2520"/>
          <w:tab w:val="left" w:pos="1440"/>
        </w:tabs>
        <w:spacing w:after="220"/>
        <w:ind w:left="0"/>
        <w:rPr>
          <w:sz w:val="22"/>
          <w:szCs w:val="22"/>
        </w:rPr>
      </w:pPr>
      <w:r w:rsidRPr="00322B87">
        <w:rPr>
          <w:sz w:val="22"/>
          <w:szCs w:val="22"/>
        </w:rPr>
        <w:t xml:space="preserve">We conclude that application of the filing freeze would be inequitable and contrary to the public interest under the unique circumstances presented by </w:t>
      </w:r>
      <w:r w:rsidR="00122225">
        <w:rPr>
          <w:sz w:val="22"/>
          <w:szCs w:val="22"/>
        </w:rPr>
        <w:t>Nisqually</w:t>
      </w:r>
      <w:r w:rsidRPr="00322B87">
        <w:rPr>
          <w:sz w:val="22"/>
          <w:szCs w:val="22"/>
        </w:rPr>
        <w:t xml:space="preserve">.  The Tribe </w:t>
      </w:r>
      <w:r w:rsidR="00BF7BA0">
        <w:rPr>
          <w:sz w:val="22"/>
          <w:szCs w:val="22"/>
        </w:rPr>
        <w:t xml:space="preserve">has shown that there is a compelling need for </w:t>
      </w:r>
      <w:r w:rsidR="00621583">
        <w:rPr>
          <w:sz w:val="22"/>
          <w:szCs w:val="22"/>
        </w:rPr>
        <w:t xml:space="preserve">additional educational services on its reservation.  </w:t>
      </w:r>
      <w:r w:rsidR="00875B45" w:rsidRPr="00322B87">
        <w:rPr>
          <w:sz w:val="22"/>
          <w:szCs w:val="22"/>
        </w:rPr>
        <w:t xml:space="preserve">As of 2000, </w:t>
      </w:r>
      <w:r w:rsidR="00725A33">
        <w:rPr>
          <w:sz w:val="22"/>
          <w:szCs w:val="22"/>
        </w:rPr>
        <w:t xml:space="preserve">while more than 84 percent of Nisqually </w:t>
      </w:r>
      <w:r w:rsidR="00FF5878">
        <w:rPr>
          <w:sz w:val="22"/>
          <w:szCs w:val="22"/>
        </w:rPr>
        <w:t>T</w:t>
      </w:r>
      <w:r w:rsidR="00725A33">
        <w:rPr>
          <w:sz w:val="22"/>
          <w:szCs w:val="22"/>
        </w:rPr>
        <w:t xml:space="preserve">ribal members aged 25 years and over were high school graduates, </w:t>
      </w:r>
      <w:r w:rsidR="00875B45" w:rsidRPr="00322B87">
        <w:rPr>
          <w:sz w:val="22"/>
          <w:szCs w:val="22"/>
        </w:rPr>
        <w:t>only 14 percent of the Nisqually had earned four-year college degrees</w:t>
      </w:r>
      <w:r w:rsidR="00725A33">
        <w:rPr>
          <w:sz w:val="22"/>
          <w:szCs w:val="22"/>
        </w:rPr>
        <w:t>,</w:t>
      </w:r>
      <w:r w:rsidR="00875B45" w:rsidRPr="00322B87">
        <w:rPr>
          <w:sz w:val="22"/>
          <w:szCs w:val="22"/>
        </w:rPr>
        <w:t xml:space="preserve"> and less than half had attended college at all.</w:t>
      </w:r>
      <w:r w:rsidR="00875B45" w:rsidRPr="00322B87">
        <w:rPr>
          <w:rStyle w:val="FootnoteReference"/>
          <w:sz w:val="22"/>
          <w:szCs w:val="22"/>
        </w:rPr>
        <w:footnoteReference w:id="29"/>
      </w:r>
      <w:r w:rsidR="00875B45" w:rsidRPr="00322B87">
        <w:rPr>
          <w:sz w:val="22"/>
          <w:szCs w:val="22"/>
        </w:rPr>
        <w:t xml:space="preserve">  </w:t>
      </w:r>
      <w:r w:rsidR="00947408" w:rsidRPr="00322B87">
        <w:rPr>
          <w:sz w:val="22"/>
          <w:szCs w:val="22"/>
        </w:rPr>
        <w:t xml:space="preserve">The new campus that Northwest Indian College is opening on </w:t>
      </w:r>
      <w:r w:rsidR="00122225">
        <w:rPr>
          <w:sz w:val="22"/>
          <w:szCs w:val="22"/>
        </w:rPr>
        <w:t>Nisqually</w:t>
      </w:r>
      <w:r w:rsidR="00947408" w:rsidRPr="00322B87">
        <w:rPr>
          <w:sz w:val="22"/>
          <w:szCs w:val="22"/>
        </w:rPr>
        <w:t xml:space="preserve">’s reservation can help make a college education a practical possibility for the first time to many of </w:t>
      </w:r>
      <w:r w:rsidR="00122225">
        <w:rPr>
          <w:sz w:val="22"/>
          <w:szCs w:val="22"/>
        </w:rPr>
        <w:t>Nisqually</w:t>
      </w:r>
      <w:r w:rsidR="00947408" w:rsidRPr="00322B87">
        <w:rPr>
          <w:sz w:val="22"/>
          <w:szCs w:val="22"/>
        </w:rPr>
        <w:t xml:space="preserve">’s </w:t>
      </w:r>
      <w:r w:rsidR="00FF5878">
        <w:rPr>
          <w:sz w:val="22"/>
          <w:szCs w:val="22"/>
        </w:rPr>
        <w:t>T</w:t>
      </w:r>
      <w:r w:rsidR="00947408" w:rsidRPr="00322B87">
        <w:rPr>
          <w:sz w:val="22"/>
          <w:szCs w:val="22"/>
        </w:rPr>
        <w:t xml:space="preserve">ribal members, but that opportunity will be both eased and substantially expanded if </w:t>
      </w:r>
      <w:r w:rsidR="00122225">
        <w:rPr>
          <w:sz w:val="22"/>
          <w:szCs w:val="22"/>
        </w:rPr>
        <w:t>Nisqually</w:t>
      </w:r>
      <w:r w:rsidR="00947408" w:rsidRPr="00322B87">
        <w:rPr>
          <w:sz w:val="22"/>
          <w:szCs w:val="22"/>
        </w:rPr>
        <w:t>’s student members are equipped with wireless broadband access to the college’s 1,600 hybrid and web-based courses.</w:t>
      </w:r>
      <w:r w:rsidR="00947408" w:rsidRPr="00322B87">
        <w:rPr>
          <w:rStyle w:val="FootnoteReference"/>
          <w:sz w:val="22"/>
          <w:szCs w:val="22"/>
        </w:rPr>
        <w:footnoteReference w:id="30"/>
      </w:r>
      <w:r w:rsidR="00947408" w:rsidRPr="00322B87">
        <w:rPr>
          <w:sz w:val="22"/>
          <w:szCs w:val="22"/>
        </w:rPr>
        <w:t xml:space="preserve">   Moreover, given that no EBS channels are available for lease from the sole commercial EBS operator in its area, </w:t>
      </w:r>
      <w:r w:rsidR="00122225">
        <w:rPr>
          <w:sz w:val="22"/>
          <w:szCs w:val="22"/>
        </w:rPr>
        <w:t>Nisqually</w:t>
      </w:r>
      <w:r w:rsidR="00947408" w:rsidRPr="00322B87">
        <w:rPr>
          <w:sz w:val="22"/>
          <w:szCs w:val="22"/>
        </w:rPr>
        <w:t xml:space="preserve"> does not have the option of leasing spectrum from an existing EBS licensee.  In addition, the low population density of the area where the Nisqually live make broadband access to the Internet unaffordable.</w:t>
      </w:r>
    </w:p>
    <w:p w:rsidR="00D92DAD" w:rsidRPr="00322B87" w:rsidRDefault="0071272B" w:rsidP="00D92DAD">
      <w:pPr>
        <w:pStyle w:val="ParaNum"/>
        <w:tabs>
          <w:tab w:val="clear" w:pos="2520"/>
          <w:tab w:val="left" w:pos="1440"/>
        </w:tabs>
        <w:spacing w:after="220"/>
        <w:ind w:left="0"/>
        <w:rPr>
          <w:sz w:val="22"/>
          <w:szCs w:val="22"/>
        </w:rPr>
      </w:pPr>
      <w:r w:rsidRPr="0071272B">
        <w:rPr>
          <w:sz w:val="22"/>
          <w:szCs w:val="22"/>
        </w:rPr>
        <w:t>The Commission has recognized that “members of federally-recognized American Indian Tribes and Alaska Native Villages (“Native Nations or Tribes”) and other residents of Tribal lands have lacked meaningful access to wired and wireless communications services.”</w:t>
      </w:r>
      <w:r w:rsidRPr="0071272B">
        <w:rPr>
          <w:sz w:val="22"/>
          <w:szCs w:val="22"/>
          <w:vertAlign w:val="superscript"/>
        </w:rPr>
        <w:footnoteReference w:id="31"/>
      </w:r>
      <w:r w:rsidRPr="0071272B">
        <w:rPr>
          <w:sz w:val="22"/>
          <w:szCs w:val="22"/>
        </w:rPr>
        <w:t xml:space="preserve">   It has also recognized that “[g]reater access to wireless services would offer members of Tribes and others on Tribal lands significant economic opportunities and increased social benefits.”</w:t>
      </w:r>
      <w:r w:rsidRPr="0071272B">
        <w:rPr>
          <w:sz w:val="22"/>
          <w:szCs w:val="22"/>
          <w:vertAlign w:val="superscript"/>
        </w:rPr>
        <w:footnoteReference w:id="32"/>
      </w:r>
      <w:r w:rsidRPr="0071272B">
        <w:rPr>
          <w:sz w:val="22"/>
          <w:szCs w:val="22"/>
        </w:rPr>
        <w:t xml:space="preserve">  The Commission has also recognized that "[t]he lack of robust communications services presents serious impediments to Native Nations’ efforts to preserve their cultures and build their internal structures for self-governance, economic opportunity, health, education, public safety, and welfare – in short, to secure a brighter future for their people."</w:t>
      </w:r>
      <w:r w:rsidRPr="0071272B">
        <w:rPr>
          <w:sz w:val="22"/>
          <w:szCs w:val="22"/>
          <w:vertAlign w:val="superscript"/>
        </w:rPr>
        <w:footnoteReference w:id="33"/>
      </w:r>
      <w:r>
        <w:rPr>
          <w:sz w:val="22"/>
          <w:szCs w:val="22"/>
        </w:rPr>
        <w:t xml:space="preserve">  We believe that Nisqually’s proposal to use EBS and broadband will serve </w:t>
      </w:r>
      <w:r w:rsidR="009B239C">
        <w:rPr>
          <w:sz w:val="22"/>
          <w:szCs w:val="22"/>
        </w:rPr>
        <w:t xml:space="preserve">the </w:t>
      </w:r>
      <w:r>
        <w:rPr>
          <w:sz w:val="22"/>
          <w:szCs w:val="22"/>
        </w:rPr>
        <w:t xml:space="preserve">vital interests of developing educational opportunities and helping to preserve the </w:t>
      </w:r>
      <w:r w:rsidR="00FF5878">
        <w:rPr>
          <w:sz w:val="22"/>
          <w:szCs w:val="22"/>
        </w:rPr>
        <w:t>T</w:t>
      </w:r>
      <w:r>
        <w:rPr>
          <w:sz w:val="22"/>
          <w:szCs w:val="22"/>
        </w:rPr>
        <w:t xml:space="preserve">ribe’s culture.  </w:t>
      </w:r>
      <w:r w:rsidRPr="00322B87">
        <w:rPr>
          <w:sz w:val="22"/>
          <w:szCs w:val="22"/>
        </w:rPr>
        <w:t xml:space="preserve">We </w:t>
      </w:r>
      <w:r>
        <w:rPr>
          <w:sz w:val="22"/>
          <w:szCs w:val="22"/>
        </w:rPr>
        <w:t xml:space="preserve">therefore </w:t>
      </w:r>
      <w:r w:rsidRPr="00322B87">
        <w:rPr>
          <w:sz w:val="22"/>
          <w:szCs w:val="22"/>
        </w:rPr>
        <w:t xml:space="preserve">conclude that application of the filing freeze would be inequitable and contrary to the public interest under the unique circumstances presented by </w:t>
      </w:r>
      <w:r w:rsidR="00122225">
        <w:rPr>
          <w:sz w:val="22"/>
          <w:szCs w:val="22"/>
        </w:rPr>
        <w:t>Nisqually</w:t>
      </w:r>
      <w:r w:rsidRPr="00322B87">
        <w:rPr>
          <w:sz w:val="22"/>
          <w:szCs w:val="22"/>
        </w:rPr>
        <w:t xml:space="preserve">’s situation.  </w:t>
      </w:r>
    </w:p>
    <w:p w:rsidR="00D92DAD" w:rsidRPr="00322B87" w:rsidRDefault="00523B67" w:rsidP="00D92DAD">
      <w:pPr>
        <w:pStyle w:val="ParaNum"/>
        <w:tabs>
          <w:tab w:val="clear" w:pos="2520"/>
          <w:tab w:val="left" w:pos="1440"/>
        </w:tabs>
        <w:spacing w:after="220"/>
        <w:ind w:left="0"/>
        <w:rPr>
          <w:sz w:val="22"/>
          <w:szCs w:val="22"/>
        </w:rPr>
      </w:pPr>
      <w:r w:rsidRPr="00322B87">
        <w:rPr>
          <w:sz w:val="22"/>
          <w:szCs w:val="22"/>
        </w:rPr>
        <w:t xml:space="preserve">We note that </w:t>
      </w:r>
      <w:r w:rsidR="00122225">
        <w:rPr>
          <w:sz w:val="22"/>
          <w:szCs w:val="22"/>
        </w:rPr>
        <w:t>Nisqually</w:t>
      </w:r>
      <w:r w:rsidR="005154F4" w:rsidRPr="00322B87">
        <w:rPr>
          <w:sz w:val="22"/>
          <w:szCs w:val="22"/>
        </w:rPr>
        <w:t>’s proposed use of the EBS channels is consistent with the Commission’s policy for EBS.  Section 27.1201(a) of the Commission’s Rules states that a “license for an Educational Broadband Service stations will be issued only to an accredited institution…engaged in the formal education of enrolled students.”</w:t>
      </w:r>
      <w:r w:rsidR="005154F4" w:rsidRPr="00322B87">
        <w:rPr>
          <w:rStyle w:val="FootnoteReference"/>
          <w:sz w:val="22"/>
          <w:szCs w:val="22"/>
        </w:rPr>
        <w:footnoteReference w:id="34"/>
      </w:r>
      <w:r w:rsidR="002E2B62" w:rsidRPr="00322B87">
        <w:rPr>
          <w:sz w:val="22"/>
          <w:szCs w:val="22"/>
        </w:rPr>
        <w:t xml:space="preserve">  </w:t>
      </w:r>
      <w:r w:rsidR="00122225">
        <w:rPr>
          <w:sz w:val="22"/>
          <w:szCs w:val="22"/>
        </w:rPr>
        <w:t>Nisqually</w:t>
      </w:r>
      <w:r w:rsidR="002E2B62" w:rsidRPr="00322B87">
        <w:rPr>
          <w:sz w:val="22"/>
          <w:szCs w:val="22"/>
        </w:rPr>
        <w:t xml:space="preserve"> has </w:t>
      </w:r>
      <w:r w:rsidR="00EF42AC" w:rsidRPr="00322B87">
        <w:rPr>
          <w:sz w:val="22"/>
          <w:szCs w:val="22"/>
        </w:rPr>
        <w:t>its own education department that provides K-12 education</w:t>
      </w:r>
      <w:r w:rsidR="00F80405" w:rsidRPr="00322B87">
        <w:rPr>
          <w:sz w:val="22"/>
          <w:szCs w:val="22"/>
        </w:rPr>
        <w:t>,</w:t>
      </w:r>
      <w:r w:rsidR="00EF42AC" w:rsidRPr="00322B87">
        <w:rPr>
          <w:rStyle w:val="FootnoteReference"/>
          <w:sz w:val="22"/>
          <w:szCs w:val="22"/>
        </w:rPr>
        <w:footnoteReference w:id="35"/>
      </w:r>
      <w:r w:rsidR="00EF42AC" w:rsidRPr="00322B87">
        <w:rPr>
          <w:sz w:val="22"/>
          <w:szCs w:val="22"/>
        </w:rPr>
        <w:t xml:space="preserve"> has </w:t>
      </w:r>
      <w:r w:rsidR="002E2B62" w:rsidRPr="00322B87">
        <w:rPr>
          <w:sz w:val="22"/>
          <w:szCs w:val="22"/>
        </w:rPr>
        <w:t>signed an agreement with Northwest Indian College, an accredited college</w:t>
      </w:r>
      <w:r w:rsidR="00F80405" w:rsidRPr="00322B87">
        <w:rPr>
          <w:sz w:val="22"/>
          <w:szCs w:val="22"/>
        </w:rPr>
        <w:t xml:space="preserve">, and </w:t>
      </w:r>
      <w:r w:rsidR="005154F4" w:rsidRPr="00322B87">
        <w:rPr>
          <w:sz w:val="22"/>
          <w:szCs w:val="22"/>
        </w:rPr>
        <w:t xml:space="preserve">has indicated that </w:t>
      </w:r>
      <w:r w:rsidR="000A13EC" w:rsidRPr="00322B87">
        <w:rPr>
          <w:sz w:val="22"/>
          <w:szCs w:val="22"/>
        </w:rPr>
        <w:t xml:space="preserve">the </w:t>
      </w:r>
      <w:r w:rsidR="00654311" w:rsidRPr="00322B87">
        <w:rPr>
          <w:sz w:val="22"/>
          <w:szCs w:val="22"/>
        </w:rPr>
        <w:t xml:space="preserve">wireless </w:t>
      </w:r>
      <w:r w:rsidR="000A13EC" w:rsidRPr="00322B87">
        <w:rPr>
          <w:sz w:val="22"/>
          <w:szCs w:val="22"/>
        </w:rPr>
        <w:t xml:space="preserve">broadband project will be a completely non-profit effort of the </w:t>
      </w:r>
      <w:r w:rsidR="00674C72" w:rsidRPr="00322B87">
        <w:rPr>
          <w:sz w:val="22"/>
          <w:szCs w:val="22"/>
        </w:rPr>
        <w:t>Tribe</w:t>
      </w:r>
      <w:r w:rsidR="000A13EC" w:rsidRPr="00322B87">
        <w:rPr>
          <w:sz w:val="22"/>
          <w:szCs w:val="22"/>
        </w:rPr>
        <w:t xml:space="preserve">, </w:t>
      </w:r>
      <w:r w:rsidR="00F80405" w:rsidRPr="00322B87">
        <w:rPr>
          <w:sz w:val="22"/>
          <w:szCs w:val="22"/>
        </w:rPr>
        <w:t>leasing none</w:t>
      </w:r>
      <w:r w:rsidR="000A13EC" w:rsidRPr="00322B87">
        <w:rPr>
          <w:sz w:val="22"/>
          <w:szCs w:val="22"/>
        </w:rPr>
        <w:t xml:space="preserve"> of its capacity to commercial entities</w:t>
      </w:r>
      <w:r w:rsidR="005154F4" w:rsidRPr="00322B87">
        <w:rPr>
          <w:sz w:val="22"/>
          <w:szCs w:val="22"/>
        </w:rPr>
        <w:t>.</w:t>
      </w:r>
      <w:r w:rsidR="005154F4" w:rsidRPr="00322B87">
        <w:rPr>
          <w:rStyle w:val="FootnoteReference"/>
          <w:sz w:val="22"/>
          <w:szCs w:val="22"/>
        </w:rPr>
        <w:footnoteReference w:id="36"/>
      </w:r>
      <w:r w:rsidR="005154F4" w:rsidRPr="00322B87">
        <w:rPr>
          <w:sz w:val="22"/>
          <w:szCs w:val="22"/>
        </w:rPr>
        <w:t xml:space="preserve">  The provision of broadband services via a new EBS license would be consistent with the Commission’s view that, “</w:t>
      </w:r>
      <w:r w:rsidR="00DB27AC">
        <w:rPr>
          <w:sz w:val="22"/>
          <w:szCs w:val="22"/>
        </w:rPr>
        <w:t>‘</w:t>
      </w:r>
      <w:r w:rsidR="005154F4" w:rsidRPr="00322B87">
        <w:rPr>
          <w:sz w:val="22"/>
          <w:szCs w:val="22"/>
        </w:rPr>
        <w:t>the public interest favors preserving [EBS] spectrum for licensing to [educators] and that doing so will further the educational objectives that led to the establishment of [EBS].</w:t>
      </w:r>
      <w:r w:rsidR="00DB27AC">
        <w:rPr>
          <w:sz w:val="22"/>
          <w:szCs w:val="22"/>
        </w:rPr>
        <w:t>’</w:t>
      </w:r>
      <w:r w:rsidR="005154F4" w:rsidRPr="00322B87">
        <w:rPr>
          <w:sz w:val="22"/>
          <w:szCs w:val="22"/>
        </w:rPr>
        <w:t>”</w:t>
      </w:r>
      <w:r w:rsidR="005154F4" w:rsidRPr="00322B87">
        <w:rPr>
          <w:rStyle w:val="FootnoteReference"/>
          <w:sz w:val="22"/>
          <w:szCs w:val="22"/>
        </w:rPr>
        <w:footnoteReference w:id="37"/>
      </w:r>
      <w:r w:rsidR="005154F4" w:rsidRPr="00322B87">
        <w:rPr>
          <w:sz w:val="22"/>
          <w:szCs w:val="22"/>
        </w:rPr>
        <w:t xml:space="preserve">    </w:t>
      </w:r>
    </w:p>
    <w:p w:rsidR="0023196A" w:rsidRDefault="005154F4" w:rsidP="00BB5559">
      <w:pPr>
        <w:pStyle w:val="ParaNum"/>
        <w:tabs>
          <w:tab w:val="clear" w:pos="2520"/>
          <w:tab w:val="left" w:pos="1440"/>
        </w:tabs>
        <w:spacing w:after="220"/>
        <w:ind w:left="0"/>
        <w:rPr>
          <w:sz w:val="22"/>
          <w:szCs w:val="22"/>
        </w:rPr>
      </w:pPr>
      <w:r w:rsidRPr="00322B87">
        <w:rPr>
          <w:sz w:val="22"/>
          <w:szCs w:val="22"/>
        </w:rPr>
        <w:t>We also fi</w:t>
      </w:r>
      <w:r w:rsidR="00AF4845" w:rsidRPr="00322B87">
        <w:rPr>
          <w:sz w:val="22"/>
          <w:szCs w:val="22"/>
        </w:rPr>
        <w:t xml:space="preserve">nd that granting a waiver to </w:t>
      </w:r>
      <w:r w:rsidR="00122225">
        <w:rPr>
          <w:sz w:val="22"/>
          <w:szCs w:val="22"/>
        </w:rPr>
        <w:t>Nisqually</w:t>
      </w:r>
      <w:r w:rsidRPr="00322B87">
        <w:rPr>
          <w:sz w:val="22"/>
          <w:szCs w:val="22"/>
        </w:rPr>
        <w:t xml:space="preserve"> is consistent with precedent.  In </w:t>
      </w:r>
      <w:r w:rsidR="0071272B">
        <w:rPr>
          <w:sz w:val="22"/>
          <w:szCs w:val="22"/>
        </w:rPr>
        <w:t>particular</w:t>
      </w:r>
      <w:r w:rsidR="00CB07E9">
        <w:rPr>
          <w:sz w:val="22"/>
          <w:szCs w:val="22"/>
        </w:rPr>
        <w:t>, we believe</w:t>
      </w:r>
      <w:r w:rsidR="00CB07E9" w:rsidRPr="00CB07E9">
        <w:rPr>
          <w:sz w:val="22"/>
          <w:szCs w:val="22"/>
        </w:rPr>
        <w:t xml:space="preserve"> the Bureau</w:t>
      </w:r>
      <w:r w:rsidR="00CB07E9">
        <w:rPr>
          <w:sz w:val="22"/>
          <w:szCs w:val="22"/>
        </w:rPr>
        <w:t>’s grant</w:t>
      </w:r>
      <w:r w:rsidR="00CB07E9" w:rsidRPr="00CB07E9">
        <w:rPr>
          <w:sz w:val="22"/>
          <w:szCs w:val="22"/>
        </w:rPr>
        <w:t xml:space="preserve"> </w:t>
      </w:r>
      <w:r w:rsidR="00CB07E9">
        <w:rPr>
          <w:sz w:val="22"/>
          <w:szCs w:val="22"/>
        </w:rPr>
        <w:t xml:space="preserve">of a </w:t>
      </w:r>
      <w:r w:rsidR="00CB07E9" w:rsidRPr="00CB07E9">
        <w:rPr>
          <w:sz w:val="22"/>
          <w:szCs w:val="22"/>
        </w:rPr>
        <w:t>waiver of the filing freeze on new EBS applications and of the electronic filing requirement</w:t>
      </w:r>
      <w:r w:rsidR="00CB07E9">
        <w:rPr>
          <w:sz w:val="22"/>
          <w:szCs w:val="22"/>
        </w:rPr>
        <w:t xml:space="preserve"> to Northern Michigan University</w:t>
      </w:r>
      <w:r w:rsidR="00CB07E9" w:rsidRPr="00CB07E9">
        <w:rPr>
          <w:sz w:val="22"/>
          <w:szCs w:val="22"/>
        </w:rPr>
        <w:t>.</w:t>
      </w:r>
      <w:r w:rsidR="00CB07E9" w:rsidRPr="00CB07E9">
        <w:rPr>
          <w:sz w:val="22"/>
          <w:szCs w:val="22"/>
          <w:vertAlign w:val="superscript"/>
        </w:rPr>
        <w:footnoteReference w:id="38"/>
      </w:r>
      <w:r w:rsidR="00CB07E9" w:rsidRPr="00CB07E9">
        <w:rPr>
          <w:sz w:val="22"/>
          <w:szCs w:val="22"/>
        </w:rPr>
        <w:t xml:space="preserve">  </w:t>
      </w:r>
      <w:r w:rsidR="00CB07E9">
        <w:rPr>
          <w:sz w:val="22"/>
          <w:szCs w:val="22"/>
        </w:rPr>
        <w:t xml:space="preserve">In the </w:t>
      </w:r>
      <w:r w:rsidR="00CB07E9">
        <w:rPr>
          <w:i/>
          <w:sz w:val="22"/>
          <w:szCs w:val="22"/>
        </w:rPr>
        <w:t>NMU Order</w:t>
      </w:r>
      <w:r w:rsidR="00DB27AC">
        <w:rPr>
          <w:sz w:val="22"/>
          <w:szCs w:val="22"/>
        </w:rPr>
        <w:t>, t</w:t>
      </w:r>
      <w:r w:rsidR="00CB07E9" w:rsidRPr="00CB07E9">
        <w:rPr>
          <w:sz w:val="22"/>
          <w:szCs w:val="22"/>
        </w:rPr>
        <w:t xml:space="preserve">he Bureau found that unique circumstances were presented by NMU’s situation; </w:t>
      </w:r>
      <w:r w:rsidR="00CB07E9" w:rsidRPr="00CB07E9">
        <w:rPr>
          <w:i/>
          <w:sz w:val="22"/>
          <w:szCs w:val="22"/>
        </w:rPr>
        <w:t>i.e.</w:t>
      </w:r>
      <w:r w:rsidR="00CB07E9" w:rsidRPr="00CB07E9">
        <w:rPr>
          <w:sz w:val="22"/>
          <w:szCs w:val="22"/>
        </w:rPr>
        <w:t>, there was no EBS license that covered Marquette, Michigan, and NMU proposed to use the spectrum solely to meet its educational needs and the needs of the surrounding community.</w:t>
      </w:r>
      <w:r w:rsidR="00CB07E9" w:rsidRPr="00CB07E9">
        <w:rPr>
          <w:sz w:val="22"/>
          <w:szCs w:val="22"/>
          <w:vertAlign w:val="superscript"/>
        </w:rPr>
        <w:footnoteReference w:id="39"/>
      </w:r>
      <w:r w:rsidR="00CB07E9" w:rsidRPr="00CB07E9">
        <w:rPr>
          <w:sz w:val="22"/>
          <w:szCs w:val="22"/>
        </w:rPr>
        <w:t xml:space="preserve"> </w:t>
      </w:r>
      <w:r w:rsidR="00B9247A">
        <w:rPr>
          <w:sz w:val="22"/>
          <w:szCs w:val="22"/>
        </w:rPr>
        <w:t xml:space="preserve">In this case, the only EBS license that covers the Nisqually reservation is unavailable to </w:t>
      </w:r>
      <w:r w:rsidR="00122225">
        <w:rPr>
          <w:sz w:val="22"/>
          <w:szCs w:val="22"/>
        </w:rPr>
        <w:t>Nisqually</w:t>
      </w:r>
      <w:r w:rsidR="00B9247A">
        <w:rPr>
          <w:sz w:val="22"/>
          <w:szCs w:val="22"/>
        </w:rPr>
        <w:t xml:space="preserve">, and </w:t>
      </w:r>
      <w:r w:rsidR="00122225">
        <w:rPr>
          <w:sz w:val="22"/>
          <w:szCs w:val="22"/>
        </w:rPr>
        <w:t>Nisqually</w:t>
      </w:r>
      <w:r w:rsidR="00102CCC">
        <w:rPr>
          <w:sz w:val="22"/>
          <w:szCs w:val="22"/>
        </w:rPr>
        <w:t xml:space="preserve"> has shown that the licenses will be used to meet the Tribe’s educational and cultural needs.  In the </w:t>
      </w:r>
      <w:r w:rsidR="00102CCC">
        <w:rPr>
          <w:i/>
          <w:sz w:val="22"/>
          <w:szCs w:val="22"/>
        </w:rPr>
        <w:t>NMU Order</w:t>
      </w:r>
      <w:r w:rsidR="00102CCC">
        <w:rPr>
          <w:sz w:val="22"/>
          <w:szCs w:val="22"/>
        </w:rPr>
        <w:t>,</w:t>
      </w:r>
      <w:r w:rsidR="00102CCC">
        <w:rPr>
          <w:i/>
          <w:sz w:val="22"/>
          <w:szCs w:val="22"/>
        </w:rPr>
        <w:t xml:space="preserve"> </w:t>
      </w:r>
      <w:r w:rsidR="00CB07E9" w:rsidRPr="00CB07E9">
        <w:rPr>
          <w:sz w:val="22"/>
          <w:szCs w:val="22"/>
        </w:rPr>
        <w:t>the Bureau adopted as a license condition NMU’s commitment not to lease its spectrum.</w:t>
      </w:r>
      <w:r w:rsidR="00CB07E9" w:rsidRPr="00CB07E9">
        <w:rPr>
          <w:sz w:val="22"/>
          <w:szCs w:val="22"/>
          <w:vertAlign w:val="superscript"/>
        </w:rPr>
        <w:footnoteReference w:id="40"/>
      </w:r>
      <w:r w:rsidR="00CB07E9" w:rsidRPr="00CB07E9">
        <w:rPr>
          <w:sz w:val="22"/>
          <w:szCs w:val="22"/>
        </w:rPr>
        <w:t xml:space="preserve">  </w:t>
      </w:r>
      <w:r w:rsidR="00122225">
        <w:rPr>
          <w:sz w:val="22"/>
          <w:szCs w:val="22"/>
        </w:rPr>
        <w:t>Nisqually</w:t>
      </w:r>
      <w:r w:rsidR="00102CCC">
        <w:rPr>
          <w:sz w:val="22"/>
          <w:szCs w:val="22"/>
        </w:rPr>
        <w:t xml:space="preserve"> makes a similar commitment here,</w:t>
      </w:r>
      <w:r w:rsidRPr="00322B87">
        <w:rPr>
          <w:rStyle w:val="FootnoteReference"/>
          <w:sz w:val="22"/>
          <w:szCs w:val="22"/>
        </w:rPr>
        <w:footnoteReference w:id="41"/>
      </w:r>
      <w:r w:rsidRPr="00322B87">
        <w:rPr>
          <w:sz w:val="22"/>
          <w:szCs w:val="22"/>
        </w:rPr>
        <w:t xml:space="preserve"> </w:t>
      </w:r>
      <w:r w:rsidR="00102CCC">
        <w:rPr>
          <w:sz w:val="22"/>
          <w:szCs w:val="22"/>
        </w:rPr>
        <w:t>and we will adopt that commitment as a license condition.</w:t>
      </w:r>
    </w:p>
    <w:p w:rsidR="00BB5559" w:rsidRPr="00322B87" w:rsidRDefault="00102CCC" w:rsidP="00BB5559">
      <w:pPr>
        <w:pStyle w:val="ParaNum"/>
        <w:tabs>
          <w:tab w:val="clear" w:pos="2520"/>
          <w:tab w:val="left" w:pos="1440"/>
        </w:tabs>
        <w:spacing w:after="220"/>
        <w:ind w:left="0"/>
        <w:rPr>
          <w:sz w:val="22"/>
          <w:szCs w:val="22"/>
        </w:rPr>
      </w:pPr>
      <w:r>
        <w:rPr>
          <w:sz w:val="22"/>
          <w:szCs w:val="22"/>
        </w:rPr>
        <w:t>W</w:t>
      </w:r>
      <w:r w:rsidR="0065438E" w:rsidRPr="00322B87">
        <w:rPr>
          <w:sz w:val="22"/>
          <w:szCs w:val="22"/>
        </w:rPr>
        <w:t xml:space="preserve">e will allow </w:t>
      </w:r>
      <w:r w:rsidR="00122225">
        <w:rPr>
          <w:sz w:val="22"/>
          <w:szCs w:val="22"/>
        </w:rPr>
        <w:t>Nisqually</w:t>
      </w:r>
      <w:r w:rsidR="0065438E" w:rsidRPr="00322B87">
        <w:rPr>
          <w:sz w:val="22"/>
          <w:szCs w:val="22"/>
        </w:rPr>
        <w:t xml:space="preserve"> </w:t>
      </w:r>
      <w:r>
        <w:rPr>
          <w:sz w:val="22"/>
          <w:szCs w:val="22"/>
        </w:rPr>
        <w:t xml:space="preserve">two years from the date of license grant </w:t>
      </w:r>
      <w:r w:rsidR="0065438E" w:rsidRPr="00322B87">
        <w:rPr>
          <w:sz w:val="22"/>
          <w:szCs w:val="22"/>
        </w:rPr>
        <w:t>to demonstrate that it is providing substantial service.</w:t>
      </w:r>
      <w:r>
        <w:rPr>
          <w:sz w:val="22"/>
          <w:szCs w:val="22"/>
        </w:rPr>
        <w:t xml:space="preserve">  While new BRS licenses are given four years to demonstrate substantial service,</w:t>
      </w:r>
      <w:r w:rsidR="0065438E" w:rsidRPr="00322B87">
        <w:rPr>
          <w:rStyle w:val="FootnoteReference"/>
          <w:sz w:val="22"/>
          <w:szCs w:val="22"/>
        </w:rPr>
        <w:footnoteReference w:id="42"/>
      </w:r>
      <w:r>
        <w:rPr>
          <w:sz w:val="22"/>
          <w:szCs w:val="22"/>
        </w:rPr>
        <w:t xml:space="preserve"> given the urgent need for broadband services </w:t>
      </w:r>
      <w:r w:rsidR="0023196A">
        <w:rPr>
          <w:sz w:val="22"/>
          <w:szCs w:val="22"/>
        </w:rPr>
        <w:t xml:space="preserve">on the reservation </w:t>
      </w:r>
      <w:r>
        <w:rPr>
          <w:sz w:val="22"/>
          <w:szCs w:val="22"/>
        </w:rPr>
        <w:t>and the small GSA, we believe it is appropriate to require a substantial service showing within two years of license grant.</w:t>
      </w:r>
    </w:p>
    <w:p w:rsidR="0023196A" w:rsidRDefault="005154F4" w:rsidP="0023196A">
      <w:pPr>
        <w:pStyle w:val="ParaNum"/>
        <w:tabs>
          <w:tab w:val="clear" w:pos="2520"/>
          <w:tab w:val="left" w:pos="1440"/>
        </w:tabs>
        <w:spacing w:after="220"/>
        <w:ind w:left="0"/>
        <w:rPr>
          <w:sz w:val="22"/>
          <w:szCs w:val="22"/>
        </w:rPr>
      </w:pPr>
      <w:r w:rsidRPr="0023196A">
        <w:rPr>
          <w:sz w:val="22"/>
          <w:szCs w:val="22"/>
        </w:rPr>
        <w:t xml:space="preserve">Based upon the evaluation of the record before us, we conclude that </w:t>
      </w:r>
      <w:r w:rsidR="00122225">
        <w:rPr>
          <w:sz w:val="22"/>
          <w:szCs w:val="22"/>
        </w:rPr>
        <w:t>Nisqually</w:t>
      </w:r>
      <w:r w:rsidRPr="0023196A">
        <w:rPr>
          <w:sz w:val="22"/>
          <w:szCs w:val="22"/>
        </w:rPr>
        <w:t xml:space="preserve"> has demonstrated that continued application of the filing freeze and electronic filing requirement would be inequitable, unduly burdensome and contrary to the public interest, given the unique circumstances of this case.  We also find that waiving the filing freeze and the electronic filing requirement will facilitate the provision of educational material through a broadband network in </w:t>
      </w:r>
      <w:r w:rsidR="00A829A2" w:rsidRPr="0023196A">
        <w:rPr>
          <w:sz w:val="22"/>
          <w:szCs w:val="22"/>
        </w:rPr>
        <w:t>the vicinity of the Nisqually reservation</w:t>
      </w:r>
      <w:r w:rsidRPr="0023196A">
        <w:rPr>
          <w:sz w:val="22"/>
          <w:szCs w:val="22"/>
        </w:rPr>
        <w:t xml:space="preserve"> and will further the Commission’s goals of ultimately providing all Americans</w:t>
      </w:r>
      <w:r w:rsidR="0023196A" w:rsidRPr="0023196A">
        <w:rPr>
          <w:sz w:val="22"/>
          <w:szCs w:val="22"/>
        </w:rPr>
        <w:t xml:space="preserve">, especially members of </w:t>
      </w:r>
      <w:r w:rsidR="00FF5878">
        <w:rPr>
          <w:sz w:val="22"/>
          <w:szCs w:val="22"/>
        </w:rPr>
        <w:t>Tribal</w:t>
      </w:r>
      <w:r w:rsidR="0023196A" w:rsidRPr="0023196A">
        <w:rPr>
          <w:sz w:val="22"/>
          <w:szCs w:val="22"/>
        </w:rPr>
        <w:t xml:space="preserve"> Nations,</w:t>
      </w:r>
      <w:r w:rsidRPr="0023196A">
        <w:rPr>
          <w:sz w:val="22"/>
          <w:szCs w:val="22"/>
        </w:rPr>
        <w:t xml:space="preserve"> with access to ubiquitous wireless broadband connections, regardless of their location.</w:t>
      </w:r>
      <w:r w:rsidRPr="0023196A">
        <w:rPr>
          <w:rStyle w:val="FootnoteReference"/>
          <w:sz w:val="22"/>
          <w:szCs w:val="22"/>
        </w:rPr>
        <w:footnoteReference w:id="43"/>
      </w:r>
      <w:r w:rsidRPr="0023196A">
        <w:rPr>
          <w:sz w:val="22"/>
          <w:szCs w:val="22"/>
        </w:rPr>
        <w:t xml:space="preserve">  We note that the waivers granted in the instant Order are based on the unique circumstances of this case, and do not prejudge the Commission’s consideration of the appropriate mechanism generally for licensing unassigned EBS spectrum.</w:t>
      </w:r>
      <w:r w:rsidRPr="0023196A">
        <w:rPr>
          <w:rStyle w:val="FootnoteReference"/>
          <w:sz w:val="22"/>
          <w:szCs w:val="22"/>
        </w:rPr>
        <w:footnoteReference w:id="44"/>
      </w:r>
      <w:r w:rsidRPr="0023196A">
        <w:rPr>
          <w:sz w:val="22"/>
          <w:szCs w:val="22"/>
        </w:rPr>
        <w:t xml:space="preserve"> </w:t>
      </w:r>
    </w:p>
    <w:p w:rsidR="0023196A" w:rsidRPr="00B62651" w:rsidRDefault="0023196A" w:rsidP="0023196A">
      <w:pPr>
        <w:pStyle w:val="Heading1"/>
        <w:spacing w:before="0" w:after="220"/>
        <w:rPr>
          <w:rFonts w:ascii="Times New Roman" w:hAnsi="Times New Roman"/>
          <w:sz w:val="22"/>
          <w:szCs w:val="22"/>
        </w:rPr>
      </w:pPr>
      <w:r w:rsidRPr="00B62651">
        <w:rPr>
          <w:rFonts w:ascii="Times New Roman" w:hAnsi="Times New Roman"/>
          <w:sz w:val="22"/>
          <w:szCs w:val="22"/>
        </w:rPr>
        <w:t>IV.</w:t>
      </w:r>
      <w:r w:rsidRPr="00B62651">
        <w:rPr>
          <w:rFonts w:ascii="Times New Roman" w:hAnsi="Times New Roman"/>
          <w:sz w:val="22"/>
          <w:szCs w:val="22"/>
        </w:rPr>
        <w:tab/>
        <w:t>CONCLUSION AND ORDERING CLAUSES</w:t>
      </w:r>
    </w:p>
    <w:p w:rsidR="0023196A" w:rsidRPr="0023196A" w:rsidRDefault="005154F4" w:rsidP="0023196A">
      <w:pPr>
        <w:pStyle w:val="ParaNum"/>
        <w:tabs>
          <w:tab w:val="clear" w:pos="2520"/>
          <w:tab w:val="left" w:pos="1440"/>
        </w:tabs>
        <w:spacing w:after="220"/>
        <w:ind w:left="0"/>
        <w:rPr>
          <w:sz w:val="22"/>
          <w:szCs w:val="22"/>
        </w:rPr>
      </w:pPr>
      <w:r w:rsidRPr="0023196A">
        <w:rPr>
          <w:sz w:val="22"/>
          <w:szCs w:val="22"/>
        </w:rPr>
        <w:t>For the reaso</w:t>
      </w:r>
      <w:r w:rsidR="00A829A2" w:rsidRPr="0023196A">
        <w:rPr>
          <w:sz w:val="22"/>
          <w:szCs w:val="22"/>
        </w:rPr>
        <w:t xml:space="preserve">ns discussed above, we grant </w:t>
      </w:r>
      <w:r w:rsidR="00122225">
        <w:rPr>
          <w:sz w:val="22"/>
          <w:szCs w:val="22"/>
        </w:rPr>
        <w:t>Nisqually</w:t>
      </w:r>
      <w:r w:rsidRPr="0023196A">
        <w:rPr>
          <w:sz w:val="22"/>
          <w:szCs w:val="22"/>
        </w:rPr>
        <w:t xml:space="preserve">’s requests for waiver of (1) the filing freeze that was imposed by the Commission on new EBS applications in the Commission’s April 2003, </w:t>
      </w:r>
      <w:r w:rsidRPr="0023196A">
        <w:rPr>
          <w:i/>
          <w:sz w:val="22"/>
          <w:szCs w:val="22"/>
        </w:rPr>
        <w:t>NPRM and MO&amp;O</w:t>
      </w:r>
      <w:r w:rsidRPr="0023196A">
        <w:rPr>
          <w:sz w:val="22"/>
          <w:szCs w:val="22"/>
        </w:rPr>
        <w:t>, and, (2) the electronic filing requirement in Section 1.1913(b) of the Commission’s Rules.  We also direct the Broadband D</w:t>
      </w:r>
      <w:r w:rsidR="00A829A2" w:rsidRPr="0023196A">
        <w:rPr>
          <w:sz w:val="22"/>
          <w:szCs w:val="22"/>
        </w:rPr>
        <w:t xml:space="preserve">ivision to process </w:t>
      </w:r>
      <w:r w:rsidR="00122225">
        <w:rPr>
          <w:sz w:val="22"/>
          <w:szCs w:val="22"/>
        </w:rPr>
        <w:t>Nisqually</w:t>
      </w:r>
      <w:r w:rsidRPr="0023196A">
        <w:rPr>
          <w:sz w:val="22"/>
          <w:szCs w:val="22"/>
        </w:rPr>
        <w:t xml:space="preserve">’s Application in accordance with the requirements set forth in this </w:t>
      </w:r>
      <w:r w:rsidRPr="0023196A">
        <w:rPr>
          <w:i/>
          <w:sz w:val="22"/>
          <w:szCs w:val="22"/>
        </w:rPr>
        <w:t>Memorandum Opinion and Order</w:t>
      </w:r>
      <w:r w:rsidRPr="0023196A">
        <w:rPr>
          <w:sz w:val="22"/>
          <w:szCs w:val="22"/>
        </w:rPr>
        <w:t xml:space="preserve"> and the Commission’s rules.</w:t>
      </w:r>
    </w:p>
    <w:p w:rsidR="0023196A" w:rsidRPr="00E42496" w:rsidRDefault="005154F4" w:rsidP="0023196A">
      <w:pPr>
        <w:pStyle w:val="ParaNum"/>
        <w:tabs>
          <w:tab w:val="clear" w:pos="2520"/>
          <w:tab w:val="left" w:pos="1440"/>
        </w:tabs>
        <w:spacing w:after="220"/>
        <w:ind w:left="0"/>
        <w:rPr>
          <w:sz w:val="22"/>
          <w:szCs w:val="22"/>
        </w:rPr>
      </w:pPr>
      <w:r w:rsidRPr="00E42496">
        <w:rPr>
          <w:sz w:val="22"/>
          <w:szCs w:val="22"/>
        </w:rPr>
        <w:t>Accordingly, IT IS ORDERED, pursuant to Section 4(i) of the Communications Act of 1934, as amended 47 U.S.C. § 154(i), and Section 1.925(b)(3) of the Commission’s Rules, 47 C.F.R. §</w:t>
      </w:r>
      <w:r w:rsidR="00A829A2" w:rsidRPr="00E42496">
        <w:rPr>
          <w:sz w:val="22"/>
          <w:szCs w:val="22"/>
        </w:rPr>
        <w:t> </w:t>
      </w:r>
      <w:r w:rsidRPr="00E42496">
        <w:rPr>
          <w:sz w:val="22"/>
          <w:szCs w:val="22"/>
        </w:rPr>
        <w:t xml:space="preserve">1.925(b)(3), that the waiver requests filed by </w:t>
      </w:r>
      <w:r w:rsidR="00A829A2" w:rsidRPr="00E42496">
        <w:rPr>
          <w:sz w:val="22"/>
          <w:szCs w:val="22"/>
        </w:rPr>
        <w:t>the Nisqually Indian Tribe</w:t>
      </w:r>
      <w:r w:rsidRPr="00E42496">
        <w:rPr>
          <w:sz w:val="22"/>
          <w:szCs w:val="22"/>
        </w:rPr>
        <w:t xml:space="preserve"> on </w:t>
      </w:r>
      <w:r w:rsidR="00A829A2" w:rsidRPr="00E42496">
        <w:rPr>
          <w:sz w:val="22"/>
          <w:szCs w:val="22"/>
        </w:rPr>
        <w:t>April 28, 2011,</w:t>
      </w:r>
      <w:r w:rsidRPr="00E42496">
        <w:rPr>
          <w:sz w:val="22"/>
          <w:szCs w:val="22"/>
        </w:rPr>
        <w:t xml:space="preserve"> in connection with File No. 000</w:t>
      </w:r>
      <w:r w:rsidR="00A829A2" w:rsidRPr="00E42496">
        <w:rPr>
          <w:sz w:val="22"/>
          <w:szCs w:val="22"/>
        </w:rPr>
        <w:t>4713667</w:t>
      </w:r>
      <w:r w:rsidRPr="00E42496">
        <w:rPr>
          <w:sz w:val="22"/>
          <w:szCs w:val="22"/>
        </w:rPr>
        <w:t xml:space="preserve"> ARE GR</w:t>
      </w:r>
      <w:r w:rsidR="00A829A2" w:rsidRPr="00E42496">
        <w:rPr>
          <w:sz w:val="22"/>
          <w:szCs w:val="22"/>
        </w:rPr>
        <w:t>ANTED, subject to the conditions</w:t>
      </w:r>
      <w:r w:rsidRPr="00E42496">
        <w:rPr>
          <w:sz w:val="22"/>
          <w:szCs w:val="22"/>
        </w:rPr>
        <w:t xml:space="preserve"> noted below.</w:t>
      </w:r>
    </w:p>
    <w:p w:rsidR="00E42496" w:rsidRPr="00E42496" w:rsidRDefault="005154F4" w:rsidP="00E42496">
      <w:pPr>
        <w:pStyle w:val="ParaNum"/>
        <w:tabs>
          <w:tab w:val="clear" w:pos="2520"/>
          <w:tab w:val="left" w:pos="1440"/>
        </w:tabs>
        <w:spacing w:after="220"/>
        <w:ind w:left="0"/>
        <w:rPr>
          <w:sz w:val="22"/>
          <w:szCs w:val="22"/>
        </w:rPr>
      </w:pPr>
      <w:r w:rsidRPr="00E42496">
        <w:rPr>
          <w:sz w:val="22"/>
          <w:szCs w:val="22"/>
        </w:rPr>
        <w:t>IT IS FURTHER ORDERED, pursuant to Sections 4(i) and 309 of the Communications Act of 1934, as amended, 47 U.S.C. §§154(i), 309 that the licensing staff of the Broadband Division SHALL PROCESS File No.</w:t>
      </w:r>
      <w:r w:rsidR="00A829A2" w:rsidRPr="00E42496">
        <w:rPr>
          <w:sz w:val="22"/>
          <w:szCs w:val="22"/>
        </w:rPr>
        <w:t xml:space="preserve"> 0004713667</w:t>
      </w:r>
      <w:r w:rsidRPr="00E42496">
        <w:rPr>
          <w:sz w:val="22"/>
          <w:szCs w:val="22"/>
        </w:rPr>
        <w:t xml:space="preserve"> in accordance with this </w:t>
      </w:r>
      <w:r w:rsidRPr="00E42496">
        <w:rPr>
          <w:i/>
          <w:sz w:val="22"/>
          <w:szCs w:val="22"/>
        </w:rPr>
        <w:t>Memorandum Opinion and Order</w:t>
      </w:r>
      <w:r w:rsidRPr="00E42496">
        <w:rPr>
          <w:sz w:val="22"/>
          <w:szCs w:val="22"/>
        </w:rPr>
        <w:t xml:space="preserve"> and the Commission’s Rules.</w:t>
      </w:r>
    </w:p>
    <w:p w:rsidR="00E42496" w:rsidRPr="00E42496" w:rsidRDefault="005154F4" w:rsidP="00E42496">
      <w:pPr>
        <w:pStyle w:val="ParaNum"/>
        <w:tabs>
          <w:tab w:val="clear" w:pos="2520"/>
          <w:tab w:val="left" w:pos="1440"/>
        </w:tabs>
        <w:spacing w:after="220"/>
        <w:ind w:left="0"/>
        <w:rPr>
          <w:sz w:val="22"/>
          <w:szCs w:val="22"/>
        </w:rPr>
      </w:pPr>
      <w:r w:rsidRPr="00E42496">
        <w:rPr>
          <w:sz w:val="22"/>
          <w:szCs w:val="22"/>
        </w:rPr>
        <w:t>IT IS FURTHER ORDERED, pursuant to Sections 4(i)  and 309 of the Communications Act of 1934, as amended, 47 U.S.C. § 154(i), 3</w:t>
      </w:r>
      <w:r w:rsidR="00A829A2" w:rsidRPr="00E42496">
        <w:rPr>
          <w:sz w:val="22"/>
          <w:szCs w:val="22"/>
        </w:rPr>
        <w:t>09 that the following condition</w:t>
      </w:r>
      <w:r w:rsidRPr="00E42496">
        <w:rPr>
          <w:sz w:val="22"/>
          <w:szCs w:val="22"/>
        </w:rPr>
        <w:t xml:space="preserve"> SHALL BE IMPOSED on any authorizations issued to </w:t>
      </w:r>
      <w:r w:rsidR="00B35D7F" w:rsidRPr="00E42496">
        <w:rPr>
          <w:sz w:val="22"/>
          <w:szCs w:val="22"/>
        </w:rPr>
        <w:t>the Nisqually Indian Tribe</w:t>
      </w:r>
      <w:r w:rsidRPr="00E42496">
        <w:rPr>
          <w:sz w:val="22"/>
          <w:szCs w:val="22"/>
        </w:rPr>
        <w:t xml:space="preserve"> as a result of the application it has filed:</w:t>
      </w:r>
    </w:p>
    <w:p w:rsidR="00E42496" w:rsidRPr="00E42496" w:rsidRDefault="00E42496" w:rsidP="00E42496">
      <w:pPr>
        <w:ind w:left="720" w:right="720"/>
        <w:rPr>
          <w:sz w:val="22"/>
          <w:szCs w:val="22"/>
        </w:rPr>
      </w:pPr>
      <w:r w:rsidRPr="00E42496">
        <w:rPr>
          <w:sz w:val="22"/>
          <w:szCs w:val="22"/>
        </w:rPr>
        <w:t xml:space="preserve">The Nisqually Indian Tribe shall not lease any spectrum associated with this license to another entity. </w:t>
      </w:r>
    </w:p>
    <w:p w:rsidR="00E42496" w:rsidRPr="00E42496" w:rsidRDefault="00E42496" w:rsidP="00E42496">
      <w:pPr>
        <w:ind w:left="720" w:right="720"/>
        <w:rPr>
          <w:sz w:val="22"/>
          <w:szCs w:val="22"/>
        </w:rPr>
      </w:pPr>
    </w:p>
    <w:p w:rsidR="00E42496" w:rsidRPr="00E42496" w:rsidRDefault="00E42496" w:rsidP="00E42496">
      <w:pPr>
        <w:ind w:left="720" w:right="720"/>
        <w:rPr>
          <w:sz w:val="22"/>
          <w:szCs w:val="22"/>
        </w:rPr>
      </w:pPr>
      <w:r w:rsidRPr="00E42496">
        <w:rPr>
          <w:sz w:val="22"/>
          <w:szCs w:val="22"/>
        </w:rPr>
        <w:t>The Nisqually Indian Tribe shall make a showing of substantial service within two years after the date of initial license grant.</w:t>
      </w:r>
    </w:p>
    <w:p w:rsidR="00E42496" w:rsidRPr="00E42496" w:rsidRDefault="00E42496" w:rsidP="00E42496">
      <w:pPr>
        <w:ind w:left="720" w:right="720"/>
        <w:rPr>
          <w:sz w:val="22"/>
          <w:szCs w:val="22"/>
        </w:rPr>
      </w:pPr>
    </w:p>
    <w:p w:rsidR="005154F4" w:rsidRPr="00E42496" w:rsidRDefault="005154F4" w:rsidP="00E42496">
      <w:pPr>
        <w:pStyle w:val="ParaNum"/>
        <w:tabs>
          <w:tab w:val="clear" w:pos="2520"/>
          <w:tab w:val="left" w:pos="1440"/>
        </w:tabs>
        <w:spacing w:after="220"/>
        <w:ind w:left="0"/>
        <w:rPr>
          <w:sz w:val="22"/>
          <w:szCs w:val="22"/>
        </w:rPr>
      </w:pPr>
      <w:r w:rsidRPr="00E42496">
        <w:rPr>
          <w:sz w:val="22"/>
          <w:szCs w:val="22"/>
        </w:rPr>
        <w:t>Th</w:t>
      </w:r>
      <w:r w:rsidR="00E42496" w:rsidRPr="00E42496">
        <w:rPr>
          <w:sz w:val="22"/>
          <w:szCs w:val="22"/>
        </w:rPr>
        <w:t>e</w:t>
      </w:r>
      <w:r w:rsidRPr="00E42496">
        <w:rPr>
          <w:sz w:val="22"/>
          <w:szCs w:val="22"/>
        </w:rPr>
        <w:t>s</w:t>
      </w:r>
      <w:r w:rsidR="00E42496" w:rsidRPr="00E42496">
        <w:rPr>
          <w:sz w:val="22"/>
          <w:szCs w:val="22"/>
        </w:rPr>
        <w:t>e</w:t>
      </w:r>
      <w:r w:rsidRPr="00E42496">
        <w:rPr>
          <w:sz w:val="22"/>
          <w:szCs w:val="22"/>
        </w:rPr>
        <w:t xml:space="preserve"> action</w:t>
      </w:r>
      <w:r w:rsidR="00E42496" w:rsidRPr="00E42496">
        <w:rPr>
          <w:sz w:val="22"/>
          <w:szCs w:val="22"/>
        </w:rPr>
        <w:t>s</w:t>
      </w:r>
      <w:r w:rsidRPr="00E42496">
        <w:rPr>
          <w:sz w:val="22"/>
          <w:szCs w:val="22"/>
        </w:rPr>
        <w:t xml:space="preserve"> </w:t>
      </w:r>
      <w:r w:rsidR="00E42496" w:rsidRPr="00E42496">
        <w:rPr>
          <w:sz w:val="22"/>
          <w:szCs w:val="22"/>
        </w:rPr>
        <w:t>are</w:t>
      </w:r>
      <w:r w:rsidRPr="00E42496">
        <w:rPr>
          <w:sz w:val="22"/>
          <w:szCs w:val="22"/>
        </w:rPr>
        <w:t xml:space="preserve"> taken under delegated authority pursuant to Sections 0.131 and 0.331 of the Commission’s Rules, 47 C.F.R. §§ 0.131, 0.331.</w:t>
      </w:r>
    </w:p>
    <w:p w:rsidR="005154F4" w:rsidRPr="00B62651" w:rsidRDefault="005154F4">
      <w:pPr>
        <w:rPr>
          <w:sz w:val="22"/>
          <w:szCs w:val="22"/>
        </w:rPr>
      </w:pPr>
      <w:r w:rsidRPr="00B62651">
        <w:rPr>
          <w:sz w:val="22"/>
          <w:szCs w:val="22"/>
        </w:rPr>
        <w:tab/>
      </w:r>
      <w:r w:rsidRPr="00B62651">
        <w:rPr>
          <w:sz w:val="22"/>
          <w:szCs w:val="22"/>
        </w:rPr>
        <w:tab/>
      </w:r>
      <w:r w:rsidRPr="00B62651">
        <w:rPr>
          <w:sz w:val="22"/>
          <w:szCs w:val="22"/>
        </w:rPr>
        <w:tab/>
      </w:r>
      <w:r w:rsidRPr="00B62651">
        <w:rPr>
          <w:sz w:val="22"/>
          <w:szCs w:val="22"/>
        </w:rPr>
        <w:tab/>
      </w:r>
      <w:r w:rsidRPr="00B62651">
        <w:rPr>
          <w:sz w:val="22"/>
          <w:szCs w:val="22"/>
        </w:rPr>
        <w:tab/>
        <w:t>FEDERAL COMMUNICATIONS COMMISSION</w:t>
      </w:r>
    </w:p>
    <w:p w:rsidR="005154F4" w:rsidRPr="00B62651" w:rsidRDefault="005154F4">
      <w:pPr>
        <w:rPr>
          <w:sz w:val="22"/>
          <w:szCs w:val="22"/>
        </w:rPr>
      </w:pPr>
    </w:p>
    <w:p w:rsidR="005154F4" w:rsidRPr="00B62651" w:rsidRDefault="005154F4">
      <w:pPr>
        <w:rPr>
          <w:sz w:val="22"/>
          <w:szCs w:val="22"/>
        </w:rPr>
      </w:pPr>
    </w:p>
    <w:p w:rsidR="005154F4" w:rsidRPr="00B62651" w:rsidRDefault="005154F4">
      <w:pPr>
        <w:rPr>
          <w:sz w:val="22"/>
          <w:szCs w:val="22"/>
        </w:rPr>
      </w:pPr>
    </w:p>
    <w:p w:rsidR="005154F4" w:rsidRPr="00B62651" w:rsidRDefault="005154F4">
      <w:pPr>
        <w:rPr>
          <w:sz w:val="22"/>
          <w:szCs w:val="22"/>
        </w:rPr>
      </w:pPr>
      <w:r w:rsidRPr="00B62651">
        <w:rPr>
          <w:sz w:val="22"/>
          <w:szCs w:val="22"/>
        </w:rPr>
        <w:tab/>
      </w:r>
      <w:r w:rsidRPr="00B62651">
        <w:rPr>
          <w:sz w:val="22"/>
          <w:szCs w:val="22"/>
        </w:rPr>
        <w:tab/>
      </w:r>
      <w:r w:rsidRPr="00B62651">
        <w:rPr>
          <w:sz w:val="22"/>
          <w:szCs w:val="22"/>
        </w:rPr>
        <w:tab/>
      </w:r>
      <w:r w:rsidRPr="00B62651">
        <w:rPr>
          <w:sz w:val="22"/>
          <w:szCs w:val="22"/>
        </w:rPr>
        <w:tab/>
      </w:r>
      <w:r w:rsidRPr="00B62651">
        <w:rPr>
          <w:sz w:val="22"/>
          <w:szCs w:val="22"/>
        </w:rPr>
        <w:tab/>
      </w:r>
      <w:r w:rsidR="004B3B21">
        <w:rPr>
          <w:sz w:val="22"/>
          <w:szCs w:val="22"/>
        </w:rPr>
        <w:t>John J</w:t>
      </w:r>
      <w:r w:rsidR="008D1153">
        <w:rPr>
          <w:sz w:val="22"/>
          <w:szCs w:val="22"/>
        </w:rPr>
        <w:t xml:space="preserve">. </w:t>
      </w:r>
      <w:r w:rsidR="004B3B21">
        <w:rPr>
          <w:sz w:val="22"/>
          <w:szCs w:val="22"/>
        </w:rPr>
        <w:t>Schauble</w:t>
      </w:r>
    </w:p>
    <w:p w:rsidR="004B3B21" w:rsidRDefault="005154F4">
      <w:pPr>
        <w:rPr>
          <w:sz w:val="22"/>
          <w:szCs w:val="22"/>
        </w:rPr>
      </w:pPr>
      <w:r w:rsidRPr="00B62651">
        <w:rPr>
          <w:sz w:val="22"/>
          <w:szCs w:val="22"/>
        </w:rPr>
        <w:tab/>
      </w:r>
      <w:r w:rsidRPr="00B62651">
        <w:rPr>
          <w:sz w:val="22"/>
          <w:szCs w:val="22"/>
        </w:rPr>
        <w:tab/>
      </w:r>
      <w:r w:rsidRPr="00B62651">
        <w:rPr>
          <w:sz w:val="22"/>
          <w:szCs w:val="22"/>
        </w:rPr>
        <w:tab/>
      </w:r>
      <w:r w:rsidRPr="00B62651">
        <w:rPr>
          <w:sz w:val="22"/>
          <w:szCs w:val="22"/>
        </w:rPr>
        <w:tab/>
      </w:r>
      <w:r w:rsidRPr="00B62651">
        <w:rPr>
          <w:sz w:val="22"/>
          <w:szCs w:val="22"/>
        </w:rPr>
        <w:tab/>
      </w:r>
      <w:r w:rsidR="008D1153">
        <w:rPr>
          <w:sz w:val="22"/>
          <w:szCs w:val="22"/>
        </w:rPr>
        <w:t xml:space="preserve">Deputy </w:t>
      </w:r>
      <w:r w:rsidRPr="00B62651">
        <w:rPr>
          <w:sz w:val="22"/>
          <w:szCs w:val="22"/>
        </w:rPr>
        <w:t xml:space="preserve">Chief, </w:t>
      </w:r>
      <w:r w:rsidR="004B3B21">
        <w:rPr>
          <w:sz w:val="22"/>
          <w:szCs w:val="22"/>
        </w:rPr>
        <w:t>Broadband Division</w:t>
      </w:r>
    </w:p>
    <w:p w:rsidR="005154F4" w:rsidRPr="00B62651" w:rsidRDefault="005154F4" w:rsidP="004B3B21">
      <w:pPr>
        <w:ind w:left="2880" w:firstLine="720"/>
        <w:rPr>
          <w:sz w:val="22"/>
          <w:szCs w:val="22"/>
        </w:rPr>
      </w:pPr>
      <w:r w:rsidRPr="00B62651">
        <w:rPr>
          <w:sz w:val="22"/>
          <w:szCs w:val="22"/>
        </w:rPr>
        <w:t>Wireless Telecommunications Bureau</w:t>
      </w:r>
    </w:p>
    <w:sectPr w:rsidR="005154F4" w:rsidRPr="00B626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9B" w:rsidRDefault="00680D9B">
      <w:r>
        <w:separator/>
      </w:r>
    </w:p>
  </w:endnote>
  <w:endnote w:type="continuationSeparator" w:id="0">
    <w:p w:rsidR="00680D9B" w:rsidRDefault="006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3E" w:rsidRDefault="00E17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743E" w:rsidRDefault="00E17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3E" w:rsidRDefault="00E1743E">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94AD2">
      <w:rPr>
        <w:rStyle w:val="PageNumber"/>
        <w:noProof/>
        <w:sz w:val="22"/>
        <w:szCs w:val="22"/>
      </w:rPr>
      <w:t>2</w:t>
    </w:r>
    <w:r>
      <w:rPr>
        <w:rStyle w:val="PageNumber"/>
        <w:sz w:val="22"/>
        <w:szCs w:val="22"/>
      </w:rPr>
      <w:fldChar w:fldCharType="end"/>
    </w:r>
  </w:p>
  <w:p w:rsidR="00E1743E" w:rsidRDefault="00E17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CE" w:rsidRDefault="00F1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9B" w:rsidRDefault="00680D9B">
      <w:r>
        <w:separator/>
      </w:r>
    </w:p>
  </w:footnote>
  <w:footnote w:type="continuationSeparator" w:id="0">
    <w:p w:rsidR="00680D9B" w:rsidRDefault="00680D9B">
      <w:r>
        <w:continuationSeparator/>
      </w:r>
    </w:p>
  </w:footnote>
  <w:footnote w:id="1">
    <w:p w:rsidR="00E1743E" w:rsidRDefault="00E1743E" w:rsidP="00D92DAD">
      <w:pPr>
        <w:pStyle w:val="FootnoteText"/>
        <w:spacing w:after="120"/>
      </w:pPr>
      <w:r>
        <w:rPr>
          <w:rStyle w:val="FootnoteReference"/>
        </w:rPr>
        <w:footnoteRef/>
      </w:r>
      <w:r>
        <w:t xml:space="preserve"> </w:t>
      </w:r>
      <w:r>
        <w:rPr>
          <w:i/>
        </w:rPr>
        <w:t>See</w:t>
      </w:r>
      <w:r>
        <w:t xml:space="preserve"> Educational Television, Docket No. 14744, </w:t>
      </w:r>
      <w:r>
        <w:rPr>
          <w:i/>
        </w:rPr>
        <w:t>Report and Order</w:t>
      </w:r>
      <w:r>
        <w:t xml:space="preserve">, 39 FCC 846 (1963), </w:t>
      </w:r>
      <w:r>
        <w:rPr>
          <w:i/>
        </w:rPr>
        <w:t>recon. denied</w:t>
      </w:r>
      <w:r>
        <w:t xml:space="preserve"> 39 FCC 873 (1964) (</w:t>
      </w:r>
      <w:r>
        <w:rPr>
          <w:i/>
        </w:rPr>
        <w:t>ETV Decision</w:t>
      </w:r>
      <w:r>
        <w:t>).</w:t>
      </w:r>
    </w:p>
  </w:footnote>
  <w:footnote w:id="2">
    <w:p w:rsidR="00E1743E" w:rsidRDefault="00E1743E" w:rsidP="00D92DAD">
      <w:pPr>
        <w:pStyle w:val="FootnoteText"/>
        <w:spacing w:after="120"/>
      </w:pPr>
      <w:r>
        <w:rPr>
          <w:rStyle w:val="FootnoteReference"/>
        </w:rPr>
        <w:footnoteRef/>
      </w:r>
      <w:r>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xml:space="preserve">, 48 Fed. </w:t>
      </w:r>
      <w:smartTag w:uri="urn:schemas-microsoft-com:office:smarttags" w:element="PostalCode">
        <w:r>
          <w:t>Reg.</w:t>
        </w:r>
      </w:smartTag>
      <w:r>
        <w:t xml:space="preserve"> 33873, 33875 ¶ 9 (1983) (</w:t>
      </w:r>
      <w:r>
        <w:rPr>
          <w:i/>
        </w:rPr>
        <w:t>1983 R&amp;O</w:t>
      </w:r>
      <w:r>
        <w:t>) (</w:t>
      </w:r>
      <w:r>
        <w:rPr>
          <w:i/>
        </w:rPr>
        <w:t>citing ETV Decision</w:t>
      </w:r>
      <w:r>
        <w:t>, 39 FCC 846, 853 ¶ 25.).</w:t>
      </w:r>
    </w:p>
  </w:footnote>
  <w:footnote w:id="3">
    <w:p w:rsidR="00E1743E" w:rsidRDefault="00E1743E" w:rsidP="00D92DAD">
      <w:pPr>
        <w:pStyle w:val="FootnoteText"/>
        <w:spacing w:after="120"/>
      </w:pPr>
      <w:r>
        <w:rPr>
          <w:rStyle w:val="FootnoteReference"/>
        </w:rPr>
        <w:footnoteRef/>
      </w:r>
      <w:r>
        <w:t xml:space="preserve"> </w:t>
      </w:r>
      <w:r>
        <w:rPr>
          <w:i/>
        </w:rPr>
        <w:t>See</w:t>
      </w:r>
      <w:r>
        <w:t xml:space="preserve"> Amendment of Parts 2, 21, 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4">
    <w:p w:rsidR="00E1743E" w:rsidRDefault="00E1743E" w:rsidP="00D92DAD">
      <w:pPr>
        <w:pStyle w:val="FootnoteText"/>
        <w:spacing w:after="120"/>
      </w:pPr>
      <w:r>
        <w:rPr>
          <w:rStyle w:val="FootnoteReference"/>
        </w:rPr>
        <w:footnoteRef/>
      </w:r>
      <w:r>
        <w:t xml:space="preserve"> </w:t>
      </w:r>
      <w:r>
        <w:rPr>
          <w:i/>
        </w:rPr>
        <w:t>Id</w:t>
      </w:r>
      <w:r>
        <w:t>. at 1206-07 ¶ 4.</w:t>
      </w:r>
    </w:p>
  </w:footnote>
  <w:footnote w:id="5">
    <w:p w:rsidR="00E1743E" w:rsidRPr="00764A1C" w:rsidRDefault="00E1743E" w:rsidP="00D92DAD">
      <w:pPr>
        <w:pStyle w:val="FootnoteText"/>
        <w:spacing w:after="120"/>
        <w:rPr>
          <w:b/>
        </w:rPr>
      </w:pPr>
      <w:r>
        <w:rPr>
          <w:rStyle w:val="FootnoteReference"/>
        </w:rPr>
        <w:footnoteRef/>
      </w:r>
      <w:r>
        <w:t xml:space="preserve"> </w:t>
      </w:r>
      <w:r w:rsidRPr="004F4E5F">
        <w:rPr>
          <w:i/>
        </w:rPr>
        <w:t xml:space="preserve">See </w:t>
      </w:r>
      <w:r w:rsidRPr="004F4E5F">
        <w:t xml:space="preserve">Amendment of Parts 1, 21, 73, 74 and 101 of the Commission’s Rules to Facilitate the Provision of Fixed and Mobile Broadband Access, Educational and Other Advanced Services in the 2150-2162 and 2500-2690 MHz Bands. </w:t>
      </w:r>
      <w:r w:rsidRPr="004F4E5F">
        <w:rPr>
          <w:i/>
        </w:rPr>
        <w:t>Notice of Proposed Rulemaking and Memorandum Opinion and Order</w:t>
      </w:r>
      <w:r w:rsidRPr="004F4E5F">
        <w:t>, WT Docket No. 03-66, 18 FCC Rcd 6722, 6811 ¶ 226, 6825 ¶ 260 (2003) (</w:t>
      </w:r>
      <w:r w:rsidRPr="004F4E5F">
        <w:rPr>
          <w:i/>
        </w:rPr>
        <w:t>NPRM and MO&amp;O</w:t>
      </w:r>
      <w:r w:rsidRPr="004F4E5F">
        <w:t>)</w:t>
      </w:r>
      <w:r>
        <w:t xml:space="preserve">.  </w:t>
      </w:r>
    </w:p>
  </w:footnote>
  <w:footnote w:id="6">
    <w:p w:rsidR="00E1743E" w:rsidRPr="00712CF4" w:rsidRDefault="00E1743E" w:rsidP="00D92DAD">
      <w:pPr>
        <w:pStyle w:val="FootnoteText"/>
        <w:spacing w:after="120"/>
      </w:pPr>
      <w:r w:rsidRPr="00712CF4">
        <w:rPr>
          <w:rStyle w:val="FootnoteReference"/>
        </w:rPr>
        <w:footnoteRef/>
      </w:r>
      <w:r w:rsidRPr="00712CF4">
        <w:t xml:space="preserve"> </w:t>
      </w:r>
      <w:r w:rsidRPr="00712CF4">
        <w:rPr>
          <w:i/>
        </w:rPr>
        <w:t>See NPRM and MO&amp;O</w:t>
      </w:r>
      <w:r w:rsidRPr="00712CF4">
        <w:t xml:space="preserve">, 18 FCC Rcd at 6811 ¶ 226, 6825 ¶ 260 (stating in relevant part that “[i]t is …. ordered </w:t>
      </w:r>
      <w:r w:rsidRPr="00712CF4">
        <w:rPr>
          <w:rStyle w:val="documentbody1"/>
          <w:rFonts w:ascii="Times New Roman" w:hAnsi="Times New Roman"/>
          <w:color w:val="000000"/>
          <w:sz w:val="20"/>
          <w:szCs w:val="20"/>
        </w:rPr>
        <w:t>that applications for new MDS or ITFS licenses, major modifications of MDS stations, or major changes to ITFS stations other than applications for license assignments or transfers of control WILL NOT BE ACCEPTED until further notice.”)</w:t>
      </w:r>
      <w:r w:rsidRPr="00712CF4">
        <w:t>.</w:t>
      </w:r>
    </w:p>
  </w:footnote>
  <w:footnote w:id="7">
    <w:p w:rsidR="00E1743E" w:rsidRDefault="00E1743E" w:rsidP="00D92DAD">
      <w:pPr>
        <w:pStyle w:val="FootnoteText"/>
        <w:spacing w:after="120"/>
      </w:pPr>
      <w:r w:rsidRPr="00712CF4">
        <w:rPr>
          <w:rStyle w:val="FootnoteReference"/>
        </w:rPr>
        <w:footnoteRef/>
      </w:r>
      <w:r w:rsidRPr="00712CF4">
        <w:t xml:space="preserve">  </w:t>
      </w:r>
      <w:r w:rsidRPr="00712CF4">
        <w:rPr>
          <w:i/>
        </w:rPr>
        <w:t>See</w:t>
      </w:r>
      <w:r w:rsidRPr="00712CF4">
        <w:t xml:space="preserve"> Amendment of Parts 1, 21, 73, 74 and 101 of the Commission’s Rules to Facilitate the Provision of </w:t>
      </w:r>
      <w:r>
        <w:t>F</w:t>
      </w:r>
      <w:r w:rsidRPr="00712CF4">
        <w:t>ixed and Mobile Broadband Access, Educational and Other advanced Services in the 2150-2162 and 2500</w:t>
      </w:r>
      <w:r>
        <w:t>-2690 Bands</w:t>
      </w:r>
      <w:r>
        <w:rPr>
          <w:i/>
        </w:rPr>
        <w:t>.  Second Memorandum Opinion and Order</w:t>
      </w:r>
      <w:r>
        <w:t>, WT Docket No. 03-66, 18 FCC Rcd 16848 ¶ 1 (2003) (</w:t>
      </w:r>
      <w:r>
        <w:rPr>
          <w:i/>
        </w:rPr>
        <w:t>Second MO&amp;O</w:t>
      </w:r>
      <w:r>
        <w:t>).</w:t>
      </w:r>
    </w:p>
  </w:footnote>
  <w:footnote w:id="8">
    <w:p w:rsidR="00E1743E" w:rsidRDefault="00E1743E" w:rsidP="00D92DAD">
      <w:pPr>
        <w:pStyle w:val="FootnoteText"/>
        <w:spacing w:after="120"/>
      </w:pPr>
      <w:r>
        <w:rPr>
          <w:rStyle w:val="FootnoteReference"/>
        </w:rPr>
        <w:footnoteRef/>
      </w:r>
      <w:r>
        <w:t xml:space="preserve">  </w:t>
      </w:r>
      <w:r>
        <w:rPr>
          <w:i/>
        </w:rPr>
        <w:t>Id</w:t>
      </w:r>
      <w:r>
        <w:t>.</w:t>
      </w:r>
    </w:p>
  </w:footnote>
  <w:footnote w:id="9">
    <w:p w:rsidR="00E1743E" w:rsidRDefault="00E1743E" w:rsidP="00D92DAD">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10">
    <w:p w:rsidR="00E1743E" w:rsidRDefault="00E1743E" w:rsidP="00D92DAD">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 180-204 (2008) (</w:t>
      </w:r>
      <w:r>
        <w:rPr>
          <w:i/>
        </w:rPr>
        <w:t>Second FNPRM</w:t>
      </w:r>
      <w:r>
        <w:t>).</w:t>
      </w:r>
    </w:p>
  </w:footnote>
  <w:footnote w:id="11">
    <w:p w:rsidR="00E1743E" w:rsidRDefault="00E1743E" w:rsidP="00D92DAD">
      <w:pPr>
        <w:pStyle w:val="FootnoteText"/>
        <w:spacing w:after="120"/>
      </w:pPr>
      <w:r>
        <w:rPr>
          <w:rStyle w:val="FootnoteReference"/>
        </w:rPr>
        <w:footnoteRef/>
      </w:r>
      <w:r>
        <w:t xml:space="preserve"> File No. 0004713667, Nisqually Indian Tribe Request for Waiver of FCC Rule and Filing Freeze (filed Apr. 28, 2011) (Waiver Request) at 1.</w:t>
      </w:r>
    </w:p>
  </w:footnote>
  <w:footnote w:id="12">
    <w:p w:rsidR="00E1743E" w:rsidRPr="00B33120" w:rsidRDefault="00E1743E" w:rsidP="00D92DAD">
      <w:pPr>
        <w:pStyle w:val="FootnoteText"/>
        <w:spacing w:after="120"/>
      </w:pPr>
      <w:r>
        <w:rPr>
          <w:rStyle w:val="FootnoteReference"/>
        </w:rPr>
        <w:footnoteRef/>
      </w:r>
      <w:r>
        <w:t xml:space="preserve"> </w:t>
      </w:r>
      <w:r>
        <w:rPr>
          <w:i/>
        </w:rPr>
        <w:t>Id.</w:t>
      </w:r>
    </w:p>
  </w:footnote>
  <w:footnote w:id="13">
    <w:p w:rsidR="00E1743E" w:rsidRDefault="00E1743E" w:rsidP="00D92DAD">
      <w:pPr>
        <w:pStyle w:val="FootnoteText"/>
        <w:spacing w:after="120"/>
      </w:pPr>
      <w:r>
        <w:rPr>
          <w:rStyle w:val="FootnoteReference"/>
        </w:rPr>
        <w:footnoteRef/>
      </w:r>
      <w:r>
        <w:t xml:space="preserve"> </w:t>
      </w:r>
      <w:r>
        <w:rPr>
          <w:i/>
        </w:rPr>
        <w:t xml:space="preserve">Id. </w:t>
      </w:r>
      <w:r>
        <w:t>at 1-2.</w:t>
      </w:r>
    </w:p>
    <w:p w:rsidR="00E1743E" w:rsidRDefault="00E1743E" w:rsidP="00D92DAD">
      <w:pPr>
        <w:pStyle w:val="FootnoteText"/>
        <w:spacing w:after="120"/>
      </w:pPr>
    </w:p>
  </w:footnote>
  <w:footnote w:id="14">
    <w:p w:rsidR="00E1743E" w:rsidRPr="00B33120" w:rsidRDefault="00E1743E" w:rsidP="00D92DAD">
      <w:pPr>
        <w:pStyle w:val="FootnoteText"/>
        <w:spacing w:after="120"/>
      </w:pPr>
      <w:r>
        <w:rPr>
          <w:rStyle w:val="FootnoteReference"/>
        </w:rPr>
        <w:footnoteRef/>
      </w:r>
      <w:r>
        <w:t xml:space="preserve"> </w:t>
      </w:r>
      <w:r>
        <w:rPr>
          <w:i/>
        </w:rPr>
        <w:t>Id.</w:t>
      </w:r>
      <w:r>
        <w:t xml:space="preserve"> at 2.  </w:t>
      </w:r>
      <w:r>
        <w:rPr>
          <w:i/>
        </w:rPr>
        <w:t xml:space="preserve">See also </w:t>
      </w:r>
      <w:r>
        <w:t xml:space="preserve">File No. </w:t>
      </w:r>
      <w:r w:rsidRPr="00B33120">
        <w:t>0004713667</w:t>
      </w:r>
      <w:r>
        <w:t>, Exhibit 1 to Application for EBS License (Exhibit 1) at 11.</w:t>
      </w:r>
    </w:p>
  </w:footnote>
  <w:footnote w:id="15">
    <w:p w:rsidR="00E1743E" w:rsidRPr="00B33120" w:rsidRDefault="00E1743E" w:rsidP="00B33120">
      <w:pPr>
        <w:pStyle w:val="FootnoteText"/>
        <w:spacing w:after="120"/>
      </w:pPr>
      <w:r>
        <w:rPr>
          <w:rStyle w:val="FootnoteReference"/>
        </w:rPr>
        <w:footnoteRef/>
      </w:r>
      <w:r>
        <w:t xml:space="preserve"> Waiver Request at 2, Exhibit 1 at 12.</w:t>
      </w:r>
    </w:p>
  </w:footnote>
  <w:footnote w:id="16">
    <w:p w:rsidR="00E1743E" w:rsidRDefault="00E1743E" w:rsidP="00D92DAD">
      <w:pPr>
        <w:pStyle w:val="FootnoteText"/>
        <w:spacing w:after="120"/>
      </w:pPr>
      <w:r>
        <w:rPr>
          <w:rStyle w:val="FootnoteReference"/>
        </w:rPr>
        <w:footnoteRef/>
      </w:r>
      <w:r>
        <w:t xml:space="preserve"> Waiver Request at 2, Exhibit 1 at 13.</w:t>
      </w:r>
    </w:p>
  </w:footnote>
  <w:footnote w:id="17">
    <w:p w:rsidR="00E1743E" w:rsidRPr="00682664" w:rsidRDefault="00E1743E" w:rsidP="00D92DAD">
      <w:pPr>
        <w:pStyle w:val="FootnoteText"/>
        <w:spacing w:after="120"/>
      </w:pPr>
      <w:r>
        <w:rPr>
          <w:rStyle w:val="FootnoteReference"/>
        </w:rPr>
        <w:footnoteRef/>
      </w:r>
      <w:r>
        <w:t xml:space="preserve"> Waiver Request at 3, Exhibit 1 at 12, 14 and </w:t>
      </w:r>
      <w:r w:rsidRPr="00895CF6">
        <w:t>17</w:t>
      </w:r>
      <w:r>
        <w:t>.</w:t>
      </w:r>
    </w:p>
  </w:footnote>
  <w:footnote w:id="18">
    <w:p w:rsidR="00E1743E" w:rsidRPr="00895CF6" w:rsidRDefault="00E1743E" w:rsidP="00D92DAD">
      <w:pPr>
        <w:pStyle w:val="FootnoteText"/>
        <w:spacing w:after="120"/>
      </w:pPr>
      <w:r>
        <w:rPr>
          <w:rStyle w:val="FootnoteReference"/>
        </w:rPr>
        <w:footnoteRef/>
      </w:r>
      <w:r>
        <w:t xml:space="preserve"> Waiver Request at 3, Exhibit 1 at </w:t>
      </w:r>
      <w:r w:rsidRPr="00895CF6">
        <w:t>12</w:t>
      </w:r>
      <w:r>
        <w:t>.</w:t>
      </w:r>
    </w:p>
  </w:footnote>
  <w:footnote w:id="19">
    <w:p w:rsidR="00E1743E" w:rsidRDefault="00E1743E" w:rsidP="00E50806">
      <w:pPr>
        <w:pStyle w:val="FootnoteText"/>
        <w:spacing w:after="120"/>
      </w:pPr>
      <w:r>
        <w:rPr>
          <w:rStyle w:val="FootnoteReference"/>
        </w:rPr>
        <w:footnoteRef/>
      </w:r>
      <w:r>
        <w:t xml:space="preserve"> Waiver Request at 4.  </w:t>
      </w:r>
      <w:r>
        <w:rPr>
          <w:i/>
        </w:rPr>
        <w:t>See</w:t>
      </w:r>
      <w:r>
        <w:t xml:space="preserve"> </w:t>
      </w:r>
      <w:r w:rsidRPr="0021086C">
        <w:t>File No. 0003202716</w:t>
      </w:r>
      <w:r>
        <w:t>.</w:t>
      </w:r>
    </w:p>
  </w:footnote>
  <w:footnote w:id="20">
    <w:p w:rsidR="00E1743E" w:rsidRDefault="00E1743E" w:rsidP="00B33120">
      <w:pPr>
        <w:pStyle w:val="FootnoteText"/>
        <w:spacing w:after="120"/>
      </w:pPr>
      <w:r>
        <w:rPr>
          <w:rStyle w:val="FootnoteReference"/>
        </w:rPr>
        <w:footnoteRef/>
      </w:r>
      <w:r>
        <w:t xml:space="preserve"> Exhibit 1 at 15.</w:t>
      </w:r>
    </w:p>
  </w:footnote>
  <w:footnote w:id="21">
    <w:p w:rsidR="00E1743E" w:rsidRDefault="00E1743E" w:rsidP="00B33120">
      <w:pPr>
        <w:pStyle w:val="FootnoteText"/>
        <w:spacing w:after="120"/>
      </w:pPr>
      <w:r>
        <w:rPr>
          <w:rStyle w:val="FootnoteReference"/>
        </w:rPr>
        <w:footnoteRef/>
      </w:r>
      <w:r>
        <w:t xml:space="preserve"> Waiver Request at 3.</w:t>
      </w:r>
    </w:p>
  </w:footnote>
  <w:footnote w:id="22">
    <w:p w:rsidR="00E1743E" w:rsidRDefault="00E1743E" w:rsidP="00B33120">
      <w:pPr>
        <w:pStyle w:val="FootnoteText"/>
        <w:spacing w:after="120"/>
      </w:pPr>
      <w:r>
        <w:rPr>
          <w:rStyle w:val="FootnoteReference"/>
        </w:rPr>
        <w:footnoteRef/>
      </w:r>
      <w:r>
        <w:t xml:space="preserve"> </w:t>
      </w:r>
      <w:r>
        <w:rPr>
          <w:i/>
        </w:rPr>
        <w:t>Id</w:t>
      </w:r>
      <w:r>
        <w:t>.</w:t>
      </w:r>
    </w:p>
  </w:footnote>
  <w:footnote w:id="23">
    <w:p w:rsidR="00E1743E" w:rsidRPr="0021086C" w:rsidRDefault="00E1743E" w:rsidP="00B33120">
      <w:pPr>
        <w:pStyle w:val="FootnoteText"/>
        <w:spacing w:after="120"/>
      </w:pPr>
      <w:r>
        <w:rPr>
          <w:rStyle w:val="FootnoteReference"/>
        </w:rPr>
        <w:footnoteRef/>
      </w:r>
      <w:r>
        <w:t xml:space="preserve"> </w:t>
      </w:r>
      <w:r>
        <w:rPr>
          <w:i/>
        </w:rPr>
        <w:t xml:space="preserve">Id. </w:t>
      </w:r>
      <w:r>
        <w:t xml:space="preserve">at 3-4, </w:t>
      </w:r>
      <w:r>
        <w:rPr>
          <w:i/>
        </w:rPr>
        <w:t>citing</w:t>
      </w:r>
      <w:r>
        <w:t xml:space="preserve"> </w:t>
      </w:r>
      <w:r w:rsidRPr="00A1681F">
        <w:t>Board of Trustees of Northern Michigan University</w:t>
      </w:r>
      <w:r>
        <w:t xml:space="preserve">, </w:t>
      </w:r>
      <w:r>
        <w:rPr>
          <w:i/>
        </w:rPr>
        <w:t>Memorandum Opinion and Order,</w:t>
      </w:r>
      <w:r>
        <w:t xml:space="preserve"> </w:t>
      </w:r>
      <w:r w:rsidRPr="00E14AD8">
        <w:t>23 FCC Rcd 11832</w:t>
      </w:r>
      <w:r>
        <w:t xml:space="preserve"> (2008) (“</w:t>
      </w:r>
      <w:r w:rsidRPr="0021086C">
        <w:rPr>
          <w:i/>
        </w:rPr>
        <w:t>NMU Order</w:t>
      </w:r>
      <w:r>
        <w:t xml:space="preserve">”) and </w:t>
      </w:r>
      <w:r w:rsidRPr="0039769E">
        <w:t>Gateway Telecom LLC d/b/a Stratus</w:t>
      </w:r>
      <w:r>
        <w:t>W</w:t>
      </w:r>
      <w:r w:rsidRPr="0039769E">
        <w:t>ave Communications,</w:t>
      </w:r>
      <w:r>
        <w:rPr>
          <w:i/>
        </w:rPr>
        <w:t xml:space="preserve"> Memorandum Opinion and Order, </w:t>
      </w:r>
      <w:r>
        <w:t>22 FCC Rcd 15789 (2007) (“</w:t>
      </w:r>
      <w:r w:rsidRPr="0021086C">
        <w:rPr>
          <w:i/>
        </w:rPr>
        <w:t>StratusWave Order</w:t>
      </w:r>
      <w:r>
        <w:t>”).</w:t>
      </w:r>
    </w:p>
  </w:footnote>
  <w:footnote w:id="24">
    <w:p w:rsidR="00E1743E" w:rsidRDefault="00E1743E" w:rsidP="00D92DAD">
      <w:pPr>
        <w:pStyle w:val="FootnoteText"/>
        <w:spacing w:after="120"/>
      </w:pPr>
      <w:r>
        <w:rPr>
          <w:rStyle w:val="FootnoteReference"/>
        </w:rPr>
        <w:footnoteRef/>
      </w:r>
      <w:r>
        <w:t xml:space="preserve"> Waiver Request at 4.</w:t>
      </w:r>
    </w:p>
  </w:footnote>
  <w:footnote w:id="25">
    <w:p w:rsidR="00E1743E" w:rsidRDefault="00E1743E" w:rsidP="00D92DAD">
      <w:pPr>
        <w:pStyle w:val="FootnoteText"/>
        <w:spacing w:after="120"/>
      </w:pPr>
      <w:r>
        <w:rPr>
          <w:rStyle w:val="FootnoteReference"/>
        </w:rPr>
        <w:footnoteRef/>
      </w:r>
      <w:r>
        <w:t xml:space="preserve"> </w:t>
      </w:r>
      <w:r>
        <w:rPr>
          <w:i/>
        </w:rPr>
        <w:t>See</w:t>
      </w:r>
      <w:r>
        <w:t xml:space="preserve"> Wireless Telecommunications Bureau Market-Based Applications Accepted for Filing, Report No. 6856, </w:t>
      </w:r>
      <w:r>
        <w:rPr>
          <w:i/>
        </w:rPr>
        <w:t>Public Notice</w:t>
      </w:r>
      <w:r>
        <w:t xml:space="preserve"> (rel. May 18, 2011) at 2.</w:t>
      </w:r>
    </w:p>
  </w:footnote>
  <w:footnote w:id="26">
    <w:p w:rsidR="00E1743E" w:rsidRDefault="00E1743E" w:rsidP="00D92DAD">
      <w:pPr>
        <w:pStyle w:val="FootnoteText"/>
        <w:spacing w:after="120"/>
      </w:pPr>
      <w:r>
        <w:rPr>
          <w:rStyle w:val="FootnoteReference"/>
        </w:rPr>
        <w:footnoteRef/>
      </w:r>
      <w:r>
        <w:t xml:space="preserve"> </w:t>
      </w:r>
      <w:r>
        <w:rPr>
          <w:i/>
        </w:rPr>
        <w:t>See</w:t>
      </w:r>
      <w:r>
        <w:t xml:space="preserve"> Waiver Request at 1.</w:t>
      </w:r>
    </w:p>
  </w:footnote>
  <w:footnote w:id="27">
    <w:p w:rsidR="00E1743E" w:rsidRDefault="00E1743E" w:rsidP="00D92DAD">
      <w:pPr>
        <w:pStyle w:val="FootnoteText"/>
        <w:spacing w:after="120"/>
      </w:pPr>
      <w:r>
        <w:rPr>
          <w:rStyle w:val="FootnoteReference"/>
        </w:rPr>
        <w:footnoteRef/>
      </w:r>
      <w:r>
        <w:t xml:space="preserve"> 47 C.F.R. § 1.925(b)(3).</w:t>
      </w:r>
    </w:p>
  </w:footnote>
  <w:footnote w:id="28">
    <w:p w:rsidR="00C768B0" w:rsidRDefault="00C768B0" w:rsidP="00C768B0">
      <w:pPr>
        <w:pStyle w:val="FootnoteText"/>
        <w:spacing w:after="120"/>
      </w:pPr>
      <w:r>
        <w:rPr>
          <w:rStyle w:val="FootnoteReference"/>
        </w:rPr>
        <w:footnoteRef/>
      </w:r>
      <w:r>
        <w:t xml:space="preserve"> </w:t>
      </w:r>
      <w:r>
        <w:rPr>
          <w:i/>
        </w:rPr>
        <w:t>See</w:t>
      </w:r>
      <w:r>
        <w:t xml:space="preserve"> 47 C.F.R. § 1.913(b).</w:t>
      </w:r>
    </w:p>
  </w:footnote>
  <w:footnote w:id="29">
    <w:p w:rsidR="00E1743E" w:rsidRPr="0070533F" w:rsidRDefault="00E1743E" w:rsidP="0071272B">
      <w:pPr>
        <w:pStyle w:val="FootnoteText"/>
        <w:spacing w:after="120"/>
        <w:rPr>
          <w:i/>
        </w:rPr>
      </w:pPr>
      <w:r>
        <w:rPr>
          <w:rStyle w:val="FootnoteReference"/>
        </w:rPr>
        <w:footnoteRef/>
      </w:r>
      <w:r>
        <w:t xml:space="preserve"> U.S. Census 2000 American Indian and Alaska Native Summary File (AIANSF) – Sample Data (Nisqually table generated by U.S. Census Bureau’s American FactFinder database management system at factfinder2.census.gov).</w:t>
      </w:r>
    </w:p>
  </w:footnote>
  <w:footnote w:id="30">
    <w:p w:rsidR="00E1743E" w:rsidRPr="00BE0AAE" w:rsidRDefault="00E1743E" w:rsidP="0071272B">
      <w:pPr>
        <w:pStyle w:val="FootnoteText"/>
        <w:spacing w:after="120"/>
      </w:pPr>
      <w:r>
        <w:rPr>
          <w:rStyle w:val="FootnoteReference"/>
        </w:rPr>
        <w:footnoteRef/>
      </w:r>
      <w:r>
        <w:t xml:space="preserve"> </w:t>
      </w:r>
      <w:r>
        <w:rPr>
          <w:i/>
        </w:rPr>
        <w:t xml:space="preserve">See </w:t>
      </w:r>
      <w:r>
        <w:t>Waiver Request at 2.</w:t>
      </w:r>
    </w:p>
  </w:footnote>
  <w:footnote w:id="31">
    <w:p w:rsidR="00E1743E" w:rsidRPr="008E68A5" w:rsidRDefault="00E1743E" w:rsidP="0071272B">
      <w:pPr>
        <w:pStyle w:val="FootnoteText"/>
        <w:spacing w:after="120"/>
      </w:pPr>
      <w:r>
        <w:rPr>
          <w:rStyle w:val="FootnoteReference"/>
        </w:rPr>
        <w:footnoteRef/>
      </w:r>
      <w:r>
        <w:t xml:space="preserve"> </w:t>
      </w:r>
      <w:r>
        <w:rPr>
          <w:i/>
        </w:rPr>
        <w:t>See</w:t>
      </w:r>
      <w:r>
        <w:t xml:space="preserve"> </w:t>
      </w:r>
      <w:r w:rsidRPr="008E68A5">
        <w:t>Improving Communications Services for Native Nations by Promoting Greater Utilization of</w:t>
      </w:r>
      <w:r>
        <w:t xml:space="preserve"> </w:t>
      </w:r>
      <w:r w:rsidRPr="008E68A5">
        <w:t>Spectrum over Tribal Lands</w:t>
      </w:r>
      <w:r>
        <w:t xml:space="preserve">, WT Docket No. 11-40, </w:t>
      </w:r>
      <w:r>
        <w:rPr>
          <w:i/>
        </w:rPr>
        <w:t>Notice of Proposed Rulemaking</w:t>
      </w:r>
      <w:r>
        <w:t>, 26 FCC Rcd 2623 ¶ 1 (2011) (</w:t>
      </w:r>
      <w:r w:rsidRPr="00170E21">
        <w:rPr>
          <w:i/>
        </w:rPr>
        <w:t>Wireless Spectrum</w:t>
      </w:r>
      <w:r>
        <w:t xml:space="preserve"> </w:t>
      </w:r>
      <w:r>
        <w:rPr>
          <w:i/>
        </w:rPr>
        <w:t>Tribal Lands NPRM</w:t>
      </w:r>
      <w:r>
        <w:t>).</w:t>
      </w:r>
    </w:p>
  </w:footnote>
  <w:footnote w:id="32">
    <w:p w:rsidR="00E1743E" w:rsidRPr="008E68A5" w:rsidRDefault="00E1743E" w:rsidP="0071272B">
      <w:pPr>
        <w:pStyle w:val="FootnoteText"/>
        <w:spacing w:after="120"/>
      </w:pPr>
      <w:r>
        <w:rPr>
          <w:rStyle w:val="FootnoteReference"/>
        </w:rPr>
        <w:footnoteRef/>
      </w:r>
      <w:r>
        <w:t xml:space="preserve"> </w:t>
      </w:r>
      <w:r>
        <w:rPr>
          <w:i/>
        </w:rPr>
        <w:t>Id.</w:t>
      </w:r>
    </w:p>
  </w:footnote>
  <w:footnote w:id="33">
    <w:p w:rsidR="00E1743E" w:rsidRPr="00D153BF" w:rsidRDefault="00E1743E" w:rsidP="0071272B">
      <w:pPr>
        <w:pStyle w:val="FootnoteText"/>
        <w:spacing w:after="120"/>
        <w:rPr>
          <w:i/>
        </w:rPr>
      </w:pPr>
      <w:r>
        <w:rPr>
          <w:rStyle w:val="FootnoteReference"/>
        </w:rPr>
        <w:footnoteRef/>
      </w:r>
      <w:r>
        <w:t xml:space="preserve"> </w:t>
      </w:r>
      <w:r w:rsidRPr="00D153BF">
        <w:rPr>
          <w:i/>
        </w:rPr>
        <w:t xml:space="preserve">See </w:t>
      </w:r>
      <w:r w:rsidRPr="00D153BF">
        <w:t>Improving Communications Services for Native Nations</w:t>
      </w:r>
      <w:r w:rsidRPr="00D153BF">
        <w:rPr>
          <w:i/>
        </w:rPr>
        <w:t xml:space="preserve">, </w:t>
      </w:r>
      <w:r w:rsidRPr="00D153BF">
        <w:t xml:space="preserve">CG Docket No. 11-41, </w:t>
      </w:r>
      <w:r w:rsidRPr="00D153BF">
        <w:rPr>
          <w:i/>
        </w:rPr>
        <w:t>Notice of Inquiry</w:t>
      </w:r>
      <w:r w:rsidRPr="00D153BF">
        <w:t xml:space="preserve">, </w:t>
      </w:r>
      <w:r w:rsidRPr="00D153BF">
        <w:rPr>
          <w:color w:val="000000"/>
        </w:rPr>
        <w:t>26 FCC Rcd 2672 (2011) (</w:t>
      </w:r>
      <w:r w:rsidRPr="00D153BF">
        <w:rPr>
          <w:i/>
          <w:color w:val="000000"/>
        </w:rPr>
        <w:t>Native Nations NOI</w:t>
      </w:r>
      <w:r w:rsidRPr="00D153BF">
        <w:rPr>
          <w:color w:val="000000"/>
        </w:rPr>
        <w:t>).</w:t>
      </w:r>
    </w:p>
  </w:footnote>
  <w:footnote w:id="34">
    <w:p w:rsidR="00E1743E" w:rsidRDefault="00E1743E" w:rsidP="0071272B">
      <w:pPr>
        <w:pStyle w:val="FootnoteText"/>
        <w:spacing w:after="120"/>
      </w:pPr>
      <w:r>
        <w:rPr>
          <w:rStyle w:val="FootnoteReference"/>
        </w:rPr>
        <w:footnoteRef/>
      </w:r>
      <w:r>
        <w:t xml:space="preserve"> 47 C.F.R. § 27.1201(a).</w:t>
      </w:r>
    </w:p>
  </w:footnote>
  <w:footnote w:id="35">
    <w:p w:rsidR="00E1743E" w:rsidRDefault="00E1743E" w:rsidP="0071272B">
      <w:pPr>
        <w:pStyle w:val="FootnoteText"/>
        <w:spacing w:after="120"/>
      </w:pPr>
      <w:r>
        <w:rPr>
          <w:rStyle w:val="FootnoteReference"/>
        </w:rPr>
        <w:footnoteRef/>
      </w:r>
      <w:r>
        <w:t xml:space="preserve"> </w:t>
      </w:r>
      <w:r>
        <w:rPr>
          <w:i/>
        </w:rPr>
        <w:t xml:space="preserve">See </w:t>
      </w:r>
      <w:r>
        <w:t>Exhibit 1 at 11.</w:t>
      </w:r>
    </w:p>
  </w:footnote>
  <w:footnote w:id="36">
    <w:p w:rsidR="00E1743E" w:rsidRDefault="00E1743E" w:rsidP="0071272B">
      <w:pPr>
        <w:pStyle w:val="FootnoteText"/>
        <w:spacing w:after="120"/>
      </w:pPr>
      <w:r>
        <w:rPr>
          <w:rStyle w:val="FootnoteReference"/>
        </w:rPr>
        <w:footnoteRef/>
      </w:r>
      <w:r>
        <w:t xml:space="preserve">  </w:t>
      </w:r>
      <w:r>
        <w:rPr>
          <w:i/>
        </w:rPr>
        <w:t>See</w:t>
      </w:r>
      <w:r>
        <w:t xml:space="preserve"> Waiver Request at 3.</w:t>
      </w:r>
    </w:p>
  </w:footnote>
  <w:footnote w:id="37">
    <w:p w:rsidR="00E1743E" w:rsidRDefault="00E1743E" w:rsidP="0071272B">
      <w:pPr>
        <w:pStyle w:val="FootnoteText"/>
        <w:spacing w:after="120"/>
      </w:pPr>
      <w:r>
        <w:rPr>
          <w:rStyle w:val="FootnoteReference"/>
        </w:rPr>
        <w:footnoteRef/>
      </w:r>
      <w:r>
        <w:t xml:space="preserve"> </w:t>
      </w:r>
      <w:r>
        <w:rPr>
          <w:i/>
        </w:rPr>
        <w:t>See</w:t>
      </w:r>
      <w:r>
        <w:t xml:space="preserve"> </w:t>
      </w:r>
      <w:r>
        <w:rPr>
          <w:i/>
        </w:rPr>
        <w:t>StratusWave Order</w:t>
      </w:r>
      <w:r>
        <w:t>,</w:t>
      </w:r>
      <w:r>
        <w:rPr>
          <w:i/>
        </w:rPr>
        <w:t xml:space="preserve"> </w:t>
      </w:r>
      <w:r>
        <w:t>22 FCC Rcd at 15796 ¶ 15.</w:t>
      </w:r>
    </w:p>
  </w:footnote>
  <w:footnote w:id="38">
    <w:p w:rsidR="00E1743E" w:rsidRDefault="00E1743E" w:rsidP="00CB07E9">
      <w:pPr>
        <w:pStyle w:val="FootnoteText"/>
        <w:spacing w:after="120"/>
      </w:pPr>
      <w:r>
        <w:rPr>
          <w:rStyle w:val="FootnoteReference"/>
        </w:rPr>
        <w:footnoteRef/>
      </w:r>
      <w:r>
        <w:t xml:space="preserve"> </w:t>
      </w:r>
      <w:r w:rsidRPr="00A4723D">
        <w:rPr>
          <w:i/>
        </w:rPr>
        <w:t>See</w:t>
      </w:r>
      <w:r>
        <w:t xml:space="preserve"> </w:t>
      </w:r>
      <w:r>
        <w:rPr>
          <w:i/>
        </w:rPr>
        <w:t>NMU Order</w:t>
      </w:r>
      <w:r w:rsidRPr="00AB653E">
        <w:t>.</w:t>
      </w:r>
    </w:p>
  </w:footnote>
  <w:footnote w:id="39">
    <w:p w:rsidR="00E1743E" w:rsidRDefault="00E1743E" w:rsidP="00CB07E9">
      <w:pPr>
        <w:pStyle w:val="FootnoteText"/>
        <w:spacing w:after="120"/>
      </w:pPr>
      <w:r>
        <w:rPr>
          <w:rStyle w:val="FootnoteReference"/>
        </w:rPr>
        <w:footnoteRef/>
      </w:r>
      <w:r>
        <w:t xml:space="preserve"> </w:t>
      </w:r>
      <w:r>
        <w:rPr>
          <w:i/>
        </w:rPr>
        <w:t>Id.</w:t>
      </w:r>
      <w:r>
        <w:t>, 23 FCC Rcd</w:t>
      </w:r>
      <w:r>
        <w:rPr>
          <w:i/>
        </w:rPr>
        <w:t xml:space="preserve"> </w:t>
      </w:r>
      <w:r>
        <w:t>at 11836 ¶¶ 10-11</w:t>
      </w:r>
      <w:r w:rsidRPr="00AB653E">
        <w:t>.</w:t>
      </w:r>
    </w:p>
  </w:footnote>
  <w:footnote w:id="40">
    <w:p w:rsidR="00E1743E" w:rsidRDefault="00E1743E" w:rsidP="00CB07E9">
      <w:pPr>
        <w:pStyle w:val="FootnoteText"/>
        <w:spacing w:after="120"/>
      </w:pPr>
      <w:r>
        <w:rPr>
          <w:rStyle w:val="FootnoteReference"/>
        </w:rPr>
        <w:footnoteRef/>
      </w:r>
      <w:r>
        <w:t xml:space="preserve"> </w:t>
      </w:r>
      <w:r>
        <w:rPr>
          <w:i/>
        </w:rPr>
        <w:t xml:space="preserve">Id. </w:t>
      </w:r>
      <w:r>
        <w:t>at 11837 ¶ 13.</w:t>
      </w:r>
    </w:p>
  </w:footnote>
  <w:footnote w:id="41">
    <w:p w:rsidR="00E1743E" w:rsidRDefault="00E1743E" w:rsidP="00D92DAD">
      <w:pPr>
        <w:pStyle w:val="FootnoteText"/>
        <w:spacing w:after="120"/>
      </w:pPr>
      <w:r>
        <w:rPr>
          <w:rStyle w:val="FootnoteReference"/>
        </w:rPr>
        <w:footnoteRef/>
      </w:r>
      <w:r>
        <w:t xml:space="preserve"> Exhibit 1 at 14.</w:t>
      </w:r>
    </w:p>
  </w:footnote>
  <w:footnote w:id="42">
    <w:p w:rsidR="00E1743E" w:rsidRPr="00DB43CF" w:rsidRDefault="00E1743E" w:rsidP="00D92DAD">
      <w:pPr>
        <w:pStyle w:val="FootnoteText"/>
        <w:spacing w:after="120"/>
        <w:rPr>
          <w:b/>
        </w:rPr>
      </w:pPr>
      <w:r>
        <w:rPr>
          <w:rStyle w:val="FootnoteReference"/>
        </w:rPr>
        <w:footnoteRef/>
      </w:r>
      <w:r>
        <w:t xml:space="preserve"> </w:t>
      </w:r>
      <w:r>
        <w:rPr>
          <w:i/>
        </w:rPr>
        <w:t>See</w:t>
      </w:r>
      <w:r>
        <w:t xml:space="preserve"> 47 C.F.R. § 27.14(o) (initial BRS licensees granted after November 6, 2009 must make a showing of substantial service within four years of license grant).</w:t>
      </w:r>
    </w:p>
  </w:footnote>
  <w:footnote w:id="43">
    <w:p w:rsidR="00E1743E" w:rsidRDefault="00E1743E" w:rsidP="00D92DAD">
      <w:pPr>
        <w:pStyle w:val="FootnoteText"/>
        <w:spacing w:after="120"/>
      </w:pPr>
      <w:r>
        <w:rPr>
          <w:rStyle w:val="FootnoteReference"/>
        </w:rPr>
        <w:footnoteRef/>
      </w:r>
      <w:r>
        <w:t xml:space="preserve"> FCC Strategic Plan 2006-2011 at 5.  In turn, this goal is based upon the statutory requirement that the Commission “encourage the deployment on a reasonable and timely basis of advanced telecommunications capability to all Americans.”  Telecommunications Act of 1996, P.L. 104-104, Section 706(a).</w:t>
      </w:r>
    </w:p>
  </w:footnote>
  <w:footnote w:id="44">
    <w:p w:rsidR="00E1743E" w:rsidRDefault="00E1743E" w:rsidP="00D92DAD">
      <w:pPr>
        <w:pStyle w:val="FootnoteText"/>
        <w:spacing w:after="120"/>
      </w:pPr>
      <w:r>
        <w:rPr>
          <w:rStyle w:val="FootnoteReference"/>
        </w:rPr>
        <w:footnoteRef/>
      </w:r>
      <w:r>
        <w:t xml:space="preserve"> </w:t>
      </w:r>
      <w:r>
        <w:rPr>
          <w:i/>
        </w:rPr>
        <w:t>See</w:t>
      </w:r>
      <w:r>
        <w:t xml:space="preserve"> </w:t>
      </w:r>
      <w:r>
        <w:rPr>
          <w:i/>
        </w:rPr>
        <w:t>Second FNPRM</w:t>
      </w:r>
      <w:r>
        <w:t xml:space="preserve">, </w:t>
      </w:r>
      <w:r>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CE" w:rsidRDefault="00F10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3E" w:rsidRDefault="00E1743E">
    <w:pPr>
      <w:pStyle w:val="Header"/>
      <w:tabs>
        <w:tab w:val="clear" w:pos="4320"/>
        <w:tab w:val="clear" w:pos="8640"/>
        <w:tab w:val="center" w:pos="4680"/>
        <w:tab w:val="right" w:pos="9360"/>
      </w:tabs>
      <w:rPr>
        <w:b/>
        <w:sz w:val="22"/>
        <w:szCs w:val="22"/>
      </w:rPr>
    </w:pPr>
    <w:r>
      <w:rPr>
        <w:b/>
      </w:rPr>
      <w:tab/>
    </w:r>
    <w:r>
      <w:rPr>
        <w:b/>
        <w:sz w:val="22"/>
        <w:szCs w:val="22"/>
      </w:rPr>
      <w:t>Federal Communications Commission</w:t>
    </w:r>
    <w:r>
      <w:rPr>
        <w:b/>
        <w:sz w:val="22"/>
        <w:szCs w:val="22"/>
      </w:rPr>
      <w:tab/>
      <w:t>DA 1</w:t>
    </w:r>
    <w:r w:rsidR="001A75E6">
      <w:rPr>
        <w:b/>
        <w:sz w:val="22"/>
        <w:szCs w:val="22"/>
      </w:rPr>
      <w:t>3</w:t>
    </w:r>
    <w:r w:rsidR="00D444C5">
      <w:rPr>
        <w:b/>
        <w:sz w:val="22"/>
        <w:szCs w:val="22"/>
      </w:rPr>
      <w:t>-2147</w:t>
    </w:r>
    <w:r>
      <w:rPr>
        <w:b/>
        <w:sz w:val="22"/>
        <w:szCs w:val="22"/>
      </w:rPr>
      <w:t xml:space="preserve"> </w:t>
    </w:r>
  </w:p>
  <w:p w:rsidR="00E1743E" w:rsidRDefault="00D444C5">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E1743E" w:rsidRDefault="00E17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3E" w:rsidRDefault="00E1743E">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DA 1</w:t>
    </w:r>
    <w:r w:rsidR="001A75E6">
      <w:rPr>
        <w:b/>
        <w:sz w:val="22"/>
        <w:szCs w:val="22"/>
      </w:rPr>
      <w:t>3</w:t>
    </w:r>
    <w:r>
      <w:rPr>
        <w:b/>
        <w:sz w:val="22"/>
        <w:szCs w:val="22"/>
      </w:rPr>
      <w:t>-</w:t>
    </w:r>
    <w:r w:rsidR="00D444C5">
      <w:rPr>
        <w:b/>
        <w:sz w:val="22"/>
        <w:szCs w:val="22"/>
      </w:rPr>
      <w:t>2147</w:t>
    </w:r>
    <w:r>
      <w:rPr>
        <w:b/>
        <w:sz w:val="22"/>
        <w:szCs w:val="22"/>
      </w:rPr>
      <w:t xml:space="preserve"> </w:t>
    </w:r>
  </w:p>
  <w:p w:rsidR="00E1743E" w:rsidRDefault="00D444C5">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E1743E" w:rsidRDefault="00E17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8B2"/>
    <w:multiLevelType w:val="hybridMultilevel"/>
    <w:tmpl w:val="CD68BCB4"/>
    <w:lvl w:ilvl="0" w:tplc="B850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7744B"/>
    <w:multiLevelType w:val="multilevel"/>
    <w:tmpl w:val="CF2682DC"/>
    <w:lvl w:ilvl="0">
      <w:start w:val="1"/>
      <w:numFmt w:val="decimal"/>
      <w:lvlText w:val="%1."/>
      <w:lvlJc w:val="left"/>
      <w:pPr>
        <w:tabs>
          <w:tab w:val="num" w:pos="2520"/>
        </w:tabs>
        <w:ind w:left="1440" w:firstLine="720"/>
      </w:pPr>
      <w:rPr>
        <w:rFonts w:hint="default"/>
      </w:rPr>
    </w:lvl>
    <w:lvl w:ilvl="1">
      <w:start w:val="1"/>
      <w:numFmt w:val="decimal"/>
      <w:lvlText w:val="%2."/>
      <w:lvlJc w:val="left"/>
      <w:pPr>
        <w:tabs>
          <w:tab w:val="num" w:pos="2160"/>
        </w:tabs>
        <w:ind w:left="1080" w:firstLine="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26886303"/>
    <w:multiLevelType w:val="hybridMultilevel"/>
    <w:tmpl w:val="5680DABC"/>
    <w:lvl w:ilvl="0" w:tplc="D68C3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261435"/>
    <w:multiLevelType w:val="hybridMultilevel"/>
    <w:tmpl w:val="EF76276A"/>
    <w:lvl w:ilvl="0" w:tplc="E7A06E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5010F"/>
    <w:multiLevelType w:val="hybridMultilevel"/>
    <w:tmpl w:val="757A3474"/>
    <w:lvl w:ilvl="0" w:tplc="AF3C3A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79A4513"/>
    <w:multiLevelType w:val="hybridMultilevel"/>
    <w:tmpl w:val="BEC2CA98"/>
    <w:lvl w:ilvl="0" w:tplc="4FD6388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2412CA"/>
    <w:multiLevelType w:val="hybridMultilevel"/>
    <w:tmpl w:val="1A6634FE"/>
    <w:lvl w:ilvl="0" w:tplc="B8DAFDC2">
      <w:start w:val="1"/>
      <w:numFmt w:val="decimal"/>
      <w:lvlText w:val="%1."/>
      <w:lvlJc w:val="left"/>
      <w:pPr>
        <w:tabs>
          <w:tab w:val="num" w:pos="1440"/>
        </w:tabs>
        <w:ind w:left="1440" w:hanging="720"/>
      </w:pPr>
      <w:rPr>
        <w:rFonts w:hint="default"/>
      </w:rPr>
    </w:lvl>
    <w:lvl w:ilvl="1" w:tplc="AEF6C7AE" w:tentative="1">
      <w:start w:val="1"/>
      <w:numFmt w:val="lowerLetter"/>
      <w:lvlText w:val="%2."/>
      <w:lvlJc w:val="left"/>
      <w:pPr>
        <w:tabs>
          <w:tab w:val="num" w:pos="1800"/>
        </w:tabs>
        <w:ind w:left="1800" w:hanging="360"/>
      </w:pPr>
    </w:lvl>
    <w:lvl w:ilvl="2" w:tplc="12E08FB8" w:tentative="1">
      <w:start w:val="1"/>
      <w:numFmt w:val="lowerRoman"/>
      <w:lvlText w:val="%3."/>
      <w:lvlJc w:val="right"/>
      <w:pPr>
        <w:tabs>
          <w:tab w:val="num" w:pos="2520"/>
        </w:tabs>
        <w:ind w:left="2520" w:hanging="180"/>
      </w:pPr>
    </w:lvl>
    <w:lvl w:ilvl="3" w:tplc="190A0558" w:tentative="1">
      <w:start w:val="1"/>
      <w:numFmt w:val="decimal"/>
      <w:lvlText w:val="%4."/>
      <w:lvlJc w:val="left"/>
      <w:pPr>
        <w:tabs>
          <w:tab w:val="num" w:pos="3240"/>
        </w:tabs>
        <w:ind w:left="3240" w:hanging="360"/>
      </w:pPr>
    </w:lvl>
    <w:lvl w:ilvl="4" w:tplc="471EC00C" w:tentative="1">
      <w:start w:val="1"/>
      <w:numFmt w:val="lowerLetter"/>
      <w:lvlText w:val="%5."/>
      <w:lvlJc w:val="left"/>
      <w:pPr>
        <w:tabs>
          <w:tab w:val="num" w:pos="3960"/>
        </w:tabs>
        <w:ind w:left="3960" w:hanging="360"/>
      </w:pPr>
    </w:lvl>
    <w:lvl w:ilvl="5" w:tplc="3D683FDC" w:tentative="1">
      <w:start w:val="1"/>
      <w:numFmt w:val="lowerRoman"/>
      <w:lvlText w:val="%6."/>
      <w:lvlJc w:val="right"/>
      <w:pPr>
        <w:tabs>
          <w:tab w:val="num" w:pos="4680"/>
        </w:tabs>
        <w:ind w:left="4680" w:hanging="180"/>
      </w:pPr>
    </w:lvl>
    <w:lvl w:ilvl="6" w:tplc="58F8B77E" w:tentative="1">
      <w:start w:val="1"/>
      <w:numFmt w:val="decimal"/>
      <w:lvlText w:val="%7."/>
      <w:lvlJc w:val="left"/>
      <w:pPr>
        <w:tabs>
          <w:tab w:val="num" w:pos="5400"/>
        </w:tabs>
        <w:ind w:left="5400" w:hanging="360"/>
      </w:pPr>
    </w:lvl>
    <w:lvl w:ilvl="7" w:tplc="081C82E2" w:tentative="1">
      <w:start w:val="1"/>
      <w:numFmt w:val="lowerLetter"/>
      <w:lvlText w:val="%8."/>
      <w:lvlJc w:val="left"/>
      <w:pPr>
        <w:tabs>
          <w:tab w:val="num" w:pos="6120"/>
        </w:tabs>
        <w:ind w:left="6120" w:hanging="360"/>
      </w:pPr>
    </w:lvl>
    <w:lvl w:ilvl="8" w:tplc="83082A56" w:tentative="1">
      <w:start w:val="1"/>
      <w:numFmt w:val="lowerRoman"/>
      <w:lvlText w:val="%9."/>
      <w:lvlJc w:val="right"/>
      <w:pPr>
        <w:tabs>
          <w:tab w:val="num" w:pos="6840"/>
        </w:tabs>
        <w:ind w:left="6840" w:hanging="180"/>
      </w:pPr>
    </w:lvl>
  </w:abstractNum>
  <w:abstractNum w:abstractNumId="7">
    <w:nsid w:val="5100430D"/>
    <w:multiLevelType w:val="hybridMultilevel"/>
    <w:tmpl w:val="EC0C0588"/>
    <w:lvl w:ilvl="0" w:tplc="0FE0884C">
      <w:start w:val="6"/>
      <w:numFmt w:val="decimal"/>
      <w:lvlText w:val="%1."/>
      <w:lvlJc w:val="left"/>
      <w:pPr>
        <w:tabs>
          <w:tab w:val="num" w:pos="720"/>
        </w:tabs>
        <w:ind w:left="720" w:hanging="360"/>
      </w:pPr>
      <w:rPr>
        <w:rFonts w:hint="default"/>
      </w:rPr>
    </w:lvl>
    <w:lvl w:ilvl="1" w:tplc="386C097E" w:tentative="1">
      <w:start w:val="1"/>
      <w:numFmt w:val="lowerLetter"/>
      <w:lvlText w:val="%2."/>
      <w:lvlJc w:val="left"/>
      <w:pPr>
        <w:tabs>
          <w:tab w:val="num" w:pos="1440"/>
        </w:tabs>
        <w:ind w:left="1440" w:hanging="360"/>
      </w:pPr>
    </w:lvl>
    <w:lvl w:ilvl="2" w:tplc="8D28E292" w:tentative="1">
      <w:start w:val="1"/>
      <w:numFmt w:val="lowerRoman"/>
      <w:lvlText w:val="%3."/>
      <w:lvlJc w:val="right"/>
      <w:pPr>
        <w:tabs>
          <w:tab w:val="num" w:pos="2160"/>
        </w:tabs>
        <w:ind w:left="2160" w:hanging="180"/>
      </w:pPr>
    </w:lvl>
    <w:lvl w:ilvl="3" w:tplc="7A7EB7BA" w:tentative="1">
      <w:start w:val="1"/>
      <w:numFmt w:val="decimal"/>
      <w:lvlText w:val="%4."/>
      <w:lvlJc w:val="left"/>
      <w:pPr>
        <w:tabs>
          <w:tab w:val="num" w:pos="2880"/>
        </w:tabs>
        <w:ind w:left="2880" w:hanging="360"/>
      </w:pPr>
    </w:lvl>
    <w:lvl w:ilvl="4" w:tplc="D3249496" w:tentative="1">
      <w:start w:val="1"/>
      <w:numFmt w:val="lowerLetter"/>
      <w:lvlText w:val="%5."/>
      <w:lvlJc w:val="left"/>
      <w:pPr>
        <w:tabs>
          <w:tab w:val="num" w:pos="3600"/>
        </w:tabs>
        <w:ind w:left="3600" w:hanging="360"/>
      </w:pPr>
    </w:lvl>
    <w:lvl w:ilvl="5" w:tplc="CA326D9C" w:tentative="1">
      <w:start w:val="1"/>
      <w:numFmt w:val="lowerRoman"/>
      <w:lvlText w:val="%6."/>
      <w:lvlJc w:val="right"/>
      <w:pPr>
        <w:tabs>
          <w:tab w:val="num" w:pos="4320"/>
        </w:tabs>
        <w:ind w:left="4320" w:hanging="180"/>
      </w:pPr>
    </w:lvl>
    <w:lvl w:ilvl="6" w:tplc="6C8EE916" w:tentative="1">
      <w:start w:val="1"/>
      <w:numFmt w:val="decimal"/>
      <w:lvlText w:val="%7."/>
      <w:lvlJc w:val="left"/>
      <w:pPr>
        <w:tabs>
          <w:tab w:val="num" w:pos="5040"/>
        </w:tabs>
        <w:ind w:left="5040" w:hanging="360"/>
      </w:pPr>
    </w:lvl>
    <w:lvl w:ilvl="7" w:tplc="6E484E50" w:tentative="1">
      <w:start w:val="1"/>
      <w:numFmt w:val="lowerLetter"/>
      <w:lvlText w:val="%8."/>
      <w:lvlJc w:val="left"/>
      <w:pPr>
        <w:tabs>
          <w:tab w:val="num" w:pos="5760"/>
        </w:tabs>
        <w:ind w:left="5760" w:hanging="360"/>
      </w:pPr>
    </w:lvl>
    <w:lvl w:ilvl="8" w:tplc="C1C070D0" w:tentative="1">
      <w:start w:val="1"/>
      <w:numFmt w:val="lowerRoman"/>
      <w:lvlText w:val="%9."/>
      <w:lvlJc w:val="right"/>
      <w:pPr>
        <w:tabs>
          <w:tab w:val="num" w:pos="6480"/>
        </w:tabs>
        <w:ind w:left="6480" w:hanging="180"/>
      </w:pPr>
    </w:lvl>
  </w:abstractNum>
  <w:abstractNum w:abstractNumId="8">
    <w:nsid w:val="55710EB4"/>
    <w:multiLevelType w:val="hybridMultilevel"/>
    <w:tmpl w:val="CE6A4750"/>
    <w:lvl w:ilvl="0" w:tplc="E07C8D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43474F"/>
    <w:multiLevelType w:val="hybridMultilevel"/>
    <w:tmpl w:val="9ABCBFF0"/>
    <w:lvl w:ilvl="0" w:tplc="0409000F">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8658A8"/>
    <w:multiLevelType w:val="hybridMultilevel"/>
    <w:tmpl w:val="B4AA65A2"/>
    <w:lvl w:ilvl="0" w:tplc="1ED080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BB3959"/>
    <w:multiLevelType w:val="hybridMultilevel"/>
    <w:tmpl w:val="C076F94E"/>
    <w:lvl w:ilvl="0" w:tplc="6C4C40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67C0C"/>
    <w:multiLevelType w:val="hybridMultilevel"/>
    <w:tmpl w:val="92DA4934"/>
    <w:lvl w:ilvl="0" w:tplc="13A058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792974"/>
    <w:multiLevelType w:val="hybridMultilevel"/>
    <w:tmpl w:val="CAC68F90"/>
    <w:lvl w:ilvl="0" w:tplc="9CF4D9C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EB5021"/>
    <w:multiLevelType w:val="hybridMultilevel"/>
    <w:tmpl w:val="DCC2A218"/>
    <w:lvl w:ilvl="0" w:tplc="0409000F">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C35A40"/>
    <w:multiLevelType w:val="hybridMultilevel"/>
    <w:tmpl w:val="CF2682DC"/>
    <w:lvl w:ilvl="0" w:tplc="F632787C">
      <w:start w:val="1"/>
      <w:numFmt w:val="decimal"/>
      <w:pStyle w:val="ParaNum"/>
      <w:lvlText w:val="%1."/>
      <w:lvlJc w:val="left"/>
      <w:pPr>
        <w:tabs>
          <w:tab w:val="num" w:pos="2520"/>
        </w:tabs>
        <w:ind w:left="1440" w:firstLine="720"/>
      </w:pPr>
      <w:rPr>
        <w:rFonts w:hint="default"/>
      </w:rPr>
    </w:lvl>
    <w:lvl w:ilvl="1" w:tplc="04090019">
      <w:start w:val="1"/>
      <w:numFmt w:val="decimal"/>
      <w:lvlText w:val="%2."/>
      <w:lvlJc w:val="left"/>
      <w:pPr>
        <w:tabs>
          <w:tab w:val="num" w:pos="2160"/>
        </w:tabs>
        <w:ind w:left="108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7320669"/>
    <w:multiLevelType w:val="hybridMultilevel"/>
    <w:tmpl w:val="712AC832"/>
    <w:lvl w:ilvl="0" w:tplc="0B62228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1"/>
  </w:num>
  <w:num w:numId="2">
    <w:abstractNumId w:val="10"/>
  </w:num>
  <w:num w:numId="3">
    <w:abstractNumId w:val="3"/>
  </w:num>
  <w:num w:numId="4">
    <w:abstractNumId w:val="6"/>
  </w:num>
  <w:num w:numId="5">
    <w:abstractNumId w:val="2"/>
  </w:num>
  <w:num w:numId="6">
    <w:abstractNumId w:val="0"/>
  </w:num>
  <w:num w:numId="7">
    <w:abstractNumId w:val="8"/>
  </w:num>
  <w:num w:numId="8">
    <w:abstractNumId w:val="16"/>
  </w:num>
  <w:num w:numId="9">
    <w:abstractNumId w:val="9"/>
  </w:num>
  <w:num w:numId="10">
    <w:abstractNumId w:val="12"/>
  </w:num>
  <w:num w:numId="11">
    <w:abstractNumId w:val="5"/>
  </w:num>
  <w:num w:numId="12">
    <w:abstractNumId w:val="7"/>
  </w:num>
  <w:num w:numId="13">
    <w:abstractNumId w:val="4"/>
  </w:num>
  <w:num w:numId="14">
    <w:abstractNumId w:val="14"/>
  </w:num>
  <w:num w:numId="15">
    <w:abstractNumId w:val="13"/>
  </w:num>
  <w:num w:numId="16">
    <w:abstractNumId w:val="15"/>
  </w:num>
  <w:num w:numId="17">
    <w:abstractNumId w:val="17"/>
  </w:num>
  <w:num w:numId="18">
    <w:abstractNumId w:val="15"/>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E8"/>
    <w:rsid w:val="00000A97"/>
    <w:rsid w:val="00002983"/>
    <w:rsid w:val="0001340E"/>
    <w:rsid w:val="000266EF"/>
    <w:rsid w:val="00063C11"/>
    <w:rsid w:val="000A13EC"/>
    <w:rsid w:val="000D3BF5"/>
    <w:rsid w:val="000E36A5"/>
    <w:rsid w:val="00102CCC"/>
    <w:rsid w:val="00122225"/>
    <w:rsid w:val="00140F21"/>
    <w:rsid w:val="00154E3E"/>
    <w:rsid w:val="00170FA6"/>
    <w:rsid w:val="001A75E6"/>
    <w:rsid w:val="001B12CB"/>
    <w:rsid w:val="001C2DE9"/>
    <w:rsid w:val="001E090C"/>
    <w:rsid w:val="002033E4"/>
    <w:rsid w:val="00206484"/>
    <w:rsid w:val="0021086C"/>
    <w:rsid w:val="00224990"/>
    <w:rsid w:val="0023196A"/>
    <w:rsid w:val="002358DE"/>
    <w:rsid w:val="00244889"/>
    <w:rsid w:val="002A1BE1"/>
    <w:rsid w:val="002A5431"/>
    <w:rsid w:val="002B52AC"/>
    <w:rsid w:val="002D0CBC"/>
    <w:rsid w:val="002E2B62"/>
    <w:rsid w:val="00306D00"/>
    <w:rsid w:val="003159E2"/>
    <w:rsid w:val="00322B87"/>
    <w:rsid w:val="0039769E"/>
    <w:rsid w:val="003A6F6C"/>
    <w:rsid w:val="003C0834"/>
    <w:rsid w:val="003E6C3E"/>
    <w:rsid w:val="00494CAF"/>
    <w:rsid w:val="004B3B21"/>
    <w:rsid w:val="004D1104"/>
    <w:rsid w:val="004D3DB5"/>
    <w:rsid w:val="00500843"/>
    <w:rsid w:val="00513161"/>
    <w:rsid w:val="005154F4"/>
    <w:rsid w:val="00523B67"/>
    <w:rsid w:val="00550323"/>
    <w:rsid w:val="005751F2"/>
    <w:rsid w:val="00611200"/>
    <w:rsid w:val="00621583"/>
    <w:rsid w:val="00654311"/>
    <w:rsid w:val="0065438E"/>
    <w:rsid w:val="00661E71"/>
    <w:rsid w:val="00674C72"/>
    <w:rsid w:val="00680D9B"/>
    <w:rsid w:val="00681DB3"/>
    <w:rsid w:val="00682664"/>
    <w:rsid w:val="00687B02"/>
    <w:rsid w:val="006C0CE6"/>
    <w:rsid w:val="006C23FA"/>
    <w:rsid w:val="006E4BAB"/>
    <w:rsid w:val="006F1C8E"/>
    <w:rsid w:val="007040C3"/>
    <w:rsid w:val="0070533F"/>
    <w:rsid w:val="0071272B"/>
    <w:rsid w:val="00712CF4"/>
    <w:rsid w:val="00725A33"/>
    <w:rsid w:val="00747568"/>
    <w:rsid w:val="0076246C"/>
    <w:rsid w:val="007A10D7"/>
    <w:rsid w:val="007A26F8"/>
    <w:rsid w:val="007D042B"/>
    <w:rsid w:val="007F0B3D"/>
    <w:rsid w:val="007F10F0"/>
    <w:rsid w:val="00807062"/>
    <w:rsid w:val="00822155"/>
    <w:rsid w:val="00857B1F"/>
    <w:rsid w:val="00875B45"/>
    <w:rsid w:val="00895CF6"/>
    <w:rsid w:val="008A0261"/>
    <w:rsid w:val="008B5AAE"/>
    <w:rsid w:val="008C240D"/>
    <w:rsid w:val="008D1153"/>
    <w:rsid w:val="00947408"/>
    <w:rsid w:val="009939A5"/>
    <w:rsid w:val="009B239C"/>
    <w:rsid w:val="009E18A9"/>
    <w:rsid w:val="00A1681F"/>
    <w:rsid w:val="00A6083C"/>
    <w:rsid w:val="00A623E7"/>
    <w:rsid w:val="00A829A2"/>
    <w:rsid w:val="00A8506A"/>
    <w:rsid w:val="00AB0C71"/>
    <w:rsid w:val="00AB1E48"/>
    <w:rsid w:val="00AB57F7"/>
    <w:rsid w:val="00AD3BFF"/>
    <w:rsid w:val="00AE6322"/>
    <w:rsid w:val="00AF4845"/>
    <w:rsid w:val="00B12943"/>
    <w:rsid w:val="00B33120"/>
    <w:rsid w:val="00B35D7F"/>
    <w:rsid w:val="00B57439"/>
    <w:rsid w:val="00B62651"/>
    <w:rsid w:val="00B67D5C"/>
    <w:rsid w:val="00B9247A"/>
    <w:rsid w:val="00B94AD2"/>
    <w:rsid w:val="00B956DD"/>
    <w:rsid w:val="00BB5559"/>
    <w:rsid w:val="00BB696F"/>
    <w:rsid w:val="00BC2E20"/>
    <w:rsid w:val="00BC3581"/>
    <w:rsid w:val="00BE0AAE"/>
    <w:rsid w:val="00BF7BA0"/>
    <w:rsid w:val="00C01B7C"/>
    <w:rsid w:val="00C02E36"/>
    <w:rsid w:val="00C768B0"/>
    <w:rsid w:val="00C956BB"/>
    <w:rsid w:val="00CA6D43"/>
    <w:rsid w:val="00CB07E9"/>
    <w:rsid w:val="00CC108E"/>
    <w:rsid w:val="00CC54EE"/>
    <w:rsid w:val="00CD0492"/>
    <w:rsid w:val="00CD7632"/>
    <w:rsid w:val="00CE1FC6"/>
    <w:rsid w:val="00CF3AC1"/>
    <w:rsid w:val="00CF6892"/>
    <w:rsid w:val="00D444C5"/>
    <w:rsid w:val="00D56739"/>
    <w:rsid w:val="00D82DC2"/>
    <w:rsid w:val="00D92DAD"/>
    <w:rsid w:val="00DB27AC"/>
    <w:rsid w:val="00DB43CF"/>
    <w:rsid w:val="00DC3179"/>
    <w:rsid w:val="00E14AD8"/>
    <w:rsid w:val="00E1743E"/>
    <w:rsid w:val="00E21E6A"/>
    <w:rsid w:val="00E24D58"/>
    <w:rsid w:val="00E42496"/>
    <w:rsid w:val="00E4673B"/>
    <w:rsid w:val="00E50806"/>
    <w:rsid w:val="00E97D11"/>
    <w:rsid w:val="00EB1F73"/>
    <w:rsid w:val="00EE7648"/>
    <w:rsid w:val="00EF42AC"/>
    <w:rsid w:val="00F077FF"/>
    <w:rsid w:val="00F10ACE"/>
    <w:rsid w:val="00F10D5D"/>
    <w:rsid w:val="00F2726F"/>
    <w:rsid w:val="00F445E5"/>
    <w:rsid w:val="00F65EF5"/>
    <w:rsid w:val="00F80405"/>
    <w:rsid w:val="00F80AD0"/>
    <w:rsid w:val="00F87A53"/>
    <w:rsid w:val="00FB11E8"/>
    <w:rsid w:val="00FC596E"/>
    <w:rsid w:val="00FD3343"/>
    <w:rsid w:val="00FD4B24"/>
    <w:rsid w:val="00FE0E9E"/>
    <w:rsid w:val="00FF5878"/>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character" w:customStyle="1" w:styleId="apple-style-span">
    <w:name w:val="apple-style-span"/>
    <w:basedOn w:val="DefaultParagraphFont"/>
    <w:rsid w:val="00154E3E"/>
  </w:style>
  <w:style w:type="character" w:customStyle="1" w:styleId="apple-converted-space">
    <w:name w:val="apple-converted-space"/>
    <w:basedOn w:val="DefaultParagraphFont"/>
    <w:rsid w:val="00154E3E"/>
  </w:style>
  <w:style w:type="character" w:styleId="CommentReference">
    <w:name w:val="annotation reference"/>
    <w:rsid w:val="00FF5878"/>
    <w:rPr>
      <w:sz w:val="16"/>
      <w:szCs w:val="16"/>
    </w:rPr>
  </w:style>
  <w:style w:type="paragraph" w:styleId="CommentText">
    <w:name w:val="annotation text"/>
    <w:basedOn w:val="Normal"/>
    <w:link w:val="CommentTextChar"/>
    <w:rsid w:val="00FF5878"/>
    <w:rPr>
      <w:sz w:val="20"/>
      <w:szCs w:val="20"/>
    </w:rPr>
  </w:style>
  <w:style w:type="character" w:customStyle="1" w:styleId="CommentTextChar">
    <w:name w:val="Comment Text Char"/>
    <w:basedOn w:val="DefaultParagraphFont"/>
    <w:link w:val="CommentText"/>
    <w:rsid w:val="00FF5878"/>
  </w:style>
  <w:style w:type="paragraph" w:styleId="CommentSubject">
    <w:name w:val="annotation subject"/>
    <w:basedOn w:val="CommentText"/>
    <w:next w:val="CommentText"/>
    <w:link w:val="CommentSubjectChar"/>
    <w:rsid w:val="00FF5878"/>
    <w:rPr>
      <w:b/>
      <w:bCs/>
    </w:rPr>
  </w:style>
  <w:style w:type="character" w:customStyle="1" w:styleId="CommentSubjectChar">
    <w:name w:val="Comment Subject Char"/>
    <w:link w:val="CommentSubject"/>
    <w:rsid w:val="00FF5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character" w:customStyle="1" w:styleId="apple-style-span">
    <w:name w:val="apple-style-span"/>
    <w:basedOn w:val="DefaultParagraphFont"/>
    <w:rsid w:val="00154E3E"/>
  </w:style>
  <w:style w:type="character" w:customStyle="1" w:styleId="apple-converted-space">
    <w:name w:val="apple-converted-space"/>
    <w:basedOn w:val="DefaultParagraphFont"/>
    <w:rsid w:val="00154E3E"/>
  </w:style>
  <w:style w:type="character" w:styleId="CommentReference">
    <w:name w:val="annotation reference"/>
    <w:rsid w:val="00FF5878"/>
    <w:rPr>
      <w:sz w:val="16"/>
      <w:szCs w:val="16"/>
    </w:rPr>
  </w:style>
  <w:style w:type="paragraph" w:styleId="CommentText">
    <w:name w:val="annotation text"/>
    <w:basedOn w:val="Normal"/>
    <w:link w:val="CommentTextChar"/>
    <w:rsid w:val="00FF5878"/>
    <w:rPr>
      <w:sz w:val="20"/>
      <w:szCs w:val="20"/>
    </w:rPr>
  </w:style>
  <w:style w:type="character" w:customStyle="1" w:styleId="CommentTextChar">
    <w:name w:val="Comment Text Char"/>
    <w:basedOn w:val="DefaultParagraphFont"/>
    <w:link w:val="CommentText"/>
    <w:rsid w:val="00FF5878"/>
  </w:style>
  <w:style w:type="paragraph" w:styleId="CommentSubject">
    <w:name w:val="annotation subject"/>
    <w:basedOn w:val="CommentText"/>
    <w:next w:val="CommentText"/>
    <w:link w:val="CommentSubjectChar"/>
    <w:rsid w:val="00FF5878"/>
    <w:rPr>
      <w:b/>
      <w:bCs/>
    </w:rPr>
  </w:style>
  <w:style w:type="character" w:customStyle="1" w:styleId="CommentSubjectChar">
    <w:name w:val="Comment Subject Char"/>
    <w:link w:val="CommentSubject"/>
    <w:rsid w:val="00FF5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2455</Words>
  <Characters>13324</Characters>
  <Application>Microsoft Office Word</Application>
  <DocSecurity>0</DocSecurity>
  <Lines>205</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2011-09-14T18:49:00Z</cp:lastPrinted>
  <dcterms:created xsi:type="dcterms:W3CDTF">2013-11-08T16:22:00Z</dcterms:created>
  <dcterms:modified xsi:type="dcterms:W3CDTF">2013-11-08T16:22:00Z</dcterms:modified>
  <cp:category> </cp:category>
  <cp:contentStatus> </cp:contentStatus>
</cp:coreProperties>
</file>