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AB" w:rsidRPr="006E28F8" w:rsidRDefault="00D043AB" w:rsidP="00C218A4">
      <w:pPr>
        <w:jc w:val="center"/>
        <w:rPr>
          <w:b/>
        </w:rPr>
      </w:pPr>
      <w:bookmarkStart w:id="0" w:name="_GoBack"/>
      <w:bookmarkEnd w:id="0"/>
      <w:r w:rsidRPr="006E28F8">
        <w:rPr>
          <w:b/>
        </w:rPr>
        <w:t>Before the</w:t>
      </w:r>
    </w:p>
    <w:p w:rsidR="00D043AB" w:rsidRPr="006E28F8" w:rsidRDefault="00D043AB" w:rsidP="00C218A4">
      <w:pPr>
        <w:jc w:val="center"/>
        <w:rPr>
          <w:b/>
        </w:rPr>
      </w:pPr>
      <w:r w:rsidRPr="006E28F8">
        <w:rPr>
          <w:b/>
        </w:rPr>
        <w:t>Federal Communications Commission</w:t>
      </w:r>
    </w:p>
    <w:p w:rsidR="00D043AB" w:rsidRPr="006E28F8" w:rsidRDefault="00D043AB" w:rsidP="00C218A4">
      <w:pPr>
        <w:jc w:val="center"/>
        <w:rPr>
          <w:b/>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6E28F8">
                <w:rPr>
                  <w:b/>
                </w:rPr>
                <w:t>Washington</w:t>
              </w:r>
            </w:smartTag>
          </w:smartTag>
          <w:r w:rsidRPr="006E28F8">
            <w:rPr>
              <w:b/>
            </w:rPr>
            <w:t xml:space="preserve">, </w:t>
          </w:r>
          <w:smartTag w:uri="urn:schemas-microsoft-com:office:smarttags" w:element="PostalCode">
            <w:smartTag w:uri="urn:schemas-microsoft-com:office:smarttags" w:element="State">
              <w:r w:rsidRPr="006E28F8">
                <w:rPr>
                  <w:b/>
                </w:rPr>
                <w:t>D.C.</w:t>
              </w:r>
            </w:smartTag>
          </w:smartTag>
          <w:r w:rsidRPr="006E28F8">
            <w:rPr>
              <w:b/>
            </w:rPr>
            <w:t xml:space="preserve"> </w:t>
          </w:r>
          <w:smartTag w:uri="urn:schemas-microsoft-com:office:smarttags" w:element="PostalCode">
            <w:r w:rsidRPr="006E28F8">
              <w:rPr>
                <w:b/>
              </w:rPr>
              <w:t>20554</w:t>
            </w:r>
          </w:smartTag>
        </w:smartTag>
      </w:smartTag>
    </w:p>
    <w:p w:rsidR="00D043AB" w:rsidRPr="006E28F8" w:rsidRDefault="00D043AB" w:rsidP="003C30AF"/>
    <w:p w:rsidR="00D043AB" w:rsidRPr="006E28F8" w:rsidRDefault="00D043AB" w:rsidP="003C30AF"/>
    <w:tbl>
      <w:tblPr>
        <w:tblW w:w="0" w:type="auto"/>
        <w:tblLayout w:type="fixed"/>
        <w:tblLook w:val="0000" w:firstRow="0" w:lastRow="0" w:firstColumn="0" w:lastColumn="0" w:noHBand="0" w:noVBand="0"/>
      </w:tblPr>
      <w:tblGrid>
        <w:gridCol w:w="4698"/>
        <w:gridCol w:w="720"/>
        <w:gridCol w:w="4230"/>
      </w:tblGrid>
      <w:tr w:rsidR="00D043AB" w:rsidRPr="006E28F8">
        <w:tc>
          <w:tcPr>
            <w:tcW w:w="4698" w:type="dxa"/>
          </w:tcPr>
          <w:p w:rsidR="00D043AB" w:rsidRDefault="00D043AB" w:rsidP="006666AA">
            <w:pPr>
              <w:spacing w:after="120"/>
              <w:ind w:right="-18"/>
            </w:pPr>
            <w:r w:rsidRPr="006E28F8">
              <w:t xml:space="preserve">In the Matter of </w:t>
            </w:r>
          </w:p>
          <w:p w:rsidR="00D043AB" w:rsidRDefault="00D043AB" w:rsidP="006C08B3">
            <w:pPr>
              <w:spacing w:after="120"/>
              <w:ind w:right="-18"/>
              <w:rPr>
                <w:spacing w:val="-2"/>
              </w:rPr>
            </w:pPr>
            <w:r w:rsidRPr="006E28F8">
              <w:rPr>
                <w:spacing w:val="-2"/>
              </w:rPr>
              <w:t>UNS Electric, Inc.,</w:t>
            </w:r>
            <w:r>
              <w:rPr>
                <w:spacing w:val="-2"/>
              </w:rPr>
              <w:t xml:space="preserve"> </w:t>
            </w:r>
          </w:p>
          <w:p w:rsidR="00D043AB" w:rsidRPr="006E28F8" w:rsidRDefault="00D043AB" w:rsidP="006C08B3">
            <w:pPr>
              <w:spacing w:after="120"/>
              <w:ind w:right="-18"/>
              <w:rPr>
                <w:spacing w:val="-2"/>
              </w:rPr>
            </w:pPr>
            <w:r w:rsidRPr="006E28F8">
              <w:rPr>
                <w:spacing w:val="-2"/>
              </w:rPr>
              <w:t xml:space="preserve">an indirect, wholly-owned subsidiary of UNS Energy Corporation </w:t>
            </w:r>
          </w:p>
        </w:tc>
        <w:tc>
          <w:tcPr>
            <w:tcW w:w="720" w:type="dxa"/>
          </w:tcPr>
          <w:p w:rsidR="00D043AB" w:rsidRPr="006E28F8" w:rsidRDefault="00D043AB" w:rsidP="003C30AF">
            <w:r w:rsidRPr="006E28F8">
              <w:t>)</w:t>
            </w:r>
          </w:p>
          <w:p w:rsidR="00D043AB" w:rsidRPr="006E28F8" w:rsidRDefault="00D043AB" w:rsidP="003C30AF">
            <w:r w:rsidRPr="006E28F8">
              <w:t>)</w:t>
            </w:r>
          </w:p>
          <w:p w:rsidR="00D043AB" w:rsidRPr="006E28F8" w:rsidRDefault="00D043AB" w:rsidP="003C30AF">
            <w:r w:rsidRPr="006E28F8">
              <w:t>)</w:t>
            </w:r>
          </w:p>
          <w:p w:rsidR="00D043AB" w:rsidRPr="006E28F8" w:rsidRDefault="00D043AB" w:rsidP="003C30AF">
            <w:r w:rsidRPr="006E28F8">
              <w:t>)</w:t>
            </w:r>
          </w:p>
          <w:p w:rsidR="00D043AB" w:rsidRPr="006E28F8" w:rsidRDefault="00D043AB" w:rsidP="003C30AF">
            <w:r w:rsidRPr="006E28F8">
              <w:t>)</w:t>
            </w:r>
          </w:p>
          <w:p w:rsidR="00D043AB" w:rsidRPr="006E28F8" w:rsidRDefault="00D043AB" w:rsidP="003C30AF">
            <w:r w:rsidRPr="006E28F8">
              <w:t>)</w:t>
            </w:r>
          </w:p>
          <w:p w:rsidR="00D043AB" w:rsidRPr="006E28F8" w:rsidRDefault="00D043AB" w:rsidP="00001F73">
            <w:pPr>
              <w:spacing w:after="240"/>
            </w:pPr>
          </w:p>
        </w:tc>
        <w:tc>
          <w:tcPr>
            <w:tcW w:w="4230" w:type="dxa"/>
          </w:tcPr>
          <w:p w:rsidR="00D043AB" w:rsidRPr="006E28F8" w:rsidRDefault="00D043AB" w:rsidP="003C30AF">
            <w:pPr>
              <w:tabs>
                <w:tab w:val="center" w:pos="4680"/>
              </w:tabs>
              <w:suppressAutoHyphens/>
              <w:rPr>
                <w:spacing w:val="-2"/>
                <w:lang w:val="es-ES_tradnl"/>
              </w:rPr>
            </w:pPr>
            <w:r w:rsidRPr="006E28F8">
              <w:rPr>
                <w:spacing w:val="-2"/>
                <w:lang w:val="es-ES_tradnl"/>
              </w:rPr>
              <w:t>File No.:  EB-SED-13-00005853</w:t>
            </w:r>
          </w:p>
          <w:p w:rsidR="00D043AB" w:rsidRPr="006E28F8" w:rsidRDefault="00D043AB" w:rsidP="003C30AF">
            <w:pPr>
              <w:tabs>
                <w:tab w:val="left" w:pos="720"/>
                <w:tab w:val="right" w:leader="dot" w:pos="9360"/>
              </w:tabs>
              <w:suppressAutoHyphens/>
              <w:ind w:left="720" w:right="720" w:hanging="360"/>
              <w:rPr>
                <w:spacing w:val="-2"/>
                <w:lang w:val="es-ES_tradnl"/>
              </w:rPr>
            </w:pPr>
          </w:p>
          <w:p w:rsidR="00D043AB" w:rsidRPr="006E28F8" w:rsidRDefault="00D043AB" w:rsidP="003C30AF">
            <w:pPr>
              <w:rPr>
                <w:spacing w:val="-2"/>
                <w:lang w:val="es-ES_tradnl"/>
              </w:rPr>
            </w:pPr>
            <w:r w:rsidRPr="006E28F8">
              <w:rPr>
                <w:spacing w:val="-2"/>
                <w:lang w:val="es-ES_tradnl"/>
              </w:rPr>
              <w:t xml:space="preserve">NAL/Acct. No.:  </w:t>
            </w:r>
            <w:r w:rsidRPr="00931DF0">
              <w:rPr>
                <w:spacing w:val="-2"/>
              </w:rPr>
              <w:t>201432100003</w:t>
            </w:r>
            <w:r w:rsidRPr="006E28F8">
              <w:rPr>
                <w:spacing w:val="-2"/>
                <w:lang w:val="es-ES_tradnl"/>
              </w:rPr>
              <w:t xml:space="preserve"> </w:t>
            </w:r>
          </w:p>
          <w:p w:rsidR="00D043AB" w:rsidRPr="006E28F8" w:rsidRDefault="00D043AB" w:rsidP="003C30AF">
            <w:pPr>
              <w:tabs>
                <w:tab w:val="left" w:pos="720"/>
                <w:tab w:val="right" w:leader="dot" w:pos="9360"/>
              </w:tabs>
              <w:suppressAutoHyphens/>
              <w:ind w:left="720" w:right="720" w:hanging="360"/>
              <w:rPr>
                <w:spacing w:val="-2"/>
              </w:rPr>
            </w:pPr>
          </w:p>
          <w:p w:rsidR="00D043AB" w:rsidRPr="006E28F8" w:rsidRDefault="00D043AB" w:rsidP="003C30AF">
            <w:pPr>
              <w:spacing w:after="120"/>
            </w:pPr>
            <w:r w:rsidRPr="006E28F8">
              <w:rPr>
                <w:spacing w:val="-2"/>
              </w:rPr>
              <w:t>FRN:  0008825606</w:t>
            </w:r>
          </w:p>
        </w:tc>
      </w:tr>
    </w:tbl>
    <w:p w:rsidR="00D043AB" w:rsidRPr="006E28F8" w:rsidRDefault="00D043AB" w:rsidP="00533FE1">
      <w:pPr>
        <w:jc w:val="center"/>
        <w:rPr>
          <w:b/>
        </w:rPr>
      </w:pPr>
      <w:r w:rsidRPr="006E28F8">
        <w:rPr>
          <w:b/>
          <w:spacing w:val="-2"/>
        </w:rPr>
        <w:t>NOTICE OF APPARENT LIABILITY FOR FORFEITURE</w:t>
      </w:r>
    </w:p>
    <w:p w:rsidR="00D043AB" w:rsidRPr="006E28F8" w:rsidRDefault="00D043AB" w:rsidP="003C30AF">
      <w:pPr>
        <w:tabs>
          <w:tab w:val="left" w:pos="5760"/>
        </w:tabs>
        <w:rPr>
          <w:b/>
        </w:rPr>
      </w:pPr>
    </w:p>
    <w:p w:rsidR="00D043AB" w:rsidRPr="006E28F8" w:rsidRDefault="00D043AB" w:rsidP="003C30AF">
      <w:pPr>
        <w:tabs>
          <w:tab w:val="left" w:pos="5760"/>
        </w:tabs>
        <w:rPr>
          <w:b/>
        </w:rPr>
      </w:pPr>
      <w:r w:rsidRPr="006E28F8">
        <w:rPr>
          <w:b/>
        </w:rPr>
        <w:t xml:space="preserve">Adopted:  </w:t>
      </w:r>
      <w:r>
        <w:rPr>
          <w:b/>
        </w:rPr>
        <w:t>November 22</w:t>
      </w:r>
      <w:r w:rsidRPr="006E28F8">
        <w:rPr>
          <w:b/>
        </w:rPr>
        <w:t xml:space="preserve">, 2013  </w:t>
      </w:r>
      <w:r w:rsidRPr="006E28F8">
        <w:rPr>
          <w:b/>
        </w:rPr>
        <w:tab/>
        <w:t xml:space="preserve">  </w:t>
      </w:r>
      <w:r>
        <w:rPr>
          <w:b/>
        </w:rPr>
        <w:t xml:space="preserve">    </w:t>
      </w:r>
      <w:r w:rsidRPr="006E28F8">
        <w:rPr>
          <w:b/>
        </w:rPr>
        <w:t xml:space="preserve">Released:  </w:t>
      </w:r>
      <w:r>
        <w:rPr>
          <w:b/>
        </w:rPr>
        <w:t>November 22</w:t>
      </w:r>
      <w:r w:rsidRPr="006E28F8">
        <w:rPr>
          <w:b/>
        </w:rPr>
        <w:t>, 2013</w:t>
      </w:r>
    </w:p>
    <w:p w:rsidR="00D043AB" w:rsidRPr="006E28F8" w:rsidRDefault="00D043AB" w:rsidP="003C30AF">
      <w:pPr>
        <w:tabs>
          <w:tab w:val="left" w:pos="5760"/>
        </w:tabs>
        <w:rPr>
          <w:b/>
        </w:rPr>
      </w:pPr>
    </w:p>
    <w:p w:rsidR="00D043AB" w:rsidRPr="006E28F8" w:rsidRDefault="00D043AB" w:rsidP="003C30AF">
      <w:pPr>
        <w:tabs>
          <w:tab w:val="left" w:pos="5760"/>
        </w:tabs>
      </w:pPr>
      <w:r w:rsidRPr="006E28F8">
        <w:t xml:space="preserve">By the </w:t>
      </w:r>
      <w:r>
        <w:t xml:space="preserve">Deputy </w:t>
      </w:r>
      <w:r w:rsidRPr="006E28F8">
        <w:rPr>
          <w:spacing w:val="-2"/>
        </w:rPr>
        <w:t>Chief, Enforcement Bureau:</w:t>
      </w:r>
    </w:p>
    <w:p w:rsidR="00D043AB" w:rsidRPr="006E28F8" w:rsidRDefault="00D043AB" w:rsidP="003C30AF">
      <w:pPr>
        <w:rPr>
          <w:b/>
        </w:rPr>
      </w:pPr>
    </w:p>
    <w:p w:rsidR="00D043AB" w:rsidRPr="006E28F8" w:rsidRDefault="00D043AB" w:rsidP="00001F73">
      <w:pPr>
        <w:pStyle w:val="Heading1"/>
        <w:spacing w:after="220"/>
        <w:rPr>
          <w:rFonts w:ascii="Times New Roman" w:hAnsi="Times New Roman"/>
        </w:rPr>
      </w:pPr>
      <w:r w:rsidRPr="006E28F8">
        <w:rPr>
          <w:rFonts w:ascii="Times New Roman" w:hAnsi="Times New Roman"/>
        </w:rPr>
        <w:t>introduction</w:t>
      </w:r>
    </w:p>
    <w:p w:rsidR="00D043AB" w:rsidRPr="006E28F8" w:rsidRDefault="00D043AB" w:rsidP="00001F73">
      <w:pPr>
        <w:pStyle w:val="ParaNum"/>
        <w:tabs>
          <w:tab w:val="left" w:pos="1440"/>
        </w:tabs>
        <w:spacing w:after="220"/>
      </w:pPr>
      <w:r>
        <w:t>I</w:t>
      </w:r>
      <w:r w:rsidRPr="006E28F8">
        <w:t>n this Notice of Apparent Liability for Forfeiture (NAL), we find UNS Electric, Inc. (UNS Electric),</w:t>
      </w:r>
      <w:r w:rsidRPr="006E28F8">
        <w:rPr>
          <w:rStyle w:val="FootnoteReference"/>
          <w:sz w:val="22"/>
        </w:rPr>
        <w:footnoteReference w:id="2"/>
      </w:r>
      <w:r w:rsidRPr="006E28F8">
        <w:t xml:space="preserve"> former licensee of Private Land Mobile Radio Service (PLMRS) station KNNR214, Tucson, Arizona, apparently liable for a forfeiture in the amount of twenty-f</w:t>
      </w:r>
      <w:r>
        <w:t>ive</w:t>
      </w:r>
      <w:r w:rsidRPr="006E28F8">
        <w:t xml:space="preserve"> thousand dollars ($2</w:t>
      </w:r>
      <w:r>
        <w:t>5</w:t>
      </w:r>
      <w:r w:rsidRPr="006E28F8">
        <w:t>,000) for its apparent willful and repeated violation of Section 301 of the Communications Act of 1934, as amended (Act),</w:t>
      </w:r>
      <w:r w:rsidRPr="006E28F8">
        <w:rPr>
          <w:rStyle w:val="FootnoteReference"/>
          <w:sz w:val="22"/>
        </w:rPr>
        <w:footnoteReference w:id="3"/>
      </w:r>
      <w:r w:rsidRPr="006E28F8">
        <w:t xml:space="preserve"> Section 1.903(a) of the Commission’s rules (Rules),</w:t>
      </w:r>
      <w:r w:rsidRPr="006E28F8">
        <w:rPr>
          <w:rStyle w:val="FootnoteReference"/>
          <w:sz w:val="22"/>
        </w:rPr>
        <w:footnoteReference w:id="4"/>
      </w:r>
      <w:r w:rsidRPr="006E28F8">
        <w:t xml:space="preserve"> and the associated Commission orders requiring licensees to seek authority for any continued operations after license expiration.</w:t>
      </w:r>
      <w:r w:rsidRPr="006E28F8">
        <w:rPr>
          <w:rStyle w:val="FootnoteReference"/>
          <w:sz w:val="22"/>
        </w:rPr>
        <w:footnoteReference w:id="5"/>
      </w:r>
      <w:r w:rsidRPr="006E28F8">
        <w:t xml:space="preserve">  The apparent violations involve UNS Electric’s operation of PLMRS station KNNR214 for </w:t>
      </w:r>
      <w:r>
        <w:t xml:space="preserve">19 months </w:t>
      </w:r>
      <w:r w:rsidRPr="006E28F8">
        <w:t>without Commission authority and its associated failure to timely file an application for authority to continue operation of the station.</w:t>
      </w:r>
    </w:p>
    <w:p w:rsidR="00D043AB" w:rsidRPr="006E28F8" w:rsidRDefault="00D043AB" w:rsidP="00001F73">
      <w:pPr>
        <w:pStyle w:val="Heading1"/>
        <w:spacing w:after="220"/>
        <w:rPr>
          <w:rFonts w:ascii="Times New Roman" w:hAnsi="Times New Roman"/>
        </w:rPr>
      </w:pPr>
      <w:r w:rsidRPr="006E28F8">
        <w:rPr>
          <w:rFonts w:ascii="Times New Roman" w:hAnsi="Times New Roman"/>
        </w:rPr>
        <w:t>background</w:t>
      </w:r>
    </w:p>
    <w:p w:rsidR="00D043AB" w:rsidRPr="006E28F8" w:rsidRDefault="00D043AB" w:rsidP="00001F73">
      <w:pPr>
        <w:pStyle w:val="ParaNum"/>
        <w:spacing w:after="220"/>
      </w:pPr>
      <w:r w:rsidRPr="006E28F8">
        <w:t>On February 27, 2001, UNS Electric was granted a license to operate station KNNR214 for ten years through May 1, 2011, the expiration date of the station’s license.</w:t>
      </w:r>
      <w:r w:rsidRPr="006E28F8">
        <w:rPr>
          <w:rStyle w:val="FootnoteReference"/>
          <w:sz w:val="22"/>
        </w:rPr>
        <w:footnoteReference w:id="6"/>
      </w:r>
      <w:r w:rsidRPr="006E28F8">
        <w:t xml:space="preserve">  On February 7, 2011, the Commission’s Wireless Telecommunications Bureau (Wireless Bureau) sent UNS Electric a courtesy “renewal reminder” notice for station KNNR214, alerting UNS Electric that it was required to file a renewal application for the station prior to the expiration of the station’s license if it planned to continue </w:t>
      </w:r>
      <w:r w:rsidRPr="006E28F8">
        <w:lastRenderedPageBreak/>
        <w:t>operation.</w:t>
      </w:r>
      <w:r w:rsidRPr="006E28F8">
        <w:rPr>
          <w:rStyle w:val="FootnoteReference"/>
          <w:sz w:val="22"/>
        </w:rPr>
        <w:footnoteReference w:id="7"/>
      </w:r>
      <w:r w:rsidRPr="006E28F8">
        <w:t xml:space="preserve">  UNS Electric failed to file a renewal application for station KNNR214 prior to the license expiration date.  In the absence of such filing, UNS Electric’s license for station KNNR214 automatically terminated on the May 1, 2011 expiration date.</w:t>
      </w:r>
      <w:r w:rsidRPr="006E28F8">
        <w:rPr>
          <w:rStyle w:val="FootnoteReference"/>
          <w:sz w:val="22"/>
        </w:rPr>
        <w:footnoteReference w:id="8"/>
      </w:r>
      <w:r w:rsidRPr="006E28F8">
        <w:t xml:space="preserve">  Nineteen months later, on November 30, 2012, UNS Electric filed with the Wireless Bureau a request for Special Temporary Authority (STA) to operate a PLMRS station, stating that it had recently discovered that its license for station KNNR214 had expired and that the STA was necessary for the safe and efficient provision of electric power service to the public.</w:t>
      </w:r>
      <w:r w:rsidRPr="006E28F8">
        <w:rPr>
          <w:rStyle w:val="FootnoteReference"/>
          <w:sz w:val="22"/>
        </w:rPr>
        <w:footnoteReference w:id="9"/>
      </w:r>
      <w:r w:rsidRPr="006E28F8">
        <w:t xml:space="preserve">  On December 4, 2012, the Wireless Bureau granted the STA until June 2, 2013, under call sign WQQG373.</w:t>
      </w:r>
      <w:r w:rsidRPr="006E28F8">
        <w:rPr>
          <w:rStyle w:val="FootnoteReference"/>
          <w:sz w:val="22"/>
        </w:rPr>
        <w:footnoteReference w:id="10"/>
      </w:r>
      <w:r w:rsidRPr="006E28F8">
        <w:t xml:space="preserve">  On December 6, 2012, UNS Electric filed an application for a new PLMRS station license, which was granted on April 3, 2013.</w:t>
      </w:r>
      <w:r w:rsidRPr="006E28F8">
        <w:rPr>
          <w:rStyle w:val="FootnoteReference"/>
          <w:sz w:val="22"/>
        </w:rPr>
        <w:footnoteReference w:id="11"/>
      </w:r>
    </w:p>
    <w:p w:rsidR="00D043AB" w:rsidRPr="006E28F8" w:rsidRDefault="00D043AB" w:rsidP="00001F73">
      <w:pPr>
        <w:pStyle w:val="ParaNum"/>
        <w:spacing w:after="220"/>
      </w:pPr>
      <w:r w:rsidRPr="006E28F8">
        <w:t>Because it appeared that UNS Electric operated station KNNR214 after the expiration of the station license, the Wireless Bureau referred this matter to the Enforcement Bureau (Bureau) for investigation and possible enforcement action.  On April 15, 2013, the Bureau’s Spectrum Enforcement Division issued a letter of inquiry (LOI) to UNS Electric, directing the company to submit a sworn written response to a series of questions relating to UNS Electric’s failure to file an application for renewal of the KNNR214 license and UNS Electric’s continued operation of the station after the expiration of the station license.</w:t>
      </w:r>
      <w:r w:rsidRPr="006E28F8">
        <w:rPr>
          <w:rStyle w:val="FootnoteReference"/>
          <w:sz w:val="22"/>
        </w:rPr>
        <w:footnoteReference w:id="12"/>
      </w:r>
    </w:p>
    <w:p w:rsidR="00D043AB" w:rsidRPr="006E28F8" w:rsidRDefault="00D043AB" w:rsidP="00001F73">
      <w:pPr>
        <w:pStyle w:val="ParaNum"/>
        <w:spacing w:after="220"/>
      </w:pPr>
      <w:r w:rsidRPr="006E28F8">
        <w:t>UNS Electric responded to the LOI on May 10, 2013.</w:t>
      </w:r>
      <w:r w:rsidRPr="006E28F8">
        <w:rPr>
          <w:rStyle w:val="FootnoteReference"/>
          <w:sz w:val="22"/>
        </w:rPr>
        <w:footnoteReference w:id="13"/>
      </w:r>
      <w:r w:rsidRPr="006E28F8">
        <w:t xml:space="preserve">  In its LOI Response, UNS Electric acknowledged that it continued to operate the station “on a more or less daily basis” after the expiration of the station license on May 1, 2011, until December 4, 2012, the date its STA request was granted.</w:t>
      </w:r>
      <w:r w:rsidRPr="006E28F8">
        <w:rPr>
          <w:rStyle w:val="FootnoteReference"/>
          <w:sz w:val="22"/>
        </w:rPr>
        <w:footnoteReference w:id="14"/>
      </w:r>
      <w:r w:rsidRPr="006E28F8">
        <w:t xml:space="preserve">  UNS Electric explains that it discovered that the KNNR214 station license had not been renewed on September 24, 2012, when a field crew conducting a site inspection noted that the posted copy of the station license had expired.</w:t>
      </w:r>
      <w:r w:rsidRPr="006E28F8">
        <w:rPr>
          <w:rStyle w:val="FootnoteReference"/>
          <w:sz w:val="22"/>
        </w:rPr>
        <w:footnoteReference w:id="15"/>
      </w:r>
      <w:r w:rsidRPr="006E28F8">
        <w:t xml:space="preserve">  UNS Electric states that internal company records indicated that the KNNR214 license had been renewed, and that UNS Electric believes that a former employee responsible for tracking the company’s FCC licenses marked internal records to show the renewal had been filed prior to unexpectedly leaving the company. </w:t>
      </w:r>
    </w:p>
    <w:p w:rsidR="00D043AB" w:rsidRPr="006E28F8" w:rsidRDefault="00D043AB" w:rsidP="00001F73">
      <w:pPr>
        <w:pStyle w:val="Heading1"/>
        <w:spacing w:after="220"/>
        <w:rPr>
          <w:rFonts w:ascii="Times New Roman" w:hAnsi="Times New Roman"/>
        </w:rPr>
      </w:pPr>
      <w:r w:rsidRPr="006E28F8">
        <w:rPr>
          <w:rFonts w:ascii="Times New Roman" w:hAnsi="Times New Roman"/>
        </w:rPr>
        <w:t>Discussion</w:t>
      </w:r>
    </w:p>
    <w:p w:rsidR="00D043AB" w:rsidRPr="006E28F8" w:rsidRDefault="00D043AB" w:rsidP="00001F73">
      <w:pPr>
        <w:pStyle w:val="ParaNum"/>
        <w:spacing w:after="220"/>
      </w:pPr>
      <w:r w:rsidRPr="006E28F8">
        <w:t>Section 301 of the Act and Section 1.903(a) of the Rules prohibit the use or operation of any apparatus for the transmission of energy or communications or signals by radio except under, and in accordance with, a Commission-granted authorization.</w:t>
      </w:r>
      <w:r w:rsidRPr="006E28F8">
        <w:rPr>
          <w:rStyle w:val="FootnoteReference"/>
          <w:sz w:val="22"/>
        </w:rPr>
        <w:footnoteReference w:id="16"/>
      </w:r>
      <w:r w:rsidRPr="006E28F8">
        <w:t xml:space="preserve">  Licensees who want to operate after the expiration of their licenses must affirmatively request continued operating authority from the Commission.  Section 1.949(a) of the Rules and the </w:t>
      </w:r>
      <w:r w:rsidRPr="006E28F8">
        <w:rPr>
          <w:i/>
        </w:rPr>
        <w:t>Universal Licensing System Orders</w:t>
      </w:r>
      <w:r w:rsidRPr="006E28F8">
        <w:t xml:space="preserve"> mandate the filing of certain applications to obtain such authority.</w:t>
      </w:r>
      <w:r w:rsidRPr="006E28F8">
        <w:rPr>
          <w:rStyle w:val="FootnoteReference"/>
          <w:sz w:val="22"/>
        </w:rPr>
        <w:footnoteReference w:id="17"/>
      </w:r>
    </w:p>
    <w:p w:rsidR="00D043AB" w:rsidRPr="006E28F8" w:rsidRDefault="00D043AB" w:rsidP="00001F73">
      <w:pPr>
        <w:pStyle w:val="ParaNum"/>
        <w:spacing w:after="220"/>
      </w:pPr>
      <w:r w:rsidRPr="006E28F8">
        <w:t>As a Commission licensee, UNS Electric was required to maintain its authorizations in order to continue to operate station KNNR214.</w:t>
      </w:r>
      <w:r w:rsidRPr="006E28F8">
        <w:rPr>
          <w:rStyle w:val="FootnoteReference"/>
          <w:sz w:val="22"/>
        </w:rPr>
        <w:footnoteReference w:id="18"/>
      </w:r>
      <w:r w:rsidRPr="006E28F8">
        <w:t xml:space="preserve">  UNS Electric admitted that it failed to renew its license for station KNNR214, and that it continued to operate the station without Commission authority for 19 months, from May 1, 2011, the date that the license for station KNNR214 expired, until December 4, 2012, the date that UNS Electric’s STA request was granted.  By operating station KNNR214 after the license expiration date, UNS Electric apparently violated Section 301 of the Act and Section 1.903(a) of the Rules, and by failing to seek Commission authority for its continued operation of station KNNR214, UNS Electric apparently violated the </w:t>
      </w:r>
      <w:r w:rsidRPr="006E28F8">
        <w:rPr>
          <w:i/>
        </w:rPr>
        <w:t>Universal Licensing System Orders</w:t>
      </w:r>
      <w:r w:rsidRPr="006E28F8">
        <w:t xml:space="preserve"> and associated rules.</w:t>
      </w:r>
    </w:p>
    <w:p w:rsidR="00D043AB" w:rsidRPr="006E28F8" w:rsidRDefault="00D043AB" w:rsidP="00C72ACD">
      <w:pPr>
        <w:pStyle w:val="ParaNum"/>
        <w:spacing w:after="220"/>
      </w:pPr>
      <w:r w:rsidRPr="006740E7">
        <w:rPr>
          <w:color w:val="000000"/>
          <w:spacing w:val="-3"/>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6740E7">
        <w:rPr>
          <w:rStyle w:val="FootnoteReference"/>
          <w:color w:val="000000"/>
          <w:spacing w:val="-3"/>
          <w:szCs w:val="22"/>
        </w:rPr>
        <w:footnoteReference w:id="19"/>
      </w:r>
      <w:r w:rsidRPr="006740E7">
        <w:rPr>
          <w:color w:val="000000"/>
          <w:spacing w:val="-3"/>
          <w:szCs w:val="22"/>
        </w:rPr>
        <w:t xml:space="preserve">  Section 312(f)(1) of the Act defines “willful” as the “conscious and deliberate commission or omission of [any] act, irrespective of any intent to violate” the law.</w:t>
      </w:r>
      <w:r w:rsidRPr="006740E7">
        <w:rPr>
          <w:rStyle w:val="FootnoteReference"/>
          <w:color w:val="000000"/>
          <w:spacing w:val="-3"/>
          <w:szCs w:val="22"/>
        </w:rPr>
        <w:footnoteReference w:id="20"/>
      </w:r>
      <w:r w:rsidRPr="006740E7">
        <w:rPr>
          <w:color w:val="000000"/>
          <w:spacing w:val="-3"/>
          <w:szCs w:val="22"/>
        </w:rPr>
        <w:t xml:space="preserve">  The legislative history to Section 312(f)(1) of the Act clarifies that this definition of willful applies to both Sections 312 and 503(b) of the Act,</w:t>
      </w:r>
      <w:r w:rsidRPr="006740E7">
        <w:rPr>
          <w:rStyle w:val="FootnoteReference"/>
          <w:color w:val="000000"/>
          <w:spacing w:val="-3"/>
          <w:szCs w:val="22"/>
        </w:rPr>
        <w:footnoteReference w:id="21"/>
      </w:r>
      <w:r w:rsidRPr="006740E7">
        <w:rPr>
          <w:color w:val="000000"/>
          <w:spacing w:val="-3"/>
          <w:szCs w:val="22"/>
        </w:rPr>
        <w:t xml:space="preserve"> and the Commission has so interpreted the term in the Section 503(b) context.</w:t>
      </w:r>
      <w:r w:rsidRPr="006740E7">
        <w:rPr>
          <w:rStyle w:val="FootnoteReference"/>
          <w:color w:val="000000"/>
          <w:spacing w:val="-3"/>
          <w:szCs w:val="22"/>
        </w:rPr>
        <w:footnoteReference w:id="22"/>
      </w:r>
      <w:r w:rsidRPr="006740E7">
        <w:rPr>
          <w:color w:val="000000"/>
          <w:spacing w:val="-3"/>
          <w:szCs w:val="22"/>
        </w:rPr>
        <w:t xml:space="preserve">  </w:t>
      </w:r>
      <w:r w:rsidRPr="006740E7">
        <w:rPr>
          <w:color w:val="000000"/>
          <w:szCs w:val="22"/>
        </w:rPr>
        <w:t>The Commission may also assess a forfeiture for violations that are merely repeated, and not willful.</w:t>
      </w:r>
      <w:r w:rsidRPr="006740E7">
        <w:rPr>
          <w:rStyle w:val="FootnoteReference"/>
          <w:color w:val="000000"/>
          <w:szCs w:val="22"/>
        </w:rPr>
        <w:footnoteReference w:id="23"/>
      </w:r>
      <w:r w:rsidRPr="006740E7">
        <w:rPr>
          <w:color w:val="000000"/>
        </w:rPr>
        <w:t xml:space="preserve">  </w:t>
      </w:r>
      <w:r w:rsidRPr="006740E7">
        <w:rPr>
          <w:color w:val="000000"/>
          <w:spacing w:val="-3"/>
          <w:szCs w:val="22"/>
        </w:rPr>
        <w:t>The term “repeated” means the commission or omission of such act more than once or for more than one day.</w:t>
      </w:r>
      <w:r w:rsidRPr="006740E7">
        <w:rPr>
          <w:rStyle w:val="FootnoteReference"/>
          <w:color w:val="000000"/>
          <w:spacing w:val="-3"/>
          <w:szCs w:val="22"/>
        </w:rPr>
        <w:footnoteReference w:id="24"/>
      </w:r>
      <w:r>
        <w:rPr>
          <w:color w:val="000000"/>
          <w:spacing w:val="-3"/>
          <w:szCs w:val="22"/>
        </w:rPr>
        <w:t xml:space="preserve">  </w:t>
      </w:r>
      <w:r w:rsidRPr="006E28F8">
        <w:t xml:space="preserve">Based on the record before us, UNS Electric’s apparent violations of Section 301 of the Act, Section 1.903(a) of the Rules, and the </w:t>
      </w:r>
      <w:r w:rsidRPr="0086046B">
        <w:rPr>
          <w:i/>
        </w:rPr>
        <w:t>Universal Licensing System Orders</w:t>
      </w:r>
      <w:r w:rsidRPr="006E28F8">
        <w:t xml:space="preserve"> and associated rules are both willful and repeated.</w:t>
      </w:r>
    </w:p>
    <w:p w:rsidR="00D043AB" w:rsidRPr="006E28F8" w:rsidRDefault="00D043AB" w:rsidP="00C72ACD">
      <w:pPr>
        <w:pStyle w:val="ParaNum"/>
        <w:spacing w:after="220"/>
      </w:pPr>
      <w:r w:rsidRPr="006E28F8">
        <w:t>In determining the appropriate forfeiture amount, Section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6E28F8">
        <w:rPr>
          <w:rStyle w:val="FootnoteReference"/>
          <w:sz w:val="22"/>
        </w:rPr>
        <w:footnoteReference w:id="25"/>
      </w:r>
      <w:r w:rsidRPr="006E28F8">
        <w:t xml:space="preserve">  Section 1.80(b</w:t>
      </w:r>
      <w:r w:rsidRPr="006E28F8">
        <w:rPr>
          <w:spacing w:val="-2"/>
        </w:rPr>
        <w:t>)</w:t>
      </w:r>
      <w:r w:rsidRPr="006E28F8">
        <w:t xml:space="preserve"> of the Rules sets a base forfeiture amount of $10,000 for operation of a station without Commission authority and a base forfeiture amount of $3,000 for failure to file required forms or information.</w:t>
      </w:r>
      <w:r w:rsidRPr="006E28F8">
        <w:rPr>
          <w:rStyle w:val="FootnoteReference"/>
          <w:sz w:val="22"/>
        </w:rPr>
        <w:footnoteReference w:id="26"/>
      </w:r>
      <w:r w:rsidRPr="006E28F8">
        <w:t xml:space="preserve">  The Commission has held that a licensee’s continued operation without authorization and its failure to timely seek Commission authority for such operations constitute separate violations and warrant the assessment of separate forfeitures.</w:t>
      </w:r>
      <w:r w:rsidRPr="006E28F8">
        <w:rPr>
          <w:rStyle w:val="FootnoteReference"/>
          <w:sz w:val="22"/>
        </w:rPr>
        <w:footnoteReference w:id="27"/>
      </w:r>
      <w:r w:rsidRPr="006E28F8">
        <w:t xml:space="preserve">  We note that UNS Electric failed to file either a timely renewal or any other application seeking operating authority.  Accordingly, we herein propose separate base forfeiture amounts for UNS Electric’s apparent violations—$10,000 for UNS Electric’s continued operation of station KNNR214 </w:t>
      </w:r>
      <w:r>
        <w:t>after license expiration</w:t>
      </w:r>
      <w:r w:rsidRPr="006E28F8">
        <w:t xml:space="preserve"> and $3,000 for UNS Electric’s failure to seek Commission authority for station KNNR214, for a total base forfeiture of $13,000.   </w:t>
      </w:r>
    </w:p>
    <w:p w:rsidR="00D043AB" w:rsidRPr="006E28F8" w:rsidRDefault="00D043AB" w:rsidP="00C72ACD">
      <w:pPr>
        <w:pStyle w:val="ParaNum"/>
        <w:spacing w:after="220"/>
      </w:pPr>
      <w:r w:rsidRPr="006E28F8">
        <w:t xml:space="preserve">Given the totality of the circumstances, and consistent with the </w:t>
      </w:r>
      <w:r w:rsidRPr="0086046B">
        <w:rPr>
          <w:i/>
        </w:rPr>
        <w:t>Forfeiture Policy Statement</w:t>
      </w:r>
      <w:r w:rsidRPr="006E28F8">
        <w:t xml:space="preserve">, we conclude that a significant upward adjustment of the base forfeiture is warranted.  In this regard, we recognize that UNS Energy Corporation (UNS Energy)—UNS Electric’s parent company—is a </w:t>
      </w:r>
      <w:r>
        <w:t>substantial</w:t>
      </w:r>
      <w:r w:rsidRPr="006E28F8">
        <w:t xml:space="preserve"> enterprise.</w:t>
      </w:r>
      <w:r w:rsidRPr="006E28F8">
        <w:rPr>
          <w:rStyle w:val="FootnoteReference"/>
          <w:sz w:val="22"/>
        </w:rPr>
        <w:footnoteReference w:id="28"/>
      </w:r>
      <w:r w:rsidRPr="006E28F8">
        <w:t xml:space="preserve">  </w:t>
      </w:r>
      <w:r>
        <w:t>T</w:t>
      </w:r>
      <w:r w:rsidRPr="006E28F8">
        <w:t>he Commission has determined that large or highly-profitable companies such as UNS Energy should expect the assessment of higher forfeitures.</w:t>
      </w:r>
      <w:r w:rsidRPr="006E28F8">
        <w:rPr>
          <w:rStyle w:val="FootnoteReference"/>
          <w:sz w:val="22"/>
        </w:rPr>
        <w:footnoteReference w:id="29"/>
      </w:r>
      <w:r w:rsidRPr="006E28F8">
        <w:t xml:space="preserve">  </w:t>
      </w:r>
      <w:r w:rsidR="005F6AA6">
        <w:t>Also, w</w:t>
      </w:r>
      <w:r w:rsidR="005F6AA6" w:rsidRPr="006E28F8">
        <w:t xml:space="preserve">e </w:t>
      </w:r>
      <w:r w:rsidRPr="006E28F8">
        <w:t xml:space="preserve">are particularly mindful that UNS Electric’s apparent unlawful operation continued for 19 months—from May 1, 2011, the date that the license for station KNNR214 expired, until December 4, 2012, the date that UNS Electric’s STA request was granted.  Consistent with Section 301 of the Act, and as explained above, licensees who find themselves out of compliance with the licensing requirements should immediately cease unauthorized operation and seek temporary operating authority before continuing to operate.   </w:t>
      </w:r>
    </w:p>
    <w:p w:rsidR="00D043AB" w:rsidRPr="006E28F8" w:rsidRDefault="00D043AB" w:rsidP="00001F73">
      <w:pPr>
        <w:pStyle w:val="ParaNum"/>
        <w:spacing w:after="220"/>
      </w:pPr>
      <w:r w:rsidRPr="006E28F8">
        <w:t>We also decline to downward</w:t>
      </w:r>
      <w:r>
        <w:t>ly</w:t>
      </w:r>
      <w:r w:rsidRPr="006E28F8">
        <w:t xml:space="preserve"> adjust the forfeiture on the grounds that the violations resulted from a lack of knowledge of the expired license or a change in personnel.</w:t>
      </w:r>
      <w:r w:rsidRPr="006E28F8">
        <w:rPr>
          <w:rStyle w:val="FootnoteReference"/>
          <w:sz w:val="22"/>
        </w:rPr>
        <w:footnoteReference w:id="30"/>
      </w:r>
      <w:r w:rsidRPr="006E28F8">
        <w:t>  As the Commission has emphasized, “[a]ll licensees are responsible for knowing the terms of their licenses and for filing a timely renewal application if they seek to operate beyond that term.”</w:t>
      </w:r>
      <w:r w:rsidRPr="006E28F8">
        <w:rPr>
          <w:rStyle w:val="FootnoteReference"/>
          <w:sz w:val="22"/>
        </w:rPr>
        <w:footnoteReference w:id="31"/>
      </w:r>
      <w:r w:rsidRPr="006E28F8">
        <w:t xml:space="preserve">  It is well established that administrative oversight or inadvertence is not a mitigating factor.</w:t>
      </w:r>
      <w:r w:rsidRPr="006E28F8">
        <w:rPr>
          <w:rStyle w:val="FootnoteReference"/>
          <w:sz w:val="22"/>
        </w:rPr>
        <w:footnoteReference w:id="32"/>
      </w:r>
      <w:r w:rsidRPr="006E28F8">
        <w:t xml:space="preserve">  UNS </w:t>
      </w:r>
      <w:r>
        <w:t>further</w:t>
      </w:r>
      <w:r w:rsidRPr="006E28F8">
        <w:t xml:space="preserve"> asserts it has a history of compliance with the Commission’s </w:t>
      </w:r>
      <w:r w:rsidR="005F6AA6">
        <w:t>r</w:t>
      </w:r>
      <w:r w:rsidRPr="006E28F8">
        <w:t>ules.</w:t>
      </w:r>
      <w:r w:rsidRPr="006E28F8">
        <w:rPr>
          <w:rStyle w:val="FootnoteReference"/>
          <w:sz w:val="22"/>
        </w:rPr>
        <w:footnoteReference w:id="33"/>
      </w:r>
      <w:r w:rsidRPr="006E28F8">
        <w:t xml:space="preserve">  We disagree.  As noted above, UNS Electric’s unauthorized operation continued for an extended period of time, and even after becoming aware of the expiration of the station license and notwithstanding the significant resources at its disposal, the company continued to operate without authority for more than two months before seeking Commission approval.</w:t>
      </w:r>
      <w:r w:rsidRPr="006E28F8">
        <w:rPr>
          <w:rStyle w:val="FootnoteReference"/>
          <w:sz w:val="22"/>
        </w:rPr>
        <w:footnoteReference w:id="34"/>
      </w:r>
      <w:r w:rsidRPr="006E28F8">
        <w:t xml:space="preserve">  This additional period of noncompliance followed </w:t>
      </w:r>
      <w:r>
        <w:t>a</w:t>
      </w:r>
      <w:r w:rsidRPr="006E28F8">
        <w:t xml:space="preserve"> courtesy renewal reminder from the Wireless Bureau.  Accordingly, we also decline to downward</w:t>
      </w:r>
      <w:r>
        <w:t>ly</w:t>
      </w:r>
      <w:r w:rsidRPr="006E28F8">
        <w:t xml:space="preserve"> adjust the forfeiture on this basis.  Based on all the factors and evidence, including UNS Electric’s ability to pay and the extended duration of the violation, we propose an aggregate forfeiture of $2</w:t>
      </w:r>
      <w:r>
        <w:t>5</w:t>
      </w:r>
      <w:r w:rsidRPr="006E28F8">
        <w:t xml:space="preserve">,000. </w:t>
      </w:r>
    </w:p>
    <w:p w:rsidR="00D043AB" w:rsidRPr="006E28F8" w:rsidRDefault="00D043AB" w:rsidP="00001F73">
      <w:pPr>
        <w:pStyle w:val="Heading1"/>
        <w:spacing w:after="220"/>
        <w:rPr>
          <w:rFonts w:ascii="Times New Roman" w:hAnsi="Times New Roman"/>
        </w:rPr>
      </w:pPr>
      <w:r w:rsidRPr="006E28F8">
        <w:rPr>
          <w:rFonts w:ascii="Times New Roman" w:hAnsi="Times New Roman"/>
        </w:rPr>
        <w:t>ordering clauses</w:t>
      </w:r>
    </w:p>
    <w:p w:rsidR="00D043AB" w:rsidRPr="00085C11" w:rsidRDefault="00D043AB" w:rsidP="00C72ACD">
      <w:pPr>
        <w:pStyle w:val="ParaNum"/>
        <w:spacing w:after="220"/>
      </w:pPr>
      <w:r w:rsidRPr="00085C11">
        <w:t>Accordingly,</w:t>
      </w:r>
      <w:r>
        <w:rPr>
          <w:b/>
        </w:rPr>
        <w:t xml:space="preserve"> </w:t>
      </w:r>
      <w:r w:rsidRPr="006E28F8">
        <w:rPr>
          <w:b/>
        </w:rPr>
        <w:t>IT IS ORDERED</w:t>
      </w:r>
      <w:r w:rsidRPr="006E28F8">
        <w:t xml:space="preserve"> that, pursuant to Section 503(b) of the </w:t>
      </w:r>
      <w:r>
        <w:t xml:space="preserve">Communications </w:t>
      </w:r>
      <w:r w:rsidRPr="006E28F8">
        <w:t>Act</w:t>
      </w:r>
      <w:r>
        <w:t xml:space="preserve"> of 1934, as amended,</w:t>
      </w:r>
      <w:r w:rsidRPr="006E28F8">
        <w:rPr>
          <w:rStyle w:val="FootnoteReference"/>
          <w:sz w:val="22"/>
        </w:rPr>
        <w:footnoteReference w:id="35"/>
      </w:r>
      <w:r w:rsidRPr="006E28F8">
        <w:t xml:space="preserve"> and Sections 0.111, 0.311, and 1.80 of the </w:t>
      </w:r>
      <w:r>
        <w:t>Commission’s r</w:t>
      </w:r>
      <w:r w:rsidRPr="006E28F8">
        <w:t>ules,</w:t>
      </w:r>
      <w:r w:rsidRPr="006E28F8">
        <w:rPr>
          <w:rStyle w:val="FootnoteReference"/>
          <w:sz w:val="22"/>
        </w:rPr>
        <w:footnoteReference w:id="36"/>
      </w:r>
      <w:r w:rsidRPr="006E28F8">
        <w:t xml:space="preserve"> UNS Electric, Inc. </w:t>
      </w:r>
      <w:r w:rsidRPr="006E28F8">
        <w:rPr>
          <w:b/>
        </w:rPr>
        <w:t>IS</w:t>
      </w:r>
      <w:r w:rsidRPr="006E28F8">
        <w:t xml:space="preserve"> hereby </w:t>
      </w:r>
      <w:r w:rsidRPr="006E28F8">
        <w:rPr>
          <w:b/>
        </w:rPr>
        <w:t>NOTIFIED</w:t>
      </w:r>
      <w:r w:rsidRPr="006E28F8">
        <w:t xml:space="preserve"> of its </w:t>
      </w:r>
      <w:r w:rsidRPr="006E28F8">
        <w:rPr>
          <w:b/>
        </w:rPr>
        <w:t>APPARENT LIABILITY FOR A FORFEITURE</w:t>
      </w:r>
      <w:r w:rsidRPr="006E28F8">
        <w:t xml:space="preserve"> in the amount of twenty-f</w:t>
      </w:r>
      <w:r>
        <w:t>ive</w:t>
      </w:r>
      <w:r w:rsidRPr="006E28F8">
        <w:t xml:space="preserve"> thousand dollars ($2</w:t>
      </w:r>
      <w:r>
        <w:t>5</w:t>
      </w:r>
      <w:r w:rsidRPr="006E28F8">
        <w:t xml:space="preserve">,000) for willful and repeated violation of Section 301 of the </w:t>
      </w:r>
      <w:r>
        <w:t xml:space="preserve">Communications </w:t>
      </w:r>
      <w:r w:rsidRPr="006E28F8">
        <w:t>Act</w:t>
      </w:r>
      <w:r>
        <w:t xml:space="preserve"> of 1934, as amended</w:t>
      </w:r>
      <w:r w:rsidRPr="006E28F8">
        <w:t>,</w:t>
      </w:r>
      <w:r w:rsidRPr="006E28F8">
        <w:rPr>
          <w:rStyle w:val="FootnoteReference"/>
          <w:sz w:val="22"/>
        </w:rPr>
        <w:footnoteReference w:id="37"/>
      </w:r>
      <w:r w:rsidRPr="006E28F8">
        <w:t xml:space="preserve"> Section 1.903(a) of the </w:t>
      </w:r>
      <w:r>
        <w:t>Commission’s r</w:t>
      </w:r>
      <w:r w:rsidRPr="006E28F8">
        <w:t>ules,</w:t>
      </w:r>
      <w:r w:rsidRPr="006E28F8">
        <w:rPr>
          <w:rStyle w:val="FootnoteReference"/>
          <w:sz w:val="22"/>
        </w:rPr>
        <w:footnoteReference w:id="38"/>
      </w:r>
      <w:r w:rsidRPr="006E28F8">
        <w:t xml:space="preserve"> and the </w:t>
      </w:r>
      <w:r w:rsidRPr="006E28F8">
        <w:rPr>
          <w:i/>
          <w:iCs/>
        </w:rPr>
        <w:t>Universal Licensing System Orders</w:t>
      </w:r>
      <w:r w:rsidRPr="006E28F8">
        <w:t xml:space="preserve"> and associated rules.</w:t>
      </w:r>
      <w:r w:rsidRPr="006E28F8">
        <w:rPr>
          <w:rStyle w:val="FootnoteReference"/>
          <w:sz w:val="22"/>
        </w:rPr>
        <w:footnoteReference w:id="39"/>
      </w:r>
    </w:p>
    <w:p w:rsidR="00D043AB" w:rsidRPr="006E28F8" w:rsidRDefault="00D043AB" w:rsidP="00C72ACD">
      <w:pPr>
        <w:pStyle w:val="ParaNum"/>
        <w:spacing w:after="220"/>
      </w:pPr>
      <w:r w:rsidRPr="006E28F8">
        <w:rPr>
          <w:b/>
        </w:rPr>
        <w:t>IT IS FURTHER ORDERED</w:t>
      </w:r>
      <w:r w:rsidRPr="006E28F8">
        <w:t xml:space="preserve"> that, pursuant to Section 1.80 of the </w:t>
      </w:r>
      <w:r>
        <w:t>Commission’s r</w:t>
      </w:r>
      <w:r w:rsidRPr="006E28F8">
        <w:t>ules,</w:t>
      </w:r>
      <w:r w:rsidRPr="006E28F8">
        <w:rPr>
          <w:rStyle w:val="FootnoteReference"/>
          <w:sz w:val="22"/>
        </w:rPr>
        <w:footnoteReference w:id="40"/>
      </w:r>
      <w:r w:rsidRPr="006E28F8">
        <w:rPr>
          <w:vertAlign w:val="superscript"/>
        </w:rPr>
        <w:t xml:space="preserve"> </w:t>
      </w:r>
      <w:r w:rsidRPr="006E28F8">
        <w:t xml:space="preserve">within thirty (30) days of the release date of this </w:t>
      </w:r>
      <w:r w:rsidRPr="00085C11">
        <w:t>Notice of Apparent Liability for Forfeiture</w:t>
      </w:r>
      <w:r w:rsidRPr="006E28F8">
        <w:t xml:space="preserve">, UNS Electric, Inc. </w:t>
      </w:r>
      <w:r w:rsidRPr="006E28F8">
        <w:rPr>
          <w:b/>
        </w:rPr>
        <w:t>SHALL PAY</w:t>
      </w:r>
      <w:r w:rsidRPr="006E28F8">
        <w:t xml:space="preserve"> the full amount of the proposed forfeiture or </w:t>
      </w:r>
      <w:r w:rsidRPr="006E28F8">
        <w:rPr>
          <w:b/>
        </w:rPr>
        <w:t>SHALL FILE</w:t>
      </w:r>
      <w:r w:rsidRPr="006E28F8">
        <w:t xml:space="preserve"> a written statement seeking reduction or cancellation of the proposed forfeiture consistent with paragraph 15 below.</w:t>
      </w:r>
    </w:p>
    <w:p w:rsidR="00D043AB" w:rsidRPr="006E28F8" w:rsidRDefault="00D043AB" w:rsidP="003C30AF">
      <w:pPr>
        <w:pStyle w:val="ParaNum"/>
        <w:rPr>
          <w:rFonts w:eastAsia="MS Mincho"/>
        </w:rPr>
      </w:pPr>
      <w:r w:rsidRPr="006E28F8">
        <w:t>Payment</w:t>
      </w:r>
      <w:r w:rsidRPr="006E28F8">
        <w:rPr>
          <w:rFonts w:eastAsia="MS Mincho"/>
        </w:rPr>
        <w:t xml:space="preserve"> of the forfeiture must be made by check or similar instrument, wire transfer, or credit card, and must include the NAL/Account </w:t>
      </w:r>
      <w:r>
        <w:rPr>
          <w:rFonts w:eastAsia="MS Mincho"/>
        </w:rPr>
        <w:t>N</w:t>
      </w:r>
      <w:r w:rsidRPr="006E28F8">
        <w:rPr>
          <w:rFonts w:eastAsia="MS Mincho"/>
        </w:rPr>
        <w:t>umber and FRN referenced above.  UNS Electric, Inc. shall send electronic notification of payment to JoAnn Lucanik at JoAnn.Lucanik@fcc.gov, Jennifer Burton at Jennifer.Burton.gov, and Samantha Peoples at Sam.Peoples@fcc.gov on the date said payment is made.  Regardless of the form of payment, a completed FCC Form 159 (Remittance Advice) must be submitted.</w:t>
      </w:r>
      <w:r w:rsidRPr="006E28F8">
        <w:rPr>
          <w:rFonts w:eastAsia="MS Mincho"/>
          <w:vertAlign w:val="superscript"/>
        </w:rPr>
        <w:footnoteReference w:id="41"/>
      </w:r>
      <w:r w:rsidRPr="006E28F8">
        <w:rPr>
          <w:rFonts w:eastAsia="MS Mincho"/>
        </w:rPr>
        <w:t xml:space="preserve">  When completing the FCC Form 159, enter the Account Number in block number 23A (call sign/other ID) and enter the letters “FORF” in block number 24A (payment type code).  </w:t>
      </w:r>
      <w:r w:rsidRPr="006E28F8">
        <w:t xml:space="preserve">Below are additional instructions </w:t>
      </w:r>
      <w:r>
        <w:t>that UNS Electric, Inc.</w:t>
      </w:r>
      <w:r w:rsidRPr="006E28F8">
        <w:t xml:space="preserve"> should follow based on the form of payment </w:t>
      </w:r>
      <w:r>
        <w:t>it</w:t>
      </w:r>
      <w:r w:rsidRPr="006E28F8">
        <w:t xml:space="preserve"> select</w:t>
      </w:r>
      <w:r>
        <w:t>s</w:t>
      </w:r>
      <w:r w:rsidRPr="006E28F8">
        <w:t>:</w:t>
      </w:r>
    </w:p>
    <w:p w:rsidR="00D043AB" w:rsidRDefault="00D043AB" w:rsidP="003C30AF">
      <w:pPr>
        <w:numPr>
          <w:ilvl w:val="0"/>
          <w:numId w:val="34"/>
        </w:numPr>
        <w:autoSpaceDE w:val="0"/>
        <w:autoSpaceDN w:val="0"/>
        <w:adjustRightInd w:val="0"/>
        <w:spacing w:after="120"/>
        <w:rPr>
          <w:rFonts w:eastAsia="MS Mincho"/>
        </w:rPr>
      </w:pPr>
      <w:r w:rsidRPr="006E28F8">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B63E4" w:rsidRPr="006E28F8" w:rsidRDefault="00EB63E4" w:rsidP="00EB63E4">
      <w:pPr>
        <w:autoSpaceDE w:val="0"/>
        <w:autoSpaceDN w:val="0"/>
        <w:adjustRightInd w:val="0"/>
        <w:spacing w:after="120"/>
        <w:ind w:left="1080"/>
        <w:rPr>
          <w:rFonts w:eastAsia="MS Mincho"/>
        </w:rPr>
      </w:pPr>
    </w:p>
    <w:p w:rsidR="00D043AB" w:rsidRPr="006E28F8" w:rsidRDefault="00D043AB" w:rsidP="003C30AF">
      <w:pPr>
        <w:numPr>
          <w:ilvl w:val="0"/>
          <w:numId w:val="34"/>
        </w:numPr>
        <w:autoSpaceDE w:val="0"/>
        <w:autoSpaceDN w:val="0"/>
        <w:adjustRightInd w:val="0"/>
        <w:spacing w:after="120"/>
        <w:rPr>
          <w:rFonts w:eastAsia="MS Mincho"/>
        </w:rPr>
      </w:pPr>
      <w:r w:rsidRPr="006E28F8">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D043AB" w:rsidRPr="006E28F8" w:rsidRDefault="00D043AB">
      <w:pPr>
        <w:numPr>
          <w:ilvl w:val="0"/>
          <w:numId w:val="34"/>
        </w:numPr>
        <w:autoSpaceDE w:val="0"/>
        <w:autoSpaceDN w:val="0"/>
        <w:adjustRightInd w:val="0"/>
        <w:spacing w:after="220"/>
      </w:pPr>
      <w:r w:rsidRPr="006E28F8">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043AB" w:rsidRPr="006E28F8" w:rsidRDefault="00D043AB" w:rsidP="00C72ACD">
      <w:pPr>
        <w:pStyle w:val="ParaNum"/>
        <w:spacing w:after="220"/>
      </w:pPr>
      <w:r w:rsidRPr="006E28F8">
        <w:t>Any request for making full payment over time under an installment plan should be sent to:  Chief Financial Officer</w:t>
      </w:r>
      <w:r w:rsidR="005F6AA6">
        <w:t xml:space="preserve"> – </w:t>
      </w:r>
      <w:r w:rsidRPr="006E28F8">
        <w:t xml:space="preserve">Financial Operations, Federal Communications Commission, 445 12th Street, S.W., Room 1-A625, Washington, DC 20554.  If </w:t>
      </w:r>
      <w:r>
        <w:t>UNS Electric, Inc. has</w:t>
      </w:r>
      <w:r w:rsidRPr="006E28F8">
        <w:t xml:space="preserve"> questions regarding payment procedures, </w:t>
      </w:r>
      <w:r>
        <w:t>it should</w:t>
      </w:r>
      <w:r w:rsidRPr="006E28F8">
        <w:t xml:space="preserve"> contact the Financial Operations Group Help Desk by phone, 1-877-480-3201, or by e-mail, ARINQUIRIES@fcc.gov.   </w:t>
      </w:r>
    </w:p>
    <w:p w:rsidR="00D043AB" w:rsidRDefault="00D043AB" w:rsidP="00C72ACD">
      <w:pPr>
        <w:pStyle w:val="ParaNum"/>
        <w:spacing w:after="220"/>
      </w:pPr>
      <w:r w:rsidRPr="006E28F8">
        <w:t xml:space="preserve">The written statement seeking reduction or cancellation of the proposed forfeiture, if any, must include a detailed factual statement supported by appropriate documentation and affidavits pursuant to Sections 1.80(f)(3) and 1.16 of the </w:t>
      </w:r>
      <w:r>
        <w:t>Commission’s r</w:t>
      </w:r>
      <w:r w:rsidRPr="006E28F8">
        <w:t>ules.</w:t>
      </w:r>
      <w:r w:rsidRPr="006E28F8">
        <w:rPr>
          <w:rStyle w:val="FootnoteReference"/>
          <w:sz w:val="22"/>
        </w:rPr>
        <w:footnoteReference w:id="42"/>
      </w:r>
      <w:r w:rsidRPr="006E28F8">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w:t>
      </w:r>
      <w:r>
        <w:t xml:space="preserve"> </w:t>
      </w:r>
      <w:r w:rsidRPr="006E28F8">
        <w:t xml:space="preserve">The statement must also be emailed to JoAnn Lucanik at JoAnn.Lucanik@fcc.gov and to Jennifer Burton at Jennifer.Burton@fcc.gov. </w:t>
      </w:r>
      <w:r>
        <w:t xml:space="preserve"> </w:t>
      </w:r>
      <w:r w:rsidRPr="006E28F8">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D043AB" w:rsidRPr="006E28F8" w:rsidRDefault="00D043AB" w:rsidP="003C30AF">
      <w:pPr>
        <w:pStyle w:val="ParaNum"/>
      </w:pPr>
      <w:r w:rsidRPr="006E28F8">
        <w:rPr>
          <w:b/>
        </w:rPr>
        <w:t>IT IS FURTHER ORDERED</w:t>
      </w:r>
      <w:r w:rsidRPr="006E28F8">
        <w:t xml:space="preserve"> that a copy of this </w:t>
      </w:r>
      <w:r w:rsidRPr="00085C11">
        <w:t>Notice of Apparent Liability for Forfeiture shall be sent by first class mail and certified mail, return r</w:t>
      </w:r>
      <w:r w:rsidRPr="006E28F8">
        <w:t>eceipt requested, to David G. Hutchens, President, UNS Electric, Inc., 88 East Broadway Blvd., Tucson, AZ 85702.</w:t>
      </w:r>
    </w:p>
    <w:p w:rsidR="00D043AB" w:rsidRPr="006E28F8" w:rsidRDefault="00D043AB" w:rsidP="003C30AF">
      <w:pPr>
        <w:pStyle w:val="ParaNum"/>
        <w:numPr>
          <w:ilvl w:val="0"/>
          <w:numId w:val="0"/>
        </w:numPr>
        <w:rPr>
          <w:b/>
        </w:rPr>
      </w:pPr>
    </w:p>
    <w:p w:rsidR="00D043AB" w:rsidRPr="006E28F8" w:rsidRDefault="00D043AB" w:rsidP="003C30AF">
      <w:pPr>
        <w:pStyle w:val="ParaNum"/>
        <w:numPr>
          <w:ilvl w:val="0"/>
          <w:numId w:val="0"/>
        </w:numPr>
        <w:rPr>
          <w:b/>
        </w:rPr>
      </w:pPr>
    </w:p>
    <w:p w:rsidR="00D043AB" w:rsidRPr="006E28F8" w:rsidRDefault="00D043AB" w:rsidP="003C30AF">
      <w:pPr>
        <w:pStyle w:val="ParaNum"/>
        <w:numPr>
          <w:ilvl w:val="0"/>
          <w:numId w:val="0"/>
        </w:numPr>
        <w:ind w:left="4320"/>
      </w:pPr>
      <w:r w:rsidRPr="006E28F8">
        <w:t>FEDERAL COMMUNICATIONS COMMISSION</w:t>
      </w:r>
    </w:p>
    <w:p w:rsidR="00D043AB" w:rsidRPr="006E28F8" w:rsidRDefault="00D043AB" w:rsidP="003C30AF">
      <w:pPr>
        <w:pStyle w:val="ParaNum"/>
        <w:numPr>
          <w:ilvl w:val="0"/>
          <w:numId w:val="0"/>
        </w:numPr>
        <w:ind w:left="4320"/>
      </w:pPr>
    </w:p>
    <w:p w:rsidR="00D043AB" w:rsidRPr="006E28F8" w:rsidRDefault="00D043AB" w:rsidP="003C30AF">
      <w:pPr>
        <w:pStyle w:val="ParaNum"/>
        <w:numPr>
          <w:ilvl w:val="0"/>
          <w:numId w:val="0"/>
        </w:numPr>
        <w:ind w:left="4320"/>
      </w:pPr>
    </w:p>
    <w:p w:rsidR="00D043AB" w:rsidRPr="006E28F8" w:rsidRDefault="00D043AB" w:rsidP="00001F73">
      <w:pPr>
        <w:pStyle w:val="ParaNum"/>
        <w:numPr>
          <w:ilvl w:val="0"/>
          <w:numId w:val="0"/>
        </w:numPr>
        <w:spacing w:after="0"/>
        <w:ind w:left="4320"/>
      </w:pPr>
      <w:r>
        <w:t>Robert H. Ratcliffe</w:t>
      </w:r>
      <w:r w:rsidRPr="006E28F8">
        <w:t xml:space="preserve"> </w:t>
      </w:r>
    </w:p>
    <w:p w:rsidR="00D043AB" w:rsidRPr="006E28F8" w:rsidRDefault="00D043AB" w:rsidP="003C30AF">
      <w:pPr>
        <w:pStyle w:val="ParaNum"/>
        <w:numPr>
          <w:ilvl w:val="0"/>
          <w:numId w:val="0"/>
        </w:numPr>
        <w:ind w:left="4320"/>
      </w:pPr>
      <w:r>
        <w:t xml:space="preserve">Deputy </w:t>
      </w:r>
      <w:r w:rsidRPr="006E28F8">
        <w:t xml:space="preserve">Chief, Enforcement Bureau </w:t>
      </w:r>
    </w:p>
    <w:sectPr w:rsidR="00D043AB" w:rsidRPr="006E28F8" w:rsidSect="005204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7E" w:rsidRDefault="00CE317E">
      <w:r>
        <w:separator/>
      </w:r>
    </w:p>
  </w:endnote>
  <w:endnote w:type="continuationSeparator" w:id="0">
    <w:p w:rsidR="00CE317E" w:rsidRDefault="00CE317E">
      <w:r>
        <w:continuationSeparator/>
      </w:r>
    </w:p>
  </w:endnote>
  <w:endnote w:type="continuationNotice" w:id="1">
    <w:p w:rsidR="00CE317E" w:rsidRDefault="00CE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11" w:rsidRDefault="0022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B" w:rsidRPr="001E3C13" w:rsidRDefault="00D043AB">
    <w:pPr>
      <w:pStyle w:val="Footer"/>
      <w:jc w:val="center"/>
    </w:pPr>
    <w:r w:rsidRPr="001E3C13">
      <w:rPr>
        <w:rStyle w:val="PageNumber"/>
      </w:rPr>
      <w:fldChar w:fldCharType="begin"/>
    </w:r>
    <w:r w:rsidRPr="001E3C13">
      <w:rPr>
        <w:rStyle w:val="PageNumber"/>
      </w:rPr>
      <w:instrText xml:space="preserve"> PAGE </w:instrText>
    </w:r>
    <w:r w:rsidRPr="001E3C13">
      <w:rPr>
        <w:rStyle w:val="PageNumber"/>
      </w:rPr>
      <w:fldChar w:fldCharType="separate"/>
    </w:r>
    <w:r w:rsidR="00D52CEC">
      <w:rPr>
        <w:rStyle w:val="PageNumber"/>
        <w:noProof/>
      </w:rPr>
      <w:t>7</w:t>
    </w:r>
    <w:r w:rsidRPr="001E3C1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11" w:rsidRDefault="0022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7E" w:rsidRDefault="00CE317E">
      <w:pPr>
        <w:rPr>
          <w:sz w:val="20"/>
        </w:rPr>
      </w:pPr>
      <w:r>
        <w:rPr>
          <w:sz w:val="20"/>
        </w:rPr>
        <w:separator/>
      </w:r>
    </w:p>
  </w:footnote>
  <w:footnote w:type="continuationSeparator" w:id="0">
    <w:p w:rsidR="00CE317E" w:rsidRDefault="00CE317E">
      <w:pPr>
        <w:rPr>
          <w:sz w:val="20"/>
        </w:rPr>
      </w:pPr>
      <w:r>
        <w:rPr>
          <w:sz w:val="20"/>
        </w:rPr>
        <w:separator/>
      </w:r>
    </w:p>
    <w:p w:rsidR="00CE317E" w:rsidRDefault="00CE317E">
      <w:pPr>
        <w:rPr>
          <w:sz w:val="20"/>
        </w:rPr>
      </w:pPr>
      <w:r>
        <w:rPr>
          <w:sz w:val="20"/>
        </w:rPr>
        <w:t>(...continued from previous page)</w:t>
      </w:r>
    </w:p>
  </w:footnote>
  <w:footnote w:type="continuationNotice" w:id="1">
    <w:p w:rsidR="00CE317E" w:rsidRDefault="00CE317E">
      <w:pPr>
        <w:jc w:val="right"/>
        <w:rPr>
          <w:sz w:val="20"/>
        </w:rPr>
      </w:pPr>
      <w:r>
        <w:rPr>
          <w:sz w:val="20"/>
        </w:rPr>
        <w:t>(continued....)</w:t>
      </w:r>
    </w:p>
  </w:footnote>
  <w:footnote w:id="2">
    <w:p w:rsidR="00D043AB" w:rsidRDefault="00D043AB" w:rsidP="00037195">
      <w:pPr>
        <w:pStyle w:val="FootnoteText"/>
      </w:pPr>
      <w:r w:rsidRPr="00B257F1">
        <w:rPr>
          <w:rStyle w:val="FootnoteReference"/>
        </w:rPr>
        <w:footnoteRef/>
      </w:r>
      <w:r w:rsidRPr="00B257F1">
        <w:t xml:space="preserve"> UNS Electric, an indirect wholly-owned subsidiary of UNS Energy Corporation, is a </w:t>
      </w:r>
      <w:r w:rsidRPr="00DF52CE">
        <w:t>public</w:t>
      </w:r>
      <w:r w:rsidRPr="00B257F1">
        <w:t xml:space="preserve"> utility that generates, transmits, and distributes electricity to customers in Mohave and </w:t>
      </w:r>
      <w:smartTag w:uri="urn:schemas-microsoft-com:office:smarttags" w:element="PlaceName">
        <w:r w:rsidRPr="00B257F1">
          <w:t>Santa Cruz</w:t>
        </w:r>
      </w:smartTag>
      <w:r w:rsidRPr="00B257F1">
        <w:t xml:space="preserve"> </w:t>
      </w:r>
      <w:smartTag w:uri="urn:schemas-microsoft-com:office:smarttags" w:element="PlaceType">
        <w:r w:rsidRPr="00B257F1">
          <w:t>Counties</w:t>
        </w:r>
      </w:smartTag>
      <w:r w:rsidRPr="00B257F1">
        <w:t xml:space="preserve"> in </w:t>
      </w:r>
      <w:smartTag w:uri="urn:schemas-microsoft-com:office:smarttags" w:element="State">
        <w:smartTag w:uri="urn:schemas-microsoft-com:office:smarttags" w:element="place">
          <w:r w:rsidRPr="00B257F1">
            <w:t>Arizona</w:t>
          </w:r>
        </w:smartTag>
      </w:smartTag>
      <w:r w:rsidRPr="00B257F1">
        <w:t xml:space="preserve">.  </w:t>
      </w:r>
    </w:p>
  </w:footnote>
  <w:footnote w:id="3">
    <w:p w:rsidR="00D043AB" w:rsidRDefault="00D043AB" w:rsidP="0077217F">
      <w:pPr>
        <w:pStyle w:val="FootnoteText"/>
      </w:pPr>
      <w:r w:rsidRPr="00B257F1">
        <w:rPr>
          <w:rStyle w:val="FootnoteReference"/>
        </w:rPr>
        <w:footnoteRef/>
      </w:r>
      <w:r w:rsidRPr="00B257F1">
        <w:t xml:space="preserve"> 47 U.S.C. § 301.</w:t>
      </w:r>
    </w:p>
  </w:footnote>
  <w:footnote w:id="4">
    <w:p w:rsidR="00D043AB" w:rsidRDefault="00D043AB" w:rsidP="0077217F">
      <w:pPr>
        <w:pStyle w:val="FootnoteText"/>
      </w:pPr>
      <w:r w:rsidRPr="00B257F1">
        <w:rPr>
          <w:rStyle w:val="FootnoteReference"/>
        </w:rPr>
        <w:footnoteRef/>
      </w:r>
      <w:r w:rsidRPr="00B257F1">
        <w:t xml:space="preserve"> 47 C.F.R. § 1.903(a).</w:t>
      </w:r>
    </w:p>
  </w:footnote>
  <w:footnote w:id="5">
    <w:p w:rsidR="00D043AB" w:rsidRDefault="00D043AB" w:rsidP="000A2CBD">
      <w:pPr>
        <w:pStyle w:val="FootnoteText"/>
      </w:pPr>
      <w:r w:rsidRPr="00B257F1">
        <w:rPr>
          <w:rStyle w:val="FootnoteReference"/>
        </w:rPr>
        <w:footnoteRef/>
      </w:r>
      <w:r w:rsidRPr="00B257F1">
        <w:t xml:space="preserve"> </w:t>
      </w:r>
      <w:r w:rsidRPr="00B257F1">
        <w:rPr>
          <w:i/>
        </w:rPr>
        <w:t>See Biennial Regulatory Review – Amendment of Parts 0, 1, 13, 22, 24, 26, 27, 80, 87, 90, 95, 97, and 101 of the Commission’s Rules to Facilitate the Development and Use of the Universal Licensing System in the Wireless Telecommunications Services</w:t>
      </w:r>
      <w:r w:rsidRPr="00B257F1">
        <w:t>, 13 FCC Rcd 21027, 21071, para. 96 (1998) (</w:t>
      </w:r>
      <w:r w:rsidRPr="00B257F1">
        <w:rPr>
          <w:i/>
        </w:rPr>
        <w:t>Universal Licensing System Report and Order</w:t>
      </w:r>
      <w:r w:rsidRPr="00B257F1">
        <w:t>) (adopting inter alia Section 1.949 of the Rules); Memorandum Opinion and Order on Reconsideration, 14 FCC Rcd 11476, 11485–86, para. 22 (1999) (</w:t>
      </w:r>
      <w:r w:rsidRPr="00B257F1">
        <w:rPr>
          <w:i/>
        </w:rPr>
        <w:t>Universal Licensing System MO&amp;O</w:t>
      </w:r>
      <w:r w:rsidRPr="00B257F1">
        <w:t xml:space="preserve">) (collectively, </w:t>
      </w:r>
      <w:r w:rsidRPr="00B257F1">
        <w:rPr>
          <w:i/>
        </w:rPr>
        <w:t>Universal Licensing System Orders</w:t>
      </w:r>
      <w:r w:rsidRPr="00B257F1">
        <w:t xml:space="preserve">). </w:t>
      </w:r>
    </w:p>
  </w:footnote>
  <w:footnote w:id="6">
    <w:p w:rsidR="00D043AB" w:rsidRDefault="00D043AB" w:rsidP="0077217F">
      <w:pPr>
        <w:pStyle w:val="FootnoteText"/>
      </w:pPr>
      <w:r w:rsidRPr="00B257F1">
        <w:rPr>
          <w:rStyle w:val="FootnoteReference"/>
        </w:rPr>
        <w:footnoteRef/>
      </w:r>
      <w:r w:rsidRPr="00B257F1">
        <w:t xml:space="preserve"> </w:t>
      </w:r>
      <w:r w:rsidRPr="00B257F1">
        <w:rPr>
          <w:i/>
        </w:rPr>
        <w:t xml:space="preserve">See </w:t>
      </w:r>
      <w:r w:rsidRPr="00B257F1">
        <w:t>http://wireless2.fcc.gov/UlsApp/UlsSearch/license.jsp?licKey=1579801.</w:t>
      </w:r>
    </w:p>
  </w:footnote>
  <w:footnote w:id="7">
    <w:p w:rsidR="00D043AB" w:rsidRDefault="00D043AB" w:rsidP="0077217F">
      <w:pPr>
        <w:pStyle w:val="FootnoteText"/>
      </w:pPr>
      <w:r w:rsidRPr="00B257F1">
        <w:rPr>
          <w:rStyle w:val="FootnoteReference"/>
        </w:rPr>
        <w:footnoteRef/>
      </w:r>
      <w:r w:rsidRPr="00B257F1">
        <w:t xml:space="preserve"> </w:t>
      </w:r>
      <w:r w:rsidRPr="00B257F1">
        <w:rPr>
          <w:i/>
        </w:rPr>
        <w:t>See</w:t>
      </w:r>
      <w:r w:rsidRPr="00B257F1">
        <w:t xml:space="preserve"> Automated Renewal Reminder Letter from the FCC Wireless Telecommunications Bureau to UNS Electric, Inc., Reference No. 5106784 (Feb. 7, 2011).</w:t>
      </w:r>
    </w:p>
  </w:footnote>
  <w:footnote w:id="8">
    <w:p w:rsidR="00D043AB" w:rsidRDefault="00D043AB" w:rsidP="0077217F">
      <w:pPr>
        <w:pStyle w:val="FootnoteText"/>
      </w:pPr>
      <w:r w:rsidRPr="00B257F1">
        <w:rPr>
          <w:rStyle w:val="FootnoteReference"/>
        </w:rPr>
        <w:footnoteRef/>
      </w:r>
      <w:r w:rsidRPr="00B257F1">
        <w:t xml:space="preserve"> </w:t>
      </w:r>
      <w:r w:rsidRPr="00B257F1">
        <w:rPr>
          <w:i/>
        </w:rPr>
        <w:t xml:space="preserve">See </w:t>
      </w:r>
      <w:r w:rsidRPr="00B257F1">
        <w:t xml:space="preserve">47 C.F.R. § 1.955(a)(1) (stating that “[a]uthorizations automatically terminate, without specific Commission action, on the expiration date specified therein, unless a timely application for renewal is filed.”).  </w:t>
      </w:r>
    </w:p>
  </w:footnote>
  <w:footnote w:id="9">
    <w:p w:rsidR="00D043AB" w:rsidRDefault="00D043AB" w:rsidP="0077217F">
      <w:pPr>
        <w:pStyle w:val="FootnoteText"/>
      </w:pPr>
      <w:r w:rsidRPr="00B257F1">
        <w:rPr>
          <w:rStyle w:val="FootnoteReference"/>
        </w:rPr>
        <w:footnoteRef/>
      </w:r>
      <w:r w:rsidRPr="00B257F1">
        <w:t xml:space="preserve"> </w:t>
      </w:r>
      <w:r w:rsidRPr="00B257F1">
        <w:rPr>
          <w:i/>
        </w:rPr>
        <w:t>See</w:t>
      </w:r>
      <w:r w:rsidRPr="00B257F1">
        <w:t xml:space="preserve"> File No. 0005526143</w:t>
      </w:r>
      <w:r w:rsidRPr="00B257F1">
        <w:rPr>
          <w:i/>
        </w:rPr>
        <w:t>.</w:t>
      </w:r>
    </w:p>
  </w:footnote>
  <w:footnote w:id="10">
    <w:p w:rsidR="00D043AB" w:rsidRDefault="00D043AB" w:rsidP="0077217F">
      <w:pPr>
        <w:pStyle w:val="FootnoteText"/>
      </w:pPr>
      <w:r w:rsidRPr="00B257F1">
        <w:rPr>
          <w:rStyle w:val="FootnoteReference"/>
        </w:rPr>
        <w:footnoteRef/>
      </w:r>
      <w:r w:rsidRPr="00B257F1">
        <w:t xml:space="preserve"> The Wireless Bureau granted the STA without prejudice to any enforcement action related to the unauthorized operation of station KNNR214.  </w:t>
      </w:r>
      <w:r w:rsidRPr="00B257F1">
        <w:rPr>
          <w:i/>
        </w:rPr>
        <w:t>See</w:t>
      </w:r>
      <w:r w:rsidRPr="00B257F1">
        <w:t xml:space="preserve"> </w:t>
      </w:r>
      <w:r w:rsidRPr="00B257F1">
        <w:rPr>
          <w:i/>
        </w:rPr>
        <w:t>id.</w:t>
      </w:r>
      <w:r w:rsidRPr="00B257F1">
        <w:rPr>
          <w:rFonts w:ascii="Verdana" w:hAnsi="Verdana"/>
        </w:rPr>
        <w:t xml:space="preserve"> </w:t>
      </w:r>
    </w:p>
  </w:footnote>
  <w:footnote w:id="11">
    <w:p w:rsidR="00D043AB" w:rsidRDefault="00D043AB" w:rsidP="0077217F">
      <w:pPr>
        <w:pStyle w:val="FootnoteText"/>
      </w:pPr>
      <w:r w:rsidRPr="00B257F1">
        <w:rPr>
          <w:rStyle w:val="FootnoteReference"/>
        </w:rPr>
        <w:footnoteRef/>
      </w:r>
      <w:r w:rsidRPr="00B257F1">
        <w:t xml:space="preserve"> </w:t>
      </w:r>
      <w:r w:rsidRPr="00B257F1">
        <w:rPr>
          <w:i/>
        </w:rPr>
        <w:t>See</w:t>
      </w:r>
      <w:r w:rsidRPr="00B257F1">
        <w:t xml:space="preserve"> File No. 0005536293.</w:t>
      </w:r>
    </w:p>
  </w:footnote>
  <w:footnote w:id="12">
    <w:p w:rsidR="00D043AB" w:rsidRDefault="00D043AB" w:rsidP="003F3644">
      <w:pPr>
        <w:pStyle w:val="FootnoteText"/>
      </w:pPr>
      <w:r w:rsidRPr="00B257F1">
        <w:rPr>
          <w:rStyle w:val="FootnoteReference"/>
        </w:rPr>
        <w:footnoteRef/>
      </w:r>
      <w:r w:rsidRPr="00B257F1">
        <w:t xml:space="preserve"> </w:t>
      </w:r>
      <w:r w:rsidRPr="00B257F1">
        <w:rPr>
          <w:i/>
        </w:rPr>
        <w:t xml:space="preserve">See </w:t>
      </w:r>
      <w:r w:rsidRPr="00B257F1">
        <w:t>Letter from John D. Poutasse, Chief, Spectrum Enforcement Division, FCC Enforcement Bureau, to Jeffrey L. Sheldon, Esq., Levine, Blaszak, Block &amp; Boothby, LLP, Counsel to UNS Electric, Inc. (April 15, 2013) (on file in EB-SED-13-00005853).</w:t>
      </w:r>
    </w:p>
  </w:footnote>
  <w:footnote w:id="13">
    <w:p w:rsidR="00D043AB" w:rsidRDefault="00D043AB" w:rsidP="0077217F">
      <w:pPr>
        <w:pStyle w:val="FootnoteText"/>
      </w:pPr>
      <w:r w:rsidRPr="00B257F1">
        <w:rPr>
          <w:rStyle w:val="FootnoteReference"/>
        </w:rPr>
        <w:footnoteRef/>
      </w:r>
      <w:r w:rsidRPr="00B257F1">
        <w:t xml:space="preserve"> </w:t>
      </w:r>
      <w:r w:rsidRPr="00B257F1">
        <w:rPr>
          <w:i/>
        </w:rPr>
        <w:t>See</w:t>
      </w:r>
      <w:r w:rsidRPr="00B257F1">
        <w:t xml:space="preserve"> Letter from Kimberly A. Ruht, Regulatory Attorney, UNS Electric, Inc., to Jennifer Burton, Spectrum Enforcement Division, FCC Enforcement Bureau (May 10, 2013) (LOI Response) (on file in EB-SED-13-00005853).</w:t>
      </w:r>
    </w:p>
  </w:footnote>
  <w:footnote w:id="14">
    <w:p w:rsidR="00D043AB" w:rsidRDefault="00D043AB" w:rsidP="008804EC">
      <w:pPr>
        <w:pStyle w:val="FootnoteText"/>
      </w:pPr>
      <w:r w:rsidRPr="00B257F1">
        <w:rPr>
          <w:rStyle w:val="FootnoteReference"/>
        </w:rPr>
        <w:footnoteRef/>
      </w:r>
      <w:r w:rsidRPr="00B257F1">
        <w:t xml:space="preserve"> </w:t>
      </w:r>
      <w:r w:rsidRPr="00B257F1">
        <w:rPr>
          <w:i/>
        </w:rPr>
        <w:t>See id.</w:t>
      </w:r>
      <w:r w:rsidRPr="00B257F1">
        <w:t xml:space="preserve"> at 3.</w:t>
      </w:r>
    </w:p>
  </w:footnote>
  <w:footnote w:id="15">
    <w:p w:rsidR="00D043AB" w:rsidRDefault="00D043AB">
      <w:pPr>
        <w:pStyle w:val="FootnoteText"/>
      </w:pPr>
      <w:r w:rsidRPr="00B257F1">
        <w:rPr>
          <w:rStyle w:val="FootnoteReference"/>
        </w:rPr>
        <w:footnoteRef/>
      </w:r>
      <w:r w:rsidRPr="00B257F1">
        <w:t xml:space="preserve"> </w:t>
      </w:r>
      <w:r w:rsidRPr="00B257F1">
        <w:rPr>
          <w:i/>
        </w:rPr>
        <w:t>See id.</w:t>
      </w:r>
    </w:p>
  </w:footnote>
  <w:footnote w:id="16">
    <w:p w:rsidR="00D043AB" w:rsidRDefault="00D043AB" w:rsidP="00FA6F98">
      <w:pPr>
        <w:pStyle w:val="FootnoteText"/>
      </w:pPr>
      <w:r w:rsidRPr="00B257F1">
        <w:rPr>
          <w:rStyle w:val="FootnoteReference"/>
        </w:rPr>
        <w:footnoteRef/>
      </w:r>
      <w:r w:rsidRPr="00B257F1">
        <w:t xml:space="preserve"> 47 U.S.C. § 301; 47 C.F.R. § 1.903(a).</w:t>
      </w:r>
    </w:p>
  </w:footnote>
  <w:footnote w:id="17">
    <w:p w:rsidR="00D043AB" w:rsidRDefault="00D043AB" w:rsidP="00FA6F98">
      <w:pPr>
        <w:pStyle w:val="FootnoteText"/>
      </w:pPr>
      <w:r w:rsidRPr="00B257F1">
        <w:rPr>
          <w:rStyle w:val="FootnoteReference"/>
        </w:rPr>
        <w:footnoteRef/>
      </w:r>
      <w:r w:rsidRPr="00B257F1">
        <w:t xml:space="preserve"> Specifically, Section 1.949(a) of the Rules requires that licensees wishing to continue operations file renewal applications for wireless radio stations “no later than the expiration date of the authorization for which renewal is sought, and no sooner than 90 days prior to expiration.”  47 C.F.R. § 1.949(a).  If a licensee intending to continue operating fails to file a timely renewal application, the Commission nevertheless requires such licensee to seek operating authority.  </w:t>
      </w:r>
      <w:r w:rsidRPr="00B257F1">
        <w:rPr>
          <w:i/>
        </w:rPr>
        <w:t>See Universal Licensing System Report and Order</w:t>
      </w:r>
      <w:r w:rsidRPr="00B257F1">
        <w:t xml:space="preserve">, 13 FCC Rcd at 21071, para. 98 (directing licensees that fail to file timely renewal applications to submit a new application or, if necessary, a request for special temporary operating authority); </w:t>
      </w:r>
      <w:r w:rsidRPr="00B257F1">
        <w:rPr>
          <w:i/>
        </w:rPr>
        <w:t>Universal Licensing System MO&amp;O</w:t>
      </w:r>
      <w:r w:rsidRPr="00B257F1">
        <w:t xml:space="preserve">, 14 FCC Rcd at 11485–86, para. 22 (permitting, in the alternative, the acceptance and processing of late filed renewal applications under certain circumstances).  In the </w:t>
      </w:r>
      <w:r w:rsidRPr="00B257F1">
        <w:rPr>
          <w:i/>
        </w:rPr>
        <w:t xml:space="preserve">Universal Licensing System MO&amp;O, </w:t>
      </w:r>
      <w:r w:rsidRPr="00B257F1">
        <w:t xml:space="preserve">the Commission expressly held that it could “initiate enforcement action against the licensee both for untimely filing and unauthorized operation between the expiration of the license and the late renewal filing, including, if appropriate, the imposition of fines or forfeitures for these rule violations.”  </w:t>
      </w:r>
      <w:smartTag w:uri="urn:schemas-microsoft-com:office:smarttags" w:element="State">
        <w:smartTag w:uri="urn:schemas-microsoft-com:office:smarttags" w:element="place">
          <w:r w:rsidRPr="00B257F1">
            <w:rPr>
              <w:i/>
            </w:rPr>
            <w:t>Id</w:t>
          </w:r>
          <w:r w:rsidRPr="00B257F1">
            <w:t>.</w:t>
          </w:r>
        </w:smartTag>
      </w:smartTag>
      <w:r w:rsidRPr="00B257F1">
        <w:t xml:space="preserve"> </w:t>
      </w:r>
    </w:p>
  </w:footnote>
  <w:footnote w:id="18">
    <w:p w:rsidR="00D043AB" w:rsidRDefault="00D043AB" w:rsidP="001219B2">
      <w:pPr>
        <w:pStyle w:val="FootnoteText"/>
      </w:pPr>
      <w:r w:rsidRPr="00B257F1">
        <w:rPr>
          <w:rStyle w:val="FootnoteReference"/>
        </w:rPr>
        <w:footnoteRef/>
      </w:r>
      <w:r w:rsidRPr="00B257F1">
        <w:t xml:space="preserve"> As noted above, the </w:t>
      </w:r>
      <w:r w:rsidRPr="00B257F1">
        <w:rPr>
          <w:i/>
        </w:rPr>
        <w:t>Universal Licensing System Orders</w:t>
      </w:r>
      <w:r w:rsidRPr="00B257F1">
        <w:t xml:space="preserve"> and Commission precedent make clear that if a licensee continues to operate, it has an ongoing duty to seek Commission authority for such operations.  </w:t>
      </w:r>
      <w:r>
        <w:rPr>
          <w:i/>
        </w:rPr>
        <w:t xml:space="preserve">See supra </w:t>
      </w:r>
      <w:r w:rsidRPr="00533FE1">
        <w:t>note 16</w:t>
      </w:r>
      <w:r w:rsidRPr="00B257F1">
        <w:rPr>
          <w:i/>
        </w:rPr>
        <w:t>.  S</w:t>
      </w:r>
      <w:r w:rsidRPr="00B257F1">
        <w:rPr>
          <w:i/>
          <w:color w:val="000000"/>
        </w:rPr>
        <w:t xml:space="preserve">ee also Discussion Radio, </w:t>
      </w:r>
      <w:r w:rsidRPr="00B257F1">
        <w:rPr>
          <w:i/>
        </w:rPr>
        <w:t>Inc</w:t>
      </w:r>
      <w:r w:rsidRPr="00B257F1">
        <w:t>., Memorandum Opinion and Order and Notice of Apparent Liability for Forfeiture, 19 FCC Rcd 7433 (2004)</w:t>
      </w:r>
      <w:r w:rsidRPr="00B257F1">
        <w:rPr>
          <w:color w:val="000000"/>
        </w:rPr>
        <w:t xml:space="preserve">; </w:t>
      </w:r>
      <w:r w:rsidRPr="00B257F1">
        <w:rPr>
          <w:i/>
        </w:rPr>
        <w:t>Telrite</w:t>
      </w:r>
      <w:r w:rsidRPr="00B257F1">
        <w:t xml:space="preserve">, Notice of Apparent Liability </w:t>
      </w:r>
      <w:r>
        <w:t xml:space="preserve">for Forfeiture </w:t>
      </w:r>
      <w:r w:rsidRPr="00B257F1">
        <w:t xml:space="preserve">and Order, 23 FCC Rcd 7231, 7244, para. 30 (2008); </w:t>
      </w:r>
      <w:r w:rsidRPr="00B257F1">
        <w:rPr>
          <w:i/>
        </w:rPr>
        <w:t>Compass Global, Inc</w:t>
      </w:r>
      <w:r w:rsidRPr="00B257F1">
        <w:t xml:space="preserve">., Notice of Apparent Liability for Forfeiture, 23 FCC Rcd 6125, 6138, para. 29 (2008); </w:t>
      </w:r>
      <w:r w:rsidRPr="00B257F1">
        <w:rPr>
          <w:i/>
        </w:rPr>
        <w:t>VCI Company</w:t>
      </w:r>
      <w:r w:rsidRPr="00B257F1">
        <w:t xml:space="preserve">, Notice of Apparent Liability for Forfeiture and Order, 22 FCC Rcd 15933, 15940, para. 20 (2007).  </w:t>
      </w:r>
      <w:r w:rsidRPr="00B257F1">
        <w:rPr>
          <w:color w:val="000000"/>
        </w:rPr>
        <w:t>We note that a</w:t>
      </w:r>
      <w:r w:rsidRPr="00B257F1">
        <w:t xml:space="preserve"> failure to seek timely operating authority inhibits the Commission’s ability to fulfill its statutory obligations under Sections 301 (maintaining control of radio transmission and use of such channels for limited periods of time), 303 (assigning frequencies), and 307 of the Act (ensuring the fair, efficient and equitable distribution of radio service).     </w:t>
      </w:r>
    </w:p>
  </w:footnote>
  <w:footnote w:id="19">
    <w:p w:rsidR="00D043AB" w:rsidRDefault="00D043AB" w:rsidP="00340857">
      <w:pPr>
        <w:pStyle w:val="FootnoteText"/>
      </w:pPr>
      <w:r>
        <w:rPr>
          <w:rStyle w:val="FootnoteReference"/>
        </w:rPr>
        <w:footnoteRef/>
      </w:r>
      <w:r>
        <w:t xml:space="preserve"> 47 U.S.C. § 503(b).</w:t>
      </w:r>
    </w:p>
  </w:footnote>
  <w:footnote w:id="20">
    <w:p w:rsidR="00D043AB" w:rsidRDefault="00D043AB" w:rsidP="00340857">
      <w:pPr>
        <w:pStyle w:val="FootnoteText"/>
      </w:pPr>
      <w:r>
        <w:rPr>
          <w:rStyle w:val="FootnoteReference"/>
        </w:rPr>
        <w:footnoteRef/>
      </w:r>
      <w:r>
        <w:t xml:space="preserve"> 47 U.S.C. § 312(f)(1).</w:t>
      </w:r>
    </w:p>
  </w:footnote>
  <w:footnote w:id="21">
    <w:p w:rsidR="00D043AB" w:rsidRDefault="00D043AB" w:rsidP="00340857">
      <w:pPr>
        <w:pStyle w:val="FootnoteTex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22">
    <w:p w:rsidR="00D043AB" w:rsidRDefault="00D043AB" w:rsidP="00340857">
      <w:pPr>
        <w:pStyle w:val="FootnoteText"/>
      </w:pPr>
      <w:r>
        <w:rPr>
          <w:rStyle w:val="FootnoteReference"/>
        </w:rPr>
        <w:footnoteRef/>
      </w:r>
      <w:r>
        <w:t xml:space="preserve"> </w:t>
      </w:r>
      <w:r>
        <w:rPr>
          <w:i/>
        </w:rPr>
        <w:t xml:space="preserve">See, e.g., </w:t>
      </w:r>
      <w:r w:rsidR="005F6AA6">
        <w:rPr>
          <w:i/>
        </w:rPr>
        <w:t xml:space="preserve">S. Cal. Broad. </w:t>
      </w:r>
      <w:r>
        <w:rPr>
          <w:i/>
        </w:rPr>
        <w:t>Co.</w:t>
      </w:r>
      <w:r>
        <w:t>, Memorandum Opinion and Order, 6 FCC Rcd 4387, 4388 (1991) (</w:t>
      </w:r>
      <w:r w:rsidRPr="00085C11">
        <w:rPr>
          <w:i/>
        </w:rPr>
        <w:t>Southern California</w:t>
      </w:r>
      <w:r>
        <w:t xml:space="preserve">), </w:t>
      </w:r>
      <w:r>
        <w:rPr>
          <w:i/>
        </w:rPr>
        <w:t xml:space="preserve">recons. denied, </w:t>
      </w:r>
      <w:r>
        <w:t>7 FCC Rcd 3454 (1992).</w:t>
      </w:r>
    </w:p>
  </w:footnote>
  <w:footnote w:id="23">
    <w:p w:rsidR="00D043AB" w:rsidRDefault="00D043AB" w:rsidP="00340857">
      <w:pPr>
        <w:pStyle w:val="FootnoteText"/>
      </w:pPr>
      <w:r>
        <w:rPr>
          <w:rStyle w:val="FootnoteReference"/>
        </w:rPr>
        <w:footnoteRef/>
      </w:r>
      <w:r>
        <w:t xml:space="preserve"> </w:t>
      </w:r>
      <w:r>
        <w:rPr>
          <w:i/>
        </w:rPr>
        <w:t>See, e.g.,</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24">
    <w:p w:rsidR="00D043AB" w:rsidRDefault="00D043AB" w:rsidP="00340857">
      <w:pPr>
        <w:pStyle w:val="FootnoteText"/>
      </w:pPr>
      <w:r>
        <w:rPr>
          <w:rStyle w:val="FootnoteReference"/>
        </w:rPr>
        <w:footnoteRef/>
      </w:r>
      <w:r>
        <w:t xml:space="preserve"> Section 312(f)(2) of the Act, 47 U.S.C. § 312(f)(2), which also applies to violations for which forfeitures are assessed under Section 503(b) of the Act, provides that “[t]he term </w:t>
      </w:r>
      <w:r w:rsidR="005F6AA6">
        <w:t>‘</w:t>
      </w:r>
      <w:r>
        <w:t>repeated</w:t>
      </w:r>
      <w:r w:rsidR="005F6AA6">
        <w:t>’</w:t>
      </w:r>
      <w:r>
        <w:t xml:space="preserve">,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 xml:space="preserve">at 1362. </w:t>
      </w:r>
    </w:p>
  </w:footnote>
  <w:footnote w:id="25">
    <w:p w:rsidR="00D043AB" w:rsidRDefault="00D043AB" w:rsidP="00C604E5">
      <w:pPr>
        <w:pStyle w:val="FootnoteText"/>
      </w:pPr>
      <w:r w:rsidRPr="00B257F1">
        <w:rPr>
          <w:rStyle w:val="FootnoteReference"/>
        </w:rPr>
        <w:footnoteRef/>
      </w:r>
      <w:r w:rsidRPr="00B257F1">
        <w:t xml:space="preserve"> 47 U.S.C. § 503(b)(2)(E).  </w:t>
      </w:r>
      <w:r w:rsidRPr="00B257F1">
        <w:rPr>
          <w:i/>
        </w:rPr>
        <w:t xml:space="preserve">See also </w:t>
      </w:r>
      <w:r w:rsidRPr="00B257F1">
        <w:t>47 C.F.R. § 1.80(b)(8)</w:t>
      </w:r>
      <w:r w:rsidRPr="00B257F1">
        <w:rPr>
          <w:rFonts w:eastAsia="Batang"/>
        </w:rPr>
        <w:t xml:space="preserve">; </w:t>
      </w:r>
      <w:r w:rsidRPr="00B257F1">
        <w:rPr>
          <w:i/>
        </w:rPr>
        <w:t>Forfeiture Policy Statement</w:t>
      </w:r>
      <w:r w:rsidRPr="00B257F1">
        <w:t xml:space="preserve">, Report and Order, 12 FCC Rcd 17087, 17100, para. 27 (1997), </w:t>
      </w:r>
      <w:r w:rsidRPr="00B257F1">
        <w:rPr>
          <w:i/>
        </w:rPr>
        <w:t>recon. denied,</w:t>
      </w:r>
      <w:r w:rsidRPr="00B257F1">
        <w:t xml:space="preserve"> 15 FCC Rcd 303 (1999) (</w:t>
      </w:r>
      <w:r w:rsidRPr="00B257F1">
        <w:rPr>
          <w:i/>
        </w:rPr>
        <w:t>Forfeiture Policy Statement</w:t>
      </w:r>
      <w:r w:rsidRPr="00B257F1">
        <w:t>).</w:t>
      </w:r>
    </w:p>
  </w:footnote>
  <w:footnote w:id="26">
    <w:p w:rsidR="00D043AB" w:rsidRDefault="00D043AB" w:rsidP="00C604E5">
      <w:pPr>
        <w:pStyle w:val="FootnoteText"/>
      </w:pPr>
      <w:r w:rsidRPr="00B257F1">
        <w:rPr>
          <w:rStyle w:val="FootnoteReference"/>
        </w:rPr>
        <w:footnoteRef/>
      </w:r>
      <w:r w:rsidRPr="00B257F1">
        <w:t xml:space="preserve"> 47 C.F.R. § 1.80(b).  </w:t>
      </w:r>
      <w:r w:rsidRPr="00B257F1">
        <w:rPr>
          <w:i/>
          <w:color w:val="000000"/>
        </w:rPr>
        <w:t>See also Forfeiture Policy Statement,</w:t>
      </w:r>
      <w:r w:rsidRPr="00B257F1">
        <w:rPr>
          <w:color w:val="000000"/>
        </w:rPr>
        <w:t xml:space="preserve"> 12 FCC Rcd at 17098-99, para. 22 (noting that “[a]lthough we have adopted the base forfeiture amounts as guidelines to provide a measure of predictability to the </w:t>
      </w:r>
      <w:r w:rsidRPr="00B257F1">
        <w:t>forfeiture process, we retain our discretion to depart from the guidelines and issue forfeitures on a case-by-case basis, under our general forfeiture authority contained in Section 503 of the Act”).</w:t>
      </w:r>
    </w:p>
  </w:footnote>
  <w:footnote w:id="27">
    <w:p w:rsidR="00D043AB" w:rsidRDefault="00D043AB" w:rsidP="00037195">
      <w:pPr>
        <w:pStyle w:val="FootnoteText"/>
      </w:pPr>
      <w:r w:rsidRPr="00B257F1">
        <w:rPr>
          <w:rStyle w:val="FootnoteReference"/>
        </w:rPr>
        <w:footnoteRef/>
      </w:r>
      <w:r w:rsidRPr="00B257F1">
        <w:t xml:space="preserve"> </w:t>
      </w:r>
      <w:r w:rsidRPr="00797D93">
        <w:rPr>
          <w:i/>
        </w:rPr>
        <w:t>See</w:t>
      </w:r>
      <w:r w:rsidRPr="00B257F1">
        <w:t xml:space="preserve"> </w:t>
      </w:r>
      <w:r>
        <w:rPr>
          <w:i/>
        </w:rPr>
        <w:t xml:space="preserve">supra </w:t>
      </w:r>
      <w:r>
        <w:t>note 16</w:t>
      </w:r>
      <w:r>
        <w:rPr>
          <w:i/>
        </w:rPr>
        <w:t xml:space="preserve">.  See </w:t>
      </w:r>
      <w:r w:rsidRPr="00530EA3">
        <w:rPr>
          <w:i/>
        </w:rPr>
        <w:t>also</w:t>
      </w:r>
      <w:r>
        <w:t xml:space="preserve"> </w:t>
      </w:r>
      <w:r w:rsidRPr="00530EA3">
        <w:t>Discussion</w:t>
      </w:r>
      <w:r w:rsidRPr="00B257F1">
        <w:t xml:space="preserve"> Radio, 19 FCC Rcd at 7438, para. 15</w:t>
      </w:r>
      <w:r>
        <w:t>;</w:t>
      </w:r>
      <w:r w:rsidRPr="00B257F1">
        <w:t xml:space="preserve"> </w:t>
      </w:r>
      <w:r w:rsidRPr="00797D93">
        <w:rPr>
          <w:i/>
        </w:rPr>
        <w:t xml:space="preserve">Union Oil </w:t>
      </w:r>
      <w:r w:rsidR="005F6AA6" w:rsidRPr="00797D93">
        <w:rPr>
          <w:i/>
        </w:rPr>
        <w:t>Co</w:t>
      </w:r>
      <w:r w:rsidR="005F6AA6">
        <w:rPr>
          <w:i/>
        </w:rPr>
        <w:t>.</w:t>
      </w:r>
      <w:r w:rsidR="005F6AA6" w:rsidRPr="00797D93">
        <w:rPr>
          <w:i/>
        </w:rPr>
        <w:t xml:space="preserve"> </w:t>
      </w:r>
      <w:r w:rsidRPr="00797D93">
        <w:rPr>
          <w:i/>
        </w:rPr>
        <w:t xml:space="preserve">of </w:t>
      </w:r>
      <w:r w:rsidR="005F6AA6" w:rsidRPr="00797D93">
        <w:rPr>
          <w:i/>
        </w:rPr>
        <w:t>Cal</w:t>
      </w:r>
      <w:r w:rsidR="005F6AA6">
        <w:rPr>
          <w:i/>
        </w:rPr>
        <w:t>.</w:t>
      </w:r>
      <w:r w:rsidRPr="00B257F1">
        <w:t>, Notice of Apparent Liability for Forfeiture, 27 FCC Rcd 13806, 13809-810, para. 9 (2012) (</w:t>
      </w:r>
      <w:r w:rsidRPr="00001F73">
        <w:rPr>
          <w:i/>
        </w:rPr>
        <w:t>Union Oil</w:t>
      </w:r>
      <w:r w:rsidRPr="00B257F1">
        <w:t xml:space="preserve">).    </w:t>
      </w:r>
    </w:p>
  </w:footnote>
  <w:footnote w:id="28">
    <w:p w:rsidR="00D043AB" w:rsidRDefault="00D043AB" w:rsidP="00C604E5">
      <w:pPr>
        <w:spacing w:after="120"/>
      </w:pPr>
      <w:r w:rsidRPr="00B257F1">
        <w:rPr>
          <w:rStyle w:val="FootnoteReference"/>
        </w:rPr>
        <w:footnoteRef/>
      </w:r>
      <w:r w:rsidRPr="00B257F1">
        <w:rPr>
          <w:sz w:val="20"/>
        </w:rPr>
        <w:t xml:space="preserve"> UNS Energy’s 2012 annual report filed with the Securities and Exchange Commission reported gross revenues of $1.4 billion.  </w:t>
      </w:r>
      <w:r w:rsidRPr="00085C11">
        <w:rPr>
          <w:i/>
          <w:sz w:val="20"/>
        </w:rPr>
        <w:t>See</w:t>
      </w:r>
      <w:r w:rsidRPr="00B257F1">
        <w:rPr>
          <w:sz w:val="20"/>
        </w:rPr>
        <w:t xml:space="preserve"> UNS Energy Corporation (2012), Annual Report, at K-32 (Feb. 27, 2013).</w:t>
      </w:r>
    </w:p>
  </w:footnote>
  <w:footnote w:id="29">
    <w:p w:rsidR="00D043AB" w:rsidRDefault="00D043AB" w:rsidP="00C604E5">
      <w:pPr>
        <w:pStyle w:val="FootnoteText"/>
      </w:pPr>
      <w:r w:rsidRPr="00B257F1">
        <w:rPr>
          <w:rStyle w:val="FootnoteReference"/>
        </w:rPr>
        <w:footnoteRef/>
      </w:r>
      <w:r w:rsidRPr="00B257F1">
        <w:t xml:space="preserve"> It is well established Commission policy to consider the revenues of a violator’s parent company in determining the violator’s ability to pay.  </w:t>
      </w:r>
      <w:r w:rsidRPr="00B257F1">
        <w:rPr>
          <w:i/>
          <w:iCs/>
        </w:rPr>
        <w:t>See, e.g., SM Radio, Inc.</w:t>
      </w:r>
      <w:r w:rsidRPr="00B257F1">
        <w:t xml:space="preserve">, Order on Review, 23 FCC Rcd 2429, 2433, para. 12 (2008) (citations omitted); </w:t>
      </w:r>
      <w:r w:rsidRPr="00B257F1">
        <w:rPr>
          <w:i/>
          <w:iCs/>
        </w:rPr>
        <w:t>Tesla Exploration, Inc.</w:t>
      </w:r>
      <w:r w:rsidRPr="00B257F1">
        <w:t>, Notice of Apparent Liability for Forfeiture,</w:t>
      </w:r>
      <w:bookmarkStart w:id="1" w:name="SR;2424"/>
      <w:bookmarkStart w:id="2" w:name="SearchTerm"/>
      <w:bookmarkEnd w:id="1"/>
      <w:bookmarkEnd w:id="2"/>
      <w:r w:rsidRPr="00B257F1">
        <w:t xml:space="preserve"> 27 FCC Rcd 9808, 9811, para. 10 &amp; n.20 (2012); </w:t>
      </w:r>
      <w:r w:rsidRPr="00B257F1">
        <w:rPr>
          <w:i/>
        </w:rPr>
        <w:t>Union Oil</w:t>
      </w:r>
      <w:r w:rsidRPr="00B257F1">
        <w:t xml:space="preserve">, 27 FCC Rcd at 13810, para. 10.  </w:t>
      </w:r>
      <w:r w:rsidRPr="00B257F1">
        <w:rPr>
          <w:i/>
          <w:iCs/>
        </w:rPr>
        <w:t>See also</w:t>
      </w:r>
      <w:r w:rsidRPr="00B257F1">
        <w:t xml:space="preserve"> </w:t>
      </w:r>
      <w:r w:rsidRPr="00B257F1">
        <w:rPr>
          <w:i/>
          <w:iCs/>
        </w:rPr>
        <w:t>Forfeiture Policy Statement</w:t>
      </w:r>
      <w:r w:rsidRPr="00B257F1">
        <w:t>, 12 FCC Rcd at 17099-100, paras. 23-24 (cautioning all entities and individuals that, independent from the uniform base forfeiture amounts, the Commission will take into account the violator’s ability to pay in determining the amount of a forfeiture to guarantee that forfeitures issued against large or highly profitable entities are not considered merely an affordable cost of doing business, and noting that such large or highly profitable entities should expect that the forfeiture amount set out in a Notice of Apparent Liability</w:t>
      </w:r>
      <w:r w:rsidR="005F6AA6">
        <w:t xml:space="preserve"> for Forfeiture</w:t>
      </w:r>
      <w:r w:rsidRPr="00B257F1">
        <w:t xml:space="preserve"> against them may in many cases be above, or even well above, the relevant base amount).  </w:t>
      </w:r>
      <w:r w:rsidRPr="00B257F1">
        <w:rPr>
          <w:i/>
          <w:iCs/>
        </w:rPr>
        <w:t xml:space="preserve">See also </w:t>
      </w:r>
      <w:r w:rsidR="005F6AA6" w:rsidRPr="00B257F1">
        <w:rPr>
          <w:i/>
          <w:iCs/>
        </w:rPr>
        <w:t>Am</w:t>
      </w:r>
      <w:r w:rsidR="005F6AA6">
        <w:rPr>
          <w:i/>
          <w:iCs/>
        </w:rPr>
        <w:t>.</w:t>
      </w:r>
      <w:r w:rsidR="005F6AA6" w:rsidRPr="00B257F1">
        <w:rPr>
          <w:i/>
          <w:iCs/>
        </w:rPr>
        <w:t xml:space="preserve"> </w:t>
      </w:r>
      <w:r w:rsidRPr="00B257F1">
        <w:rPr>
          <w:i/>
          <w:iCs/>
        </w:rPr>
        <w:t>Movil, S.A.B. de C.V., Parent of Puerto Rico Tel</w:t>
      </w:r>
      <w:r w:rsidR="005F6AA6">
        <w:rPr>
          <w:i/>
          <w:iCs/>
        </w:rPr>
        <w:t>.</w:t>
      </w:r>
      <w:r w:rsidRPr="00B257F1">
        <w:rPr>
          <w:i/>
          <w:iCs/>
        </w:rPr>
        <w:t xml:space="preserve"> </w:t>
      </w:r>
      <w:r w:rsidR="005F6AA6" w:rsidRPr="00B257F1">
        <w:rPr>
          <w:i/>
          <w:iCs/>
        </w:rPr>
        <w:t>Co</w:t>
      </w:r>
      <w:r w:rsidR="005F6AA6">
        <w:rPr>
          <w:i/>
          <w:iCs/>
        </w:rPr>
        <w:t>.</w:t>
      </w:r>
      <w:r w:rsidRPr="00B257F1">
        <w:rPr>
          <w:i/>
          <w:iCs/>
        </w:rPr>
        <w:t>, Inc.</w:t>
      </w:r>
      <w:r w:rsidRPr="00B257F1">
        <w:t xml:space="preserve">, Notice of Apparent Liability for Forfeiture, 26 FCC Rcd 8672 (Enf. Bur. 2011) (doubling the base forfeiture due to the company’s size and gross revenues); </w:t>
      </w:r>
      <w:r w:rsidRPr="00B257F1">
        <w:rPr>
          <w:i/>
          <w:iCs/>
        </w:rPr>
        <w:t>Fox Television Stations Inc</w:t>
      </w:r>
      <w:r w:rsidRPr="00B257F1">
        <w:t xml:space="preserve">., Notice of Apparent Liability for Forfeiture, 25 FCC Rcd 7074 (Enf. Bur. 2010) (upwardly adjusting the base forfeiture based on the egregiousness of the violation and the company’s substantial revenues); </w:t>
      </w:r>
      <w:r w:rsidRPr="00B257F1">
        <w:rPr>
          <w:i/>
          <w:iCs/>
        </w:rPr>
        <w:t>Google Inc.,</w:t>
      </w:r>
      <w:r w:rsidRPr="00B257F1">
        <w:t xml:space="preserve"> Notice of Apparent Liability for Forfeiture, 27 FCC Rcd 4012 (Enf. Bur. 2012) (upwardly adjusting the base forfeiture due to the deliberate nature of the violation and the company’s gross revenues).</w:t>
      </w:r>
    </w:p>
  </w:footnote>
  <w:footnote w:id="30">
    <w:p w:rsidR="00D043AB" w:rsidRDefault="00D043AB" w:rsidP="000D6FB2">
      <w:pPr>
        <w:pStyle w:val="FootnoteText"/>
      </w:pPr>
      <w:r w:rsidRPr="00B257F1">
        <w:rPr>
          <w:rStyle w:val="FootnoteReference"/>
        </w:rPr>
        <w:footnoteRef/>
      </w:r>
      <w:r w:rsidRPr="00B257F1">
        <w:t xml:space="preserve"> </w:t>
      </w:r>
      <w:r w:rsidRPr="00B257F1">
        <w:rPr>
          <w:i/>
        </w:rPr>
        <w:t>See</w:t>
      </w:r>
      <w:r w:rsidRPr="00B257F1">
        <w:t xml:space="preserve"> LOI Response at 2</w:t>
      </w:r>
      <w:r w:rsidR="005F6AA6">
        <w:t>–</w:t>
      </w:r>
      <w:r w:rsidRPr="00B257F1">
        <w:t xml:space="preserve">3. </w:t>
      </w:r>
    </w:p>
  </w:footnote>
  <w:footnote w:id="31">
    <w:p w:rsidR="00D043AB" w:rsidRDefault="00D043AB" w:rsidP="000D6FB2">
      <w:pPr>
        <w:pStyle w:val="FootnoteText"/>
      </w:pPr>
      <w:r w:rsidRPr="00B257F1">
        <w:rPr>
          <w:rStyle w:val="FootnoteReference"/>
        </w:rPr>
        <w:footnoteRef/>
      </w:r>
      <w:r w:rsidRPr="00B257F1">
        <w:t xml:space="preserve"> </w:t>
      </w:r>
      <w:r w:rsidRPr="00B257F1">
        <w:rPr>
          <w:i/>
        </w:rPr>
        <w:t>Universal Licensing Report and Order</w:t>
      </w:r>
      <w:r w:rsidRPr="00B257F1">
        <w:t xml:space="preserve">, 13 FCC Rcd at 21071, para 96; </w:t>
      </w:r>
      <w:r w:rsidRPr="00B257F1">
        <w:rPr>
          <w:i/>
        </w:rPr>
        <w:t>see</w:t>
      </w:r>
      <w:r w:rsidRPr="00B257F1">
        <w:t xml:space="preserve"> 47 C.F.R. § 1.949(a).    </w:t>
      </w:r>
    </w:p>
  </w:footnote>
  <w:footnote w:id="32">
    <w:p w:rsidR="00D043AB" w:rsidRDefault="00D043AB" w:rsidP="000D6FB2">
      <w:pPr>
        <w:pStyle w:val="FootnoteText"/>
      </w:pPr>
      <w:r w:rsidRPr="00B257F1">
        <w:rPr>
          <w:rStyle w:val="FootnoteReference"/>
        </w:rPr>
        <w:footnoteRef/>
      </w:r>
      <w:r w:rsidRPr="00B257F1">
        <w:t xml:space="preserve"> </w:t>
      </w:r>
      <w:r w:rsidRPr="00B257F1">
        <w:rPr>
          <w:i/>
        </w:rPr>
        <w:t>See Southern California</w:t>
      </w:r>
      <w:r w:rsidRPr="00B257F1">
        <w:t>,</w:t>
      </w:r>
      <w:r w:rsidRPr="00B257F1">
        <w:rPr>
          <w:i/>
        </w:rPr>
        <w:t xml:space="preserve"> </w:t>
      </w:r>
      <w:r w:rsidRPr="00B257F1">
        <w:t>6 FCC Rcd at 4387, para. 3 (stating that “‘inadvertence’ … is at best, ignorance of the law, which the Commission does not consider a mitigating circumstance”)</w:t>
      </w:r>
      <w:r w:rsidRPr="00B257F1">
        <w:rPr>
          <w:i/>
        </w:rPr>
        <w:t>.</w:t>
      </w:r>
      <w:r w:rsidRPr="00B257F1">
        <w:t xml:space="preserve">  </w:t>
      </w:r>
      <w:r w:rsidRPr="00B257F1">
        <w:rPr>
          <w:i/>
        </w:rPr>
        <w:t xml:space="preserve">See also </w:t>
      </w:r>
      <w:r w:rsidRPr="00B257F1">
        <w:rPr>
          <w:i/>
          <w:iCs/>
          <w:color w:val="000000"/>
        </w:rPr>
        <w:t xml:space="preserve">Emigrant Storage, </w:t>
      </w:r>
      <w:r w:rsidRPr="00B257F1">
        <w:rPr>
          <w:iCs/>
          <w:color w:val="000000"/>
        </w:rPr>
        <w:t>Notice of Apparent Liability for Forfeiture, 27 FCC Rcd at 8920</w:t>
      </w:r>
      <w:r w:rsidR="005F6AA6">
        <w:t>–</w:t>
      </w:r>
      <w:r w:rsidRPr="00B257F1">
        <w:rPr>
          <w:iCs/>
          <w:color w:val="000000"/>
        </w:rPr>
        <w:t xml:space="preserve">21, para. 9 (claiming that it failed to renew the license for PLMRS station WPKM212 and stating that the violation resulted from oversight and a change in personnel); </w:t>
      </w:r>
      <w:r w:rsidRPr="00B257F1">
        <w:rPr>
          <w:i/>
        </w:rPr>
        <w:t>Profit Enters</w:t>
      </w:r>
      <w:r w:rsidR="005F6AA6">
        <w:rPr>
          <w:i/>
        </w:rPr>
        <w:t>.</w:t>
      </w:r>
      <w:r w:rsidRPr="00B257F1">
        <w:rPr>
          <w:i/>
        </w:rPr>
        <w:t xml:space="preserve">, Inc., </w:t>
      </w:r>
      <w:r w:rsidRPr="00B257F1">
        <w:t xml:space="preserve">Forfeiture Order, 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w:t>
      </w:r>
      <w:r w:rsidR="005F6AA6">
        <w:t>. . .</w:t>
      </w:r>
      <w:r w:rsidRPr="00B257F1">
        <w:t xml:space="preserve"> ignorance of the law [is not] a mitigating factor”); </w:t>
      </w:r>
      <w:r w:rsidRPr="00B257F1">
        <w:rPr>
          <w:i/>
        </w:rPr>
        <w:t>Lakewood Broad. Serv., Inc.,</w:t>
      </w:r>
      <w:r w:rsidRPr="00B257F1">
        <w:t xml:space="preserve"> Memorandum Opinion and Order,</w:t>
      </w:r>
      <w:r w:rsidRPr="00B257F1">
        <w:rPr>
          <w:i/>
        </w:rPr>
        <w:t xml:space="preserve"> </w:t>
      </w:r>
      <w:r w:rsidRPr="00B257F1">
        <w:t xml:space="preserve">37 FCC 2d 437, 438, para. 6 (1972) (denying a mitigation claim of a broadcast licensee who asserted an unfamiliarity with the station identification requirements, stating that licensees are expected “to know and conform their conduct to the requirements of our Rules”); </w:t>
      </w:r>
      <w:r w:rsidRPr="00B257F1">
        <w:rPr>
          <w:i/>
        </w:rPr>
        <w:t>Kenneth Paul Harris, Sr.,</w:t>
      </w:r>
      <w:r w:rsidRPr="00B257F1">
        <w:t xml:space="preserve"> Notice of Apparent Liability for Forfeiture,</w:t>
      </w:r>
      <w:r w:rsidRPr="00B257F1">
        <w:rPr>
          <w:i/>
        </w:rPr>
        <w:t xml:space="preserve"> </w:t>
      </w:r>
      <w:r w:rsidRPr="00B257F1">
        <w:t xml:space="preserve">15 FCC Rcd 12933, 12935-36, para. 7 (Enf. Bur. 2000) (denying a mitigation claim of a broadcast licensee, stating that its ignorance of the law did not excuse the unauthorized transfer of the station); </w:t>
      </w:r>
      <w:r w:rsidRPr="00B257F1">
        <w:rPr>
          <w:i/>
        </w:rPr>
        <w:t>Maxwell Broad</w:t>
      </w:r>
      <w:r w:rsidR="005F6AA6">
        <w:rPr>
          <w:i/>
        </w:rPr>
        <w:t>.</w:t>
      </w:r>
      <w:r w:rsidRPr="00B257F1">
        <w:rPr>
          <w:i/>
        </w:rPr>
        <w:t xml:space="preserve"> Group, Inc.</w:t>
      </w:r>
      <w:r w:rsidRPr="00B257F1">
        <w:t xml:space="preserve">, Memorandum Opinion and Order, 8 FCC Rcd 784, 784, para. 2 (Mass Med. Bur. 1993) (denying a mitigation claim of a noncommercial broadcast licensee, stating that the excuse of “inadverten[ce], due to inexperience and ignorance of the rules </w:t>
      </w:r>
      <w:r w:rsidR="005F6AA6">
        <w:t>. . .</w:t>
      </w:r>
      <w:r w:rsidRPr="00B257F1">
        <w:t xml:space="preserve"> are not reasons to mitigate a forfeiture” for violation of the advertisement restrictions). </w:t>
      </w:r>
    </w:p>
  </w:footnote>
  <w:footnote w:id="33">
    <w:p w:rsidR="00D043AB" w:rsidRDefault="00D043AB">
      <w:pPr>
        <w:pStyle w:val="FootnoteText"/>
      </w:pPr>
      <w:r w:rsidRPr="00B257F1">
        <w:rPr>
          <w:rStyle w:val="FootnoteReference"/>
        </w:rPr>
        <w:footnoteRef/>
      </w:r>
      <w:r w:rsidRPr="00B257F1">
        <w:t xml:space="preserve"> </w:t>
      </w:r>
      <w:r w:rsidRPr="00B257F1">
        <w:rPr>
          <w:i/>
        </w:rPr>
        <w:t xml:space="preserve">See </w:t>
      </w:r>
      <w:r w:rsidRPr="00B257F1">
        <w:t>LOI Response at 3.</w:t>
      </w:r>
    </w:p>
  </w:footnote>
  <w:footnote w:id="34">
    <w:p w:rsidR="00D043AB" w:rsidRDefault="00D043AB">
      <w:pPr>
        <w:pStyle w:val="FootnoteText"/>
      </w:pPr>
      <w:r w:rsidRPr="00B257F1">
        <w:rPr>
          <w:rStyle w:val="FootnoteReference"/>
        </w:rPr>
        <w:footnoteRef/>
      </w:r>
      <w:r w:rsidRPr="00B257F1">
        <w:t xml:space="preserve"> </w:t>
      </w:r>
      <w:r w:rsidRPr="00B257F1">
        <w:rPr>
          <w:i/>
        </w:rPr>
        <w:t xml:space="preserve">See id.  </w:t>
      </w:r>
      <w:r w:rsidRPr="00B257F1">
        <w:t xml:space="preserve">UNS Electric asserts that it filed its STA request after verifying through frequency coordination and consultation with the 800 MHz Transition Administrator that its previously authorized frequencies were still available.  </w:t>
      </w:r>
      <w:r w:rsidRPr="00B257F1">
        <w:rPr>
          <w:i/>
        </w:rPr>
        <w:t xml:space="preserve">See id.  </w:t>
      </w:r>
      <w:r w:rsidRPr="00B257F1">
        <w:t>We note that under the circumstances at issue here, the relevant rules do not mandate frequency coordination prior to filing an STA request, and such coordination does not authorize operation on the specified frequencies.  We emphasize that UNS</w:t>
      </w:r>
      <w:r>
        <w:t xml:space="preserve"> Electric should not have waited until it consulted with its frequency coordinator before applying for temporary operating authority</w:t>
      </w:r>
      <w:r w:rsidRPr="00B257F1">
        <w:t>.</w:t>
      </w:r>
    </w:p>
  </w:footnote>
  <w:footnote w:id="35">
    <w:p w:rsidR="00D043AB" w:rsidRDefault="00D043AB" w:rsidP="00CD0F73">
      <w:pPr>
        <w:pStyle w:val="FootnoteText"/>
      </w:pPr>
      <w:r w:rsidRPr="00B257F1">
        <w:rPr>
          <w:rStyle w:val="FootnoteReference"/>
        </w:rPr>
        <w:footnoteRef/>
      </w:r>
      <w:r w:rsidRPr="00B257F1">
        <w:t xml:space="preserve"> 47 U.S.C. § 503(b).</w:t>
      </w:r>
    </w:p>
  </w:footnote>
  <w:footnote w:id="36">
    <w:p w:rsidR="00D043AB" w:rsidRDefault="00D043AB" w:rsidP="00CD0F73">
      <w:pPr>
        <w:pStyle w:val="FootnoteText"/>
      </w:pPr>
      <w:r w:rsidRPr="00B257F1">
        <w:rPr>
          <w:rStyle w:val="FootnoteReference"/>
        </w:rPr>
        <w:footnoteRef/>
      </w:r>
      <w:r w:rsidRPr="00B257F1">
        <w:t xml:space="preserve"> 47 C.F.R. §§ 0.111, 0.311, 1.80.</w:t>
      </w:r>
    </w:p>
  </w:footnote>
  <w:footnote w:id="37">
    <w:p w:rsidR="00D043AB" w:rsidRDefault="00D043AB" w:rsidP="00CD0F73">
      <w:pPr>
        <w:pStyle w:val="FootnoteText"/>
      </w:pPr>
      <w:r w:rsidRPr="00B257F1">
        <w:rPr>
          <w:rStyle w:val="FootnoteReference"/>
        </w:rPr>
        <w:footnoteRef/>
      </w:r>
      <w:r w:rsidRPr="00B257F1">
        <w:t xml:space="preserve"> </w:t>
      </w:r>
      <w:r w:rsidRPr="00B257F1">
        <w:rPr>
          <w:rFonts w:cs="Verdana"/>
        </w:rPr>
        <w:t>47 U.S.C. § 301.</w:t>
      </w:r>
    </w:p>
  </w:footnote>
  <w:footnote w:id="38">
    <w:p w:rsidR="00D043AB" w:rsidRDefault="00D043AB" w:rsidP="00CD0F73">
      <w:pPr>
        <w:pStyle w:val="FootnoteText"/>
      </w:pPr>
      <w:r w:rsidRPr="00B257F1">
        <w:rPr>
          <w:rStyle w:val="FootnoteReference"/>
        </w:rPr>
        <w:footnoteRef/>
      </w:r>
      <w:r w:rsidRPr="00B257F1">
        <w:t xml:space="preserve"> </w:t>
      </w:r>
      <w:r w:rsidRPr="00B257F1">
        <w:rPr>
          <w:rFonts w:cs="Verdana"/>
        </w:rPr>
        <w:t>47 C.F.R. § 1.903(a).</w:t>
      </w:r>
    </w:p>
  </w:footnote>
  <w:footnote w:id="39">
    <w:p w:rsidR="00D043AB" w:rsidRDefault="00D043AB" w:rsidP="00CD0F73">
      <w:pPr>
        <w:pStyle w:val="FootnoteText"/>
      </w:pPr>
      <w:r w:rsidRPr="00B257F1">
        <w:rPr>
          <w:rStyle w:val="FootnoteReference"/>
        </w:rPr>
        <w:footnoteRef/>
      </w:r>
      <w:r w:rsidRPr="00B257F1">
        <w:t xml:space="preserve"> </w:t>
      </w:r>
      <w:r w:rsidRPr="00B257F1">
        <w:rPr>
          <w:rFonts w:cs="Verdana"/>
          <w:i/>
        </w:rPr>
        <w:t xml:space="preserve">See supra </w:t>
      </w:r>
      <w:r w:rsidRPr="00B257F1">
        <w:rPr>
          <w:rFonts w:cs="Verdana"/>
        </w:rPr>
        <w:t>note</w:t>
      </w:r>
      <w:r>
        <w:rPr>
          <w:rFonts w:cs="Verdana"/>
        </w:rPr>
        <w:t>s</w:t>
      </w:r>
      <w:r w:rsidRPr="00B257F1">
        <w:rPr>
          <w:rFonts w:cs="Verdana"/>
        </w:rPr>
        <w:t xml:space="preserve"> 4</w:t>
      </w:r>
      <w:r>
        <w:rPr>
          <w:rFonts w:cs="Verdana"/>
        </w:rPr>
        <w:t xml:space="preserve"> and 16</w:t>
      </w:r>
      <w:r w:rsidRPr="00B257F1">
        <w:rPr>
          <w:rFonts w:cs="Verdana"/>
        </w:rPr>
        <w:t>.</w:t>
      </w:r>
    </w:p>
  </w:footnote>
  <w:footnote w:id="40">
    <w:p w:rsidR="00D043AB" w:rsidRDefault="00D043AB" w:rsidP="0077217F">
      <w:pPr>
        <w:pStyle w:val="FootnoteText"/>
      </w:pPr>
      <w:r w:rsidRPr="00B257F1">
        <w:rPr>
          <w:rStyle w:val="FootnoteReference"/>
        </w:rPr>
        <w:footnoteRef/>
      </w:r>
      <w:r w:rsidRPr="00B257F1">
        <w:t xml:space="preserve"> 47 C.F.R. § 1.80.</w:t>
      </w:r>
    </w:p>
  </w:footnote>
  <w:footnote w:id="41">
    <w:p w:rsidR="00D043AB" w:rsidRDefault="00D043AB" w:rsidP="0090603E">
      <w:pPr>
        <w:pStyle w:val="FootnoteText"/>
      </w:pPr>
      <w:r w:rsidRPr="00B257F1">
        <w:rPr>
          <w:rStyle w:val="FootnoteReference"/>
        </w:rPr>
        <w:footnoteRef/>
      </w:r>
      <w:r w:rsidRPr="00B257F1">
        <w:t xml:space="preserve"> </w:t>
      </w:r>
      <w:r w:rsidRPr="00B257F1">
        <w:rPr>
          <w:rFonts w:eastAsia="MS Mincho" w:cs="Arial"/>
        </w:rPr>
        <w:t>An FCC Form 159 and detailed instructions for completing the form may be obtained at http://www.fcc.gov/Forms/Form159/159.pdf.</w:t>
      </w:r>
    </w:p>
  </w:footnote>
  <w:footnote w:id="42">
    <w:p w:rsidR="00D043AB" w:rsidRDefault="00D043AB">
      <w:pPr>
        <w:pStyle w:val="FootnoteText"/>
      </w:pPr>
      <w:r w:rsidRPr="00B257F1">
        <w:rPr>
          <w:rStyle w:val="FootnoteReference"/>
        </w:rPr>
        <w:footnoteRef/>
      </w:r>
      <w:r w:rsidRPr="00B257F1">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11" w:rsidRDefault="0022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B" w:rsidRDefault="00D043AB" w:rsidP="00C077B2">
    <w:pPr>
      <w:pStyle w:val="Header"/>
    </w:pPr>
    <w:r>
      <w:tab/>
      <w:t>Federal Communications Commission</w:t>
    </w:r>
    <w:r>
      <w:tab/>
      <w:t xml:space="preserve">DA </w:t>
    </w:r>
    <w:r w:rsidRPr="002C4088">
      <w:t>1</w:t>
    </w:r>
    <w:r>
      <w:t>3-2171</w:t>
    </w:r>
  </w:p>
  <w:p w:rsidR="00D043AB" w:rsidRDefault="003259EF" w:rsidP="00C077B2">
    <w:pPr>
      <w:pStyle w:val="Heade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AB" w:rsidRPr="00487C93" w:rsidRDefault="00D043AB" w:rsidP="00C077B2">
    <w:pPr>
      <w:pStyle w:val="Header"/>
    </w:pPr>
    <w:r>
      <w:tab/>
    </w:r>
    <w:r w:rsidRPr="00096610">
      <w:t>Federal Communications Commission</w:t>
    </w:r>
    <w:r w:rsidRPr="00096610">
      <w:tab/>
      <w:t xml:space="preserve"> DA 13-</w:t>
    </w:r>
    <w:r>
      <w:t>2171</w:t>
    </w:r>
  </w:p>
  <w:p w:rsidR="00D043AB" w:rsidRDefault="003259EF" w:rsidP="00C077B2">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2801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0B7A074D"/>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EF468E8"/>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148905A2"/>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1C692A6E"/>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3">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4">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3297229"/>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0">
    <w:nsid w:val="599D15EF"/>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3">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34">
    <w:nsid w:val="628E1E95"/>
    <w:multiLevelType w:val="singleLevel"/>
    <w:tmpl w:val="853CF4C2"/>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CCD54F5"/>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7">
    <w:nsid w:val="6CD03B05"/>
    <w:multiLevelType w:val="hybridMultilevel"/>
    <w:tmpl w:val="D1705604"/>
    <w:lvl w:ilvl="0" w:tplc="A9F6C21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9">
    <w:nsid w:val="79CE1BCD"/>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35"/>
  </w:num>
  <w:num w:numId="2">
    <w:abstractNumId w:val="38"/>
  </w:num>
  <w:num w:numId="3">
    <w:abstractNumId w:val="9"/>
  </w:num>
  <w:num w:numId="4">
    <w:abstractNumId w:val="28"/>
  </w:num>
  <w:num w:numId="5">
    <w:abstractNumId w:val="13"/>
  </w:num>
  <w:num w:numId="6">
    <w:abstractNumId w:val="32"/>
  </w:num>
  <w:num w:numId="7">
    <w:abstractNumId w:val="23"/>
  </w:num>
  <w:num w:numId="8">
    <w:abstractNumId w:val="14"/>
  </w:num>
  <w:num w:numId="9">
    <w:abstractNumId w:val="31"/>
  </w:num>
  <w:num w:numId="10">
    <w:abstractNumId w:val="20"/>
  </w:num>
  <w:num w:numId="11">
    <w:abstractNumId w:val="19"/>
  </w:num>
  <w:num w:numId="12">
    <w:abstractNumId w:val="15"/>
  </w:num>
  <w:num w:numId="13">
    <w:abstractNumId w:val="21"/>
  </w:num>
  <w:num w:numId="14">
    <w:abstractNumId w:val="29"/>
  </w:num>
  <w:num w:numId="15">
    <w:abstractNumId w:val="6"/>
  </w:num>
  <w:num w:numId="16">
    <w:abstractNumId w:val="7"/>
  </w:num>
  <w:num w:numId="17">
    <w:abstractNumId w:val="16"/>
  </w:num>
  <w:num w:numId="18">
    <w:abstractNumId w:val="2"/>
  </w:num>
  <w:num w:numId="19">
    <w:abstractNumId w:val="17"/>
  </w:num>
  <w:num w:numId="20">
    <w:abstractNumId w:val="24"/>
  </w:num>
  <w:num w:numId="21">
    <w:abstractNumId w:val="27"/>
  </w:num>
  <w:num w:numId="22">
    <w:abstractNumId w:val="10"/>
  </w:num>
  <w:num w:numId="23">
    <w:abstractNumId w:val="25"/>
  </w:num>
  <w:num w:numId="24">
    <w:abstractNumId w:val="11"/>
  </w:num>
  <w:num w:numId="25">
    <w:abstractNumId w:val="1"/>
  </w:num>
  <w:num w:numId="26">
    <w:abstractNumId w:val="4"/>
  </w:num>
  <w:num w:numId="27">
    <w:abstractNumId w:val="30"/>
  </w:num>
  <w:num w:numId="28">
    <w:abstractNumId w:val="18"/>
  </w:num>
  <w:num w:numId="29">
    <w:abstractNumId w:val="8"/>
  </w:num>
  <w:num w:numId="30">
    <w:abstractNumId w:val="36"/>
  </w:num>
  <w:num w:numId="31">
    <w:abstractNumId w:val="3"/>
  </w:num>
  <w:num w:numId="32">
    <w:abstractNumId w:val="39"/>
  </w:num>
  <w:num w:numId="33">
    <w:abstractNumId w:val="5"/>
  </w:num>
  <w:num w:numId="34">
    <w:abstractNumId w:val="22"/>
  </w:num>
  <w:num w:numId="35">
    <w:abstractNumId w:val="37"/>
  </w:num>
  <w:num w:numId="36">
    <w:abstractNumId w:val="26"/>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0"/>
  </w:num>
  <w:num w:numId="70">
    <w:abstractNumId w:val="21"/>
  </w:num>
  <w:num w:numId="71">
    <w:abstractNumId w:val="21"/>
  </w:num>
  <w:num w:numId="72">
    <w:abstractNumId w:val="33"/>
  </w:num>
  <w:num w:numId="73">
    <w:abstractNumId w:val="12"/>
  </w:num>
  <w:num w:numId="74">
    <w:abstractNumId w:val="12"/>
  </w:num>
  <w:num w:numId="75">
    <w:abstractNumId w:val="12"/>
  </w:num>
  <w:num w:numId="76">
    <w:abstractNumId w:val="33"/>
  </w:num>
  <w:num w:numId="77">
    <w:abstractNumId w:val="34"/>
  </w:num>
  <w:num w:numId="7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F0"/>
    <w:rsid w:val="00001F73"/>
    <w:rsid w:val="000037B2"/>
    <w:rsid w:val="000045CF"/>
    <w:rsid w:val="00006370"/>
    <w:rsid w:val="0002015B"/>
    <w:rsid w:val="000226F3"/>
    <w:rsid w:val="0002289F"/>
    <w:rsid w:val="00037195"/>
    <w:rsid w:val="00037256"/>
    <w:rsid w:val="00037BA6"/>
    <w:rsid w:val="00044888"/>
    <w:rsid w:val="00046AE7"/>
    <w:rsid w:val="000512FF"/>
    <w:rsid w:val="000526F8"/>
    <w:rsid w:val="00053946"/>
    <w:rsid w:val="00053E39"/>
    <w:rsid w:val="00055E80"/>
    <w:rsid w:val="00055F60"/>
    <w:rsid w:val="000636E4"/>
    <w:rsid w:val="000660A5"/>
    <w:rsid w:val="0006676B"/>
    <w:rsid w:val="00066C26"/>
    <w:rsid w:val="0007075A"/>
    <w:rsid w:val="00073F6F"/>
    <w:rsid w:val="000743D7"/>
    <w:rsid w:val="0007589E"/>
    <w:rsid w:val="00076F46"/>
    <w:rsid w:val="00076FB1"/>
    <w:rsid w:val="00083196"/>
    <w:rsid w:val="00085C11"/>
    <w:rsid w:val="000871E0"/>
    <w:rsid w:val="00087720"/>
    <w:rsid w:val="00087DAA"/>
    <w:rsid w:val="000930AF"/>
    <w:rsid w:val="00094B49"/>
    <w:rsid w:val="00096610"/>
    <w:rsid w:val="000A0977"/>
    <w:rsid w:val="000A2CBD"/>
    <w:rsid w:val="000A6FF2"/>
    <w:rsid w:val="000A7576"/>
    <w:rsid w:val="000B074A"/>
    <w:rsid w:val="000B3181"/>
    <w:rsid w:val="000B4B8D"/>
    <w:rsid w:val="000B6D23"/>
    <w:rsid w:val="000C12C3"/>
    <w:rsid w:val="000C19E9"/>
    <w:rsid w:val="000C5514"/>
    <w:rsid w:val="000D1AF6"/>
    <w:rsid w:val="000D308F"/>
    <w:rsid w:val="000D48F5"/>
    <w:rsid w:val="000D6FB2"/>
    <w:rsid w:val="000E5B79"/>
    <w:rsid w:val="000F2550"/>
    <w:rsid w:val="000F64AE"/>
    <w:rsid w:val="000F7602"/>
    <w:rsid w:val="00100C37"/>
    <w:rsid w:val="00101431"/>
    <w:rsid w:val="00101EEC"/>
    <w:rsid w:val="00107884"/>
    <w:rsid w:val="001116F0"/>
    <w:rsid w:val="00111977"/>
    <w:rsid w:val="00115C7F"/>
    <w:rsid w:val="00120719"/>
    <w:rsid w:val="001219B2"/>
    <w:rsid w:val="001353F9"/>
    <w:rsid w:val="001406B8"/>
    <w:rsid w:val="00142034"/>
    <w:rsid w:val="00151C1E"/>
    <w:rsid w:val="00155290"/>
    <w:rsid w:val="00155D17"/>
    <w:rsid w:val="0017044C"/>
    <w:rsid w:val="00173860"/>
    <w:rsid w:val="00180028"/>
    <w:rsid w:val="001860B3"/>
    <w:rsid w:val="00190D16"/>
    <w:rsid w:val="00191762"/>
    <w:rsid w:val="001931A1"/>
    <w:rsid w:val="00194605"/>
    <w:rsid w:val="0019645D"/>
    <w:rsid w:val="001A1C76"/>
    <w:rsid w:val="001A1E5E"/>
    <w:rsid w:val="001A2922"/>
    <w:rsid w:val="001A49F6"/>
    <w:rsid w:val="001A5005"/>
    <w:rsid w:val="001A6786"/>
    <w:rsid w:val="001B0793"/>
    <w:rsid w:val="001B2AC6"/>
    <w:rsid w:val="001B5D64"/>
    <w:rsid w:val="001B6801"/>
    <w:rsid w:val="001D0BAD"/>
    <w:rsid w:val="001E1FB5"/>
    <w:rsid w:val="001E3C13"/>
    <w:rsid w:val="001F2F62"/>
    <w:rsid w:val="001F53AA"/>
    <w:rsid w:val="001F565D"/>
    <w:rsid w:val="001F640C"/>
    <w:rsid w:val="0020462C"/>
    <w:rsid w:val="00204FF2"/>
    <w:rsid w:val="002057F4"/>
    <w:rsid w:val="00205A1E"/>
    <w:rsid w:val="0021214E"/>
    <w:rsid w:val="0021516E"/>
    <w:rsid w:val="00215F65"/>
    <w:rsid w:val="00216F73"/>
    <w:rsid w:val="00220F11"/>
    <w:rsid w:val="00221FD6"/>
    <w:rsid w:val="002254E6"/>
    <w:rsid w:val="002279E8"/>
    <w:rsid w:val="002368A0"/>
    <w:rsid w:val="00240D1E"/>
    <w:rsid w:val="002449CB"/>
    <w:rsid w:val="00245769"/>
    <w:rsid w:val="00246842"/>
    <w:rsid w:val="00247442"/>
    <w:rsid w:val="00254C83"/>
    <w:rsid w:val="002615DC"/>
    <w:rsid w:val="00261727"/>
    <w:rsid w:val="00261EDD"/>
    <w:rsid w:val="002663C4"/>
    <w:rsid w:val="00272C37"/>
    <w:rsid w:val="00273DED"/>
    <w:rsid w:val="0027560B"/>
    <w:rsid w:val="0027560E"/>
    <w:rsid w:val="0028101F"/>
    <w:rsid w:val="00287FF8"/>
    <w:rsid w:val="002941F5"/>
    <w:rsid w:val="002A2C92"/>
    <w:rsid w:val="002A2F69"/>
    <w:rsid w:val="002A59A2"/>
    <w:rsid w:val="002A59D2"/>
    <w:rsid w:val="002B2547"/>
    <w:rsid w:val="002B74E2"/>
    <w:rsid w:val="002C4088"/>
    <w:rsid w:val="002D3C96"/>
    <w:rsid w:val="002D5C11"/>
    <w:rsid w:val="002E06EF"/>
    <w:rsid w:val="002E165A"/>
    <w:rsid w:val="002E1759"/>
    <w:rsid w:val="002E1E39"/>
    <w:rsid w:val="002E2CE3"/>
    <w:rsid w:val="002E3E30"/>
    <w:rsid w:val="002E5573"/>
    <w:rsid w:val="002E5F22"/>
    <w:rsid w:val="002F5780"/>
    <w:rsid w:val="002F7925"/>
    <w:rsid w:val="00302EC2"/>
    <w:rsid w:val="003031AE"/>
    <w:rsid w:val="00320C16"/>
    <w:rsid w:val="00323D8B"/>
    <w:rsid w:val="003259EF"/>
    <w:rsid w:val="003262DF"/>
    <w:rsid w:val="00327021"/>
    <w:rsid w:val="00331EEB"/>
    <w:rsid w:val="00335F1F"/>
    <w:rsid w:val="00336B7D"/>
    <w:rsid w:val="00340857"/>
    <w:rsid w:val="003408B0"/>
    <w:rsid w:val="00341756"/>
    <w:rsid w:val="0034662E"/>
    <w:rsid w:val="00346FC5"/>
    <w:rsid w:val="0034718F"/>
    <w:rsid w:val="0035540C"/>
    <w:rsid w:val="00355F35"/>
    <w:rsid w:val="00357D85"/>
    <w:rsid w:val="003606E9"/>
    <w:rsid w:val="00363D2A"/>
    <w:rsid w:val="003653C6"/>
    <w:rsid w:val="0036743A"/>
    <w:rsid w:val="003759C1"/>
    <w:rsid w:val="00387A80"/>
    <w:rsid w:val="00395DF5"/>
    <w:rsid w:val="003A1D24"/>
    <w:rsid w:val="003A648C"/>
    <w:rsid w:val="003A6E1E"/>
    <w:rsid w:val="003B4D87"/>
    <w:rsid w:val="003B5801"/>
    <w:rsid w:val="003B78CC"/>
    <w:rsid w:val="003C14F8"/>
    <w:rsid w:val="003C2459"/>
    <w:rsid w:val="003C30AF"/>
    <w:rsid w:val="003C519E"/>
    <w:rsid w:val="003C5B6E"/>
    <w:rsid w:val="003C7734"/>
    <w:rsid w:val="003C79D1"/>
    <w:rsid w:val="003D3E1F"/>
    <w:rsid w:val="003D6433"/>
    <w:rsid w:val="003D7377"/>
    <w:rsid w:val="003E099B"/>
    <w:rsid w:val="003E2408"/>
    <w:rsid w:val="003E6823"/>
    <w:rsid w:val="003E70C4"/>
    <w:rsid w:val="003E7968"/>
    <w:rsid w:val="003E79C4"/>
    <w:rsid w:val="003E7E8D"/>
    <w:rsid w:val="003F1312"/>
    <w:rsid w:val="003F3644"/>
    <w:rsid w:val="003F38E2"/>
    <w:rsid w:val="003F4000"/>
    <w:rsid w:val="003F46F5"/>
    <w:rsid w:val="003F627F"/>
    <w:rsid w:val="004024A0"/>
    <w:rsid w:val="00403E45"/>
    <w:rsid w:val="0040490E"/>
    <w:rsid w:val="00404C36"/>
    <w:rsid w:val="00407995"/>
    <w:rsid w:val="00410EEA"/>
    <w:rsid w:val="004112BE"/>
    <w:rsid w:val="004123F1"/>
    <w:rsid w:val="004165C7"/>
    <w:rsid w:val="00430178"/>
    <w:rsid w:val="00432913"/>
    <w:rsid w:val="00433886"/>
    <w:rsid w:val="0043702D"/>
    <w:rsid w:val="004400E0"/>
    <w:rsid w:val="00445F6C"/>
    <w:rsid w:val="00446AF4"/>
    <w:rsid w:val="0044744C"/>
    <w:rsid w:val="004518BC"/>
    <w:rsid w:val="00454868"/>
    <w:rsid w:val="004624CE"/>
    <w:rsid w:val="004631EF"/>
    <w:rsid w:val="00470EF4"/>
    <w:rsid w:val="00473DA8"/>
    <w:rsid w:val="00475F83"/>
    <w:rsid w:val="00486B35"/>
    <w:rsid w:val="00487C93"/>
    <w:rsid w:val="00493754"/>
    <w:rsid w:val="00494207"/>
    <w:rsid w:val="004945C4"/>
    <w:rsid w:val="00495DB5"/>
    <w:rsid w:val="004A20D4"/>
    <w:rsid w:val="004B1C3F"/>
    <w:rsid w:val="004B37AA"/>
    <w:rsid w:val="004C0697"/>
    <w:rsid w:val="004C4BD3"/>
    <w:rsid w:val="004D0CD4"/>
    <w:rsid w:val="004D2D3E"/>
    <w:rsid w:val="004D32DE"/>
    <w:rsid w:val="004D41B8"/>
    <w:rsid w:val="004D7BF6"/>
    <w:rsid w:val="004E671C"/>
    <w:rsid w:val="004F0386"/>
    <w:rsid w:val="004F4B48"/>
    <w:rsid w:val="004F5A45"/>
    <w:rsid w:val="005017D9"/>
    <w:rsid w:val="00503A2A"/>
    <w:rsid w:val="0050788B"/>
    <w:rsid w:val="00507F55"/>
    <w:rsid w:val="0051011D"/>
    <w:rsid w:val="00512894"/>
    <w:rsid w:val="005148E9"/>
    <w:rsid w:val="005204D8"/>
    <w:rsid w:val="005218D6"/>
    <w:rsid w:val="00524AF6"/>
    <w:rsid w:val="00530EA3"/>
    <w:rsid w:val="005317A7"/>
    <w:rsid w:val="00533FE1"/>
    <w:rsid w:val="005353DF"/>
    <w:rsid w:val="005402A8"/>
    <w:rsid w:val="005402CE"/>
    <w:rsid w:val="005415EC"/>
    <w:rsid w:val="0054587A"/>
    <w:rsid w:val="00546E83"/>
    <w:rsid w:val="00550542"/>
    <w:rsid w:val="00554140"/>
    <w:rsid w:val="00554E06"/>
    <w:rsid w:val="00554EE6"/>
    <w:rsid w:val="00557273"/>
    <w:rsid w:val="00561D70"/>
    <w:rsid w:val="00572F2C"/>
    <w:rsid w:val="005804AC"/>
    <w:rsid w:val="00584D1C"/>
    <w:rsid w:val="00585A12"/>
    <w:rsid w:val="00590C64"/>
    <w:rsid w:val="005917E4"/>
    <w:rsid w:val="00592125"/>
    <w:rsid w:val="00594898"/>
    <w:rsid w:val="00596A5E"/>
    <w:rsid w:val="005A39B4"/>
    <w:rsid w:val="005B74ED"/>
    <w:rsid w:val="005C2EBC"/>
    <w:rsid w:val="005C7C51"/>
    <w:rsid w:val="005D15F8"/>
    <w:rsid w:val="005D19EE"/>
    <w:rsid w:val="005D1DF4"/>
    <w:rsid w:val="005D5C94"/>
    <w:rsid w:val="005E0895"/>
    <w:rsid w:val="005E5051"/>
    <w:rsid w:val="005E6694"/>
    <w:rsid w:val="005F16D4"/>
    <w:rsid w:val="005F3855"/>
    <w:rsid w:val="005F65D4"/>
    <w:rsid w:val="005F67D3"/>
    <w:rsid w:val="005F6AA6"/>
    <w:rsid w:val="005F7D37"/>
    <w:rsid w:val="00600609"/>
    <w:rsid w:val="00602457"/>
    <w:rsid w:val="00605834"/>
    <w:rsid w:val="00610673"/>
    <w:rsid w:val="00615FF7"/>
    <w:rsid w:val="006173C5"/>
    <w:rsid w:val="00636A63"/>
    <w:rsid w:val="00637242"/>
    <w:rsid w:val="00641532"/>
    <w:rsid w:val="00641DE6"/>
    <w:rsid w:val="00642BFD"/>
    <w:rsid w:val="00642DAB"/>
    <w:rsid w:val="006459EA"/>
    <w:rsid w:val="00645D45"/>
    <w:rsid w:val="00646654"/>
    <w:rsid w:val="00646B7F"/>
    <w:rsid w:val="00654F6F"/>
    <w:rsid w:val="006560F4"/>
    <w:rsid w:val="0065736B"/>
    <w:rsid w:val="006666AA"/>
    <w:rsid w:val="00672AD1"/>
    <w:rsid w:val="00672D8A"/>
    <w:rsid w:val="006740E7"/>
    <w:rsid w:val="00674EED"/>
    <w:rsid w:val="00675371"/>
    <w:rsid w:val="00675AA4"/>
    <w:rsid w:val="006830B9"/>
    <w:rsid w:val="006852C3"/>
    <w:rsid w:val="00685626"/>
    <w:rsid w:val="00687CD4"/>
    <w:rsid w:val="0069345A"/>
    <w:rsid w:val="0069429E"/>
    <w:rsid w:val="006947E6"/>
    <w:rsid w:val="006955D4"/>
    <w:rsid w:val="00696024"/>
    <w:rsid w:val="006A2B0B"/>
    <w:rsid w:val="006B3711"/>
    <w:rsid w:val="006B535F"/>
    <w:rsid w:val="006B7026"/>
    <w:rsid w:val="006C08B3"/>
    <w:rsid w:val="006C2FF6"/>
    <w:rsid w:val="006C3119"/>
    <w:rsid w:val="006D179C"/>
    <w:rsid w:val="006D7324"/>
    <w:rsid w:val="006D7509"/>
    <w:rsid w:val="006E134E"/>
    <w:rsid w:val="006E1621"/>
    <w:rsid w:val="006E28F8"/>
    <w:rsid w:val="006E47F7"/>
    <w:rsid w:val="006E6A5A"/>
    <w:rsid w:val="006F7D9B"/>
    <w:rsid w:val="00715EA1"/>
    <w:rsid w:val="007163CA"/>
    <w:rsid w:val="007169B3"/>
    <w:rsid w:val="00721BA2"/>
    <w:rsid w:val="00727C10"/>
    <w:rsid w:val="00727E17"/>
    <w:rsid w:val="007311D2"/>
    <w:rsid w:val="00737FE5"/>
    <w:rsid w:val="0074073C"/>
    <w:rsid w:val="00741F9F"/>
    <w:rsid w:val="00747C9A"/>
    <w:rsid w:val="0075250C"/>
    <w:rsid w:val="0075510A"/>
    <w:rsid w:val="00756EB2"/>
    <w:rsid w:val="0075728D"/>
    <w:rsid w:val="0076165E"/>
    <w:rsid w:val="0077217F"/>
    <w:rsid w:val="00774A58"/>
    <w:rsid w:val="007765A2"/>
    <w:rsid w:val="007765D9"/>
    <w:rsid w:val="00776706"/>
    <w:rsid w:val="00780968"/>
    <w:rsid w:val="00782639"/>
    <w:rsid w:val="007875E1"/>
    <w:rsid w:val="00787E20"/>
    <w:rsid w:val="00792DE9"/>
    <w:rsid w:val="00797D93"/>
    <w:rsid w:val="007A1E4B"/>
    <w:rsid w:val="007A2C12"/>
    <w:rsid w:val="007A6C97"/>
    <w:rsid w:val="007A7399"/>
    <w:rsid w:val="007B0427"/>
    <w:rsid w:val="007B1FCA"/>
    <w:rsid w:val="007B507D"/>
    <w:rsid w:val="007B50B9"/>
    <w:rsid w:val="007C143C"/>
    <w:rsid w:val="007C51DD"/>
    <w:rsid w:val="007C6E23"/>
    <w:rsid w:val="007D228B"/>
    <w:rsid w:val="007D22B6"/>
    <w:rsid w:val="007D51DA"/>
    <w:rsid w:val="007D722D"/>
    <w:rsid w:val="007E14EB"/>
    <w:rsid w:val="007E296F"/>
    <w:rsid w:val="007E5470"/>
    <w:rsid w:val="007E60ED"/>
    <w:rsid w:val="007E67D5"/>
    <w:rsid w:val="007F135B"/>
    <w:rsid w:val="007F1EF8"/>
    <w:rsid w:val="007F6B05"/>
    <w:rsid w:val="00800A06"/>
    <w:rsid w:val="00800A9C"/>
    <w:rsid w:val="00800BCE"/>
    <w:rsid w:val="00800CE9"/>
    <w:rsid w:val="008010FC"/>
    <w:rsid w:val="0080315B"/>
    <w:rsid w:val="00811CB2"/>
    <w:rsid w:val="00817780"/>
    <w:rsid w:val="008236EE"/>
    <w:rsid w:val="0082644A"/>
    <w:rsid w:val="008266F4"/>
    <w:rsid w:val="0083178D"/>
    <w:rsid w:val="0083260E"/>
    <w:rsid w:val="00836CB8"/>
    <w:rsid w:val="00840513"/>
    <w:rsid w:val="008431EC"/>
    <w:rsid w:val="00845267"/>
    <w:rsid w:val="008471C5"/>
    <w:rsid w:val="008504AD"/>
    <w:rsid w:val="00853CF4"/>
    <w:rsid w:val="00854632"/>
    <w:rsid w:val="00854984"/>
    <w:rsid w:val="00855D25"/>
    <w:rsid w:val="008601C9"/>
    <w:rsid w:val="0086046B"/>
    <w:rsid w:val="0086178C"/>
    <w:rsid w:val="008656F1"/>
    <w:rsid w:val="00871274"/>
    <w:rsid w:val="00873F6F"/>
    <w:rsid w:val="00875114"/>
    <w:rsid w:val="0087685F"/>
    <w:rsid w:val="008804EC"/>
    <w:rsid w:val="00881349"/>
    <w:rsid w:val="00886B39"/>
    <w:rsid w:val="0089028B"/>
    <w:rsid w:val="00893E9C"/>
    <w:rsid w:val="00896FB6"/>
    <w:rsid w:val="00897478"/>
    <w:rsid w:val="00897F14"/>
    <w:rsid w:val="008A1D34"/>
    <w:rsid w:val="008A221A"/>
    <w:rsid w:val="008A46BC"/>
    <w:rsid w:val="008A7474"/>
    <w:rsid w:val="008B16C2"/>
    <w:rsid w:val="008B57FD"/>
    <w:rsid w:val="008B5EA7"/>
    <w:rsid w:val="008C0DE6"/>
    <w:rsid w:val="008D246B"/>
    <w:rsid w:val="008D71CB"/>
    <w:rsid w:val="008E25A3"/>
    <w:rsid w:val="008F280B"/>
    <w:rsid w:val="008F41D7"/>
    <w:rsid w:val="0090420F"/>
    <w:rsid w:val="00905731"/>
    <w:rsid w:val="0090603E"/>
    <w:rsid w:val="00910D4F"/>
    <w:rsid w:val="00911C06"/>
    <w:rsid w:val="00920DF3"/>
    <w:rsid w:val="009250A1"/>
    <w:rsid w:val="00930B6D"/>
    <w:rsid w:val="00931DF0"/>
    <w:rsid w:val="00934353"/>
    <w:rsid w:val="00936D4B"/>
    <w:rsid w:val="00937268"/>
    <w:rsid w:val="00943AB4"/>
    <w:rsid w:val="00950092"/>
    <w:rsid w:val="009507AC"/>
    <w:rsid w:val="00952008"/>
    <w:rsid w:val="00954063"/>
    <w:rsid w:val="00954815"/>
    <w:rsid w:val="00957391"/>
    <w:rsid w:val="009607A8"/>
    <w:rsid w:val="00966EF3"/>
    <w:rsid w:val="00970174"/>
    <w:rsid w:val="009708EE"/>
    <w:rsid w:val="00975932"/>
    <w:rsid w:val="00975E23"/>
    <w:rsid w:val="009827C7"/>
    <w:rsid w:val="0099263E"/>
    <w:rsid w:val="0099562C"/>
    <w:rsid w:val="0099587A"/>
    <w:rsid w:val="009971AE"/>
    <w:rsid w:val="00997CFC"/>
    <w:rsid w:val="009A0E41"/>
    <w:rsid w:val="009A3835"/>
    <w:rsid w:val="009B281A"/>
    <w:rsid w:val="009C166B"/>
    <w:rsid w:val="009D1C19"/>
    <w:rsid w:val="009D1D7A"/>
    <w:rsid w:val="009D214A"/>
    <w:rsid w:val="009D4E86"/>
    <w:rsid w:val="009E0F8B"/>
    <w:rsid w:val="009E3646"/>
    <w:rsid w:val="009E429E"/>
    <w:rsid w:val="009F02A6"/>
    <w:rsid w:val="009F0C7F"/>
    <w:rsid w:val="009F1CDE"/>
    <w:rsid w:val="009F4831"/>
    <w:rsid w:val="009F77AE"/>
    <w:rsid w:val="00A04209"/>
    <w:rsid w:val="00A06D48"/>
    <w:rsid w:val="00A0776C"/>
    <w:rsid w:val="00A13CB0"/>
    <w:rsid w:val="00A1544D"/>
    <w:rsid w:val="00A2560D"/>
    <w:rsid w:val="00A25C06"/>
    <w:rsid w:val="00A260C9"/>
    <w:rsid w:val="00A26F11"/>
    <w:rsid w:val="00A36961"/>
    <w:rsid w:val="00A37249"/>
    <w:rsid w:val="00A43D3F"/>
    <w:rsid w:val="00A44B6D"/>
    <w:rsid w:val="00A44FEC"/>
    <w:rsid w:val="00A4521F"/>
    <w:rsid w:val="00A51DE5"/>
    <w:rsid w:val="00A65E4A"/>
    <w:rsid w:val="00A702D1"/>
    <w:rsid w:val="00A727F2"/>
    <w:rsid w:val="00A72D85"/>
    <w:rsid w:val="00A77178"/>
    <w:rsid w:val="00A816BA"/>
    <w:rsid w:val="00A82684"/>
    <w:rsid w:val="00A840D7"/>
    <w:rsid w:val="00A841C3"/>
    <w:rsid w:val="00A86239"/>
    <w:rsid w:val="00A91730"/>
    <w:rsid w:val="00A9314D"/>
    <w:rsid w:val="00AA173E"/>
    <w:rsid w:val="00AB1E09"/>
    <w:rsid w:val="00AB6011"/>
    <w:rsid w:val="00AB7DF6"/>
    <w:rsid w:val="00AC0BDC"/>
    <w:rsid w:val="00AC6183"/>
    <w:rsid w:val="00AC6910"/>
    <w:rsid w:val="00AD11FE"/>
    <w:rsid w:val="00AD424E"/>
    <w:rsid w:val="00AD466D"/>
    <w:rsid w:val="00AE5B15"/>
    <w:rsid w:val="00AF4F99"/>
    <w:rsid w:val="00AF7C3B"/>
    <w:rsid w:val="00B04D22"/>
    <w:rsid w:val="00B068DE"/>
    <w:rsid w:val="00B06969"/>
    <w:rsid w:val="00B11117"/>
    <w:rsid w:val="00B1506C"/>
    <w:rsid w:val="00B23D89"/>
    <w:rsid w:val="00B2562D"/>
    <w:rsid w:val="00B257F1"/>
    <w:rsid w:val="00B33516"/>
    <w:rsid w:val="00B46845"/>
    <w:rsid w:val="00B46B4B"/>
    <w:rsid w:val="00B52837"/>
    <w:rsid w:val="00B53B2D"/>
    <w:rsid w:val="00B53CF0"/>
    <w:rsid w:val="00B5465D"/>
    <w:rsid w:val="00B561A9"/>
    <w:rsid w:val="00B654FF"/>
    <w:rsid w:val="00B65CD1"/>
    <w:rsid w:val="00B72B6B"/>
    <w:rsid w:val="00B730F9"/>
    <w:rsid w:val="00B741D7"/>
    <w:rsid w:val="00B76DC0"/>
    <w:rsid w:val="00B8298E"/>
    <w:rsid w:val="00B84979"/>
    <w:rsid w:val="00B872FD"/>
    <w:rsid w:val="00BA4BDB"/>
    <w:rsid w:val="00BB52CD"/>
    <w:rsid w:val="00BB71E4"/>
    <w:rsid w:val="00BB7AFA"/>
    <w:rsid w:val="00BC136E"/>
    <w:rsid w:val="00BC2667"/>
    <w:rsid w:val="00BC6AF4"/>
    <w:rsid w:val="00BD146C"/>
    <w:rsid w:val="00BD4819"/>
    <w:rsid w:val="00BD5C23"/>
    <w:rsid w:val="00BD5F49"/>
    <w:rsid w:val="00BD6B82"/>
    <w:rsid w:val="00BE225C"/>
    <w:rsid w:val="00BE48A2"/>
    <w:rsid w:val="00BE5412"/>
    <w:rsid w:val="00BF1275"/>
    <w:rsid w:val="00BF275A"/>
    <w:rsid w:val="00BF74E0"/>
    <w:rsid w:val="00C00F64"/>
    <w:rsid w:val="00C0172F"/>
    <w:rsid w:val="00C027C8"/>
    <w:rsid w:val="00C03263"/>
    <w:rsid w:val="00C077B2"/>
    <w:rsid w:val="00C13ED3"/>
    <w:rsid w:val="00C16671"/>
    <w:rsid w:val="00C218A4"/>
    <w:rsid w:val="00C26429"/>
    <w:rsid w:val="00C3663F"/>
    <w:rsid w:val="00C42ECF"/>
    <w:rsid w:val="00C46E4E"/>
    <w:rsid w:val="00C5064D"/>
    <w:rsid w:val="00C50700"/>
    <w:rsid w:val="00C52F2A"/>
    <w:rsid w:val="00C55514"/>
    <w:rsid w:val="00C604E5"/>
    <w:rsid w:val="00C63D62"/>
    <w:rsid w:val="00C63E2A"/>
    <w:rsid w:val="00C641A2"/>
    <w:rsid w:val="00C72ACD"/>
    <w:rsid w:val="00C801E6"/>
    <w:rsid w:val="00C82CB1"/>
    <w:rsid w:val="00C8458D"/>
    <w:rsid w:val="00C86FC9"/>
    <w:rsid w:val="00C92FDC"/>
    <w:rsid w:val="00C943AA"/>
    <w:rsid w:val="00C96D5C"/>
    <w:rsid w:val="00CA262B"/>
    <w:rsid w:val="00CA26ED"/>
    <w:rsid w:val="00CA4697"/>
    <w:rsid w:val="00CA5674"/>
    <w:rsid w:val="00CB06CA"/>
    <w:rsid w:val="00CB6503"/>
    <w:rsid w:val="00CC0AC9"/>
    <w:rsid w:val="00CC0D6E"/>
    <w:rsid w:val="00CC1B6D"/>
    <w:rsid w:val="00CC6361"/>
    <w:rsid w:val="00CC73CA"/>
    <w:rsid w:val="00CD0356"/>
    <w:rsid w:val="00CD0482"/>
    <w:rsid w:val="00CD0F73"/>
    <w:rsid w:val="00CD3408"/>
    <w:rsid w:val="00CD3A69"/>
    <w:rsid w:val="00CE0106"/>
    <w:rsid w:val="00CE153F"/>
    <w:rsid w:val="00CE1A75"/>
    <w:rsid w:val="00CE317E"/>
    <w:rsid w:val="00CE4B36"/>
    <w:rsid w:val="00CE542A"/>
    <w:rsid w:val="00CE585D"/>
    <w:rsid w:val="00CF0223"/>
    <w:rsid w:val="00CF2150"/>
    <w:rsid w:val="00CF48B3"/>
    <w:rsid w:val="00D01903"/>
    <w:rsid w:val="00D043AB"/>
    <w:rsid w:val="00D062BE"/>
    <w:rsid w:val="00D11AE7"/>
    <w:rsid w:val="00D16ACD"/>
    <w:rsid w:val="00D173F7"/>
    <w:rsid w:val="00D17537"/>
    <w:rsid w:val="00D207E9"/>
    <w:rsid w:val="00D25629"/>
    <w:rsid w:val="00D26F96"/>
    <w:rsid w:val="00D37476"/>
    <w:rsid w:val="00D41EB0"/>
    <w:rsid w:val="00D45628"/>
    <w:rsid w:val="00D46C6F"/>
    <w:rsid w:val="00D52CEC"/>
    <w:rsid w:val="00D56E15"/>
    <w:rsid w:val="00D57125"/>
    <w:rsid w:val="00D60C6D"/>
    <w:rsid w:val="00D6121D"/>
    <w:rsid w:val="00D621C6"/>
    <w:rsid w:val="00D7761E"/>
    <w:rsid w:val="00D85FCA"/>
    <w:rsid w:val="00D95746"/>
    <w:rsid w:val="00DA008C"/>
    <w:rsid w:val="00DA3F82"/>
    <w:rsid w:val="00DA4BA8"/>
    <w:rsid w:val="00DA6C64"/>
    <w:rsid w:val="00DB6ABD"/>
    <w:rsid w:val="00DB7550"/>
    <w:rsid w:val="00DC14B5"/>
    <w:rsid w:val="00DD1401"/>
    <w:rsid w:val="00DD43CE"/>
    <w:rsid w:val="00DD5A3E"/>
    <w:rsid w:val="00DD6D4D"/>
    <w:rsid w:val="00DE0F02"/>
    <w:rsid w:val="00DE23CF"/>
    <w:rsid w:val="00DE62B6"/>
    <w:rsid w:val="00DE700B"/>
    <w:rsid w:val="00DF098B"/>
    <w:rsid w:val="00DF4442"/>
    <w:rsid w:val="00DF52CE"/>
    <w:rsid w:val="00E02964"/>
    <w:rsid w:val="00E0563E"/>
    <w:rsid w:val="00E07D8E"/>
    <w:rsid w:val="00E15B02"/>
    <w:rsid w:val="00E1712F"/>
    <w:rsid w:val="00E205DB"/>
    <w:rsid w:val="00E225DF"/>
    <w:rsid w:val="00E277EB"/>
    <w:rsid w:val="00E356DE"/>
    <w:rsid w:val="00E357CD"/>
    <w:rsid w:val="00E3667C"/>
    <w:rsid w:val="00E370E4"/>
    <w:rsid w:val="00E45641"/>
    <w:rsid w:val="00E47052"/>
    <w:rsid w:val="00E474EA"/>
    <w:rsid w:val="00E53457"/>
    <w:rsid w:val="00E60382"/>
    <w:rsid w:val="00E60B41"/>
    <w:rsid w:val="00E715A7"/>
    <w:rsid w:val="00E722D7"/>
    <w:rsid w:val="00E83B17"/>
    <w:rsid w:val="00E84700"/>
    <w:rsid w:val="00E85631"/>
    <w:rsid w:val="00E871DF"/>
    <w:rsid w:val="00E92F92"/>
    <w:rsid w:val="00E94644"/>
    <w:rsid w:val="00E965B7"/>
    <w:rsid w:val="00EA09B8"/>
    <w:rsid w:val="00EA1A28"/>
    <w:rsid w:val="00EA359E"/>
    <w:rsid w:val="00EA37B0"/>
    <w:rsid w:val="00EA7594"/>
    <w:rsid w:val="00EA7C0E"/>
    <w:rsid w:val="00EB04C4"/>
    <w:rsid w:val="00EB0E2B"/>
    <w:rsid w:val="00EB197B"/>
    <w:rsid w:val="00EB63E4"/>
    <w:rsid w:val="00EB6FA6"/>
    <w:rsid w:val="00EC1F39"/>
    <w:rsid w:val="00EC7283"/>
    <w:rsid w:val="00ED162F"/>
    <w:rsid w:val="00ED3A7C"/>
    <w:rsid w:val="00ED54D6"/>
    <w:rsid w:val="00ED6F39"/>
    <w:rsid w:val="00EE516C"/>
    <w:rsid w:val="00EF1691"/>
    <w:rsid w:val="00EF3930"/>
    <w:rsid w:val="00EF3DDB"/>
    <w:rsid w:val="00EF48F1"/>
    <w:rsid w:val="00EF54D2"/>
    <w:rsid w:val="00F01C05"/>
    <w:rsid w:val="00F11763"/>
    <w:rsid w:val="00F11F67"/>
    <w:rsid w:val="00F13BE6"/>
    <w:rsid w:val="00F22870"/>
    <w:rsid w:val="00F24CC9"/>
    <w:rsid w:val="00F33EF8"/>
    <w:rsid w:val="00F34D39"/>
    <w:rsid w:val="00F41B95"/>
    <w:rsid w:val="00F50E77"/>
    <w:rsid w:val="00F521E2"/>
    <w:rsid w:val="00F54A00"/>
    <w:rsid w:val="00F55E96"/>
    <w:rsid w:val="00F607A0"/>
    <w:rsid w:val="00F608B2"/>
    <w:rsid w:val="00F653E8"/>
    <w:rsid w:val="00F70D84"/>
    <w:rsid w:val="00F726CB"/>
    <w:rsid w:val="00F747A8"/>
    <w:rsid w:val="00F75A67"/>
    <w:rsid w:val="00F81BA9"/>
    <w:rsid w:val="00F82D24"/>
    <w:rsid w:val="00F84E21"/>
    <w:rsid w:val="00F94865"/>
    <w:rsid w:val="00F9568C"/>
    <w:rsid w:val="00FA1B88"/>
    <w:rsid w:val="00FA6F98"/>
    <w:rsid w:val="00FB426C"/>
    <w:rsid w:val="00FB5E78"/>
    <w:rsid w:val="00FB6303"/>
    <w:rsid w:val="00FC29D5"/>
    <w:rsid w:val="00FC5216"/>
    <w:rsid w:val="00FC7CB8"/>
    <w:rsid w:val="00FC7E8A"/>
    <w:rsid w:val="00FD2408"/>
    <w:rsid w:val="00FD2958"/>
    <w:rsid w:val="00FD4217"/>
    <w:rsid w:val="00FD45A6"/>
    <w:rsid w:val="00FD4C0B"/>
    <w:rsid w:val="00FD6261"/>
    <w:rsid w:val="00FD7D0F"/>
    <w:rsid w:val="00FE088D"/>
    <w:rsid w:val="00FE1637"/>
    <w:rsid w:val="00FE6C27"/>
    <w:rsid w:val="00FF17B3"/>
    <w:rsid w:val="00FF21FE"/>
    <w:rsid w:val="00FF2505"/>
    <w:rsid w:val="00FF37A9"/>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73C5"/>
    <w:pPr>
      <w:widowControl w:val="0"/>
    </w:pPr>
    <w:rPr>
      <w:kern w:val="28"/>
      <w:szCs w:val="20"/>
    </w:rPr>
  </w:style>
  <w:style w:type="paragraph" w:styleId="Heading1">
    <w:name w:val="heading 1"/>
    <w:basedOn w:val="Normal"/>
    <w:next w:val="ParaNum"/>
    <w:link w:val="Heading1Char"/>
    <w:uiPriority w:val="99"/>
    <w:qFormat/>
    <w:rsid w:val="006173C5"/>
    <w:pPr>
      <w:keepNext/>
      <w:numPr>
        <w:numId w:val="7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6173C5"/>
    <w:pPr>
      <w:keepNext/>
      <w:numPr>
        <w:ilvl w:val="1"/>
        <w:numId w:val="73"/>
      </w:numPr>
      <w:spacing w:after="120"/>
      <w:outlineLvl w:val="1"/>
    </w:pPr>
    <w:rPr>
      <w:b/>
    </w:rPr>
  </w:style>
  <w:style w:type="paragraph" w:styleId="Heading3">
    <w:name w:val="heading 3"/>
    <w:basedOn w:val="Normal"/>
    <w:next w:val="ParaNum"/>
    <w:link w:val="Heading3Char"/>
    <w:uiPriority w:val="99"/>
    <w:qFormat/>
    <w:rsid w:val="006173C5"/>
    <w:pPr>
      <w:keepNext/>
      <w:numPr>
        <w:ilvl w:val="2"/>
        <w:numId w:val="73"/>
      </w:numPr>
      <w:tabs>
        <w:tab w:val="left" w:pos="2160"/>
      </w:tabs>
      <w:spacing w:after="120"/>
      <w:outlineLvl w:val="2"/>
    </w:pPr>
    <w:rPr>
      <w:b/>
    </w:rPr>
  </w:style>
  <w:style w:type="paragraph" w:styleId="Heading4">
    <w:name w:val="heading 4"/>
    <w:basedOn w:val="Normal"/>
    <w:next w:val="ParaNum"/>
    <w:link w:val="Heading4Char"/>
    <w:uiPriority w:val="99"/>
    <w:qFormat/>
    <w:rsid w:val="006173C5"/>
    <w:pPr>
      <w:keepNext/>
      <w:numPr>
        <w:ilvl w:val="3"/>
        <w:numId w:val="73"/>
      </w:numPr>
      <w:tabs>
        <w:tab w:val="left" w:pos="2880"/>
      </w:tabs>
      <w:spacing w:after="120"/>
      <w:outlineLvl w:val="3"/>
    </w:pPr>
    <w:rPr>
      <w:b/>
    </w:rPr>
  </w:style>
  <w:style w:type="paragraph" w:styleId="Heading5">
    <w:name w:val="heading 5"/>
    <w:basedOn w:val="Normal"/>
    <w:next w:val="ParaNum"/>
    <w:link w:val="Heading5Char"/>
    <w:uiPriority w:val="99"/>
    <w:qFormat/>
    <w:rsid w:val="006173C5"/>
    <w:pPr>
      <w:keepNext/>
      <w:numPr>
        <w:ilvl w:val="4"/>
        <w:numId w:val="7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6173C5"/>
    <w:pPr>
      <w:numPr>
        <w:ilvl w:val="5"/>
        <w:numId w:val="73"/>
      </w:numPr>
      <w:tabs>
        <w:tab w:val="left" w:pos="4320"/>
      </w:tabs>
      <w:spacing w:after="120"/>
      <w:outlineLvl w:val="5"/>
    </w:pPr>
    <w:rPr>
      <w:b/>
    </w:rPr>
  </w:style>
  <w:style w:type="paragraph" w:styleId="Heading7">
    <w:name w:val="heading 7"/>
    <w:basedOn w:val="Normal"/>
    <w:next w:val="ParaNum"/>
    <w:link w:val="Heading7Char"/>
    <w:uiPriority w:val="99"/>
    <w:qFormat/>
    <w:rsid w:val="006173C5"/>
    <w:pPr>
      <w:numPr>
        <w:ilvl w:val="6"/>
        <w:numId w:val="7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6173C5"/>
    <w:pPr>
      <w:numPr>
        <w:ilvl w:val="7"/>
        <w:numId w:val="7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6173C5"/>
    <w:pPr>
      <w:numPr>
        <w:ilvl w:val="8"/>
        <w:numId w:val="7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F64"/>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locked/>
    <w:rsid w:val="00C00F64"/>
    <w:rPr>
      <w:rFonts w:cs="Times New Roman"/>
      <w:b/>
      <w:snapToGrid w:val="0"/>
      <w:kern w:val="28"/>
      <w:sz w:val="22"/>
    </w:rPr>
  </w:style>
  <w:style w:type="character" w:customStyle="1" w:styleId="Heading3Char">
    <w:name w:val="Heading 3 Char"/>
    <w:basedOn w:val="DefaultParagraphFont"/>
    <w:link w:val="Heading3"/>
    <w:uiPriority w:val="99"/>
    <w:locked/>
    <w:rsid w:val="00C00F64"/>
    <w:rPr>
      <w:rFonts w:cs="Times New Roman"/>
      <w:b/>
      <w:snapToGrid w:val="0"/>
      <w:kern w:val="28"/>
      <w:sz w:val="22"/>
    </w:rPr>
  </w:style>
  <w:style w:type="character" w:customStyle="1" w:styleId="Heading4Char">
    <w:name w:val="Heading 4 Char"/>
    <w:basedOn w:val="DefaultParagraphFont"/>
    <w:link w:val="Heading4"/>
    <w:uiPriority w:val="99"/>
    <w:locked/>
    <w:rsid w:val="00C00F64"/>
    <w:rPr>
      <w:rFonts w:cs="Times New Roman"/>
      <w:b/>
      <w:snapToGrid w:val="0"/>
      <w:kern w:val="28"/>
      <w:sz w:val="22"/>
    </w:rPr>
  </w:style>
  <w:style w:type="character" w:customStyle="1" w:styleId="Heading5Char">
    <w:name w:val="Heading 5 Char"/>
    <w:basedOn w:val="DefaultParagraphFont"/>
    <w:link w:val="Heading5"/>
    <w:uiPriority w:val="99"/>
    <w:locked/>
    <w:rsid w:val="00C00F64"/>
    <w:rPr>
      <w:rFonts w:cs="Times New Roman"/>
      <w:b/>
      <w:snapToGrid w:val="0"/>
      <w:kern w:val="28"/>
      <w:sz w:val="22"/>
    </w:rPr>
  </w:style>
  <w:style w:type="character" w:customStyle="1" w:styleId="Heading6Char">
    <w:name w:val="Heading 6 Char"/>
    <w:basedOn w:val="DefaultParagraphFont"/>
    <w:link w:val="Heading6"/>
    <w:uiPriority w:val="99"/>
    <w:locked/>
    <w:rsid w:val="00C00F64"/>
    <w:rPr>
      <w:rFonts w:cs="Times New Roman"/>
      <w:b/>
      <w:snapToGrid w:val="0"/>
      <w:kern w:val="28"/>
      <w:sz w:val="22"/>
    </w:rPr>
  </w:style>
  <w:style w:type="character" w:customStyle="1" w:styleId="Heading7Char">
    <w:name w:val="Heading 7 Char"/>
    <w:basedOn w:val="DefaultParagraphFont"/>
    <w:link w:val="Heading7"/>
    <w:uiPriority w:val="99"/>
    <w:locked/>
    <w:rsid w:val="00C00F64"/>
    <w:rPr>
      <w:rFonts w:cs="Times New Roman"/>
      <w:b/>
      <w:snapToGrid w:val="0"/>
      <w:kern w:val="28"/>
      <w:sz w:val="22"/>
    </w:rPr>
  </w:style>
  <w:style w:type="character" w:customStyle="1" w:styleId="Heading8Char">
    <w:name w:val="Heading 8 Char"/>
    <w:basedOn w:val="DefaultParagraphFont"/>
    <w:link w:val="Heading8"/>
    <w:uiPriority w:val="99"/>
    <w:locked/>
    <w:rsid w:val="00C00F64"/>
    <w:rPr>
      <w:rFonts w:cs="Times New Roman"/>
      <w:b/>
      <w:snapToGrid w:val="0"/>
      <w:kern w:val="28"/>
      <w:sz w:val="22"/>
    </w:rPr>
  </w:style>
  <w:style w:type="character" w:customStyle="1" w:styleId="Heading9Char">
    <w:name w:val="Heading 9 Char"/>
    <w:basedOn w:val="DefaultParagraphFont"/>
    <w:link w:val="Heading9"/>
    <w:uiPriority w:val="99"/>
    <w:locked/>
    <w:rsid w:val="00C00F64"/>
    <w:rPr>
      <w:rFonts w:cs="Times New Roman"/>
      <w:b/>
      <w:snapToGrid w:val="0"/>
      <w:kern w:val="28"/>
      <w:sz w:val="22"/>
    </w:rPr>
  </w:style>
  <w:style w:type="paragraph" w:styleId="BalloonText">
    <w:name w:val="Balloon Text"/>
    <w:basedOn w:val="Normal"/>
    <w:link w:val="BalloonTextChar"/>
    <w:uiPriority w:val="99"/>
    <w:semiHidden/>
    <w:rsid w:val="00273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5CF"/>
    <w:rPr>
      <w:rFonts w:cs="Times New Roman"/>
      <w:kern w:val="28"/>
      <w:sz w:val="2"/>
    </w:rPr>
  </w:style>
  <w:style w:type="paragraph" w:styleId="Caption">
    <w:name w:val="caption"/>
    <w:basedOn w:val="Normal"/>
    <w:next w:val="Normal"/>
    <w:uiPriority w:val="99"/>
    <w:qFormat/>
    <w:rsid w:val="00C00F64"/>
    <w:pPr>
      <w:spacing w:before="120" w:after="120"/>
    </w:pPr>
    <w:rPr>
      <w:b/>
    </w:rPr>
  </w:style>
  <w:style w:type="paragraph" w:customStyle="1" w:styleId="ParaNum">
    <w:name w:val="ParaNum"/>
    <w:basedOn w:val="Normal"/>
    <w:link w:val="ParaNumChar"/>
    <w:uiPriority w:val="99"/>
    <w:rsid w:val="006173C5"/>
    <w:pPr>
      <w:numPr>
        <w:numId w:val="72"/>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rsid w:val="006173C5"/>
    <w:pPr>
      <w:widowControl/>
      <w:spacing w:after="120"/>
    </w:pPr>
    <w:rPr>
      <w:kern w:val="0"/>
      <w:sz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basedOn w:val="DefaultParagraphFont"/>
    <w:uiPriority w:val="99"/>
    <w:semiHidden/>
    <w:locked/>
    <w:rsid w:val="000045CF"/>
    <w:rPr>
      <w:rFonts w:cs="Times New Roman"/>
      <w:kern w:val="28"/>
      <w:sz w:val="20"/>
      <w:szCs w:val="20"/>
    </w:rPr>
  </w:style>
  <w:style w:type="paragraph" w:customStyle="1" w:styleId="Bullet">
    <w:name w:val="Bullet"/>
    <w:basedOn w:val="Normal"/>
    <w:uiPriority w:val="99"/>
    <w:rsid w:val="006173C5"/>
    <w:pPr>
      <w:tabs>
        <w:tab w:val="left" w:pos="2160"/>
      </w:tabs>
      <w:spacing w:after="220"/>
      <w:ind w:left="2160" w:hanging="720"/>
    </w:pPr>
  </w:style>
  <w:style w:type="paragraph" w:styleId="BlockText">
    <w:name w:val="Block Text"/>
    <w:basedOn w:val="Normal"/>
    <w:uiPriority w:val="99"/>
    <w:rsid w:val="006173C5"/>
    <w:pPr>
      <w:spacing w:after="240"/>
      <w:ind w:left="1440" w:right="1440"/>
    </w:pPr>
  </w:style>
  <w:style w:type="paragraph" w:customStyle="1" w:styleId="TableFormat">
    <w:name w:val="TableFormat"/>
    <w:basedOn w:val="Bullet"/>
    <w:uiPriority w:val="99"/>
    <w:rsid w:val="006173C5"/>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basedOn w:val="DefaultParagraphFont"/>
    <w:uiPriority w:val="99"/>
    <w:rsid w:val="006173C5"/>
    <w:rPr>
      <w:rFonts w:ascii="Times New Roman" w:hAnsi="Times New Roman" w:cs="Times New Roman"/>
      <w:color w:val="auto"/>
      <w:sz w:val="20"/>
      <w:vertAlign w:val="superscript"/>
    </w:rPr>
  </w:style>
  <w:style w:type="paragraph" w:styleId="Header">
    <w:name w:val="header"/>
    <w:basedOn w:val="Normal"/>
    <w:link w:val="HeaderChar"/>
    <w:autoRedefine/>
    <w:uiPriority w:val="99"/>
    <w:rsid w:val="006173C5"/>
    <w:pPr>
      <w:tabs>
        <w:tab w:val="center" w:pos="4680"/>
        <w:tab w:val="right" w:pos="9360"/>
      </w:tabs>
    </w:pPr>
    <w:rPr>
      <w:b/>
    </w:rPr>
  </w:style>
  <w:style w:type="character" w:customStyle="1" w:styleId="HeaderChar">
    <w:name w:val="Header Char"/>
    <w:basedOn w:val="DefaultParagraphFont"/>
    <w:link w:val="Header"/>
    <w:uiPriority w:val="99"/>
    <w:semiHidden/>
    <w:locked/>
    <w:rsid w:val="000045CF"/>
    <w:rPr>
      <w:rFonts w:cs="Times New Roman"/>
      <w:kern w:val="28"/>
      <w:sz w:val="20"/>
      <w:szCs w:val="20"/>
    </w:rPr>
  </w:style>
  <w:style w:type="paragraph" w:styleId="Footer">
    <w:name w:val="footer"/>
    <w:basedOn w:val="Normal"/>
    <w:link w:val="FooterChar"/>
    <w:uiPriority w:val="99"/>
    <w:rsid w:val="006173C5"/>
    <w:pPr>
      <w:tabs>
        <w:tab w:val="center" w:pos="4320"/>
        <w:tab w:val="right" w:pos="8640"/>
      </w:tabs>
    </w:pPr>
  </w:style>
  <w:style w:type="character" w:customStyle="1" w:styleId="FooterChar">
    <w:name w:val="Footer Char"/>
    <w:basedOn w:val="DefaultParagraphFont"/>
    <w:link w:val="Footer"/>
    <w:uiPriority w:val="99"/>
    <w:semiHidden/>
    <w:locked/>
    <w:rsid w:val="000045CF"/>
    <w:rPr>
      <w:rFonts w:cs="Times New Roman"/>
      <w:kern w:val="28"/>
      <w:sz w:val="20"/>
      <w:szCs w:val="20"/>
    </w:rPr>
  </w:style>
  <w:style w:type="paragraph" w:styleId="TOC2">
    <w:name w:val="toc 2"/>
    <w:basedOn w:val="Normal"/>
    <w:next w:val="Normal"/>
    <w:uiPriority w:val="99"/>
    <w:semiHidden/>
    <w:rsid w:val="006173C5"/>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273DED"/>
    <w:pPr>
      <w:numPr>
        <w:numId w:val="21"/>
      </w:numPr>
      <w:tabs>
        <w:tab w:val="clear" w:pos="1080"/>
      </w:tabs>
      <w:spacing w:after="220"/>
      <w:ind w:firstLine="0"/>
    </w:pPr>
  </w:style>
  <w:style w:type="paragraph" w:styleId="TOC1">
    <w:name w:val="toc 1"/>
    <w:basedOn w:val="Normal"/>
    <w:next w:val="Normal"/>
    <w:uiPriority w:val="99"/>
    <w:semiHidden/>
    <w:rsid w:val="006173C5"/>
    <w:pPr>
      <w:tabs>
        <w:tab w:val="left" w:pos="360"/>
        <w:tab w:val="right" w:leader="dot" w:pos="9360"/>
      </w:tabs>
      <w:suppressAutoHyphens/>
      <w:ind w:left="360" w:right="720" w:hanging="360"/>
    </w:pPr>
    <w:rPr>
      <w:caps/>
      <w:noProof/>
    </w:rPr>
  </w:style>
  <w:style w:type="paragraph" w:styleId="TOC3">
    <w:name w:val="toc 3"/>
    <w:basedOn w:val="Normal"/>
    <w:next w:val="Normal"/>
    <w:uiPriority w:val="99"/>
    <w:semiHidden/>
    <w:rsid w:val="006173C5"/>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173C5"/>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173C5"/>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173C5"/>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173C5"/>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173C5"/>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173C5"/>
    <w:pPr>
      <w:tabs>
        <w:tab w:val="left" w:pos="3240"/>
        <w:tab w:val="right" w:leader="dot" w:pos="9360"/>
      </w:tabs>
      <w:suppressAutoHyphens/>
      <w:ind w:left="3240" w:hanging="360"/>
    </w:pPr>
    <w:rPr>
      <w:noProof/>
    </w:rPr>
  </w:style>
  <w:style w:type="character" w:styleId="PageNumber">
    <w:name w:val="page number"/>
    <w:basedOn w:val="DefaultParagraphFont"/>
    <w:uiPriority w:val="99"/>
    <w:rsid w:val="006173C5"/>
    <w:rPr>
      <w:rFonts w:cs="Times New Roman"/>
    </w:rPr>
  </w:style>
  <w:style w:type="paragraph" w:styleId="Title">
    <w:name w:val="Title"/>
    <w:basedOn w:val="Normal"/>
    <w:link w:val="TitleChar"/>
    <w:uiPriority w:val="99"/>
    <w:qFormat/>
    <w:rsid w:val="00C00F64"/>
    <w:pPr>
      <w:jc w:val="center"/>
    </w:pPr>
    <w:rPr>
      <w:b/>
    </w:rPr>
  </w:style>
  <w:style w:type="character" w:customStyle="1" w:styleId="TitleChar">
    <w:name w:val="Title Char"/>
    <w:basedOn w:val="DefaultParagraphFont"/>
    <w:link w:val="Title"/>
    <w:uiPriority w:val="99"/>
    <w:locked/>
    <w:rsid w:val="00C00F64"/>
    <w:rPr>
      <w:rFonts w:cs="Times New Roman"/>
      <w:b/>
      <w:sz w:val="22"/>
      <w:szCs w:val="22"/>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uiPriority w:val="99"/>
    <w:locked/>
    <w:rsid w:val="00B53CF0"/>
    <w:rPr>
      <w:lang w:val="en-US" w:eastAsia="en-US"/>
    </w:rPr>
  </w:style>
  <w:style w:type="paragraph" w:styleId="EndnoteText">
    <w:name w:val="endnote text"/>
    <w:basedOn w:val="Normal"/>
    <w:link w:val="EndnoteTextChar"/>
    <w:uiPriority w:val="99"/>
    <w:semiHidden/>
    <w:rsid w:val="006173C5"/>
    <w:rPr>
      <w:sz w:val="20"/>
    </w:rPr>
  </w:style>
  <w:style w:type="character" w:customStyle="1" w:styleId="EndnoteTextChar">
    <w:name w:val="Endnote Text Char"/>
    <w:basedOn w:val="DefaultParagraphFont"/>
    <w:link w:val="EndnoteText"/>
    <w:uiPriority w:val="99"/>
    <w:semiHidden/>
    <w:locked/>
    <w:rsid w:val="000045CF"/>
    <w:rPr>
      <w:rFonts w:cs="Times New Roman"/>
      <w:kern w:val="28"/>
      <w:sz w:val="20"/>
      <w:szCs w:val="20"/>
    </w:rPr>
  </w:style>
  <w:style w:type="character" w:customStyle="1" w:styleId="ParaNumChar">
    <w:name w:val="ParaNum Char"/>
    <w:link w:val="ParaNum"/>
    <w:uiPriority w:val="99"/>
    <w:locked/>
    <w:rsid w:val="00896FB6"/>
    <w:rPr>
      <w:snapToGrid w:val="0"/>
      <w:kern w:val="28"/>
      <w:sz w:val="22"/>
    </w:rPr>
  </w:style>
  <w:style w:type="character" w:styleId="CommentReference">
    <w:name w:val="annotation reference"/>
    <w:basedOn w:val="DefaultParagraphFont"/>
    <w:uiPriority w:val="99"/>
    <w:rsid w:val="00B53CF0"/>
    <w:rPr>
      <w:rFonts w:cs="Times New Roman"/>
      <w:sz w:val="16"/>
    </w:rPr>
  </w:style>
  <w:style w:type="paragraph" w:styleId="CommentText">
    <w:name w:val="annotation text"/>
    <w:basedOn w:val="Normal"/>
    <w:link w:val="CommentTextChar"/>
    <w:uiPriority w:val="99"/>
    <w:rsid w:val="00273DED"/>
    <w:rPr>
      <w:rFonts w:ascii="Cambria" w:hAnsi="Cambria"/>
      <w:kern w:val="0"/>
      <w:sz w:val="20"/>
      <w:szCs w:val="22"/>
    </w:rPr>
  </w:style>
  <w:style w:type="character" w:customStyle="1" w:styleId="CommentTextChar">
    <w:name w:val="Comment Text Char"/>
    <w:basedOn w:val="DefaultParagraphFont"/>
    <w:link w:val="CommentText"/>
    <w:uiPriority w:val="99"/>
    <w:locked/>
    <w:rsid w:val="00B53CF0"/>
    <w:rPr>
      <w:rFonts w:ascii="Cambria" w:hAnsi="Cambria" w:cs="Times New Roman"/>
      <w:sz w:val="22"/>
    </w:rPr>
  </w:style>
  <w:style w:type="paragraph" w:styleId="CommentSubject">
    <w:name w:val="annotation subject"/>
    <w:basedOn w:val="CommentText"/>
    <w:next w:val="CommentText"/>
    <w:link w:val="CommentSubjectChar"/>
    <w:uiPriority w:val="99"/>
    <w:semiHidden/>
    <w:rsid w:val="00273DED"/>
    <w:rPr>
      <w:b/>
      <w:bCs/>
    </w:rPr>
  </w:style>
  <w:style w:type="character" w:customStyle="1" w:styleId="CommentSubjectChar">
    <w:name w:val="Comment Subject Char"/>
    <w:basedOn w:val="CommentTextChar"/>
    <w:link w:val="CommentSubject"/>
    <w:uiPriority w:val="99"/>
    <w:semiHidden/>
    <w:locked/>
    <w:rsid w:val="00896FB6"/>
    <w:rPr>
      <w:rFonts w:ascii="Cambria" w:hAnsi="Cambria" w:cs="Times New Roman"/>
      <w:b/>
      <w:sz w:val="22"/>
    </w:rPr>
  </w:style>
  <w:style w:type="character" w:styleId="EndnoteReference">
    <w:name w:val="endnote reference"/>
    <w:basedOn w:val="DefaultParagraphFont"/>
    <w:uiPriority w:val="99"/>
    <w:semiHidden/>
    <w:rsid w:val="006173C5"/>
    <w:rPr>
      <w:rFonts w:cs="Times New Roman"/>
      <w:vertAlign w:val="superscript"/>
    </w:rPr>
  </w:style>
  <w:style w:type="paragraph" w:styleId="TOAHeading">
    <w:name w:val="toa heading"/>
    <w:basedOn w:val="Normal"/>
    <w:next w:val="Normal"/>
    <w:uiPriority w:val="99"/>
    <w:semiHidden/>
    <w:rsid w:val="006173C5"/>
    <w:pPr>
      <w:tabs>
        <w:tab w:val="right" w:pos="9360"/>
      </w:tabs>
      <w:suppressAutoHyphens/>
    </w:pPr>
  </w:style>
  <w:style w:type="character" w:customStyle="1" w:styleId="EquationCaption">
    <w:name w:val="_Equation Caption"/>
    <w:uiPriority w:val="99"/>
    <w:rsid w:val="006173C5"/>
  </w:style>
  <w:style w:type="paragraph" w:customStyle="1" w:styleId="Paratitle">
    <w:name w:val="Para title"/>
    <w:basedOn w:val="Normal"/>
    <w:uiPriority w:val="99"/>
    <w:rsid w:val="006173C5"/>
    <w:pPr>
      <w:tabs>
        <w:tab w:val="center" w:pos="9270"/>
      </w:tabs>
      <w:spacing w:after="240"/>
    </w:pPr>
    <w:rPr>
      <w:spacing w:val="-2"/>
    </w:rPr>
  </w:style>
  <w:style w:type="paragraph" w:customStyle="1" w:styleId="TOCTitle">
    <w:name w:val="TOC Title"/>
    <w:basedOn w:val="Normal"/>
    <w:uiPriority w:val="99"/>
    <w:rsid w:val="006173C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6173C5"/>
    <w:pPr>
      <w:jc w:val="center"/>
    </w:pPr>
    <w:rPr>
      <w:rFonts w:ascii="Times New Roman Bold" w:hAnsi="Times New Roman Bold"/>
      <w:b/>
      <w:bCs/>
      <w:caps/>
      <w:szCs w:val="22"/>
    </w:rPr>
  </w:style>
  <w:style w:type="character" w:styleId="Hyperlink">
    <w:name w:val="Hyperlink"/>
    <w:basedOn w:val="DefaultParagraphFont"/>
    <w:uiPriority w:val="99"/>
    <w:rsid w:val="006173C5"/>
    <w:rPr>
      <w:rFonts w:cs="Times New Roman"/>
      <w:color w:val="0000FF"/>
      <w:u w:val="single"/>
    </w:rPr>
  </w:style>
  <w:style w:type="character" w:customStyle="1" w:styleId="documentbody">
    <w:name w:val="documentbody"/>
    <w:basedOn w:val="DefaultParagraphFont"/>
    <w:uiPriority w:val="99"/>
    <w:rsid w:val="00896FB6"/>
    <w:rPr>
      <w:rFonts w:cs="Times New Roman"/>
    </w:rPr>
  </w:style>
  <w:style w:type="character" w:customStyle="1" w:styleId="documentbody1">
    <w:name w:val="documentbody1"/>
    <w:uiPriority w:val="99"/>
    <w:rsid w:val="00896FB6"/>
    <w:rPr>
      <w:rFonts w:ascii="Verdana" w:hAnsi="Verdana"/>
      <w:sz w:val="19"/>
    </w:rPr>
  </w:style>
  <w:style w:type="character" w:customStyle="1" w:styleId="searchterm1">
    <w:name w:val="searchterm1"/>
    <w:uiPriority w:val="99"/>
    <w:rsid w:val="00896FB6"/>
    <w:rPr>
      <w:b/>
      <w:shd w:val="clear" w:color="auto" w:fill="FFFF00"/>
    </w:rPr>
  </w:style>
  <w:style w:type="character" w:styleId="FollowedHyperlink">
    <w:name w:val="FollowedHyperlink"/>
    <w:basedOn w:val="DefaultParagraphFont"/>
    <w:uiPriority w:val="99"/>
    <w:rsid w:val="00896FB6"/>
    <w:rPr>
      <w:rFonts w:cs="Times New Roman"/>
      <w:color w:val="800080"/>
      <w:u w:val="single"/>
    </w:rPr>
  </w:style>
  <w:style w:type="character" w:customStyle="1" w:styleId="bestsection">
    <w:name w:val="bestsection"/>
    <w:basedOn w:val="DefaultParagraphFont"/>
    <w:uiPriority w:val="99"/>
    <w:rsid w:val="00896FB6"/>
    <w:rPr>
      <w:rFonts w:cs="Times New Roman"/>
    </w:rPr>
  </w:style>
  <w:style w:type="character" w:customStyle="1" w:styleId="FootnoteTextChar1CharCharCharCharChar1">
    <w:name w:val="Footnote Text Char1 Char Char Char Char Char1"/>
    <w:aliases w:val="Footnote Text Char Char Char Char Char Char Char Char,Footnote Text Char3 Char2"/>
    <w:uiPriority w:val="99"/>
    <w:rsid w:val="00896FB6"/>
    <w:rPr>
      <w:lang w:val="en-US" w:eastAsia="en-US"/>
    </w:rPr>
  </w:style>
  <w:style w:type="character" w:customStyle="1" w:styleId="searchterm">
    <w:name w:val="searchterm"/>
    <w:basedOn w:val="DefaultParagraphFont"/>
    <w:uiPriority w:val="99"/>
    <w:rsid w:val="00896FB6"/>
    <w:rPr>
      <w:rFonts w:cs="Times New Roman"/>
    </w:rPr>
  </w:style>
  <w:style w:type="paragraph" w:styleId="Revision">
    <w:name w:val="Revision"/>
    <w:hidden/>
    <w:uiPriority w:val="99"/>
    <w:semiHidden/>
    <w:rsid w:val="00896FB6"/>
    <w:rPr>
      <w:sz w:val="24"/>
      <w:szCs w:val="24"/>
    </w:rPr>
  </w:style>
  <w:style w:type="character" w:customStyle="1" w:styleId="FootnoteTextChar1CharCharCharCharChar">
    <w:name w:val="Footnote Text Char1 Char Char Char Char Char"/>
    <w:aliases w:val="Footnote Text Char Char Char Char Char Char Char,Footnote Text Char Char1,f Char2"/>
    <w:uiPriority w:val="99"/>
    <w:rsid w:val="0086178C"/>
    <w:rPr>
      <w:lang w:val="en-US" w:eastAsia="en-US"/>
    </w:rPr>
  </w:style>
  <w:style w:type="character" w:styleId="Emphasis">
    <w:name w:val="Emphasis"/>
    <w:basedOn w:val="DefaultParagraphFont"/>
    <w:uiPriority w:val="99"/>
    <w:qFormat/>
    <w:rsid w:val="00C00F64"/>
    <w:rPr>
      <w:rFonts w:cs="Times New Roman"/>
      <w:i/>
    </w:rPr>
  </w:style>
  <w:style w:type="paragraph" w:customStyle="1" w:styleId="par1">
    <w:name w:val="par1"/>
    <w:basedOn w:val="Normal"/>
    <w:link w:val="par1Char"/>
    <w:uiPriority w:val="99"/>
    <w:rsid w:val="003C30AF"/>
    <w:pPr>
      <w:numPr>
        <w:numId w:val="77"/>
      </w:numPr>
    </w:pPr>
    <w:rPr>
      <w:kern w:val="0"/>
    </w:rPr>
  </w:style>
  <w:style w:type="paragraph" w:styleId="ListParagraph">
    <w:name w:val="List Paragraph"/>
    <w:basedOn w:val="Normal"/>
    <w:uiPriority w:val="99"/>
    <w:qFormat/>
    <w:rsid w:val="003C30AF"/>
    <w:pPr>
      <w:ind w:left="720"/>
    </w:pPr>
    <w:rPr>
      <w:szCs w:val="24"/>
    </w:rPr>
  </w:style>
  <w:style w:type="character" w:customStyle="1" w:styleId="par1Char">
    <w:name w:val="par1 Char"/>
    <w:link w:val="par1"/>
    <w:uiPriority w:val="99"/>
    <w:locked/>
    <w:rsid w:val="003C30A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73C5"/>
    <w:pPr>
      <w:widowControl w:val="0"/>
    </w:pPr>
    <w:rPr>
      <w:kern w:val="28"/>
      <w:szCs w:val="20"/>
    </w:rPr>
  </w:style>
  <w:style w:type="paragraph" w:styleId="Heading1">
    <w:name w:val="heading 1"/>
    <w:basedOn w:val="Normal"/>
    <w:next w:val="ParaNum"/>
    <w:link w:val="Heading1Char"/>
    <w:uiPriority w:val="99"/>
    <w:qFormat/>
    <w:rsid w:val="006173C5"/>
    <w:pPr>
      <w:keepNext/>
      <w:numPr>
        <w:numId w:val="7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6173C5"/>
    <w:pPr>
      <w:keepNext/>
      <w:numPr>
        <w:ilvl w:val="1"/>
        <w:numId w:val="73"/>
      </w:numPr>
      <w:spacing w:after="120"/>
      <w:outlineLvl w:val="1"/>
    </w:pPr>
    <w:rPr>
      <w:b/>
    </w:rPr>
  </w:style>
  <w:style w:type="paragraph" w:styleId="Heading3">
    <w:name w:val="heading 3"/>
    <w:basedOn w:val="Normal"/>
    <w:next w:val="ParaNum"/>
    <w:link w:val="Heading3Char"/>
    <w:uiPriority w:val="99"/>
    <w:qFormat/>
    <w:rsid w:val="006173C5"/>
    <w:pPr>
      <w:keepNext/>
      <w:numPr>
        <w:ilvl w:val="2"/>
        <w:numId w:val="73"/>
      </w:numPr>
      <w:tabs>
        <w:tab w:val="left" w:pos="2160"/>
      </w:tabs>
      <w:spacing w:after="120"/>
      <w:outlineLvl w:val="2"/>
    </w:pPr>
    <w:rPr>
      <w:b/>
    </w:rPr>
  </w:style>
  <w:style w:type="paragraph" w:styleId="Heading4">
    <w:name w:val="heading 4"/>
    <w:basedOn w:val="Normal"/>
    <w:next w:val="ParaNum"/>
    <w:link w:val="Heading4Char"/>
    <w:uiPriority w:val="99"/>
    <w:qFormat/>
    <w:rsid w:val="006173C5"/>
    <w:pPr>
      <w:keepNext/>
      <w:numPr>
        <w:ilvl w:val="3"/>
        <w:numId w:val="73"/>
      </w:numPr>
      <w:tabs>
        <w:tab w:val="left" w:pos="2880"/>
      </w:tabs>
      <w:spacing w:after="120"/>
      <w:outlineLvl w:val="3"/>
    </w:pPr>
    <w:rPr>
      <w:b/>
    </w:rPr>
  </w:style>
  <w:style w:type="paragraph" w:styleId="Heading5">
    <w:name w:val="heading 5"/>
    <w:basedOn w:val="Normal"/>
    <w:next w:val="ParaNum"/>
    <w:link w:val="Heading5Char"/>
    <w:uiPriority w:val="99"/>
    <w:qFormat/>
    <w:rsid w:val="006173C5"/>
    <w:pPr>
      <w:keepNext/>
      <w:numPr>
        <w:ilvl w:val="4"/>
        <w:numId w:val="7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6173C5"/>
    <w:pPr>
      <w:numPr>
        <w:ilvl w:val="5"/>
        <w:numId w:val="73"/>
      </w:numPr>
      <w:tabs>
        <w:tab w:val="left" w:pos="4320"/>
      </w:tabs>
      <w:spacing w:after="120"/>
      <w:outlineLvl w:val="5"/>
    </w:pPr>
    <w:rPr>
      <w:b/>
    </w:rPr>
  </w:style>
  <w:style w:type="paragraph" w:styleId="Heading7">
    <w:name w:val="heading 7"/>
    <w:basedOn w:val="Normal"/>
    <w:next w:val="ParaNum"/>
    <w:link w:val="Heading7Char"/>
    <w:uiPriority w:val="99"/>
    <w:qFormat/>
    <w:rsid w:val="006173C5"/>
    <w:pPr>
      <w:numPr>
        <w:ilvl w:val="6"/>
        <w:numId w:val="7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6173C5"/>
    <w:pPr>
      <w:numPr>
        <w:ilvl w:val="7"/>
        <w:numId w:val="7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6173C5"/>
    <w:pPr>
      <w:numPr>
        <w:ilvl w:val="8"/>
        <w:numId w:val="7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F64"/>
    <w:rPr>
      <w:rFonts w:ascii="Times New Roman Bold" w:hAnsi="Times New Roman Bold" w:cs="Times New Roman"/>
      <w:b/>
      <w:caps/>
      <w:snapToGrid w:val="0"/>
      <w:kern w:val="28"/>
      <w:sz w:val="22"/>
    </w:rPr>
  </w:style>
  <w:style w:type="character" w:customStyle="1" w:styleId="Heading2Char">
    <w:name w:val="Heading 2 Char"/>
    <w:basedOn w:val="DefaultParagraphFont"/>
    <w:link w:val="Heading2"/>
    <w:uiPriority w:val="99"/>
    <w:locked/>
    <w:rsid w:val="00C00F64"/>
    <w:rPr>
      <w:rFonts w:cs="Times New Roman"/>
      <w:b/>
      <w:snapToGrid w:val="0"/>
      <w:kern w:val="28"/>
      <w:sz w:val="22"/>
    </w:rPr>
  </w:style>
  <w:style w:type="character" w:customStyle="1" w:styleId="Heading3Char">
    <w:name w:val="Heading 3 Char"/>
    <w:basedOn w:val="DefaultParagraphFont"/>
    <w:link w:val="Heading3"/>
    <w:uiPriority w:val="99"/>
    <w:locked/>
    <w:rsid w:val="00C00F64"/>
    <w:rPr>
      <w:rFonts w:cs="Times New Roman"/>
      <w:b/>
      <w:snapToGrid w:val="0"/>
      <w:kern w:val="28"/>
      <w:sz w:val="22"/>
    </w:rPr>
  </w:style>
  <w:style w:type="character" w:customStyle="1" w:styleId="Heading4Char">
    <w:name w:val="Heading 4 Char"/>
    <w:basedOn w:val="DefaultParagraphFont"/>
    <w:link w:val="Heading4"/>
    <w:uiPriority w:val="99"/>
    <w:locked/>
    <w:rsid w:val="00C00F64"/>
    <w:rPr>
      <w:rFonts w:cs="Times New Roman"/>
      <w:b/>
      <w:snapToGrid w:val="0"/>
      <w:kern w:val="28"/>
      <w:sz w:val="22"/>
    </w:rPr>
  </w:style>
  <w:style w:type="character" w:customStyle="1" w:styleId="Heading5Char">
    <w:name w:val="Heading 5 Char"/>
    <w:basedOn w:val="DefaultParagraphFont"/>
    <w:link w:val="Heading5"/>
    <w:uiPriority w:val="99"/>
    <w:locked/>
    <w:rsid w:val="00C00F64"/>
    <w:rPr>
      <w:rFonts w:cs="Times New Roman"/>
      <w:b/>
      <w:snapToGrid w:val="0"/>
      <w:kern w:val="28"/>
      <w:sz w:val="22"/>
    </w:rPr>
  </w:style>
  <w:style w:type="character" w:customStyle="1" w:styleId="Heading6Char">
    <w:name w:val="Heading 6 Char"/>
    <w:basedOn w:val="DefaultParagraphFont"/>
    <w:link w:val="Heading6"/>
    <w:uiPriority w:val="99"/>
    <w:locked/>
    <w:rsid w:val="00C00F64"/>
    <w:rPr>
      <w:rFonts w:cs="Times New Roman"/>
      <w:b/>
      <w:snapToGrid w:val="0"/>
      <w:kern w:val="28"/>
      <w:sz w:val="22"/>
    </w:rPr>
  </w:style>
  <w:style w:type="character" w:customStyle="1" w:styleId="Heading7Char">
    <w:name w:val="Heading 7 Char"/>
    <w:basedOn w:val="DefaultParagraphFont"/>
    <w:link w:val="Heading7"/>
    <w:uiPriority w:val="99"/>
    <w:locked/>
    <w:rsid w:val="00C00F64"/>
    <w:rPr>
      <w:rFonts w:cs="Times New Roman"/>
      <w:b/>
      <w:snapToGrid w:val="0"/>
      <w:kern w:val="28"/>
      <w:sz w:val="22"/>
    </w:rPr>
  </w:style>
  <w:style w:type="character" w:customStyle="1" w:styleId="Heading8Char">
    <w:name w:val="Heading 8 Char"/>
    <w:basedOn w:val="DefaultParagraphFont"/>
    <w:link w:val="Heading8"/>
    <w:uiPriority w:val="99"/>
    <w:locked/>
    <w:rsid w:val="00C00F64"/>
    <w:rPr>
      <w:rFonts w:cs="Times New Roman"/>
      <w:b/>
      <w:snapToGrid w:val="0"/>
      <w:kern w:val="28"/>
      <w:sz w:val="22"/>
    </w:rPr>
  </w:style>
  <w:style w:type="character" w:customStyle="1" w:styleId="Heading9Char">
    <w:name w:val="Heading 9 Char"/>
    <w:basedOn w:val="DefaultParagraphFont"/>
    <w:link w:val="Heading9"/>
    <w:uiPriority w:val="99"/>
    <w:locked/>
    <w:rsid w:val="00C00F64"/>
    <w:rPr>
      <w:rFonts w:cs="Times New Roman"/>
      <w:b/>
      <w:snapToGrid w:val="0"/>
      <w:kern w:val="28"/>
      <w:sz w:val="22"/>
    </w:rPr>
  </w:style>
  <w:style w:type="paragraph" w:styleId="BalloonText">
    <w:name w:val="Balloon Text"/>
    <w:basedOn w:val="Normal"/>
    <w:link w:val="BalloonTextChar"/>
    <w:uiPriority w:val="99"/>
    <w:semiHidden/>
    <w:rsid w:val="00273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5CF"/>
    <w:rPr>
      <w:rFonts w:cs="Times New Roman"/>
      <w:kern w:val="28"/>
      <w:sz w:val="2"/>
    </w:rPr>
  </w:style>
  <w:style w:type="paragraph" w:styleId="Caption">
    <w:name w:val="caption"/>
    <w:basedOn w:val="Normal"/>
    <w:next w:val="Normal"/>
    <w:uiPriority w:val="99"/>
    <w:qFormat/>
    <w:rsid w:val="00C00F64"/>
    <w:pPr>
      <w:spacing w:before="120" w:after="120"/>
    </w:pPr>
    <w:rPr>
      <w:b/>
    </w:rPr>
  </w:style>
  <w:style w:type="paragraph" w:customStyle="1" w:styleId="ParaNum">
    <w:name w:val="ParaNum"/>
    <w:basedOn w:val="Normal"/>
    <w:link w:val="ParaNumChar"/>
    <w:uiPriority w:val="99"/>
    <w:rsid w:val="006173C5"/>
    <w:pPr>
      <w:numPr>
        <w:numId w:val="72"/>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rsid w:val="006173C5"/>
    <w:pPr>
      <w:widowControl/>
      <w:spacing w:after="120"/>
    </w:pPr>
    <w:rPr>
      <w:kern w:val="0"/>
      <w:sz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basedOn w:val="DefaultParagraphFont"/>
    <w:uiPriority w:val="99"/>
    <w:semiHidden/>
    <w:locked/>
    <w:rsid w:val="000045CF"/>
    <w:rPr>
      <w:rFonts w:cs="Times New Roman"/>
      <w:kern w:val="28"/>
      <w:sz w:val="20"/>
      <w:szCs w:val="20"/>
    </w:rPr>
  </w:style>
  <w:style w:type="paragraph" w:customStyle="1" w:styleId="Bullet">
    <w:name w:val="Bullet"/>
    <w:basedOn w:val="Normal"/>
    <w:uiPriority w:val="99"/>
    <w:rsid w:val="006173C5"/>
    <w:pPr>
      <w:tabs>
        <w:tab w:val="left" w:pos="2160"/>
      </w:tabs>
      <w:spacing w:after="220"/>
      <w:ind w:left="2160" w:hanging="720"/>
    </w:pPr>
  </w:style>
  <w:style w:type="paragraph" w:styleId="BlockText">
    <w:name w:val="Block Text"/>
    <w:basedOn w:val="Normal"/>
    <w:uiPriority w:val="99"/>
    <w:rsid w:val="006173C5"/>
    <w:pPr>
      <w:spacing w:after="240"/>
      <w:ind w:left="1440" w:right="1440"/>
    </w:pPr>
  </w:style>
  <w:style w:type="paragraph" w:customStyle="1" w:styleId="TableFormat">
    <w:name w:val="TableFormat"/>
    <w:basedOn w:val="Bullet"/>
    <w:uiPriority w:val="99"/>
    <w:rsid w:val="006173C5"/>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
    <w:basedOn w:val="DefaultParagraphFont"/>
    <w:uiPriority w:val="99"/>
    <w:rsid w:val="006173C5"/>
    <w:rPr>
      <w:rFonts w:ascii="Times New Roman" w:hAnsi="Times New Roman" w:cs="Times New Roman"/>
      <w:color w:val="auto"/>
      <w:sz w:val="20"/>
      <w:vertAlign w:val="superscript"/>
    </w:rPr>
  </w:style>
  <w:style w:type="paragraph" w:styleId="Header">
    <w:name w:val="header"/>
    <w:basedOn w:val="Normal"/>
    <w:link w:val="HeaderChar"/>
    <w:autoRedefine/>
    <w:uiPriority w:val="99"/>
    <w:rsid w:val="006173C5"/>
    <w:pPr>
      <w:tabs>
        <w:tab w:val="center" w:pos="4680"/>
        <w:tab w:val="right" w:pos="9360"/>
      </w:tabs>
    </w:pPr>
    <w:rPr>
      <w:b/>
    </w:rPr>
  </w:style>
  <w:style w:type="character" w:customStyle="1" w:styleId="HeaderChar">
    <w:name w:val="Header Char"/>
    <w:basedOn w:val="DefaultParagraphFont"/>
    <w:link w:val="Header"/>
    <w:uiPriority w:val="99"/>
    <w:semiHidden/>
    <w:locked/>
    <w:rsid w:val="000045CF"/>
    <w:rPr>
      <w:rFonts w:cs="Times New Roman"/>
      <w:kern w:val="28"/>
      <w:sz w:val="20"/>
      <w:szCs w:val="20"/>
    </w:rPr>
  </w:style>
  <w:style w:type="paragraph" w:styleId="Footer">
    <w:name w:val="footer"/>
    <w:basedOn w:val="Normal"/>
    <w:link w:val="FooterChar"/>
    <w:uiPriority w:val="99"/>
    <w:rsid w:val="006173C5"/>
    <w:pPr>
      <w:tabs>
        <w:tab w:val="center" w:pos="4320"/>
        <w:tab w:val="right" w:pos="8640"/>
      </w:tabs>
    </w:pPr>
  </w:style>
  <w:style w:type="character" w:customStyle="1" w:styleId="FooterChar">
    <w:name w:val="Footer Char"/>
    <w:basedOn w:val="DefaultParagraphFont"/>
    <w:link w:val="Footer"/>
    <w:uiPriority w:val="99"/>
    <w:semiHidden/>
    <w:locked/>
    <w:rsid w:val="000045CF"/>
    <w:rPr>
      <w:rFonts w:cs="Times New Roman"/>
      <w:kern w:val="28"/>
      <w:sz w:val="20"/>
      <w:szCs w:val="20"/>
    </w:rPr>
  </w:style>
  <w:style w:type="paragraph" w:styleId="TOC2">
    <w:name w:val="toc 2"/>
    <w:basedOn w:val="Normal"/>
    <w:next w:val="Normal"/>
    <w:uiPriority w:val="99"/>
    <w:semiHidden/>
    <w:rsid w:val="006173C5"/>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273DED"/>
    <w:pPr>
      <w:numPr>
        <w:numId w:val="21"/>
      </w:numPr>
      <w:tabs>
        <w:tab w:val="clear" w:pos="1080"/>
      </w:tabs>
      <w:spacing w:after="220"/>
      <w:ind w:firstLine="0"/>
    </w:pPr>
  </w:style>
  <w:style w:type="paragraph" w:styleId="TOC1">
    <w:name w:val="toc 1"/>
    <w:basedOn w:val="Normal"/>
    <w:next w:val="Normal"/>
    <w:uiPriority w:val="99"/>
    <w:semiHidden/>
    <w:rsid w:val="006173C5"/>
    <w:pPr>
      <w:tabs>
        <w:tab w:val="left" w:pos="360"/>
        <w:tab w:val="right" w:leader="dot" w:pos="9360"/>
      </w:tabs>
      <w:suppressAutoHyphens/>
      <w:ind w:left="360" w:right="720" w:hanging="360"/>
    </w:pPr>
    <w:rPr>
      <w:caps/>
      <w:noProof/>
    </w:rPr>
  </w:style>
  <w:style w:type="paragraph" w:styleId="TOC3">
    <w:name w:val="toc 3"/>
    <w:basedOn w:val="Normal"/>
    <w:next w:val="Normal"/>
    <w:uiPriority w:val="99"/>
    <w:semiHidden/>
    <w:rsid w:val="006173C5"/>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173C5"/>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173C5"/>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173C5"/>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173C5"/>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173C5"/>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173C5"/>
    <w:pPr>
      <w:tabs>
        <w:tab w:val="left" w:pos="3240"/>
        <w:tab w:val="right" w:leader="dot" w:pos="9360"/>
      </w:tabs>
      <w:suppressAutoHyphens/>
      <w:ind w:left="3240" w:hanging="360"/>
    </w:pPr>
    <w:rPr>
      <w:noProof/>
    </w:rPr>
  </w:style>
  <w:style w:type="character" w:styleId="PageNumber">
    <w:name w:val="page number"/>
    <w:basedOn w:val="DefaultParagraphFont"/>
    <w:uiPriority w:val="99"/>
    <w:rsid w:val="006173C5"/>
    <w:rPr>
      <w:rFonts w:cs="Times New Roman"/>
    </w:rPr>
  </w:style>
  <w:style w:type="paragraph" w:styleId="Title">
    <w:name w:val="Title"/>
    <w:basedOn w:val="Normal"/>
    <w:link w:val="TitleChar"/>
    <w:uiPriority w:val="99"/>
    <w:qFormat/>
    <w:rsid w:val="00C00F64"/>
    <w:pPr>
      <w:jc w:val="center"/>
    </w:pPr>
    <w:rPr>
      <w:b/>
    </w:rPr>
  </w:style>
  <w:style w:type="character" w:customStyle="1" w:styleId="TitleChar">
    <w:name w:val="Title Char"/>
    <w:basedOn w:val="DefaultParagraphFont"/>
    <w:link w:val="Title"/>
    <w:uiPriority w:val="99"/>
    <w:locked/>
    <w:rsid w:val="00C00F64"/>
    <w:rPr>
      <w:rFonts w:cs="Times New Roman"/>
      <w:b/>
      <w:sz w:val="22"/>
      <w:szCs w:val="22"/>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1,f Char1"/>
    <w:link w:val="FootnoteText"/>
    <w:uiPriority w:val="99"/>
    <w:locked/>
    <w:rsid w:val="00B53CF0"/>
    <w:rPr>
      <w:lang w:val="en-US" w:eastAsia="en-US"/>
    </w:rPr>
  </w:style>
  <w:style w:type="paragraph" w:styleId="EndnoteText">
    <w:name w:val="endnote text"/>
    <w:basedOn w:val="Normal"/>
    <w:link w:val="EndnoteTextChar"/>
    <w:uiPriority w:val="99"/>
    <w:semiHidden/>
    <w:rsid w:val="006173C5"/>
    <w:rPr>
      <w:sz w:val="20"/>
    </w:rPr>
  </w:style>
  <w:style w:type="character" w:customStyle="1" w:styleId="EndnoteTextChar">
    <w:name w:val="Endnote Text Char"/>
    <w:basedOn w:val="DefaultParagraphFont"/>
    <w:link w:val="EndnoteText"/>
    <w:uiPriority w:val="99"/>
    <w:semiHidden/>
    <w:locked/>
    <w:rsid w:val="000045CF"/>
    <w:rPr>
      <w:rFonts w:cs="Times New Roman"/>
      <w:kern w:val="28"/>
      <w:sz w:val="20"/>
      <w:szCs w:val="20"/>
    </w:rPr>
  </w:style>
  <w:style w:type="character" w:customStyle="1" w:styleId="ParaNumChar">
    <w:name w:val="ParaNum Char"/>
    <w:link w:val="ParaNum"/>
    <w:uiPriority w:val="99"/>
    <w:locked/>
    <w:rsid w:val="00896FB6"/>
    <w:rPr>
      <w:snapToGrid w:val="0"/>
      <w:kern w:val="28"/>
      <w:sz w:val="22"/>
    </w:rPr>
  </w:style>
  <w:style w:type="character" w:styleId="CommentReference">
    <w:name w:val="annotation reference"/>
    <w:basedOn w:val="DefaultParagraphFont"/>
    <w:uiPriority w:val="99"/>
    <w:rsid w:val="00B53CF0"/>
    <w:rPr>
      <w:rFonts w:cs="Times New Roman"/>
      <w:sz w:val="16"/>
    </w:rPr>
  </w:style>
  <w:style w:type="paragraph" w:styleId="CommentText">
    <w:name w:val="annotation text"/>
    <w:basedOn w:val="Normal"/>
    <w:link w:val="CommentTextChar"/>
    <w:uiPriority w:val="99"/>
    <w:rsid w:val="00273DED"/>
    <w:rPr>
      <w:rFonts w:ascii="Cambria" w:hAnsi="Cambria"/>
      <w:kern w:val="0"/>
      <w:sz w:val="20"/>
      <w:szCs w:val="22"/>
    </w:rPr>
  </w:style>
  <w:style w:type="character" w:customStyle="1" w:styleId="CommentTextChar">
    <w:name w:val="Comment Text Char"/>
    <w:basedOn w:val="DefaultParagraphFont"/>
    <w:link w:val="CommentText"/>
    <w:uiPriority w:val="99"/>
    <w:locked/>
    <w:rsid w:val="00B53CF0"/>
    <w:rPr>
      <w:rFonts w:ascii="Cambria" w:hAnsi="Cambria" w:cs="Times New Roman"/>
      <w:sz w:val="22"/>
    </w:rPr>
  </w:style>
  <w:style w:type="paragraph" w:styleId="CommentSubject">
    <w:name w:val="annotation subject"/>
    <w:basedOn w:val="CommentText"/>
    <w:next w:val="CommentText"/>
    <w:link w:val="CommentSubjectChar"/>
    <w:uiPriority w:val="99"/>
    <w:semiHidden/>
    <w:rsid w:val="00273DED"/>
    <w:rPr>
      <w:b/>
      <w:bCs/>
    </w:rPr>
  </w:style>
  <w:style w:type="character" w:customStyle="1" w:styleId="CommentSubjectChar">
    <w:name w:val="Comment Subject Char"/>
    <w:basedOn w:val="CommentTextChar"/>
    <w:link w:val="CommentSubject"/>
    <w:uiPriority w:val="99"/>
    <w:semiHidden/>
    <w:locked/>
    <w:rsid w:val="00896FB6"/>
    <w:rPr>
      <w:rFonts w:ascii="Cambria" w:hAnsi="Cambria" w:cs="Times New Roman"/>
      <w:b/>
      <w:sz w:val="22"/>
    </w:rPr>
  </w:style>
  <w:style w:type="character" w:styleId="EndnoteReference">
    <w:name w:val="endnote reference"/>
    <w:basedOn w:val="DefaultParagraphFont"/>
    <w:uiPriority w:val="99"/>
    <w:semiHidden/>
    <w:rsid w:val="006173C5"/>
    <w:rPr>
      <w:rFonts w:cs="Times New Roman"/>
      <w:vertAlign w:val="superscript"/>
    </w:rPr>
  </w:style>
  <w:style w:type="paragraph" w:styleId="TOAHeading">
    <w:name w:val="toa heading"/>
    <w:basedOn w:val="Normal"/>
    <w:next w:val="Normal"/>
    <w:uiPriority w:val="99"/>
    <w:semiHidden/>
    <w:rsid w:val="006173C5"/>
    <w:pPr>
      <w:tabs>
        <w:tab w:val="right" w:pos="9360"/>
      </w:tabs>
      <w:suppressAutoHyphens/>
    </w:pPr>
  </w:style>
  <w:style w:type="character" w:customStyle="1" w:styleId="EquationCaption">
    <w:name w:val="_Equation Caption"/>
    <w:uiPriority w:val="99"/>
    <w:rsid w:val="006173C5"/>
  </w:style>
  <w:style w:type="paragraph" w:customStyle="1" w:styleId="Paratitle">
    <w:name w:val="Para title"/>
    <w:basedOn w:val="Normal"/>
    <w:uiPriority w:val="99"/>
    <w:rsid w:val="006173C5"/>
    <w:pPr>
      <w:tabs>
        <w:tab w:val="center" w:pos="9270"/>
      </w:tabs>
      <w:spacing w:after="240"/>
    </w:pPr>
    <w:rPr>
      <w:spacing w:val="-2"/>
    </w:rPr>
  </w:style>
  <w:style w:type="paragraph" w:customStyle="1" w:styleId="TOCTitle">
    <w:name w:val="TOC Title"/>
    <w:basedOn w:val="Normal"/>
    <w:uiPriority w:val="99"/>
    <w:rsid w:val="006173C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6173C5"/>
    <w:pPr>
      <w:jc w:val="center"/>
    </w:pPr>
    <w:rPr>
      <w:rFonts w:ascii="Times New Roman Bold" w:hAnsi="Times New Roman Bold"/>
      <w:b/>
      <w:bCs/>
      <w:caps/>
      <w:szCs w:val="22"/>
    </w:rPr>
  </w:style>
  <w:style w:type="character" w:styleId="Hyperlink">
    <w:name w:val="Hyperlink"/>
    <w:basedOn w:val="DefaultParagraphFont"/>
    <w:uiPriority w:val="99"/>
    <w:rsid w:val="006173C5"/>
    <w:rPr>
      <w:rFonts w:cs="Times New Roman"/>
      <w:color w:val="0000FF"/>
      <w:u w:val="single"/>
    </w:rPr>
  </w:style>
  <w:style w:type="character" w:customStyle="1" w:styleId="documentbody">
    <w:name w:val="documentbody"/>
    <w:basedOn w:val="DefaultParagraphFont"/>
    <w:uiPriority w:val="99"/>
    <w:rsid w:val="00896FB6"/>
    <w:rPr>
      <w:rFonts w:cs="Times New Roman"/>
    </w:rPr>
  </w:style>
  <w:style w:type="character" w:customStyle="1" w:styleId="documentbody1">
    <w:name w:val="documentbody1"/>
    <w:uiPriority w:val="99"/>
    <w:rsid w:val="00896FB6"/>
    <w:rPr>
      <w:rFonts w:ascii="Verdana" w:hAnsi="Verdana"/>
      <w:sz w:val="19"/>
    </w:rPr>
  </w:style>
  <w:style w:type="character" w:customStyle="1" w:styleId="searchterm1">
    <w:name w:val="searchterm1"/>
    <w:uiPriority w:val="99"/>
    <w:rsid w:val="00896FB6"/>
    <w:rPr>
      <w:b/>
      <w:shd w:val="clear" w:color="auto" w:fill="FFFF00"/>
    </w:rPr>
  </w:style>
  <w:style w:type="character" w:styleId="FollowedHyperlink">
    <w:name w:val="FollowedHyperlink"/>
    <w:basedOn w:val="DefaultParagraphFont"/>
    <w:uiPriority w:val="99"/>
    <w:rsid w:val="00896FB6"/>
    <w:rPr>
      <w:rFonts w:cs="Times New Roman"/>
      <w:color w:val="800080"/>
      <w:u w:val="single"/>
    </w:rPr>
  </w:style>
  <w:style w:type="character" w:customStyle="1" w:styleId="bestsection">
    <w:name w:val="bestsection"/>
    <w:basedOn w:val="DefaultParagraphFont"/>
    <w:uiPriority w:val="99"/>
    <w:rsid w:val="00896FB6"/>
    <w:rPr>
      <w:rFonts w:cs="Times New Roman"/>
    </w:rPr>
  </w:style>
  <w:style w:type="character" w:customStyle="1" w:styleId="FootnoteTextChar1CharCharCharCharChar1">
    <w:name w:val="Footnote Text Char1 Char Char Char Char Char1"/>
    <w:aliases w:val="Footnote Text Char Char Char Char Char Char Char Char,Footnote Text Char3 Char2"/>
    <w:uiPriority w:val="99"/>
    <w:rsid w:val="00896FB6"/>
    <w:rPr>
      <w:lang w:val="en-US" w:eastAsia="en-US"/>
    </w:rPr>
  </w:style>
  <w:style w:type="character" w:customStyle="1" w:styleId="searchterm">
    <w:name w:val="searchterm"/>
    <w:basedOn w:val="DefaultParagraphFont"/>
    <w:uiPriority w:val="99"/>
    <w:rsid w:val="00896FB6"/>
    <w:rPr>
      <w:rFonts w:cs="Times New Roman"/>
    </w:rPr>
  </w:style>
  <w:style w:type="paragraph" w:styleId="Revision">
    <w:name w:val="Revision"/>
    <w:hidden/>
    <w:uiPriority w:val="99"/>
    <w:semiHidden/>
    <w:rsid w:val="00896FB6"/>
    <w:rPr>
      <w:sz w:val="24"/>
      <w:szCs w:val="24"/>
    </w:rPr>
  </w:style>
  <w:style w:type="character" w:customStyle="1" w:styleId="FootnoteTextChar1CharCharCharCharChar">
    <w:name w:val="Footnote Text Char1 Char Char Char Char Char"/>
    <w:aliases w:val="Footnote Text Char Char Char Char Char Char Char,Footnote Text Char Char1,f Char2"/>
    <w:uiPriority w:val="99"/>
    <w:rsid w:val="0086178C"/>
    <w:rPr>
      <w:lang w:val="en-US" w:eastAsia="en-US"/>
    </w:rPr>
  </w:style>
  <w:style w:type="character" w:styleId="Emphasis">
    <w:name w:val="Emphasis"/>
    <w:basedOn w:val="DefaultParagraphFont"/>
    <w:uiPriority w:val="99"/>
    <w:qFormat/>
    <w:rsid w:val="00C00F64"/>
    <w:rPr>
      <w:rFonts w:cs="Times New Roman"/>
      <w:i/>
    </w:rPr>
  </w:style>
  <w:style w:type="paragraph" w:customStyle="1" w:styleId="par1">
    <w:name w:val="par1"/>
    <w:basedOn w:val="Normal"/>
    <w:link w:val="par1Char"/>
    <w:uiPriority w:val="99"/>
    <w:rsid w:val="003C30AF"/>
    <w:pPr>
      <w:numPr>
        <w:numId w:val="77"/>
      </w:numPr>
    </w:pPr>
    <w:rPr>
      <w:kern w:val="0"/>
    </w:rPr>
  </w:style>
  <w:style w:type="paragraph" w:styleId="ListParagraph">
    <w:name w:val="List Paragraph"/>
    <w:basedOn w:val="Normal"/>
    <w:uiPriority w:val="99"/>
    <w:qFormat/>
    <w:rsid w:val="003C30AF"/>
    <w:pPr>
      <w:ind w:left="720"/>
    </w:pPr>
    <w:rPr>
      <w:szCs w:val="24"/>
    </w:rPr>
  </w:style>
  <w:style w:type="character" w:customStyle="1" w:styleId="par1Char">
    <w:name w:val="par1 Char"/>
    <w:link w:val="par1"/>
    <w:uiPriority w:val="99"/>
    <w:locked/>
    <w:rsid w:val="003C30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2538">
      <w:marLeft w:val="0"/>
      <w:marRight w:val="0"/>
      <w:marTop w:val="0"/>
      <w:marBottom w:val="0"/>
      <w:divBdr>
        <w:top w:val="none" w:sz="0" w:space="0" w:color="auto"/>
        <w:left w:val="none" w:sz="0" w:space="0" w:color="auto"/>
        <w:bottom w:val="none" w:sz="0" w:space="0" w:color="auto"/>
        <w:right w:val="none" w:sz="0" w:space="0" w:color="auto"/>
      </w:divBdr>
    </w:div>
    <w:div w:id="1618952540">
      <w:marLeft w:val="30"/>
      <w:marRight w:val="30"/>
      <w:marTop w:val="30"/>
      <w:marBottom w:val="30"/>
      <w:divBdr>
        <w:top w:val="none" w:sz="0" w:space="0" w:color="auto"/>
        <w:left w:val="none" w:sz="0" w:space="0" w:color="auto"/>
        <w:bottom w:val="none" w:sz="0" w:space="0" w:color="auto"/>
        <w:right w:val="none" w:sz="0" w:space="0" w:color="auto"/>
      </w:divBdr>
      <w:divsChild>
        <w:div w:id="1618952547">
          <w:marLeft w:val="0"/>
          <w:marRight w:val="0"/>
          <w:marTop w:val="0"/>
          <w:marBottom w:val="0"/>
          <w:divBdr>
            <w:top w:val="none" w:sz="0" w:space="0" w:color="auto"/>
            <w:left w:val="none" w:sz="0" w:space="0" w:color="auto"/>
            <w:bottom w:val="none" w:sz="0" w:space="0" w:color="auto"/>
            <w:right w:val="none" w:sz="0" w:space="0" w:color="auto"/>
          </w:divBdr>
          <w:divsChild>
            <w:div w:id="1618952554">
              <w:marLeft w:val="45"/>
              <w:marRight w:val="45"/>
              <w:marTop w:val="45"/>
              <w:marBottom w:val="45"/>
              <w:divBdr>
                <w:top w:val="none" w:sz="0" w:space="0" w:color="auto"/>
                <w:left w:val="none" w:sz="0" w:space="0" w:color="auto"/>
                <w:bottom w:val="none" w:sz="0" w:space="0" w:color="auto"/>
                <w:right w:val="none" w:sz="0" w:space="0" w:color="auto"/>
              </w:divBdr>
              <w:divsChild>
                <w:div w:id="1618952550">
                  <w:marLeft w:val="0"/>
                  <w:marRight w:val="0"/>
                  <w:marTop w:val="0"/>
                  <w:marBottom w:val="0"/>
                  <w:divBdr>
                    <w:top w:val="none" w:sz="0" w:space="0" w:color="auto"/>
                    <w:left w:val="none" w:sz="0" w:space="0" w:color="auto"/>
                    <w:bottom w:val="none" w:sz="0" w:space="0" w:color="auto"/>
                    <w:right w:val="none" w:sz="0" w:space="0" w:color="auto"/>
                  </w:divBdr>
                  <w:divsChild>
                    <w:div w:id="16189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2548">
      <w:marLeft w:val="20"/>
      <w:marRight w:val="20"/>
      <w:marTop w:val="20"/>
      <w:marBottom w:val="20"/>
      <w:divBdr>
        <w:top w:val="none" w:sz="0" w:space="0" w:color="auto"/>
        <w:left w:val="none" w:sz="0" w:space="0" w:color="auto"/>
        <w:bottom w:val="none" w:sz="0" w:space="0" w:color="auto"/>
        <w:right w:val="none" w:sz="0" w:space="0" w:color="auto"/>
      </w:divBdr>
      <w:divsChild>
        <w:div w:id="1618952574">
          <w:marLeft w:val="0"/>
          <w:marRight w:val="0"/>
          <w:marTop w:val="0"/>
          <w:marBottom w:val="0"/>
          <w:divBdr>
            <w:top w:val="none" w:sz="0" w:space="0" w:color="auto"/>
            <w:left w:val="none" w:sz="0" w:space="0" w:color="auto"/>
            <w:bottom w:val="none" w:sz="0" w:space="0" w:color="auto"/>
            <w:right w:val="none" w:sz="0" w:space="0" w:color="auto"/>
          </w:divBdr>
          <w:divsChild>
            <w:div w:id="1618952563">
              <w:marLeft w:val="30"/>
              <w:marRight w:val="30"/>
              <w:marTop w:val="30"/>
              <w:marBottom w:val="30"/>
              <w:divBdr>
                <w:top w:val="none" w:sz="0" w:space="0" w:color="auto"/>
                <w:left w:val="none" w:sz="0" w:space="0" w:color="auto"/>
                <w:bottom w:val="none" w:sz="0" w:space="0" w:color="auto"/>
                <w:right w:val="none" w:sz="0" w:space="0" w:color="auto"/>
              </w:divBdr>
              <w:divsChild>
                <w:div w:id="1618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2549">
      <w:marLeft w:val="0"/>
      <w:marRight w:val="0"/>
      <w:marTop w:val="0"/>
      <w:marBottom w:val="0"/>
      <w:divBdr>
        <w:top w:val="none" w:sz="0" w:space="0" w:color="auto"/>
        <w:left w:val="none" w:sz="0" w:space="0" w:color="auto"/>
        <w:bottom w:val="none" w:sz="0" w:space="0" w:color="auto"/>
        <w:right w:val="none" w:sz="0" w:space="0" w:color="auto"/>
      </w:divBdr>
    </w:div>
    <w:div w:id="1618952552">
      <w:marLeft w:val="0"/>
      <w:marRight w:val="0"/>
      <w:marTop w:val="0"/>
      <w:marBottom w:val="0"/>
      <w:divBdr>
        <w:top w:val="none" w:sz="0" w:space="0" w:color="auto"/>
        <w:left w:val="none" w:sz="0" w:space="0" w:color="auto"/>
        <w:bottom w:val="none" w:sz="0" w:space="0" w:color="auto"/>
        <w:right w:val="none" w:sz="0" w:space="0" w:color="auto"/>
      </w:divBdr>
      <w:divsChild>
        <w:div w:id="1618952533">
          <w:marLeft w:val="0"/>
          <w:marRight w:val="0"/>
          <w:marTop w:val="0"/>
          <w:marBottom w:val="0"/>
          <w:divBdr>
            <w:top w:val="none" w:sz="0" w:space="0" w:color="auto"/>
            <w:left w:val="none" w:sz="0" w:space="0" w:color="auto"/>
            <w:bottom w:val="none" w:sz="0" w:space="0" w:color="auto"/>
            <w:right w:val="none" w:sz="0" w:space="0" w:color="auto"/>
          </w:divBdr>
        </w:div>
      </w:divsChild>
    </w:div>
    <w:div w:id="1618952555">
      <w:marLeft w:val="30"/>
      <w:marRight w:val="30"/>
      <w:marTop w:val="30"/>
      <w:marBottom w:val="30"/>
      <w:divBdr>
        <w:top w:val="none" w:sz="0" w:space="0" w:color="auto"/>
        <w:left w:val="none" w:sz="0" w:space="0" w:color="auto"/>
        <w:bottom w:val="none" w:sz="0" w:space="0" w:color="auto"/>
        <w:right w:val="none" w:sz="0" w:space="0" w:color="auto"/>
      </w:divBdr>
      <w:divsChild>
        <w:div w:id="1618952553">
          <w:marLeft w:val="0"/>
          <w:marRight w:val="0"/>
          <w:marTop w:val="0"/>
          <w:marBottom w:val="0"/>
          <w:divBdr>
            <w:top w:val="none" w:sz="0" w:space="0" w:color="auto"/>
            <w:left w:val="none" w:sz="0" w:space="0" w:color="auto"/>
            <w:bottom w:val="none" w:sz="0" w:space="0" w:color="auto"/>
            <w:right w:val="none" w:sz="0" w:space="0" w:color="auto"/>
          </w:divBdr>
          <w:divsChild>
            <w:div w:id="1618952572">
              <w:marLeft w:val="45"/>
              <w:marRight w:val="45"/>
              <w:marTop w:val="45"/>
              <w:marBottom w:val="45"/>
              <w:divBdr>
                <w:top w:val="none" w:sz="0" w:space="0" w:color="auto"/>
                <w:left w:val="none" w:sz="0" w:space="0" w:color="auto"/>
                <w:bottom w:val="none" w:sz="0" w:space="0" w:color="auto"/>
                <w:right w:val="none" w:sz="0" w:space="0" w:color="auto"/>
              </w:divBdr>
              <w:divsChild>
                <w:div w:id="1618952568">
                  <w:marLeft w:val="0"/>
                  <w:marRight w:val="0"/>
                  <w:marTop w:val="0"/>
                  <w:marBottom w:val="0"/>
                  <w:divBdr>
                    <w:top w:val="none" w:sz="0" w:space="0" w:color="auto"/>
                    <w:left w:val="none" w:sz="0" w:space="0" w:color="auto"/>
                    <w:bottom w:val="none" w:sz="0" w:space="0" w:color="auto"/>
                    <w:right w:val="none" w:sz="0" w:space="0" w:color="auto"/>
                  </w:divBdr>
                  <w:divsChild>
                    <w:div w:id="16189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2557">
      <w:marLeft w:val="0"/>
      <w:marRight w:val="0"/>
      <w:marTop w:val="0"/>
      <w:marBottom w:val="0"/>
      <w:divBdr>
        <w:top w:val="none" w:sz="0" w:space="0" w:color="auto"/>
        <w:left w:val="none" w:sz="0" w:space="0" w:color="auto"/>
        <w:bottom w:val="none" w:sz="0" w:space="0" w:color="auto"/>
        <w:right w:val="none" w:sz="0" w:space="0" w:color="auto"/>
      </w:divBdr>
    </w:div>
    <w:div w:id="1618952558">
      <w:marLeft w:val="0"/>
      <w:marRight w:val="0"/>
      <w:marTop w:val="0"/>
      <w:marBottom w:val="0"/>
      <w:divBdr>
        <w:top w:val="none" w:sz="0" w:space="0" w:color="auto"/>
        <w:left w:val="none" w:sz="0" w:space="0" w:color="auto"/>
        <w:bottom w:val="none" w:sz="0" w:space="0" w:color="auto"/>
        <w:right w:val="none" w:sz="0" w:space="0" w:color="auto"/>
      </w:divBdr>
      <w:divsChild>
        <w:div w:id="1618952571">
          <w:marLeft w:val="0"/>
          <w:marRight w:val="0"/>
          <w:marTop w:val="0"/>
          <w:marBottom w:val="0"/>
          <w:divBdr>
            <w:top w:val="none" w:sz="0" w:space="0" w:color="auto"/>
            <w:left w:val="none" w:sz="0" w:space="0" w:color="auto"/>
            <w:bottom w:val="none" w:sz="0" w:space="0" w:color="auto"/>
            <w:right w:val="none" w:sz="0" w:space="0" w:color="auto"/>
          </w:divBdr>
          <w:divsChild>
            <w:div w:id="1618952573">
              <w:marLeft w:val="0"/>
              <w:marRight w:val="0"/>
              <w:marTop w:val="0"/>
              <w:marBottom w:val="0"/>
              <w:divBdr>
                <w:top w:val="none" w:sz="0" w:space="0" w:color="auto"/>
                <w:left w:val="none" w:sz="0" w:space="0" w:color="auto"/>
                <w:bottom w:val="none" w:sz="0" w:space="0" w:color="auto"/>
                <w:right w:val="none" w:sz="0" w:space="0" w:color="auto"/>
              </w:divBdr>
              <w:divsChild>
                <w:div w:id="1618952559">
                  <w:marLeft w:val="0"/>
                  <w:marRight w:val="0"/>
                  <w:marTop w:val="100"/>
                  <w:marBottom w:val="100"/>
                  <w:divBdr>
                    <w:top w:val="none" w:sz="0" w:space="0" w:color="auto"/>
                    <w:left w:val="none" w:sz="0" w:space="0" w:color="auto"/>
                    <w:bottom w:val="none" w:sz="0" w:space="0" w:color="auto"/>
                    <w:right w:val="none" w:sz="0" w:space="0" w:color="auto"/>
                  </w:divBdr>
                  <w:divsChild>
                    <w:div w:id="1618952531">
                      <w:marLeft w:val="0"/>
                      <w:marRight w:val="0"/>
                      <w:marTop w:val="100"/>
                      <w:marBottom w:val="100"/>
                      <w:divBdr>
                        <w:top w:val="none" w:sz="0" w:space="0" w:color="auto"/>
                        <w:left w:val="none" w:sz="0" w:space="0" w:color="auto"/>
                        <w:bottom w:val="none" w:sz="0" w:space="0" w:color="auto"/>
                        <w:right w:val="none" w:sz="0" w:space="0" w:color="auto"/>
                      </w:divBdr>
                      <w:divsChild>
                        <w:div w:id="1618952570">
                          <w:marLeft w:val="0"/>
                          <w:marRight w:val="0"/>
                          <w:marTop w:val="0"/>
                          <w:marBottom w:val="0"/>
                          <w:divBdr>
                            <w:top w:val="none" w:sz="0" w:space="0" w:color="auto"/>
                            <w:left w:val="none" w:sz="0" w:space="0" w:color="auto"/>
                            <w:bottom w:val="none" w:sz="0" w:space="0" w:color="auto"/>
                            <w:right w:val="none" w:sz="0" w:space="0" w:color="auto"/>
                          </w:divBdr>
                          <w:divsChild>
                            <w:div w:id="1618952544">
                              <w:marLeft w:val="0"/>
                              <w:marRight w:val="0"/>
                              <w:marTop w:val="100"/>
                              <w:marBottom w:val="100"/>
                              <w:divBdr>
                                <w:top w:val="none" w:sz="0" w:space="0" w:color="auto"/>
                                <w:left w:val="none" w:sz="0" w:space="0" w:color="auto"/>
                                <w:bottom w:val="none" w:sz="0" w:space="0" w:color="auto"/>
                                <w:right w:val="none" w:sz="0" w:space="0" w:color="auto"/>
                              </w:divBdr>
                              <w:divsChild>
                                <w:div w:id="1618952545">
                                  <w:marLeft w:val="525"/>
                                  <w:marRight w:val="375"/>
                                  <w:marTop w:val="0"/>
                                  <w:marBottom w:val="0"/>
                                  <w:divBdr>
                                    <w:top w:val="none" w:sz="0" w:space="0" w:color="auto"/>
                                    <w:left w:val="none" w:sz="0" w:space="0" w:color="auto"/>
                                    <w:bottom w:val="none" w:sz="0" w:space="0" w:color="auto"/>
                                    <w:right w:val="none" w:sz="0" w:space="0" w:color="auto"/>
                                  </w:divBdr>
                                  <w:divsChild>
                                    <w:div w:id="1618952542">
                                      <w:marLeft w:val="0"/>
                                      <w:marRight w:val="0"/>
                                      <w:marTop w:val="0"/>
                                      <w:marBottom w:val="600"/>
                                      <w:divBdr>
                                        <w:top w:val="none" w:sz="0" w:space="0" w:color="auto"/>
                                        <w:left w:val="none" w:sz="0" w:space="0" w:color="auto"/>
                                        <w:bottom w:val="none" w:sz="0" w:space="0" w:color="auto"/>
                                        <w:right w:val="none" w:sz="0" w:space="0" w:color="auto"/>
                                      </w:divBdr>
                                      <w:divsChild>
                                        <w:div w:id="1618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2561">
      <w:marLeft w:val="0"/>
      <w:marRight w:val="0"/>
      <w:marTop w:val="0"/>
      <w:marBottom w:val="0"/>
      <w:divBdr>
        <w:top w:val="none" w:sz="0" w:space="0" w:color="auto"/>
        <w:left w:val="none" w:sz="0" w:space="0" w:color="auto"/>
        <w:bottom w:val="none" w:sz="0" w:space="0" w:color="auto"/>
        <w:right w:val="none" w:sz="0" w:space="0" w:color="auto"/>
      </w:divBdr>
    </w:div>
    <w:div w:id="1618952566">
      <w:marLeft w:val="0"/>
      <w:marRight w:val="0"/>
      <w:marTop w:val="0"/>
      <w:marBottom w:val="0"/>
      <w:divBdr>
        <w:top w:val="none" w:sz="0" w:space="0" w:color="auto"/>
        <w:left w:val="none" w:sz="0" w:space="0" w:color="auto"/>
        <w:bottom w:val="none" w:sz="0" w:space="0" w:color="auto"/>
        <w:right w:val="none" w:sz="0" w:space="0" w:color="auto"/>
      </w:divBdr>
      <w:divsChild>
        <w:div w:id="1618952546">
          <w:marLeft w:val="0"/>
          <w:marRight w:val="0"/>
          <w:marTop w:val="0"/>
          <w:marBottom w:val="0"/>
          <w:divBdr>
            <w:top w:val="none" w:sz="0" w:space="0" w:color="auto"/>
            <w:left w:val="none" w:sz="0" w:space="0" w:color="auto"/>
            <w:bottom w:val="none" w:sz="0" w:space="0" w:color="auto"/>
            <w:right w:val="none" w:sz="0" w:space="0" w:color="auto"/>
          </w:divBdr>
          <w:divsChild>
            <w:div w:id="1618952564">
              <w:marLeft w:val="0"/>
              <w:marRight w:val="0"/>
              <w:marTop w:val="0"/>
              <w:marBottom w:val="0"/>
              <w:divBdr>
                <w:top w:val="none" w:sz="0" w:space="0" w:color="auto"/>
                <w:left w:val="none" w:sz="0" w:space="0" w:color="auto"/>
                <w:bottom w:val="none" w:sz="0" w:space="0" w:color="auto"/>
                <w:right w:val="none" w:sz="0" w:space="0" w:color="auto"/>
              </w:divBdr>
              <w:divsChild>
                <w:div w:id="1618952543">
                  <w:marLeft w:val="0"/>
                  <w:marRight w:val="0"/>
                  <w:marTop w:val="100"/>
                  <w:marBottom w:val="100"/>
                  <w:divBdr>
                    <w:top w:val="none" w:sz="0" w:space="0" w:color="auto"/>
                    <w:left w:val="none" w:sz="0" w:space="0" w:color="auto"/>
                    <w:bottom w:val="none" w:sz="0" w:space="0" w:color="auto"/>
                    <w:right w:val="none" w:sz="0" w:space="0" w:color="auto"/>
                  </w:divBdr>
                  <w:divsChild>
                    <w:div w:id="1618952534">
                      <w:marLeft w:val="0"/>
                      <w:marRight w:val="0"/>
                      <w:marTop w:val="100"/>
                      <w:marBottom w:val="100"/>
                      <w:divBdr>
                        <w:top w:val="none" w:sz="0" w:space="0" w:color="auto"/>
                        <w:left w:val="none" w:sz="0" w:space="0" w:color="auto"/>
                        <w:bottom w:val="none" w:sz="0" w:space="0" w:color="auto"/>
                        <w:right w:val="none" w:sz="0" w:space="0" w:color="auto"/>
                      </w:divBdr>
                      <w:divsChild>
                        <w:div w:id="1618952536">
                          <w:marLeft w:val="0"/>
                          <w:marRight w:val="0"/>
                          <w:marTop w:val="0"/>
                          <w:marBottom w:val="0"/>
                          <w:divBdr>
                            <w:top w:val="none" w:sz="0" w:space="0" w:color="auto"/>
                            <w:left w:val="none" w:sz="0" w:space="0" w:color="auto"/>
                            <w:bottom w:val="none" w:sz="0" w:space="0" w:color="auto"/>
                            <w:right w:val="none" w:sz="0" w:space="0" w:color="auto"/>
                          </w:divBdr>
                          <w:divsChild>
                            <w:div w:id="1618952535">
                              <w:marLeft w:val="0"/>
                              <w:marRight w:val="0"/>
                              <w:marTop w:val="100"/>
                              <w:marBottom w:val="100"/>
                              <w:divBdr>
                                <w:top w:val="none" w:sz="0" w:space="0" w:color="auto"/>
                                <w:left w:val="none" w:sz="0" w:space="0" w:color="auto"/>
                                <w:bottom w:val="none" w:sz="0" w:space="0" w:color="auto"/>
                                <w:right w:val="none" w:sz="0" w:space="0" w:color="auto"/>
                              </w:divBdr>
                              <w:divsChild>
                                <w:div w:id="1618952562">
                                  <w:marLeft w:val="525"/>
                                  <w:marRight w:val="375"/>
                                  <w:marTop w:val="0"/>
                                  <w:marBottom w:val="0"/>
                                  <w:divBdr>
                                    <w:top w:val="none" w:sz="0" w:space="0" w:color="auto"/>
                                    <w:left w:val="none" w:sz="0" w:space="0" w:color="auto"/>
                                    <w:bottom w:val="none" w:sz="0" w:space="0" w:color="auto"/>
                                    <w:right w:val="none" w:sz="0" w:space="0" w:color="auto"/>
                                  </w:divBdr>
                                  <w:divsChild>
                                    <w:div w:id="1618952556">
                                      <w:marLeft w:val="0"/>
                                      <w:marRight w:val="0"/>
                                      <w:marTop w:val="0"/>
                                      <w:marBottom w:val="600"/>
                                      <w:divBdr>
                                        <w:top w:val="none" w:sz="0" w:space="0" w:color="auto"/>
                                        <w:left w:val="none" w:sz="0" w:space="0" w:color="auto"/>
                                        <w:bottom w:val="none" w:sz="0" w:space="0" w:color="auto"/>
                                        <w:right w:val="none" w:sz="0" w:space="0" w:color="auto"/>
                                      </w:divBdr>
                                      <w:divsChild>
                                        <w:div w:id="16189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2569">
      <w:marLeft w:val="30"/>
      <w:marRight w:val="30"/>
      <w:marTop w:val="30"/>
      <w:marBottom w:val="30"/>
      <w:divBdr>
        <w:top w:val="none" w:sz="0" w:space="0" w:color="auto"/>
        <w:left w:val="none" w:sz="0" w:space="0" w:color="auto"/>
        <w:bottom w:val="none" w:sz="0" w:space="0" w:color="auto"/>
        <w:right w:val="none" w:sz="0" w:space="0" w:color="auto"/>
      </w:divBdr>
      <w:divsChild>
        <w:div w:id="1618952537">
          <w:marLeft w:val="0"/>
          <w:marRight w:val="0"/>
          <w:marTop w:val="0"/>
          <w:marBottom w:val="0"/>
          <w:divBdr>
            <w:top w:val="none" w:sz="0" w:space="0" w:color="auto"/>
            <w:left w:val="none" w:sz="0" w:space="0" w:color="auto"/>
            <w:bottom w:val="none" w:sz="0" w:space="0" w:color="auto"/>
            <w:right w:val="none" w:sz="0" w:space="0" w:color="auto"/>
          </w:divBdr>
          <w:divsChild>
            <w:div w:id="1618952575">
              <w:marLeft w:val="45"/>
              <w:marRight w:val="45"/>
              <w:marTop w:val="45"/>
              <w:marBottom w:val="45"/>
              <w:divBdr>
                <w:top w:val="none" w:sz="0" w:space="0" w:color="auto"/>
                <w:left w:val="none" w:sz="0" w:space="0" w:color="auto"/>
                <w:bottom w:val="none" w:sz="0" w:space="0" w:color="auto"/>
                <w:right w:val="none" w:sz="0" w:space="0" w:color="auto"/>
              </w:divBdr>
              <w:divsChild>
                <w:div w:id="1618952532">
                  <w:marLeft w:val="0"/>
                  <w:marRight w:val="0"/>
                  <w:marTop w:val="0"/>
                  <w:marBottom w:val="0"/>
                  <w:divBdr>
                    <w:top w:val="none" w:sz="0" w:space="0" w:color="auto"/>
                    <w:left w:val="none" w:sz="0" w:space="0" w:color="auto"/>
                    <w:bottom w:val="none" w:sz="0" w:space="0" w:color="auto"/>
                    <w:right w:val="none" w:sz="0" w:space="0" w:color="auto"/>
                  </w:divBdr>
                  <w:divsChild>
                    <w:div w:id="16189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2289</Words>
  <Characters>12607</Characters>
  <Application>Microsoft Office Word</Application>
  <DocSecurity>0</DocSecurity>
  <Lines>193</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2013-11-21T17:29:00Z</cp:lastPrinted>
  <dcterms:created xsi:type="dcterms:W3CDTF">2013-11-22T20:03:00Z</dcterms:created>
  <dcterms:modified xsi:type="dcterms:W3CDTF">2013-11-22T20:03:00Z</dcterms:modified>
  <cp:category> </cp:category>
  <cp:contentStatus> </cp:contentStatus>
</cp:coreProperties>
</file>