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AE" w:rsidRDefault="00D279C5">
      <w:pPr>
        <w:jc w:val="right"/>
        <w:rPr>
          <w:b/>
          <w:szCs w:val="22"/>
        </w:rPr>
      </w:pPr>
      <w:bookmarkStart w:id="0" w:name="_GoBack"/>
      <w:bookmarkEnd w:id="0"/>
      <w:r>
        <w:rPr>
          <w:b/>
          <w:szCs w:val="22"/>
        </w:rPr>
        <w:t xml:space="preserve">DA </w:t>
      </w:r>
      <w:r w:rsidR="004A567A">
        <w:rPr>
          <w:b/>
          <w:szCs w:val="22"/>
        </w:rPr>
        <w:t>13-2220</w:t>
      </w:r>
    </w:p>
    <w:p w:rsidR="00277CAE" w:rsidRDefault="00277CAE">
      <w:pPr>
        <w:jc w:val="right"/>
        <w:rPr>
          <w:b/>
          <w:szCs w:val="22"/>
        </w:rPr>
      </w:pPr>
      <w:r>
        <w:rPr>
          <w:b/>
          <w:szCs w:val="22"/>
        </w:rPr>
        <w:t xml:space="preserve">Released:  November </w:t>
      </w:r>
      <w:r w:rsidR="004A567A">
        <w:rPr>
          <w:b/>
          <w:szCs w:val="22"/>
        </w:rPr>
        <w:t>19</w:t>
      </w:r>
      <w:r>
        <w:rPr>
          <w:b/>
          <w:szCs w:val="22"/>
        </w:rPr>
        <w:t>, 2013</w:t>
      </w:r>
    </w:p>
    <w:p w:rsidR="00277CAE" w:rsidRDefault="00277CAE">
      <w:pPr>
        <w:rPr>
          <w:sz w:val="24"/>
          <w:szCs w:val="24"/>
        </w:rPr>
      </w:pPr>
    </w:p>
    <w:p w:rsidR="00277CAE" w:rsidRDefault="00277CAE">
      <w:pPr>
        <w:spacing w:after="240"/>
        <w:jc w:val="center"/>
        <w:rPr>
          <w:b/>
          <w:caps/>
          <w:szCs w:val="22"/>
        </w:rPr>
      </w:pPr>
      <w:r>
        <w:rPr>
          <w:b/>
          <w:caps/>
          <w:szCs w:val="22"/>
        </w:rPr>
        <w:t>Consumer AND Governmental Affairs Bureau Seeks Comment on petition for expedited declaratory ruling AND/or expedited rulemaking from the professional association for customer engagement</w:t>
      </w:r>
    </w:p>
    <w:p w:rsidR="00277CAE" w:rsidRDefault="00277CAE">
      <w:pPr>
        <w:jc w:val="center"/>
        <w:rPr>
          <w:b/>
          <w:szCs w:val="22"/>
        </w:rPr>
      </w:pPr>
      <w:r>
        <w:rPr>
          <w:b/>
          <w:szCs w:val="22"/>
        </w:rPr>
        <w:t>CG Docket No. 02-278</w:t>
      </w:r>
    </w:p>
    <w:p w:rsidR="00277CAE" w:rsidRDefault="00277CAE">
      <w:pPr>
        <w:jc w:val="center"/>
        <w:rPr>
          <w:szCs w:val="22"/>
        </w:rPr>
      </w:pPr>
    </w:p>
    <w:p w:rsidR="00277CAE" w:rsidRPr="00662DB6" w:rsidRDefault="00277CAE">
      <w:pPr>
        <w:pStyle w:val="Heading3"/>
        <w:numPr>
          <w:ilvl w:val="0"/>
          <w:numId w:val="0"/>
        </w:numPr>
        <w:spacing w:after="0"/>
        <w:rPr>
          <w:szCs w:val="22"/>
        </w:rPr>
      </w:pPr>
      <w:r w:rsidRPr="00662DB6">
        <w:rPr>
          <w:szCs w:val="22"/>
        </w:rPr>
        <w:t>Comment Date:  December 19, 2013</w:t>
      </w:r>
    </w:p>
    <w:p w:rsidR="00277CAE" w:rsidRPr="00662DB6" w:rsidRDefault="00277CAE">
      <w:pPr>
        <w:rPr>
          <w:b/>
          <w:szCs w:val="22"/>
        </w:rPr>
      </w:pPr>
      <w:r w:rsidRPr="00662DB6">
        <w:rPr>
          <w:b/>
          <w:szCs w:val="22"/>
        </w:rPr>
        <w:t>Reply Comment Date:  January 4, 2014</w:t>
      </w:r>
    </w:p>
    <w:p w:rsidR="00277CAE" w:rsidRDefault="00277CAE">
      <w:pPr>
        <w:rPr>
          <w:b/>
          <w:szCs w:val="22"/>
        </w:rPr>
      </w:pPr>
    </w:p>
    <w:p w:rsidR="00277CAE" w:rsidRDefault="00277CAE">
      <w:pPr>
        <w:autoSpaceDE w:val="0"/>
        <w:autoSpaceDN w:val="0"/>
        <w:adjustRightInd w:val="0"/>
        <w:ind w:firstLine="720"/>
        <w:rPr>
          <w:szCs w:val="22"/>
        </w:rPr>
      </w:pPr>
      <w:r>
        <w:rPr>
          <w:szCs w:val="22"/>
        </w:rPr>
        <w:t>With this Public Notice, and consistent with sections 1.2(b) and 1.403 of the Commission’s rules, we seek comment on the Petition for Expedited Declaratory Ruling and/or Expedited Rulemaking filed by the Professional Association for Customer Engagement (PACE).</w:t>
      </w:r>
      <w:r>
        <w:rPr>
          <w:rStyle w:val="FootnoteReference"/>
          <w:szCs w:val="22"/>
        </w:rPr>
        <w:footnoteReference w:id="1"/>
      </w:r>
      <w:r>
        <w:rPr>
          <w:szCs w:val="22"/>
        </w:rPr>
        <w:t xml:space="preserve">  PACE seeks clarification through an Expedited Declaratory Ruling that a dialing system is not an automatic telephone dialing system for purposes of the Telephone Consumer Protection Act (TCPA)</w:t>
      </w:r>
      <w:r>
        <w:rPr>
          <w:rStyle w:val="FootnoteReference"/>
          <w:szCs w:val="22"/>
        </w:rPr>
        <w:footnoteReference w:id="2"/>
      </w:r>
      <w:r>
        <w:rPr>
          <w:szCs w:val="22"/>
        </w:rPr>
        <w:t xml:space="preserve"> unless it has the capacity to dial numbers without human intervention, regardless of whether a call is initiated by entering ten digits of a telephone number or by a one-click dialing method.</w:t>
      </w:r>
      <w:r>
        <w:rPr>
          <w:rStyle w:val="FootnoteReference"/>
          <w:szCs w:val="22"/>
        </w:rPr>
        <w:footnoteReference w:id="3"/>
      </w:r>
      <w:r>
        <w:rPr>
          <w:szCs w:val="22"/>
        </w:rPr>
        <w:t xml:space="preserve">  PACE also seeks clarification that, for TCPA purposes, a dialing system’s “capacity” is limited to what it is capable of doing, without further modification, at the time the call is placed.</w:t>
      </w:r>
      <w:r>
        <w:rPr>
          <w:rStyle w:val="FootnoteReference"/>
          <w:szCs w:val="22"/>
        </w:rPr>
        <w:footnoteReference w:id="4"/>
      </w:r>
      <w:r>
        <w:rPr>
          <w:szCs w:val="22"/>
        </w:rPr>
        <w:t xml:space="preserve">  PACE asserts that the Commission could provide the requested clarification in a Declaratory Ruling because no rule changes would be necessary.</w:t>
      </w:r>
      <w:r>
        <w:rPr>
          <w:rStyle w:val="FootnoteReference"/>
          <w:szCs w:val="22"/>
        </w:rPr>
        <w:footnoteReference w:id="5"/>
      </w:r>
    </w:p>
    <w:p w:rsidR="00277CAE" w:rsidRDefault="00277CAE">
      <w:pPr>
        <w:autoSpaceDE w:val="0"/>
        <w:autoSpaceDN w:val="0"/>
        <w:adjustRightInd w:val="0"/>
        <w:ind w:firstLine="720"/>
        <w:rPr>
          <w:szCs w:val="22"/>
        </w:rPr>
      </w:pPr>
    </w:p>
    <w:p w:rsidR="00277CAE" w:rsidRDefault="00277CAE">
      <w:pPr>
        <w:autoSpaceDE w:val="0"/>
        <w:autoSpaceDN w:val="0"/>
        <w:adjustRightInd w:val="0"/>
        <w:ind w:firstLine="720"/>
      </w:pPr>
      <w:r>
        <w:rPr>
          <w:szCs w:val="22"/>
        </w:rPr>
        <w:t>In the alternative, PACE requests an Expedited Rulemaking should the Commission disagree that Declaratory Ruling is appropriate.</w:t>
      </w:r>
      <w:r>
        <w:rPr>
          <w:rStyle w:val="FootnoteReference"/>
          <w:szCs w:val="22"/>
        </w:rPr>
        <w:footnoteReference w:id="6"/>
      </w:r>
      <w:r>
        <w:rPr>
          <w:szCs w:val="22"/>
        </w:rPr>
        <w:t xml:space="preserve">  PACE requests that, in an Expedited Rulemaking, the Commission define the term “capacity” as used in the TCPA and the Commission’s rules as “the current ability to </w:t>
      </w:r>
      <w:r>
        <w:rPr>
          <w:szCs w:val="22"/>
        </w:rPr>
        <w:lastRenderedPageBreak/>
        <w:t>operate or perform an action, when placing a call, without first being modified or technologically altered.”</w:t>
      </w:r>
      <w:r>
        <w:rPr>
          <w:rStyle w:val="FootnoteReference"/>
          <w:szCs w:val="22"/>
        </w:rPr>
        <w:footnoteReference w:id="7"/>
      </w:r>
      <w:r>
        <w:rPr>
          <w:szCs w:val="22"/>
        </w:rPr>
        <w:t xml:space="preserve">  PACE further asks that the Expedited Rulemaking modify the definition of “automatic telephone dialing system” in section 64.1200(f)(2) of the Commission’s rules by adding, to the end of the definition, “without human intervention.”</w:t>
      </w:r>
      <w:r>
        <w:rPr>
          <w:rStyle w:val="FootnoteReference"/>
          <w:szCs w:val="22"/>
        </w:rPr>
        <w:footnoteReference w:id="8"/>
      </w:r>
    </w:p>
    <w:p w:rsidR="00277CAE" w:rsidRDefault="00277CAE">
      <w:pPr>
        <w:autoSpaceDE w:val="0"/>
        <w:autoSpaceDN w:val="0"/>
        <w:adjustRightInd w:val="0"/>
        <w:ind w:firstLine="720"/>
      </w:pPr>
    </w:p>
    <w:p w:rsidR="00277CAE" w:rsidRDefault="00277CAE">
      <w:pPr>
        <w:autoSpaceDE w:val="0"/>
        <w:autoSpaceDN w:val="0"/>
        <w:adjustRightInd w:val="0"/>
        <w:ind w:firstLine="720"/>
      </w:pPr>
      <w:r>
        <w:t xml:space="preserve">We seek comment on PACE’s </w:t>
      </w:r>
      <w:r>
        <w:rPr>
          <w:i/>
        </w:rPr>
        <w:t>Petition</w:t>
      </w:r>
      <w:r>
        <w:t>, including whether declaratory ruling or rulemaking is the appropriate type of proceeding in which to consider the merits of its arguments.</w:t>
      </w:r>
    </w:p>
    <w:p w:rsidR="00277CAE" w:rsidRDefault="00277CAE">
      <w:pPr>
        <w:autoSpaceDE w:val="0"/>
        <w:autoSpaceDN w:val="0"/>
        <w:adjustRightInd w:val="0"/>
        <w:ind w:firstLine="720"/>
      </w:pPr>
    </w:p>
    <w:p w:rsidR="00277CAE" w:rsidRDefault="00277CAE">
      <w:pPr>
        <w:ind w:firstLine="720"/>
        <w:rPr>
          <w:szCs w:val="22"/>
        </w:rPr>
      </w:pPr>
      <w:r>
        <w:rPr>
          <w:szCs w:val="22"/>
        </w:rPr>
        <w:t>Pursuant to sections 1.415 and 1.419 of the Commission’s rules,</w:t>
      </w:r>
      <w:r>
        <w:rPr>
          <w:rStyle w:val="FootnoteReference"/>
          <w:szCs w:val="22"/>
        </w:rPr>
        <w:footnoteReference w:id="9"/>
      </w:r>
      <w:r>
        <w:rPr>
          <w:szCs w:val="22"/>
        </w:rPr>
        <w:t xml:space="preserve"> interested parties may file comments and reply comments on or before the respective dates indicated on the first page of this Notice.  Comments may be filed using the Commission’s Electronic Comment Filing System (ECFS).  </w:t>
      </w:r>
      <w:r>
        <w:rPr>
          <w:i/>
          <w:szCs w:val="22"/>
        </w:rPr>
        <w:t>See Electronic Filing of Documents in Rulemaking Proceedings</w:t>
      </w:r>
      <w:r>
        <w:rPr>
          <w:szCs w:val="22"/>
        </w:rPr>
        <w:t>, 63 FR 24121 (1998).</w:t>
      </w:r>
    </w:p>
    <w:p w:rsidR="00277CAE" w:rsidRDefault="00277CAE">
      <w:pPr>
        <w:rPr>
          <w:szCs w:val="22"/>
        </w:rPr>
      </w:pPr>
    </w:p>
    <w:p w:rsidR="00277CAE" w:rsidRDefault="00277CAE">
      <w:pPr>
        <w:numPr>
          <w:ilvl w:val="0"/>
          <w:numId w:val="4"/>
        </w:numPr>
        <w:tabs>
          <w:tab w:val="clear" w:pos="720"/>
          <w:tab w:val="num" w:pos="1080"/>
        </w:tabs>
        <w:ind w:left="1080"/>
        <w:rPr>
          <w:szCs w:val="22"/>
        </w:rPr>
      </w:pPr>
      <w:r>
        <w:rPr>
          <w:szCs w:val="22"/>
        </w:rPr>
        <w:t xml:space="preserve">Electronic Filers:  Comments may be filed electronically using the Internet by accessing the ECFS:  </w:t>
      </w:r>
      <w:hyperlink r:id="rId8" w:history="1">
        <w:r>
          <w:rPr>
            <w:rStyle w:val="Hyperlink"/>
            <w:szCs w:val="22"/>
          </w:rPr>
          <w:t>http://fjallfoss.fcc.gov/ecfs2/</w:t>
        </w:r>
      </w:hyperlink>
      <w:r>
        <w:rPr>
          <w:szCs w:val="22"/>
        </w:rPr>
        <w:t xml:space="preserve">.  </w:t>
      </w:r>
    </w:p>
    <w:p w:rsidR="00277CAE" w:rsidRDefault="00277CAE">
      <w:pPr>
        <w:ind w:left="360"/>
        <w:rPr>
          <w:szCs w:val="22"/>
        </w:rPr>
      </w:pPr>
    </w:p>
    <w:p w:rsidR="00277CAE" w:rsidRDefault="00277CAE">
      <w:pPr>
        <w:numPr>
          <w:ilvl w:val="0"/>
          <w:numId w:val="2"/>
        </w:numPr>
        <w:tabs>
          <w:tab w:val="clear" w:pos="720"/>
          <w:tab w:val="num" w:pos="1080"/>
        </w:tabs>
        <w:ind w:left="1080"/>
        <w:rPr>
          <w:szCs w:val="22"/>
        </w:rPr>
      </w:pPr>
      <w:r>
        <w:rPr>
          <w:szCs w:val="22"/>
        </w:rPr>
        <w:t xml:space="preserve">Paper Filers:  Parties who choose to file by paper must file an original and one copy of each filing.  </w:t>
      </w:r>
    </w:p>
    <w:p w:rsidR="00277CAE" w:rsidRDefault="00277CAE">
      <w:pPr>
        <w:ind w:left="720"/>
        <w:rPr>
          <w:szCs w:val="22"/>
        </w:rPr>
      </w:pPr>
    </w:p>
    <w:p w:rsidR="00277CAE" w:rsidRDefault="00277CAE">
      <w:pPr>
        <w:numPr>
          <w:ilvl w:val="0"/>
          <w:numId w:val="2"/>
        </w:numPr>
        <w:tabs>
          <w:tab w:val="clear" w:pos="720"/>
          <w:tab w:val="num" w:pos="1080"/>
        </w:tabs>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77CAE" w:rsidRDefault="00277CAE">
      <w:pPr>
        <w:ind w:left="360"/>
        <w:rPr>
          <w:szCs w:val="22"/>
        </w:rPr>
      </w:pPr>
    </w:p>
    <w:p w:rsidR="00277CAE" w:rsidRDefault="00277CAE">
      <w:pPr>
        <w:numPr>
          <w:ilvl w:val="0"/>
          <w:numId w:val="3"/>
        </w:numPr>
        <w:tabs>
          <w:tab w:val="clear" w:pos="1440"/>
          <w:tab w:val="num" w:pos="1080"/>
        </w:tabs>
        <w:ind w:left="108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277CAE" w:rsidRDefault="00277CAE">
      <w:pPr>
        <w:ind w:left="720"/>
        <w:rPr>
          <w:szCs w:val="22"/>
        </w:rPr>
      </w:pPr>
    </w:p>
    <w:p w:rsidR="00277CAE" w:rsidRDefault="00277CAE">
      <w:pPr>
        <w:numPr>
          <w:ilvl w:val="0"/>
          <w:numId w:val="3"/>
        </w:numPr>
        <w:tabs>
          <w:tab w:val="clear" w:pos="1440"/>
          <w:tab w:val="num" w:pos="1080"/>
        </w:tabs>
        <w:ind w:left="1080"/>
        <w:rPr>
          <w:szCs w:val="22"/>
        </w:rPr>
      </w:pPr>
      <w:r>
        <w:rPr>
          <w:szCs w:val="22"/>
        </w:rPr>
        <w:t>Commercial overnight mail (other than U.S. Postal Service Express Mail and Priority Mail) must be sent to 9300 East Hampton Drive, Capitol Heights, MD  20743.</w:t>
      </w:r>
    </w:p>
    <w:p w:rsidR="00277CAE" w:rsidRDefault="00277CAE">
      <w:pPr>
        <w:rPr>
          <w:szCs w:val="22"/>
        </w:rPr>
      </w:pPr>
    </w:p>
    <w:p w:rsidR="00277CAE" w:rsidRDefault="00277CAE">
      <w:pPr>
        <w:numPr>
          <w:ilvl w:val="0"/>
          <w:numId w:val="3"/>
        </w:numPr>
        <w:tabs>
          <w:tab w:val="clear" w:pos="1440"/>
          <w:tab w:val="num" w:pos="1080"/>
        </w:tabs>
        <w:ind w:left="108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277CAE" w:rsidRDefault="00277CAE">
      <w:pPr>
        <w:rPr>
          <w:szCs w:val="22"/>
        </w:rPr>
      </w:pPr>
    </w:p>
    <w:p w:rsidR="00277CAE" w:rsidRDefault="00277CAE">
      <w:pPr>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and Governmental Affairs Bureau at 202-418-0530 (voice), 202-418-0432 (tty).</w:t>
      </w:r>
    </w:p>
    <w:p w:rsidR="00277CAE" w:rsidRDefault="00277CAE">
      <w:pPr>
        <w:autoSpaceDE w:val="0"/>
        <w:autoSpaceDN w:val="0"/>
        <w:adjustRightInd w:val="0"/>
        <w:ind w:firstLine="720"/>
        <w:rPr>
          <w:szCs w:val="22"/>
        </w:rPr>
      </w:pPr>
    </w:p>
    <w:p w:rsidR="00277CAE" w:rsidRDefault="00277CAE">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0"/>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r>
        <w:rPr>
          <w:szCs w:val="22"/>
        </w:rPr>
        <w:tab/>
      </w:r>
    </w:p>
    <w:p w:rsidR="00277CAE" w:rsidRDefault="00277CAE">
      <w:pPr>
        <w:autoSpaceDE w:val="0"/>
        <w:autoSpaceDN w:val="0"/>
        <w:adjustRightInd w:val="0"/>
        <w:rPr>
          <w:szCs w:val="22"/>
        </w:rPr>
      </w:pPr>
    </w:p>
    <w:p w:rsidR="00277CAE" w:rsidRDefault="00277CAE">
      <w:pPr>
        <w:rPr>
          <w:szCs w:val="22"/>
        </w:rPr>
      </w:pPr>
      <w:r>
        <w:rPr>
          <w:b/>
          <w:szCs w:val="22"/>
        </w:rPr>
        <w:t>FOR FURTHER INFORMATION CONTACT:</w:t>
      </w:r>
      <w:r>
        <w:rPr>
          <w:szCs w:val="22"/>
        </w:rPr>
        <w:t xml:space="preserve">  Kristi Lemoine, Consumer and Governmental Affairs Bureau, Federal Communications Commission, 202-418-2467, and </w:t>
      </w:r>
      <w:hyperlink r:id="rId10" w:history="1">
        <w:r>
          <w:rPr>
            <w:rStyle w:val="Hyperlink"/>
            <w:szCs w:val="22"/>
          </w:rPr>
          <w:t>kristi.lemoine@fcc.gov</w:t>
        </w:r>
      </w:hyperlink>
      <w:r>
        <w:rPr>
          <w:szCs w:val="22"/>
        </w:rPr>
        <w:t>.</w:t>
      </w:r>
    </w:p>
    <w:p w:rsidR="00277CAE" w:rsidRDefault="00277CAE">
      <w:pPr>
        <w:rPr>
          <w:szCs w:val="22"/>
        </w:rPr>
      </w:pPr>
    </w:p>
    <w:p w:rsidR="00277CAE" w:rsidRDefault="00277CAE">
      <w:pPr>
        <w:jc w:val="center"/>
        <w:rPr>
          <w:b/>
          <w:szCs w:val="22"/>
        </w:rPr>
      </w:pPr>
      <w:r>
        <w:rPr>
          <w:b/>
          <w:szCs w:val="22"/>
        </w:rPr>
        <w:t>-FCC-</w:t>
      </w:r>
    </w:p>
    <w:p w:rsidR="00277CAE" w:rsidRDefault="00277CAE"/>
    <w:sectPr w:rsidR="00277CA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A5" w:rsidRDefault="00AC2FA5">
      <w:r>
        <w:separator/>
      </w:r>
    </w:p>
  </w:endnote>
  <w:endnote w:type="continuationSeparator" w:id="0">
    <w:p w:rsidR="00AC2FA5" w:rsidRDefault="00AC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E" w:rsidRDefault="0027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AE" w:rsidRDefault="00277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E" w:rsidRDefault="0027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DB6">
      <w:rPr>
        <w:rStyle w:val="PageNumber"/>
        <w:noProof/>
      </w:rPr>
      <w:t>3</w:t>
    </w:r>
    <w:r>
      <w:rPr>
        <w:rStyle w:val="PageNumber"/>
      </w:rPr>
      <w:fldChar w:fldCharType="end"/>
    </w:r>
  </w:p>
  <w:p w:rsidR="00277CAE" w:rsidRDefault="00277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28" w:rsidRDefault="006A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A5" w:rsidRDefault="00AC2FA5">
      <w:r>
        <w:separator/>
      </w:r>
    </w:p>
  </w:footnote>
  <w:footnote w:type="continuationSeparator" w:id="0">
    <w:p w:rsidR="00AC2FA5" w:rsidRDefault="00AC2FA5">
      <w:r>
        <w:continuationSeparator/>
      </w:r>
    </w:p>
  </w:footnote>
  <w:footnote w:id="1">
    <w:p w:rsidR="00277CAE" w:rsidRDefault="00277CAE">
      <w:pPr>
        <w:pStyle w:val="FootnoteText"/>
        <w:rPr>
          <w:sz w:val="20"/>
        </w:rPr>
      </w:pPr>
      <w:r>
        <w:rPr>
          <w:rStyle w:val="FootnoteReference"/>
          <w:sz w:val="20"/>
        </w:rPr>
        <w:footnoteRef/>
      </w:r>
      <w:r>
        <w:rPr>
          <w:sz w:val="20"/>
        </w:rPr>
        <w:t xml:space="preserve"> </w:t>
      </w:r>
      <w:r>
        <w:rPr>
          <w:i/>
          <w:sz w:val="20"/>
        </w:rPr>
        <w:t>See Professional Association for Customer Engagement,</w:t>
      </w:r>
      <w:r>
        <w:rPr>
          <w:sz w:val="20"/>
        </w:rPr>
        <w:t xml:space="preserve"> Petition for Expedited Declaratory Ruling and/or Expedited Rulemaking, CG Docket No. 02-278 (filed Oct. 18, 2013) (</w:t>
      </w:r>
      <w:r>
        <w:rPr>
          <w:i/>
          <w:sz w:val="20"/>
        </w:rPr>
        <w:t>Petition</w:t>
      </w:r>
      <w:r>
        <w:rPr>
          <w:sz w:val="20"/>
        </w:rPr>
        <w:t xml:space="preserve">).  PACE is a “non-profit trade organization dedicated exclusively to the advancement of companies that utilize contact centers as an integral channel of operations.”  </w:t>
      </w:r>
      <w:r>
        <w:rPr>
          <w:i/>
          <w:sz w:val="20"/>
        </w:rPr>
        <w:t>Petition</w:t>
      </w:r>
      <w:r>
        <w:rPr>
          <w:sz w:val="20"/>
        </w:rPr>
        <w:t xml:space="preserve"> at 4.  The Petition is styled differently on the cover page than it is within the Petition itself.  The body of the Petition, however, is clear that PACE requests an expedited a rulemaking “[i]n the alternative” to a declaratory ruling, rather than “and/or” a declaratory ruling.  </w:t>
      </w:r>
      <w:r>
        <w:rPr>
          <w:i/>
          <w:sz w:val="20"/>
        </w:rPr>
        <w:t xml:space="preserve">Compare Petition at </w:t>
      </w:r>
      <w:r>
        <w:rPr>
          <w:sz w:val="20"/>
        </w:rPr>
        <w:t>1</w:t>
      </w:r>
      <w:r>
        <w:rPr>
          <w:i/>
          <w:sz w:val="20"/>
        </w:rPr>
        <w:t xml:space="preserve"> with </w:t>
      </w:r>
      <w:r>
        <w:rPr>
          <w:sz w:val="20"/>
        </w:rPr>
        <w:t>3.</w:t>
      </w:r>
    </w:p>
  </w:footnote>
  <w:footnote w:id="2">
    <w:p w:rsidR="00277CAE" w:rsidRDefault="00277CAE">
      <w:pPr>
        <w:pStyle w:val="FootnoteText"/>
      </w:pPr>
      <w:r>
        <w:rPr>
          <w:rStyle w:val="FootnoteReference"/>
        </w:rPr>
        <w:footnoteRef/>
      </w:r>
      <w:r>
        <w:t xml:space="preserve"> </w:t>
      </w:r>
      <w:r>
        <w:rPr>
          <w:sz w:val="20"/>
        </w:rPr>
        <w:t>Codified as 47 U.S.C. § 227.</w:t>
      </w:r>
    </w:p>
  </w:footnote>
  <w:footnote w:id="3">
    <w:p w:rsidR="00277CAE" w:rsidRDefault="00277CAE">
      <w:pPr>
        <w:pStyle w:val="FootnoteText"/>
      </w:pPr>
      <w:r>
        <w:rPr>
          <w:rStyle w:val="FootnoteReference"/>
        </w:rPr>
        <w:footnoteRef/>
      </w:r>
      <w:r>
        <w:t xml:space="preserve"> </w:t>
      </w:r>
      <w:r>
        <w:rPr>
          <w:i/>
          <w:sz w:val="20"/>
        </w:rPr>
        <w:t>Petition</w:t>
      </w:r>
      <w:r>
        <w:rPr>
          <w:sz w:val="20"/>
        </w:rPr>
        <w:t xml:space="preserve"> at 4.  </w:t>
      </w:r>
    </w:p>
  </w:footnote>
  <w:footnote w:id="4">
    <w:p w:rsidR="00277CAE" w:rsidRDefault="00277CAE">
      <w:pPr>
        <w:pStyle w:val="FootnoteText"/>
        <w:rPr>
          <w:sz w:val="20"/>
        </w:rPr>
      </w:pPr>
      <w:r>
        <w:rPr>
          <w:rStyle w:val="FootnoteReference"/>
        </w:rPr>
        <w:footnoteRef/>
      </w:r>
      <w:r>
        <w:t xml:space="preserve"> </w:t>
      </w:r>
      <w:r>
        <w:rPr>
          <w:i/>
          <w:sz w:val="20"/>
        </w:rPr>
        <w:t>Id.</w:t>
      </w:r>
      <w:r>
        <w:rPr>
          <w:sz w:val="20"/>
        </w:rPr>
        <w:t xml:space="preserve">  </w:t>
      </w:r>
    </w:p>
  </w:footnote>
  <w:footnote w:id="5">
    <w:p w:rsidR="00277CAE" w:rsidRDefault="00277CAE">
      <w:pPr>
        <w:pStyle w:val="FootnoteText"/>
        <w:rPr>
          <w:sz w:val="20"/>
        </w:rPr>
      </w:pPr>
      <w:r>
        <w:rPr>
          <w:rStyle w:val="FootnoteReference"/>
        </w:rPr>
        <w:footnoteRef/>
      </w:r>
      <w:r>
        <w:t xml:space="preserve"> </w:t>
      </w:r>
      <w:r>
        <w:rPr>
          <w:i/>
          <w:sz w:val="20"/>
        </w:rPr>
        <w:t xml:space="preserve">Id. </w:t>
      </w:r>
      <w:r>
        <w:rPr>
          <w:sz w:val="20"/>
        </w:rPr>
        <w:t>at 12.</w:t>
      </w:r>
    </w:p>
  </w:footnote>
  <w:footnote w:id="6">
    <w:p w:rsidR="00277CAE" w:rsidRDefault="00277CAE">
      <w:pPr>
        <w:pStyle w:val="FootnoteText"/>
      </w:pPr>
      <w:r>
        <w:rPr>
          <w:rStyle w:val="FootnoteReference"/>
        </w:rPr>
        <w:footnoteRef/>
      </w:r>
      <w:r>
        <w:t xml:space="preserve"> </w:t>
      </w:r>
      <w:r>
        <w:rPr>
          <w:i/>
          <w:sz w:val="20"/>
        </w:rPr>
        <w:t>Id.</w:t>
      </w:r>
      <w:r>
        <w:rPr>
          <w:sz w:val="20"/>
        </w:rPr>
        <w:t xml:space="preserve">  </w:t>
      </w:r>
      <w:r>
        <w:rPr>
          <w:i/>
          <w:sz w:val="20"/>
        </w:rPr>
        <w:t>See also</w:t>
      </w:r>
      <w:r>
        <w:rPr>
          <w:sz w:val="20"/>
        </w:rPr>
        <w:t xml:space="preserve"> 47 C.F.R. § 1.2(a).</w:t>
      </w:r>
    </w:p>
  </w:footnote>
  <w:footnote w:id="7">
    <w:p w:rsidR="00277CAE" w:rsidRDefault="00277CAE">
      <w:pPr>
        <w:pStyle w:val="FootnoteText"/>
      </w:pPr>
      <w:r>
        <w:rPr>
          <w:rStyle w:val="FootnoteReference"/>
        </w:rPr>
        <w:footnoteRef/>
      </w:r>
      <w:r>
        <w:t xml:space="preserve"> </w:t>
      </w:r>
      <w:r>
        <w:rPr>
          <w:i/>
          <w:sz w:val="20"/>
        </w:rPr>
        <w:t>Petition</w:t>
      </w:r>
      <w:r>
        <w:rPr>
          <w:sz w:val="20"/>
        </w:rPr>
        <w:t xml:space="preserve"> at 12-13.  </w:t>
      </w:r>
    </w:p>
  </w:footnote>
  <w:footnote w:id="8">
    <w:p w:rsidR="00277CAE" w:rsidRDefault="00277CAE">
      <w:pPr>
        <w:pStyle w:val="FootnoteText"/>
      </w:pPr>
      <w:r>
        <w:rPr>
          <w:rStyle w:val="FootnoteReference"/>
        </w:rPr>
        <w:footnoteRef/>
      </w:r>
      <w:r>
        <w:t xml:space="preserve"> </w:t>
      </w:r>
      <w:r>
        <w:rPr>
          <w:i/>
          <w:sz w:val="20"/>
        </w:rPr>
        <w:t>Petition</w:t>
      </w:r>
      <w:r>
        <w:rPr>
          <w:sz w:val="20"/>
        </w:rPr>
        <w:t xml:space="preserve"> at 13; 47 C.F.R. § 64.1200(f)(2).  </w:t>
      </w:r>
    </w:p>
  </w:footnote>
  <w:footnote w:id="9">
    <w:p w:rsidR="00277CAE" w:rsidRDefault="00277CAE">
      <w:pPr>
        <w:pStyle w:val="FootnoteText"/>
      </w:pPr>
      <w:r>
        <w:rPr>
          <w:rStyle w:val="FootnoteReference"/>
        </w:rPr>
        <w:footnoteRef/>
      </w:r>
      <w:r>
        <w:t xml:space="preserve"> </w:t>
      </w:r>
      <w:r>
        <w:rPr>
          <w:sz w:val="20"/>
        </w:rPr>
        <w:t>47 C.F.R. §§ 1.415, 1.419.</w:t>
      </w:r>
    </w:p>
  </w:footnote>
  <w:footnote w:id="10">
    <w:p w:rsidR="00277CAE" w:rsidRDefault="00277CAE">
      <w:pPr>
        <w:pStyle w:val="FootnoteText"/>
        <w:rPr>
          <w:iCs/>
          <w:sz w:val="20"/>
        </w:rPr>
      </w:pPr>
      <w:r>
        <w:rPr>
          <w:rStyle w:val="FootnoteReference"/>
          <w:sz w:val="20"/>
        </w:rPr>
        <w:footnoteRef/>
      </w:r>
      <w:r>
        <w:rPr>
          <w:sz w:val="20"/>
        </w:rPr>
        <w:t xml:space="preserve"> 47 C.F.R. §§ 1.1200 </w:t>
      </w:r>
      <w:r>
        <w:rPr>
          <w:i/>
          <w:iCs/>
          <w:sz w:val="20"/>
        </w:rPr>
        <w:t>et seq</w:t>
      </w:r>
      <w:r>
        <w:rPr>
          <w:iCs/>
          <w:sz w:val="20"/>
        </w:rPr>
        <w:t>.</w:t>
      </w:r>
    </w:p>
    <w:p w:rsidR="00277CAE" w:rsidRDefault="00277CAE">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28" w:rsidRDefault="006A6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28" w:rsidRDefault="006A6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E" w:rsidRDefault="00662DB6">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CAE" w:rsidRDefault="00277CAE">
                          <w:pPr>
                            <w:rPr>
                              <w:rFonts w:ascii="Arial" w:hAnsi="Arial"/>
                              <w:b/>
                            </w:rPr>
                          </w:pPr>
                          <w:r>
                            <w:rPr>
                              <w:rFonts w:ascii="Arial" w:hAnsi="Arial"/>
                              <w:b/>
                            </w:rPr>
                            <w:t>Federal Communications Commission</w:t>
                          </w:r>
                        </w:p>
                        <w:p w:rsidR="00277CAE" w:rsidRDefault="00277CA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CAE" w:rsidRDefault="00277CA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277CAE" w:rsidRDefault="00277CAE">
                    <w:pPr>
                      <w:rPr>
                        <w:rFonts w:ascii="Arial" w:hAnsi="Arial"/>
                        <w:b/>
                      </w:rPr>
                    </w:pPr>
                    <w:r>
                      <w:rPr>
                        <w:rFonts w:ascii="Arial" w:hAnsi="Arial"/>
                        <w:b/>
                      </w:rPr>
                      <w:t>Federal Communications Commission</w:t>
                    </w:r>
                  </w:p>
                  <w:p w:rsidR="00277CAE" w:rsidRDefault="00277CA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CAE" w:rsidRDefault="00277CAE">
                    <w:pPr>
                      <w:rPr>
                        <w:rFonts w:ascii="Arial" w:hAnsi="Arial"/>
                        <w:sz w:val="24"/>
                      </w:rPr>
                    </w:pPr>
                    <w:r>
                      <w:rPr>
                        <w:rFonts w:ascii="Arial" w:hAnsi="Arial"/>
                        <w:b/>
                      </w:rPr>
                      <w:t>Washington, D.C. 20554</w:t>
                    </w:r>
                  </w:p>
                </w:txbxContent>
              </v:textbox>
            </v:shape>
          </w:pict>
        </mc:Fallback>
      </mc:AlternateContent>
    </w:r>
    <w:r w:rsidR="00277CAE">
      <w:rPr>
        <w:rFonts w:ascii="Arial" w:hAnsi="Arial" w:cs="Arial"/>
        <w:b/>
        <w:kern w:val="28"/>
        <w:sz w:val="96"/>
      </w:rPr>
      <w:t>PUBLIC NOTICE</w:t>
    </w:r>
  </w:p>
  <w:p w:rsidR="00277CAE" w:rsidRDefault="00662DB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CAE" w:rsidRDefault="00277CAE">
                          <w:pPr>
                            <w:spacing w:before="40"/>
                            <w:jc w:val="right"/>
                            <w:rPr>
                              <w:rFonts w:ascii="Arial" w:hAnsi="Arial"/>
                              <w:b/>
                              <w:sz w:val="16"/>
                            </w:rPr>
                          </w:pPr>
                          <w:r>
                            <w:rPr>
                              <w:rFonts w:ascii="Arial" w:hAnsi="Arial"/>
                              <w:b/>
                              <w:sz w:val="16"/>
                            </w:rPr>
                            <w:t>News Media Information 202 / 418-0500</w:t>
                          </w:r>
                        </w:p>
                        <w:p w:rsidR="00277CAE" w:rsidRDefault="00277CA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77CAE" w:rsidRDefault="00277CAE">
                          <w:pPr>
                            <w:jc w:val="right"/>
                            <w:rPr>
                              <w:rFonts w:ascii="Arial" w:hAnsi="Arial"/>
                              <w:b/>
                              <w:sz w:val="16"/>
                            </w:rPr>
                          </w:pPr>
                          <w:r>
                            <w:rPr>
                              <w:rFonts w:ascii="Arial" w:hAnsi="Arial"/>
                              <w:b/>
                              <w:sz w:val="16"/>
                            </w:rPr>
                            <w:t>TTY: 1-888-835-5322</w:t>
                          </w:r>
                        </w:p>
                        <w:p w:rsidR="00277CAE" w:rsidRDefault="00277CA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XN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nfrXN&#10;gQIAAA4FAAAOAAAAAAAAAAAAAAAAAC4CAABkcnMvZTJvRG9jLnhtbFBLAQItABQABgAIAAAAIQBY&#10;5ieE3wAAAAoBAAAPAAAAAAAAAAAAAAAAANsEAABkcnMvZG93bnJldi54bWxQSwUGAAAAAAQABADz&#10;AAAA5wUAAAAA&#10;" stroked="f">
              <v:textbox inset=",0,,0">
                <w:txbxContent>
                  <w:p w:rsidR="00277CAE" w:rsidRDefault="00277CAE">
                    <w:pPr>
                      <w:spacing w:before="40"/>
                      <w:jc w:val="right"/>
                      <w:rPr>
                        <w:rFonts w:ascii="Arial" w:hAnsi="Arial"/>
                        <w:b/>
                        <w:sz w:val="16"/>
                      </w:rPr>
                    </w:pPr>
                    <w:r>
                      <w:rPr>
                        <w:rFonts w:ascii="Arial" w:hAnsi="Arial"/>
                        <w:b/>
                        <w:sz w:val="16"/>
                      </w:rPr>
                      <w:t>News Media Information 202 / 418-0500</w:t>
                    </w:r>
                  </w:p>
                  <w:p w:rsidR="00277CAE" w:rsidRDefault="00277CA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77CAE" w:rsidRDefault="00277CAE">
                    <w:pPr>
                      <w:jc w:val="right"/>
                      <w:rPr>
                        <w:rFonts w:ascii="Arial" w:hAnsi="Arial"/>
                        <w:b/>
                        <w:sz w:val="16"/>
                      </w:rPr>
                    </w:pPr>
                    <w:r>
                      <w:rPr>
                        <w:rFonts w:ascii="Arial" w:hAnsi="Arial"/>
                        <w:b/>
                        <w:sz w:val="16"/>
                      </w:rPr>
                      <w:t>TTY: 1-888-835-5322</w:t>
                    </w:r>
                  </w:p>
                  <w:p w:rsidR="00277CAE" w:rsidRDefault="00277CAE">
                    <w:pPr>
                      <w:jc w:val="right"/>
                    </w:pPr>
                  </w:p>
                </w:txbxContent>
              </v:textbox>
            </v:shape>
          </w:pict>
        </mc:Fallback>
      </mc:AlternateContent>
    </w:r>
  </w:p>
  <w:p w:rsidR="00277CAE" w:rsidRDefault="00662DB6">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13335" t="12700"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E7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F8"/>
    <w:rsid w:val="00277CAE"/>
    <w:rsid w:val="004A567A"/>
    <w:rsid w:val="00535B0F"/>
    <w:rsid w:val="00662DB6"/>
    <w:rsid w:val="006A6728"/>
    <w:rsid w:val="006D6B85"/>
    <w:rsid w:val="00825EF8"/>
    <w:rsid w:val="00AB3722"/>
    <w:rsid w:val="00AC2FA5"/>
    <w:rsid w:val="00D279C5"/>
    <w:rsid w:val="00E2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1"/>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1"/>
      </w:numPr>
      <w:spacing w:after="220"/>
      <w:jc w:val="both"/>
      <w:outlineLvl w:val="1"/>
    </w:pPr>
    <w:rPr>
      <w:b/>
    </w:rPr>
  </w:style>
  <w:style w:type="paragraph" w:styleId="Heading3">
    <w:name w:val="heading 3"/>
    <w:basedOn w:val="Normal"/>
    <w:next w:val="Normal"/>
    <w:qFormat/>
    <w:pPr>
      <w:keepNext/>
      <w:widowControl w:val="0"/>
      <w:numPr>
        <w:ilvl w:val="2"/>
        <w:numId w:val="1"/>
      </w:numPr>
      <w:spacing w:after="220"/>
      <w:jc w:val="both"/>
      <w:outlineLvl w:val="2"/>
    </w:pPr>
    <w:rPr>
      <w:b/>
    </w:rPr>
  </w:style>
  <w:style w:type="paragraph" w:styleId="Heading4">
    <w:name w:val="heading 4"/>
    <w:basedOn w:val="Normal"/>
    <w:next w:val="Normal"/>
    <w:qFormat/>
    <w:pPr>
      <w:keepNext/>
      <w:widowControl w:val="0"/>
      <w:numPr>
        <w:ilvl w:val="3"/>
        <w:numId w:val="1"/>
      </w:numPr>
      <w:spacing w:after="220"/>
      <w:jc w:val="both"/>
      <w:outlineLvl w:val="3"/>
    </w:pPr>
    <w:rPr>
      <w:b/>
    </w:rPr>
  </w:style>
  <w:style w:type="paragraph" w:styleId="Heading5">
    <w:name w:val="heading 5"/>
    <w:basedOn w:val="Normal"/>
    <w:next w:val="Normal"/>
    <w:qFormat/>
    <w:pPr>
      <w:keepNext/>
      <w:widowControl w:val="0"/>
      <w:numPr>
        <w:ilvl w:val="4"/>
        <w:numId w:val="1"/>
      </w:numPr>
      <w:suppressAutoHyphens/>
      <w:spacing w:after="220"/>
      <w:jc w:val="both"/>
      <w:outlineLvl w:val="4"/>
    </w:pPr>
    <w:rPr>
      <w:b/>
    </w:rPr>
  </w:style>
  <w:style w:type="paragraph" w:styleId="Heading6">
    <w:name w:val="heading 6"/>
    <w:basedOn w:val="Normal"/>
    <w:next w:val="Normal"/>
    <w:qFormat/>
    <w:pPr>
      <w:widowControl w:val="0"/>
      <w:numPr>
        <w:ilvl w:val="5"/>
        <w:numId w:val="1"/>
      </w:numPr>
      <w:spacing w:after="220"/>
      <w:jc w:val="both"/>
      <w:outlineLvl w:val="5"/>
    </w:pPr>
    <w:rPr>
      <w:b/>
    </w:rPr>
  </w:style>
  <w:style w:type="paragraph" w:styleId="Heading7">
    <w:name w:val="heading 7"/>
    <w:basedOn w:val="Normal"/>
    <w:next w:val="Normal"/>
    <w:qFormat/>
    <w:pPr>
      <w:widowControl w:val="0"/>
      <w:numPr>
        <w:ilvl w:val="7"/>
        <w:numId w:val="1"/>
      </w:numPr>
      <w:spacing w:after="220"/>
      <w:jc w:val="both"/>
      <w:outlineLvl w:val="6"/>
    </w:pPr>
    <w:rPr>
      <w:b/>
    </w:rPr>
  </w:style>
  <w:style w:type="paragraph" w:styleId="Heading9">
    <w:name w:val="heading 9"/>
    <w:basedOn w:val="Normal"/>
    <w:next w:val="Normal"/>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character" w:styleId="PageNumber">
    <w:name w:val="page number"/>
    <w:basedOn w:val="DefaultParagraphFont"/>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1"/>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1"/>
      </w:numPr>
      <w:spacing w:after="220"/>
      <w:jc w:val="both"/>
      <w:outlineLvl w:val="1"/>
    </w:pPr>
    <w:rPr>
      <w:b/>
    </w:rPr>
  </w:style>
  <w:style w:type="paragraph" w:styleId="Heading3">
    <w:name w:val="heading 3"/>
    <w:basedOn w:val="Normal"/>
    <w:next w:val="Normal"/>
    <w:qFormat/>
    <w:pPr>
      <w:keepNext/>
      <w:widowControl w:val="0"/>
      <w:numPr>
        <w:ilvl w:val="2"/>
        <w:numId w:val="1"/>
      </w:numPr>
      <w:spacing w:after="220"/>
      <w:jc w:val="both"/>
      <w:outlineLvl w:val="2"/>
    </w:pPr>
    <w:rPr>
      <w:b/>
    </w:rPr>
  </w:style>
  <w:style w:type="paragraph" w:styleId="Heading4">
    <w:name w:val="heading 4"/>
    <w:basedOn w:val="Normal"/>
    <w:next w:val="Normal"/>
    <w:qFormat/>
    <w:pPr>
      <w:keepNext/>
      <w:widowControl w:val="0"/>
      <w:numPr>
        <w:ilvl w:val="3"/>
        <w:numId w:val="1"/>
      </w:numPr>
      <w:spacing w:after="220"/>
      <w:jc w:val="both"/>
      <w:outlineLvl w:val="3"/>
    </w:pPr>
    <w:rPr>
      <w:b/>
    </w:rPr>
  </w:style>
  <w:style w:type="paragraph" w:styleId="Heading5">
    <w:name w:val="heading 5"/>
    <w:basedOn w:val="Normal"/>
    <w:next w:val="Normal"/>
    <w:qFormat/>
    <w:pPr>
      <w:keepNext/>
      <w:widowControl w:val="0"/>
      <w:numPr>
        <w:ilvl w:val="4"/>
        <w:numId w:val="1"/>
      </w:numPr>
      <w:suppressAutoHyphens/>
      <w:spacing w:after="220"/>
      <w:jc w:val="both"/>
      <w:outlineLvl w:val="4"/>
    </w:pPr>
    <w:rPr>
      <w:b/>
    </w:rPr>
  </w:style>
  <w:style w:type="paragraph" w:styleId="Heading6">
    <w:name w:val="heading 6"/>
    <w:basedOn w:val="Normal"/>
    <w:next w:val="Normal"/>
    <w:qFormat/>
    <w:pPr>
      <w:widowControl w:val="0"/>
      <w:numPr>
        <w:ilvl w:val="5"/>
        <w:numId w:val="1"/>
      </w:numPr>
      <w:spacing w:after="220"/>
      <w:jc w:val="both"/>
      <w:outlineLvl w:val="5"/>
    </w:pPr>
    <w:rPr>
      <w:b/>
    </w:rPr>
  </w:style>
  <w:style w:type="paragraph" w:styleId="Heading7">
    <w:name w:val="heading 7"/>
    <w:basedOn w:val="Normal"/>
    <w:next w:val="Normal"/>
    <w:qFormat/>
    <w:pPr>
      <w:widowControl w:val="0"/>
      <w:numPr>
        <w:ilvl w:val="7"/>
        <w:numId w:val="1"/>
      </w:numPr>
      <w:spacing w:after="220"/>
      <w:jc w:val="both"/>
      <w:outlineLvl w:val="6"/>
    </w:pPr>
    <w:rPr>
      <w:b/>
    </w:rPr>
  </w:style>
  <w:style w:type="paragraph" w:styleId="Heading9">
    <w:name w:val="heading 9"/>
    <w:basedOn w:val="Normal"/>
    <w:next w:val="Normal"/>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character" w:styleId="PageNumber">
    <w:name w:val="page number"/>
    <w:basedOn w:val="DefaultParagraphFont"/>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ynn.follansbee@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5050</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5946</CharactersWithSpaces>
  <SharedDoc>false</SharedDoc>
  <HyperlinkBase> </HyperlinkBase>
  <HLinks>
    <vt:vector size="18" baseType="variant">
      <vt:variant>
        <vt:i4>3145794</vt:i4>
      </vt:variant>
      <vt:variant>
        <vt:i4>6</vt:i4>
      </vt:variant>
      <vt:variant>
        <vt:i4>0</vt:i4>
      </vt:variant>
      <vt:variant>
        <vt:i4>5</vt:i4>
      </vt:variant>
      <vt:variant>
        <vt:lpwstr>mailto:lynn.follansbee@fcc.gov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2013-11-08T14:17:00Z</cp:lastPrinted>
  <dcterms:created xsi:type="dcterms:W3CDTF">2013-11-21T13:52:00Z</dcterms:created>
  <dcterms:modified xsi:type="dcterms:W3CDTF">2013-11-21T13:52:00Z</dcterms:modified>
  <cp:category> </cp:category>
  <cp:contentStatus> </cp:contentStatus>
</cp:coreProperties>
</file>