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17A" w:rsidRPr="000F7E2E" w:rsidRDefault="00A31812">
      <w:pPr>
        <w:jc w:val="center"/>
        <w:rPr>
          <w:b/>
          <w:sz w:val="22"/>
          <w:szCs w:val="22"/>
        </w:rPr>
      </w:pPr>
      <w:bookmarkStart w:id="0" w:name="_GoBack"/>
      <w:bookmarkEnd w:id="0"/>
      <w:r w:rsidRPr="000F7E2E">
        <w:rPr>
          <w:b/>
          <w:sz w:val="22"/>
          <w:szCs w:val="22"/>
        </w:rPr>
        <w:t>Before the</w:t>
      </w:r>
    </w:p>
    <w:p w:rsidR="007B417A" w:rsidRPr="000F7E2E" w:rsidRDefault="00A31812">
      <w:pPr>
        <w:jc w:val="center"/>
        <w:rPr>
          <w:b/>
          <w:sz w:val="22"/>
          <w:szCs w:val="22"/>
        </w:rPr>
      </w:pPr>
      <w:r w:rsidRPr="000F7E2E">
        <w:rPr>
          <w:b/>
          <w:sz w:val="22"/>
          <w:szCs w:val="22"/>
        </w:rPr>
        <w:t>Federal Communications Commission</w:t>
      </w:r>
    </w:p>
    <w:p w:rsidR="007B417A" w:rsidRPr="000F7E2E" w:rsidRDefault="00A31812">
      <w:pPr>
        <w:jc w:val="center"/>
        <w:rPr>
          <w:b/>
          <w:sz w:val="22"/>
          <w:szCs w:val="22"/>
        </w:rPr>
      </w:pPr>
      <w:r w:rsidRPr="000F7E2E">
        <w:rPr>
          <w:b/>
          <w:sz w:val="22"/>
          <w:szCs w:val="22"/>
        </w:rPr>
        <w:t>Washington, D.C. 20554</w:t>
      </w:r>
    </w:p>
    <w:p w:rsidR="007B417A" w:rsidRPr="000F7E2E" w:rsidRDefault="007B417A">
      <w:pPr>
        <w:tabs>
          <w:tab w:val="left" w:pos="-720"/>
        </w:tabs>
        <w:suppressAutoHyphens/>
        <w:spacing w:line="227" w:lineRule="auto"/>
        <w:rPr>
          <w:spacing w:val="-2"/>
          <w:sz w:val="22"/>
          <w:szCs w:val="22"/>
        </w:rPr>
      </w:pPr>
    </w:p>
    <w:p w:rsidR="007B417A" w:rsidRPr="000F7E2E" w:rsidRDefault="007B417A">
      <w:pPr>
        <w:tabs>
          <w:tab w:val="left" w:pos="-720"/>
        </w:tabs>
        <w:suppressAutoHyphens/>
        <w:spacing w:line="227" w:lineRule="auto"/>
        <w:rPr>
          <w:spacing w:val="-2"/>
          <w:sz w:val="22"/>
          <w:szCs w:val="22"/>
        </w:rPr>
      </w:pPr>
    </w:p>
    <w:tbl>
      <w:tblPr>
        <w:tblW w:w="0" w:type="auto"/>
        <w:tblLayout w:type="fixed"/>
        <w:tblLook w:val="0000" w:firstRow="0" w:lastRow="0" w:firstColumn="0" w:lastColumn="0" w:noHBand="0" w:noVBand="0"/>
      </w:tblPr>
      <w:tblGrid>
        <w:gridCol w:w="4698"/>
        <w:gridCol w:w="630"/>
        <w:gridCol w:w="4248"/>
      </w:tblGrid>
      <w:tr w:rsidR="007B417A" w:rsidRPr="000F7E2E">
        <w:tc>
          <w:tcPr>
            <w:tcW w:w="4698" w:type="dxa"/>
          </w:tcPr>
          <w:p w:rsidR="007B417A" w:rsidRPr="000F7E2E" w:rsidRDefault="00A31812">
            <w:pPr>
              <w:tabs>
                <w:tab w:val="center" w:pos="4680"/>
              </w:tabs>
              <w:suppressAutoHyphens/>
              <w:rPr>
                <w:spacing w:val="-2"/>
                <w:sz w:val="22"/>
                <w:szCs w:val="22"/>
              </w:rPr>
            </w:pPr>
            <w:r w:rsidRPr="000F7E2E">
              <w:rPr>
                <w:spacing w:val="-2"/>
                <w:sz w:val="22"/>
                <w:szCs w:val="22"/>
              </w:rPr>
              <w:t>In the Matter of</w:t>
            </w:r>
          </w:p>
          <w:p w:rsidR="007B417A" w:rsidRPr="000F7E2E" w:rsidRDefault="007B417A">
            <w:pPr>
              <w:tabs>
                <w:tab w:val="center" w:pos="4680"/>
              </w:tabs>
              <w:suppressAutoHyphens/>
              <w:rPr>
                <w:spacing w:val="-2"/>
                <w:sz w:val="22"/>
                <w:szCs w:val="22"/>
              </w:rPr>
            </w:pPr>
          </w:p>
          <w:p w:rsidR="00727E21" w:rsidRPr="000F7E2E" w:rsidRDefault="00727E21" w:rsidP="00727E21">
            <w:pPr>
              <w:rPr>
                <w:sz w:val="22"/>
                <w:szCs w:val="22"/>
              </w:rPr>
            </w:pPr>
            <w:r w:rsidRPr="000F7E2E">
              <w:rPr>
                <w:sz w:val="22"/>
                <w:szCs w:val="22"/>
              </w:rPr>
              <w:t xml:space="preserve">Improving Public Safety Communications  </w:t>
            </w:r>
          </w:p>
          <w:p w:rsidR="00727E21" w:rsidRPr="000F7E2E" w:rsidRDefault="00727E21" w:rsidP="00727E21">
            <w:pPr>
              <w:rPr>
                <w:sz w:val="22"/>
                <w:szCs w:val="22"/>
              </w:rPr>
            </w:pPr>
            <w:r w:rsidRPr="000F7E2E">
              <w:rPr>
                <w:sz w:val="22"/>
                <w:szCs w:val="22"/>
              </w:rPr>
              <w:t xml:space="preserve">in the 800 MHz Band </w:t>
            </w:r>
          </w:p>
          <w:p w:rsidR="00727E21" w:rsidRPr="000F7E2E" w:rsidRDefault="00727E21" w:rsidP="00727E21">
            <w:pPr>
              <w:rPr>
                <w:sz w:val="22"/>
                <w:szCs w:val="22"/>
              </w:rPr>
            </w:pPr>
          </w:p>
          <w:p w:rsidR="007B417A" w:rsidRPr="000F7E2E" w:rsidRDefault="00727E21" w:rsidP="00727E21">
            <w:pPr>
              <w:rPr>
                <w:sz w:val="22"/>
                <w:szCs w:val="22"/>
              </w:rPr>
            </w:pPr>
            <w:r w:rsidRPr="000F7E2E">
              <w:rPr>
                <w:sz w:val="22"/>
                <w:szCs w:val="22"/>
              </w:rPr>
              <w:t>Regents of the University of California</w:t>
            </w:r>
          </w:p>
          <w:p w:rsidR="00727E21" w:rsidRPr="000F7E2E" w:rsidRDefault="00215D44" w:rsidP="00215D44">
            <w:pPr>
              <w:rPr>
                <w:sz w:val="22"/>
                <w:szCs w:val="22"/>
              </w:rPr>
            </w:pPr>
            <w:r w:rsidRPr="000F7E2E">
              <w:rPr>
                <w:sz w:val="22"/>
                <w:szCs w:val="22"/>
              </w:rPr>
              <w:t xml:space="preserve">Request </w:t>
            </w:r>
            <w:r w:rsidR="00727E21" w:rsidRPr="000F7E2E">
              <w:rPr>
                <w:sz w:val="22"/>
                <w:szCs w:val="22"/>
              </w:rPr>
              <w:t>for Extension</w:t>
            </w:r>
            <w:r w:rsidRPr="000F7E2E">
              <w:rPr>
                <w:sz w:val="22"/>
                <w:szCs w:val="22"/>
              </w:rPr>
              <w:t>s</w:t>
            </w:r>
            <w:r w:rsidR="00727E21" w:rsidRPr="000F7E2E">
              <w:rPr>
                <w:sz w:val="22"/>
                <w:szCs w:val="22"/>
              </w:rPr>
              <w:t xml:space="preserve"> of Time</w:t>
            </w:r>
          </w:p>
        </w:tc>
        <w:tc>
          <w:tcPr>
            <w:tcW w:w="630" w:type="dxa"/>
          </w:tcPr>
          <w:p w:rsidR="007B417A" w:rsidRPr="000F7E2E" w:rsidRDefault="00A31812">
            <w:pPr>
              <w:tabs>
                <w:tab w:val="center" w:pos="4680"/>
              </w:tabs>
              <w:suppressAutoHyphens/>
              <w:rPr>
                <w:b/>
                <w:spacing w:val="-2"/>
                <w:sz w:val="22"/>
                <w:szCs w:val="22"/>
              </w:rPr>
            </w:pPr>
            <w:r w:rsidRPr="000F7E2E">
              <w:rPr>
                <w:b/>
                <w:spacing w:val="-2"/>
                <w:sz w:val="22"/>
                <w:szCs w:val="22"/>
              </w:rPr>
              <w:t>)</w:t>
            </w:r>
          </w:p>
          <w:p w:rsidR="007B417A" w:rsidRPr="000F7E2E" w:rsidRDefault="00A31812">
            <w:pPr>
              <w:tabs>
                <w:tab w:val="center" w:pos="4680"/>
              </w:tabs>
              <w:suppressAutoHyphens/>
              <w:rPr>
                <w:b/>
                <w:spacing w:val="-2"/>
                <w:sz w:val="22"/>
                <w:szCs w:val="22"/>
              </w:rPr>
            </w:pPr>
            <w:r w:rsidRPr="000F7E2E">
              <w:rPr>
                <w:b/>
                <w:spacing w:val="-2"/>
                <w:sz w:val="22"/>
                <w:szCs w:val="22"/>
              </w:rPr>
              <w:t>)</w:t>
            </w:r>
          </w:p>
          <w:p w:rsidR="007B417A" w:rsidRPr="000F7E2E" w:rsidRDefault="00A31812">
            <w:pPr>
              <w:tabs>
                <w:tab w:val="center" w:pos="4680"/>
              </w:tabs>
              <w:suppressAutoHyphens/>
              <w:rPr>
                <w:b/>
                <w:spacing w:val="-2"/>
                <w:sz w:val="22"/>
                <w:szCs w:val="22"/>
              </w:rPr>
            </w:pPr>
            <w:r w:rsidRPr="000F7E2E">
              <w:rPr>
                <w:b/>
                <w:spacing w:val="-2"/>
                <w:sz w:val="22"/>
                <w:szCs w:val="22"/>
              </w:rPr>
              <w:t>)</w:t>
            </w:r>
          </w:p>
          <w:p w:rsidR="007B417A" w:rsidRPr="000F7E2E" w:rsidRDefault="00A31812">
            <w:pPr>
              <w:tabs>
                <w:tab w:val="center" w:pos="4680"/>
              </w:tabs>
              <w:suppressAutoHyphens/>
              <w:rPr>
                <w:b/>
                <w:spacing w:val="-2"/>
                <w:sz w:val="22"/>
                <w:szCs w:val="22"/>
              </w:rPr>
            </w:pPr>
            <w:r w:rsidRPr="000F7E2E">
              <w:rPr>
                <w:b/>
                <w:spacing w:val="-2"/>
                <w:sz w:val="22"/>
                <w:szCs w:val="22"/>
              </w:rPr>
              <w:t>)</w:t>
            </w:r>
          </w:p>
          <w:p w:rsidR="007B417A" w:rsidRPr="000F7E2E" w:rsidRDefault="00A31812">
            <w:pPr>
              <w:tabs>
                <w:tab w:val="center" w:pos="4680"/>
              </w:tabs>
              <w:suppressAutoHyphens/>
              <w:rPr>
                <w:b/>
                <w:spacing w:val="-2"/>
                <w:sz w:val="22"/>
                <w:szCs w:val="22"/>
              </w:rPr>
            </w:pPr>
            <w:r w:rsidRPr="000F7E2E">
              <w:rPr>
                <w:b/>
                <w:spacing w:val="-2"/>
                <w:sz w:val="22"/>
                <w:szCs w:val="22"/>
              </w:rPr>
              <w:t>)</w:t>
            </w:r>
          </w:p>
          <w:p w:rsidR="007B417A" w:rsidRPr="000F7E2E" w:rsidRDefault="00A31812">
            <w:pPr>
              <w:tabs>
                <w:tab w:val="center" w:pos="4680"/>
              </w:tabs>
              <w:suppressAutoHyphens/>
              <w:rPr>
                <w:b/>
                <w:spacing w:val="-2"/>
                <w:sz w:val="22"/>
                <w:szCs w:val="22"/>
              </w:rPr>
            </w:pPr>
            <w:r w:rsidRPr="000F7E2E">
              <w:rPr>
                <w:b/>
                <w:spacing w:val="-2"/>
                <w:sz w:val="22"/>
                <w:szCs w:val="22"/>
              </w:rPr>
              <w:t>)</w:t>
            </w:r>
          </w:p>
          <w:p w:rsidR="007B417A" w:rsidRPr="000F7E2E" w:rsidRDefault="000F7E2E">
            <w:pPr>
              <w:tabs>
                <w:tab w:val="center" w:pos="4680"/>
              </w:tabs>
              <w:suppressAutoHyphens/>
              <w:rPr>
                <w:b/>
                <w:spacing w:val="-2"/>
                <w:sz w:val="22"/>
                <w:szCs w:val="22"/>
              </w:rPr>
            </w:pPr>
            <w:r>
              <w:rPr>
                <w:b/>
                <w:spacing w:val="-2"/>
                <w:sz w:val="22"/>
                <w:szCs w:val="22"/>
              </w:rPr>
              <w:t>)</w:t>
            </w:r>
          </w:p>
          <w:p w:rsidR="007B417A" w:rsidRPr="000F7E2E" w:rsidRDefault="007B417A">
            <w:pPr>
              <w:tabs>
                <w:tab w:val="center" w:pos="4680"/>
              </w:tabs>
              <w:suppressAutoHyphens/>
              <w:rPr>
                <w:b/>
                <w:spacing w:val="-2"/>
                <w:sz w:val="22"/>
                <w:szCs w:val="22"/>
              </w:rPr>
            </w:pPr>
          </w:p>
          <w:p w:rsidR="007B417A" w:rsidRPr="000F7E2E" w:rsidRDefault="007B417A">
            <w:pPr>
              <w:tabs>
                <w:tab w:val="center" w:pos="4680"/>
              </w:tabs>
              <w:suppressAutoHyphens/>
              <w:rPr>
                <w:spacing w:val="-2"/>
                <w:sz w:val="22"/>
                <w:szCs w:val="22"/>
              </w:rPr>
            </w:pPr>
          </w:p>
        </w:tc>
        <w:tc>
          <w:tcPr>
            <w:tcW w:w="4248" w:type="dxa"/>
          </w:tcPr>
          <w:p w:rsidR="007B417A" w:rsidRPr="000F7E2E" w:rsidRDefault="007B417A">
            <w:pPr>
              <w:tabs>
                <w:tab w:val="center" w:pos="4680"/>
              </w:tabs>
              <w:suppressAutoHyphens/>
              <w:rPr>
                <w:spacing w:val="-2"/>
                <w:sz w:val="22"/>
                <w:szCs w:val="22"/>
              </w:rPr>
            </w:pPr>
          </w:p>
          <w:p w:rsidR="007B417A" w:rsidRPr="000F7E2E" w:rsidRDefault="007B417A">
            <w:pPr>
              <w:tabs>
                <w:tab w:val="center" w:pos="4680"/>
              </w:tabs>
              <w:suppressAutoHyphens/>
              <w:rPr>
                <w:spacing w:val="-2"/>
                <w:sz w:val="22"/>
                <w:szCs w:val="22"/>
              </w:rPr>
            </w:pPr>
          </w:p>
          <w:p w:rsidR="007B417A" w:rsidRPr="000F7E2E" w:rsidRDefault="007B417A">
            <w:pPr>
              <w:pStyle w:val="TOAHeading"/>
              <w:tabs>
                <w:tab w:val="clear" w:pos="9360"/>
                <w:tab w:val="center" w:pos="4680"/>
              </w:tabs>
              <w:rPr>
                <w:spacing w:val="-2"/>
                <w:sz w:val="22"/>
                <w:szCs w:val="22"/>
              </w:rPr>
            </w:pPr>
          </w:p>
          <w:p w:rsidR="007B417A" w:rsidRPr="000F7E2E" w:rsidRDefault="00727E21">
            <w:pPr>
              <w:tabs>
                <w:tab w:val="center" w:pos="4680"/>
              </w:tabs>
              <w:suppressAutoHyphens/>
              <w:rPr>
                <w:spacing w:val="-2"/>
                <w:sz w:val="22"/>
                <w:szCs w:val="22"/>
              </w:rPr>
            </w:pPr>
            <w:r w:rsidRPr="000F7E2E">
              <w:rPr>
                <w:spacing w:val="-2"/>
                <w:sz w:val="22"/>
                <w:szCs w:val="22"/>
              </w:rPr>
              <w:t>Docket No. 02-55</w:t>
            </w:r>
          </w:p>
        </w:tc>
      </w:tr>
    </w:tbl>
    <w:p w:rsidR="007B417A" w:rsidRPr="000F7E2E" w:rsidRDefault="00A31812">
      <w:pPr>
        <w:jc w:val="center"/>
        <w:rPr>
          <w:b/>
          <w:sz w:val="22"/>
          <w:szCs w:val="22"/>
        </w:rPr>
      </w:pPr>
      <w:r w:rsidRPr="000F7E2E">
        <w:rPr>
          <w:b/>
          <w:sz w:val="22"/>
          <w:szCs w:val="22"/>
        </w:rPr>
        <w:fldChar w:fldCharType="begin"/>
      </w:r>
      <w:r w:rsidRPr="000F7E2E">
        <w:rPr>
          <w:b/>
          <w:sz w:val="22"/>
          <w:szCs w:val="22"/>
        </w:rPr>
        <w:instrText xml:space="preserve"> AUTOTEXTLIST  \* MERGEFORMAT </w:instrText>
      </w:r>
      <w:r w:rsidRPr="000F7E2E">
        <w:rPr>
          <w:b/>
          <w:sz w:val="22"/>
          <w:szCs w:val="22"/>
        </w:rPr>
        <w:fldChar w:fldCharType="separate"/>
      </w:r>
      <w:r w:rsidR="00727E21" w:rsidRPr="000F7E2E">
        <w:rPr>
          <w:b/>
          <w:sz w:val="22"/>
          <w:szCs w:val="22"/>
        </w:rPr>
        <w:t>ORDER</w:t>
      </w:r>
      <w:r w:rsidRPr="000F7E2E">
        <w:rPr>
          <w:b/>
          <w:sz w:val="22"/>
          <w:szCs w:val="22"/>
        </w:rPr>
        <w:fldChar w:fldCharType="end"/>
      </w:r>
    </w:p>
    <w:p w:rsidR="007B417A" w:rsidRPr="000F7E2E" w:rsidRDefault="007B417A">
      <w:pPr>
        <w:tabs>
          <w:tab w:val="left" w:pos="-720"/>
        </w:tabs>
        <w:suppressAutoHyphens/>
        <w:spacing w:line="227" w:lineRule="auto"/>
        <w:rPr>
          <w:spacing w:val="-2"/>
          <w:sz w:val="22"/>
          <w:szCs w:val="22"/>
        </w:rPr>
      </w:pPr>
    </w:p>
    <w:p w:rsidR="007B417A" w:rsidRPr="000F7E2E" w:rsidRDefault="00A31812">
      <w:pPr>
        <w:tabs>
          <w:tab w:val="left" w:pos="720"/>
          <w:tab w:val="left" w:pos="5760"/>
        </w:tabs>
        <w:suppressAutoHyphens/>
        <w:spacing w:line="227" w:lineRule="auto"/>
        <w:rPr>
          <w:spacing w:val="-2"/>
          <w:sz w:val="22"/>
          <w:szCs w:val="22"/>
        </w:rPr>
      </w:pPr>
      <w:r w:rsidRPr="000F7E2E">
        <w:rPr>
          <w:b/>
          <w:spacing w:val="-2"/>
          <w:sz w:val="22"/>
          <w:szCs w:val="22"/>
        </w:rPr>
        <w:t xml:space="preserve">Adopted:  </w:t>
      </w:r>
      <w:r w:rsidR="00727E21" w:rsidRPr="000F7E2E">
        <w:rPr>
          <w:spacing w:val="-2"/>
          <w:sz w:val="22"/>
          <w:szCs w:val="22"/>
        </w:rPr>
        <w:t>November 21, 2013</w:t>
      </w:r>
      <w:r w:rsidRPr="000F7E2E">
        <w:rPr>
          <w:b/>
          <w:spacing w:val="-2"/>
          <w:sz w:val="22"/>
          <w:szCs w:val="22"/>
        </w:rPr>
        <w:tab/>
        <w:t xml:space="preserve">Released: </w:t>
      </w:r>
      <w:r w:rsidR="00727E21" w:rsidRPr="000F7E2E">
        <w:rPr>
          <w:spacing w:val="-2"/>
          <w:sz w:val="22"/>
          <w:szCs w:val="22"/>
        </w:rPr>
        <w:t>November 21, 2013</w:t>
      </w:r>
    </w:p>
    <w:p w:rsidR="007B417A" w:rsidRPr="000F7E2E" w:rsidRDefault="007B417A">
      <w:pPr>
        <w:rPr>
          <w:sz w:val="22"/>
          <w:szCs w:val="22"/>
        </w:rPr>
      </w:pPr>
    </w:p>
    <w:p w:rsidR="007B417A" w:rsidRPr="000F7E2E" w:rsidRDefault="00A31812">
      <w:pPr>
        <w:rPr>
          <w:sz w:val="22"/>
          <w:szCs w:val="22"/>
        </w:rPr>
      </w:pPr>
      <w:r w:rsidRPr="000F7E2E">
        <w:rPr>
          <w:sz w:val="22"/>
          <w:szCs w:val="22"/>
        </w:rPr>
        <w:t xml:space="preserve">By the </w:t>
      </w:r>
      <w:r w:rsidR="00727E21" w:rsidRPr="000F7E2E">
        <w:rPr>
          <w:sz w:val="22"/>
          <w:szCs w:val="22"/>
        </w:rPr>
        <w:t xml:space="preserve">Deputy Chief, Policy and Licensing Division, Public Safety and Homeland Security Bureau </w:t>
      </w:r>
    </w:p>
    <w:p w:rsidR="007B417A" w:rsidRPr="000F7E2E" w:rsidRDefault="007B417A">
      <w:pPr>
        <w:jc w:val="center"/>
        <w:rPr>
          <w:spacing w:val="-2"/>
          <w:sz w:val="22"/>
          <w:szCs w:val="22"/>
        </w:rPr>
      </w:pPr>
    </w:p>
    <w:p w:rsidR="007B417A" w:rsidRPr="000F7E2E" w:rsidRDefault="002F75C5">
      <w:pPr>
        <w:pStyle w:val="Heading1"/>
        <w:rPr>
          <w:rFonts w:ascii="Times New Roman" w:hAnsi="Times New Roman"/>
          <w:sz w:val="22"/>
          <w:szCs w:val="22"/>
        </w:rPr>
      </w:pPr>
      <w:r w:rsidRPr="000F7E2E">
        <w:rPr>
          <w:rFonts w:ascii="Times New Roman" w:hAnsi="Times New Roman"/>
          <w:sz w:val="22"/>
          <w:szCs w:val="22"/>
        </w:rPr>
        <w:t>INTRODUCTION</w:t>
      </w:r>
      <w:r w:rsidRPr="000F7E2E">
        <w:rPr>
          <w:rFonts w:ascii="Times New Roman" w:hAnsi="Times New Roman"/>
          <w:sz w:val="22"/>
          <w:szCs w:val="22"/>
        </w:rPr>
        <w:tab/>
      </w:r>
    </w:p>
    <w:p w:rsidR="002F75C5" w:rsidRPr="000F7E2E" w:rsidRDefault="002F75C5" w:rsidP="002F75C5">
      <w:pPr>
        <w:pStyle w:val="ParaNum"/>
        <w:rPr>
          <w:sz w:val="22"/>
          <w:szCs w:val="22"/>
        </w:rPr>
      </w:pPr>
      <w:r w:rsidRPr="000F7E2E">
        <w:rPr>
          <w:sz w:val="22"/>
          <w:szCs w:val="22"/>
        </w:rPr>
        <w:t>Under consideration is the Request for Extension of Time to Submit Cost Proposals (Request) filed November 20, 2013 by the Regents of the University of California (University) seeking extension</w:t>
      </w:r>
      <w:r w:rsidR="00215D44" w:rsidRPr="000F7E2E">
        <w:rPr>
          <w:sz w:val="22"/>
          <w:szCs w:val="22"/>
        </w:rPr>
        <w:t>s</w:t>
      </w:r>
      <w:r w:rsidRPr="000F7E2E">
        <w:rPr>
          <w:sz w:val="22"/>
          <w:szCs w:val="22"/>
        </w:rPr>
        <w:t xml:space="preserve"> of time within which to file rebanding cost proposals with Sprint Corporation </w:t>
      </w:r>
      <w:r w:rsidR="00007455" w:rsidRPr="000F7E2E">
        <w:rPr>
          <w:sz w:val="22"/>
          <w:szCs w:val="22"/>
        </w:rPr>
        <w:t xml:space="preserve">(Sprint) </w:t>
      </w:r>
      <w:r w:rsidRPr="000F7E2E">
        <w:rPr>
          <w:sz w:val="22"/>
          <w:szCs w:val="22"/>
        </w:rPr>
        <w:t>as part of the Commission’s 800 MHz band reconfiguration initiative</w:t>
      </w:r>
      <w:r w:rsidR="00007455" w:rsidRPr="000F7E2E">
        <w:rPr>
          <w:sz w:val="22"/>
          <w:szCs w:val="22"/>
        </w:rPr>
        <w:t>.</w:t>
      </w:r>
      <w:r w:rsidR="00215D44" w:rsidRPr="000F7E2E">
        <w:rPr>
          <w:rStyle w:val="FootnoteReference"/>
          <w:szCs w:val="22"/>
        </w:rPr>
        <w:footnoteReference w:id="2"/>
      </w:r>
      <w:r w:rsidR="00007455" w:rsidRPr="000F7E2E">
        <w:rPr>
          <w:sz w:val="22"/>
          <w:szCs w:val="22"/>
        </w:rPr>
        <w:t xml:space="preserve"> The University must conclude separate Frequency Reconfiguration Agreements (FRA) with Sprint for four of its Southern California campuses in Irvine, Santa Barbara, Riverside and Los Angeles.</w:t>
      </w:r>
      <w:r w:rsidR="00007455" w:rsidRPr="000F7E2E">
        <w:rPr>
          <w:rStyle w:val="FootnoteReference"/>
          <w:szCs w:val="22"/>
        </w:rPr>
        <w:footnoteReference w:id="3"/>
      </w:r>
    </w:p>
    <w:p w:rsidR="00007455" w:rsidRPr="000F7E2E" w:rsidRDefault="00007455" w:rsidP="00007455">
      <w:pPr>
        <w:pStyle w:val="Heading1"/>
        <w:rPr>
          <w:rFonts w:ascii="Times New Roman" w:hAnsi="Times New Roman"/>
          <w:sz w:val="22"/>
          <w:szCs w:val="22"/>
        </w:rPr>
      </w:pPr>
      <w:r w:rsidRPr="000F7E2E">
        <w:rPr>
          <w:rFonts w:ascii="Times New Roman" w:hAnsi="Times New Roman"/>
          <w:sz w:val="22"/>
          <w:szCs w:val="22"/>
        </w:rPr>
        <w:t>discussion</w:t>
      </w:r>
    </w:p>
    <w:p w:rsidR="00007455" w:rsidRPr="000F7E2E" w:rsidRDefault="00007455" w:rsidP="00007455">
      <w:pPr>
        <w:pStyle w:val="ParaNum"/>
        <w:rPr>
          <w:sz w:val="22"/>
          <w:szCs w:val="22"/>
        </w:rPr>
      </w:pPr>
      <w:r w:rsidRPr="000F7E2E">
        <w:rPr>
          <w:sz w:val="22"/>
          <w:szCs w:val="22"/>
        </w:rPr>
        <w:t>For the Riverside campus, the University’s vendor has prepared a cost proposal</w:t>
      </w:r>
      <w:r w:rsidR="002E2FAE" w:rsidRPr="000F7E2E">
        <w:rPr>
          <w:sz w:val="22"/>
          <w:szCs w:val="22"/>
        </w:rPr>
        <w:t xml:space="preserve"> which must be executed by University officials before submission to Sprint.  The University requests a two-day extension, until November 22, 2013 to acquire the required signatures.  For the Santa Barbara campus, the University’s vendor is in the process of preparing the cost </w:t>
      </w:r>
      <w:r w:rsidR="00215D44" w:rsidRPr="000F7E2E">
        <w:rPr>
          <w:sz w:val="22"/>
          <w:szCs w:val="22"/>
        </w:rPr>
        <w:t>proposal</w:t>
      </w:r>
      <w:r w:rsidR="002E2FAE" w:rsidRPr="000F7E2E">
        <w:rPr>
          <w:sz w:val="22"/>
          <w:szCs w:val="22"/>
        </w:rPr>
        <w:t xml:space="preserve"> and the University anticipates receiving it before November 28, 2013.</w:t>
      </w:r>
      <w:r w:rsidR="002E2FAE" w:rsidRPr="000F7E2E">
        <w:rPr>
          <w:rStyle w:val="FootnoteReference"/>
          <w:szCs w:val="22"/>
        </w:rPr>
        <w:footnoteReference w:id="4"/>
      </w:r>
      <w:r w:rsidR="002E2FAE" w:rsidRPr="000F7E2E">
        <w:rPr>
          <w:sz w:val="22"/>
          <w:szCs w:val="22"/>
        </w:rPr>
        <w:t xml:space="preserve">  It requests, however, an extension of time until December 2, 2013 to account for possible delay due to the Thanksgiving holiday.  For the Los Ang</w:t>
      </w:r>
      <w:r w:rsidR="00F05C3F">
        <w:rPr>
          <w:sz w:val="22"/>
          <w:szCs w:val="22"/>
        </w:rPr>
        <w:t>e</w:t>
      </w:r>
      <w:r w:rsidR="002E2FAE" w:rsidRPr="000F7E2E">
        <w:rPr>
          <w:sz w:val="22"/>
          <w:szCs w:val="22"/>
        </w:rPr>
        <w:t xml:space="preserve">les campus, the University notes that </w:t>
      </w:r>
      <w:r w:rsidR="00BE07BD" w:rsidRPr="000F7E2E">
        <w:rPr>
          <w:sz w:val="22"/>
          <w:szCs w:val="22"/>
        </w:rPr>
        <w:t xml:space="preserve">its vendor will deliver the cost proposal to the University during the week of </w:t>
      </w:r>
      <w:r w:rsidR="00BE07BD" w:rsidRPr="000F7E2E">
        <w:rPr>
          <w:sz w:val="22"/>
          <w:szCs w:val="22"/>
        </w:rPr>
        <w:lastRenderedPageBreak/>
        <w:t>December 2, 2013, bu</w:t>
      </w:r>
      <w:r w:rsidR="00F05C3F">
        <w:rPr>
          <w:sz w:val="22"/>
          <w:szCs w:val="22"/>
        </w:rPr>
        <w:t>t</w:t>
      </w:r>
      <w:r w:rsidR="00BE07BD" w:rsidRPr="000F7E2E">
        <w:rPr>
          <w:sz w:val="22"/>
          <w:szCs w:val="22"/>
        </w:rPr>
        <w:t xml:space="preserve"> requests an extension of time until December 10, 2013 to prepare its portion of the cost </w:t>
      </w:r>
      <w:r w:rsidR="00215D44" w:rsidRPr="000F7E2E">
        <w:rPr>
          <w:sz w:val="22"/>
          <w:szCs w:val="22"/>
        </w:rPr>
        <w:t>proposal</w:t>
      </w:r>
      <w:r w:rsidR="00BE07BD" w:rsidRPr="000F7E2E">
        <w:rPr>
          <w:sz w:val="22"/>
          <w:szCs w:val="22"/>
        </w:rPr>
        <w:t>.</w:t>
      </w:r>
      <w:r w:rsidR="00BE07BD" w:rsidRPr="000F7E2E">
        <w:rPr>
          <w:rStyle w:val="FootnoteReference"/>
          <w:szCs w:val="22"/>
        </w:rPr>
        <w:footnoteReference w:id="5"/>
      </w:r>
      <w:r w:rsidR="00BE07BD" w:rsidRPr="000F7E2E">
        <w:rPr>
          <w:sz w:val="22"/>
          <w:szCs w:val="22"/>
        </w:rPr>
        <w:t xml:space="preserve"> For the Irvine campus, the University anticipates that its vendor will deliver the cost </w:t>
      </w:r>
      <w:r w:rsidR="00215D44" w:rsidRPr="000F7E2E">
        <w:rPr>
          <w:sz w:val="22"/>
          <w:szCs w:val="22"/>
        </w:rPr>
        <w:t>proposal</w:t>
      </w:r>
      <w:r w:rsidR="00BE07BD" w:rsidRPr="000F7E2E">
        <w:rPr>
          <w:sz w:val="22"/>
          <w:szCs w:val="22"/>
        </w:rPr>
        <w:t xml:space="preserve"> during the week of December 16, 2013, and requests until December 20, 2013 to submit the cost </w:t>
      </w:r>
      <w:r w:rsidR="00215D44" w:rsidRPr="000F7E2E">
        <w:rPr>
          <w:sz w:val="22"/>
          <w:szCs w:val="22"/>
        </w:rPr>
        <w:t>proposal</w:t>
      </w:r>
      <w:r w:rsidR="00BE07BD" w:rsidRPr="000F7E2E">
        <w:rPr>
          <w:sz w:val="22"/>
          <w:szCs w:val="22"/>
        </w:rPr>
        <w:t xml:space="preserve"> to Sprint.</w:t>
      </w:r>
      <w:r w:rsidR="00BE07BD" w:rsidRPr="000F7E2E">
        <w:rPr>
          <w:rStyle w:val="FootnoteReference"/>
          <w:szCs w:val="22"/>
        </w:rPr>
        <w:footnoteReference w:id="6"/>
      </w:r>
      <w:r w:rsidR="00970E3B" w:rsidRPr="000F7E2E">
        <w:rPr>
          <w:sz w:val="22"/>
          <w:szCs w:val="22"/>
        </w:rPr>
        <w:t xml:space="preserve"> </w:t>
      </w:r>
      <w:r w:rsidR="00BE07BD" w:rsidRPr="000F7E2E">
        <w:rPr>
          <w:sz w:val="22"/>
          <w:szCs w:val="22"/>
        </w:rPr>
        <w:t xml:space="preserve">The University characterizes the requested extensions as “brief” and represents that, if granted, the extensions will not delay </w:t>
      </w:r>
      <w:r w:rsidR="000F75EA" w:rsidRPr="000F7E2E">
        <w:rPr>
          <w:sz w:val="22"/>
          <w:szCs w:val="22"/>
        </w:rPr>
        <w:t>the “overall reconfiguration process.”</w:t>
      </w:r>
    </w:p>
    <w:p w:rsidR="000F75EA" w:rsidRPr="000F7E2E" w:rsidRDefault="000F75EA" w:rsidP="000F75EA">
      <w:pPr>
        <w:pStyle w:val="Heading1"/>
        <w:rPr>
          <w:rFonts w:ascii="Times New Roman" w:hAnsi="Times New Roman"/>
          <w:sz w:val="22"/>
          <w:szCs w:val="22"/>
        </w:rPr>
      </w:pPr>
      <w:r w:rsidRPr="000F7E2E">
        <w:rPr>
          <w:rFonts w:ascii="Times New Roman" w:hAnsi="Times New Roman"/>
          <w:sz w:val="22"/>
          <w:szCs w:val="22"/>
        </w:rPr>
        <w:t>decision</w:t>
      </w:r>
    </w:p>
    <w:p w:rsidR="00640509" w:rsidRPr="000F7E2E" w:rsidRDefault="000F75EA" w:rsidP="000F75EA">
      <w:pPr>
        <w:pStyle w:val="ParaNum"/>
        <w:rPr>
          <w:sz w:val="22"/>
          <w:szCs w:val="22"/>
        </w:rPr>
      </w:pPr>
      <w:r w:rsidRPr="000F7E2E">
        <w:rPr>
          <w:sz w:val="22"/>
          <w:szCs w:val="22"/>
        </w:rPr>
        <w:t>Section 1.46 of the Commission’s rules provides “It is the policy of the Commission that extensions of time shall not be routinely granted.”</w:t>
      </w:r>
      <w:r w:rsidRPr="000F7E2E">
        <w:rPr>
          <w:rStyle w:val="FootnoteReference"/>
          <w:szCs w:val="22"/>
        </w:rPr>
        <w:footnoteReference w:id="7"/>
      </w:r>
      <w:r w:rsidRPr="000F7E2E">
        <w:rPr>
          <w:sz w:val="22"/>
          <w:szCs w:val="22"/>
        </w:rPr>
        <w:t xml:space="preserve">  </w:t>
      </w:r>
      <w:r w:rsidR="003817C7" w:rsidRPr="000F7E2E">
        <w:rPr>
          <w:sz w:val="22"/>
          <w:szCs w:val="22"/>
        </w:rPr>
        <w:t>The import of that rule is especially relevant to 800 MHz rebanding where delay in rebanding by one licensee can cause a “domino effect” delay in the rebanding efforts of other licensees that have met the Commission’s 800 MHz band reconfiguration deadlines, with a consequent delay of the overall program</w:t>
      </w:r>
      <w:r w:rsidR="00640509" w:rsidRPr="000F7E2E">
        <w:rPr>
          <w:sz w:val="22"/>
          <w:szCs w:val="22"/>
        </w:rPr>
        <w:t>.  We therefore afford a high degree of scrutiny to the reasons licensees advance for extensions of time.</w:t>
      </w:r>
    </w:p>
    <w:p w:rsidR="009B23D9" w:rsidRPr="000F7E2E" w:rsidRDefault="00640509" w:rsidP="000F75EA">
      <w:pPr>
        <w:pStyle w:val="ParaNum"/>
        <w:rPr>
          <w:sz w:val="22"/>
          <w:szCs w:val="22"/>
        </w:rPr>
      </w:pPr>
      <w:r w:rsidRPr="000F7E2E">
        <w:rPr>
          <w:sz w:val="22"/>
          <w:szCs w:val="22"/>
        </w:rPr>
        <w:t xml:space="preserve">In the instant matter, the extensions of time requested are relatively modest and it is apparent that the licensee has exercised diligence in obtaining cost </w:t>
      </w:r>
      <w:r w:rsidR="00215D44" w:rsidRPr="000F7E2E">
        <w:rPr>
          <w:sz w:val="22"/>
          <w:szCs w:val="22"/>
        </w:rPr>
        <w:t>proposal</w:t>
      </w:r>
      <w:r w:rsidRPr="000F7E2E">
        <w:rPr>
          <w:sz w:val="22"/>
          <w:szCs w:val="22"/>
        </w:rPr>
        <w:t>s from its vendor.  Moreover, we credit the licensee’s representation that grant of the requested extensions will not delay the overall reconfiguration process.  We therefore are granting the requested extensions, with the caveat to the licensee that</w:t>
      </w:r>
      <w:r w:rsidR="00970E3B" w:rsidRPr="000F7E2E">
        <w:rPr>
          <w:sz w:val="22"/>
          <w:szCs w:val="22"/>
        </w:rPr>
        <w:t>, upon submission of the cost proposals,</w:t>
      </w:r>
      <w:r w:rsidRPr="000F7E2E">
        <w:rPr>
          <w:sz w:val="22"/>
          <w:szCs w:val="22"/>
        </w:rPr>
        <w:t xml:space="preserve"> it must diligently pursue the negotiation process with Sprint and timely conclude an FRA.</w:t>
      </w:r>
    </w:p>
    <w:p w:rsidR="009B23D9" w:rsidRPr="000F7E2E" w:rsidRDefault="009B23D9" w:rsidP="009B23D9">
      <w:pPr>
        <w:pStyle w:val="Heading1"/>
        <w:rPr>
          <w:rFonts w:ascii="Times New Roman" w:hAnsi="Times New Roman"/>
          <w:sz w:val="22"/>
          <w:szCs w:val="22"/>
        </w:rPr>
      </w:pPr>
      <w:r w:rsidRPr="000F7E2E">
        <w:rPr>
          <w:rFonts w:ascii="Times New Roman" w:hAnsi="Times New Roman"/>
          <w:sz w:val="22"/>
          <w:szCs w:val="22"/>
        </w:rPr>
        <w:t>ordering clauses</w:t>
      </w:r>
    </w:p>
    <w:p w:rsidR="000F7E2E" w:rsidRDefault="009B23D9" w:rsidP="000F7E2E">
      <w:pPr>
        <w:pStyle w:val="ParaNum"/>
        <w:tabs>
          <w:tab w:val="num" w:pos="1440"/>
        </w:tabs>
        <w:rPr>
          <w:sz w:val="22"/>
          <w:szCs w:val="22"/>
        </w:rPr>
      </w:pPr>
      <w:r w:rsidRPr="000F7E2E">
        <w:rPr>
          <w:sz w:val="22"/>
          <w:szCs w:val="22"/>
        </w:rPr>
        <w:t xml:space="preserve">Accordingly IT IS ORDERED that the Regents of the University of California SHALL SUBMIT to Sprint Corporation, a cost </w:t>
      </w:r>
      <w:r w:rsidR="00215D44" w:rsidRPr="000F7E2E">
        <w:rPr>
          <w:sz w:val="22"/>
          <w:szCs w:val="22"/>
        </w:rPr>
        <w:t>proposal</w:t>
      </w:r>
      <w:r w:rsidRPr="000F7E2E">
        <w:rPr>
          <w:sz w:val="22"/>
          <w:szCs w:val="22"/>
        </w:rPr>
        <w:t xml:space="preserve"> for reconfiguration of its 800 MHz facilities at Riverside, California by November 22, 2013</w:t>
      </w:r>
      <w:r w:rsidR="00A82803" w:rsidRPr="000F7E2E">
        <w:rPr>
          <w:sz w:val="22"/>
          <w:szCs w:val="22"/>
        </w:rPr>
        <w:t>; at Santa Barbara, California by December 2, 2013; at Los Ang</w:t>
      </w:r>
      <w:r w:rsidR="00F05C3F">
        <w:rPr>
          <w:sz w:val="22"/>
          <w:szCs w:val="22"/>
        </w:rPr>
        <w:t>e</w:t>
      </w:r>
      <w:r w:rsidR="00A82803" w:rsidRPr="000F7E2E">
        <w:rPr>
          <w:sz w:val="22"/>
          <w:szCs w:val="22"/>
        </w:rPr>
        <w:t>les, California by December 10, 2013 and at Irvine, California by December 20, 2013.</w:t>
      </w:r>
    </w:p>
    <w:p w:rsidR="00A82803" w:rsidRPr="000F7E2E" w:rsidRDefault="00A82803" w:rsidP="000F7E2E">
      <w:pPr>
        <w:pStyle w:val="ParaNum"/>
        <w:tabs>
          <w:tab w:val="num" w:pos="1440"/>
        </w:tabs>
        <w:rPr>
          <w:sz w:val="22"/>
          <w:szCs w:val="22"/>
        </w:rPr>
      </w:pPr>
      <w:r w:rsidRPr="000F7E2E">
        <w:rPr>
          <w:sz w:val="22"/>
          <w:szCs w:val="22"/>
        </w:rPr>
        <w:t>This action is taken under delegated authority pursuant to Sections 0.191 and 0.392 of the Commission’s rules, 47 C.F.R. §§ 0.191, 0.392.</w:t>
      </w:r>
    </w:p>
    <w:p w:rsidR="000F7E2E" w:rsidRDefault="00B415A0" w:rsidP="00B415A0">
      <w:pPr>
        <w:pStyle w:val="ParaNum"/>
        <w:numPr>
          <w:ilvl w:val="0"/>
          <w:numId w:val="0"/>
        </w:numPr>
        <w:ind w:left="720"/>
        <w:rPr>
          <w:sz w:val="22"/>
          <w:szCs w:val="22"/>
        </w:rPr>
      </w:pPr>
      <w:r w:rsidRPr="000F7E2E">
        <w:rPr>
          <w:sz w:val="22"/>
          <w:szCs w:val="22"/>
        </w:rPr>
        <w:tab/>
      </w:r>
      <w:r w:rsidRPr="000F7E2E">
        <w:rPr>
          <w:sz w:val="22"/>
          <w:szCs w:val="22"/>
        </w:rPr>
        <w:tab/>
      </w:r>
      <w:r w:rsidRPr="000F7E2E">
        <w:rPr>
          <w:sz w:val="22"/>
          <w:szCs w:val="22"/>
        </w:rPr>
        <w:tab/>
      </w:r>
      <w:r w:rsidRPr="000F7E2E">
        <w:rPr>
          <w:sz w:val="22"/>
          <w:szCs w:val="22"/>
        </w:rPr>
        <w:tab/>
      </w:r>
    </w:p>
    <w:p w:rsidR="000F75EA" w:rsidRPr="000F7E2E" w:rsidRDefault="00B415A0" w:rsidP="000F7E2E">
      <w:pPr>
        <w:pStyle w:val="ParaNum"/>
        <w:numPr>
          <w:ilvl w:val="0"/>
          <w:numId w:val="0"/>
        </w:numPr>
        <w:ind w:left="2880" w:firstLine="720"/>
        <w:rPr>
          <w:sz w:val="22"/>
          <w:szCs w:val="22"/>
        </w:rPr>
      </w:pPr>
      <w:r w:rsidRPr="000F7E2E">
        <w:rPr>
          <w:sz w:val="22"/>
          <w:szCs w:val="22"/>
        </w:rPr>
        <w:t>FEDERAL COMMUNICATIONS COMMISSION</w:t>
      </w:r>
    </w:p>
    <w:p w:rsidR="007B417A" w:rsidRPr="000F7E2E" w:rsidRDefault="007B417A">
      <w:pPr>
        <w:rPr>
          <w:sz w:val="22"/>
          <w:szCs w:val="22"/>
        </w:rPr>
      </w:pPr>
    </w:p>
    <w:p w:rsidR="00B415A0" w:rsidRPr="000F7E2E" w:rsidRDefault="00B415A0">
      <w:pPr>
        <w:rPr>
          <w:sz w:val="22"/>
          <w:szCs w:val="22"/>
        </w:rPr>
      </w:pPr>
    </w:p>
    <w:p w:rsidR="00B415A0" w:rsidRPr="000F7E2E" w:rsidRDefault="00B415A0">
      <w:pPr>
        <w:rPr>
          <w:sz w:val="22"/>
          <w:szCs w:val="22"/>
        </w:rPr>
      </w:pPr>
      <w:r w:rsidRPr="000F7E2E">
        <w:rPr>
          <w:sz w:val="22"/>
          <w:szCs w:val="22"/>
        </w:rPr>
        <w:tab/>
      </w:r>
      <w:r w:rsidRPr="000F7E2E">
        <w:rPr>
          <w:sz w:val="22"/>
          <w:szCs w:val="22"/>
        </w:rPr>
        <w:tab/>
      </w:r>
      <w:r w:rsidRPr="000F7E2E">
        <w:rPr>
          <w:sz w:val="22"/>
          <w:szCs w:val="22"/>
        </w:rPr>
        <w:tab/>
      </w:r>
      <w:r w:rsidRPr="000F7E2E">
        <w:rPr>
          <w:sz w:val="22"/>
          <w:szCs w:val="22"/>
        </w:rPr>
        <w:tab/>
      </w:r>
      <w:r w:rsidRPr="000F7E2E">
        <w:rPr>
          <w:sz w:val="22"/>
          <w:szCs w:val="22"/>
        </w:rPr>
        <w:tab/>
        <w:t>Michael J. Wilhelm</w:t>
      </w:r>
    </w:p>
    <w:p w:rsidR="00B415A0" w:rsidRPr="000F7E2E" w:rsidRDefault="00B415A0">
      <w:pPr>
        <w:rPr>
          <w:sz w:val="22"/>
          <w:szCs w:val="22"/>
        </w:rPr>
      </w:pPr>
      <w:r w:rsidRPr="000F7E2E">
        <w:rPr>
          <w:sz w:val="22"/>
          <w:szCs w:val="22"/>
        </w:rPr>
        <w:tab/>
      </w:r>
      <w:r w:rsidRPr="000F7E2E">
        <w:rPr>
          <w:sz w:val="22"/>
          <w:szCs w:val="22"/>
        </w:rPr>
        <w:tab/>
      </w:r>
      <w:r w:rsidRPr="000F7E2E">
        <w:rPr>
          <w:sz w:val="22"/>
          <w:szCs w:val="22"/>
        </w:rPr>
        <w:tab/>
      </w:r>
      <w:r w:rsidRPr="000F7E2E">
        <w:rPr>
          <w:sz w:val="22"/>
          <w:szCs w:val="22"/>
        </w:rPr>
        <w:tab/>
      </w:r>
      <w:r w:rsidRPr="000F7E2E">
        <w:rPr>
          <w:sz w:val="22"/>
          <w:szCs w:val="22"/>
        </w:rPr>
        <w:tab/>
        <w:t>Deputy Chief, Policy and Licensing Division</w:t>
      </w:r>
    </w:p>
    <w:p w:rsidR="007B417A" w:rsidRPr="000F7E2E" w:rsidRDefault="00B415A0">
      <w:pPr>
        <w:rPr>
          <w:sz w:val="22"/>
          <w:szCs w:val="22"/>
        </w:rPr>
      </w:pPr>
      <w:r w:rsidRPr="000F7E2E">
        <w:rPr>
          <w:sz w:val="22"/>
          <w:szCs w:val="22"/>
        </w:rPr>
        <w:tab/>
      </w:r>
      <w:r w:rsidRPr="000F7E2E">
        <w:rPr>
          <w:sz w:val="22"/>
          <w:szCs w:val="22"/>
        </w:rPr>
        <w:tab/>
      </w:r>
      <w:r w:rsidRPr="000F7E2E">
        <w:rPr>
          <w:sz w:val="22"/>
          <w:szCs w:val="22"/>
        </w:rPr>
        <w:tab/>
      </w:r>
      <w:r w:rsidRPr="000F7E2E">
        <w:rPr>
          <w:sz w:val="22"/>
          <w:szCs w:val="22"/>
        </w:rPr>
        <w:tab/>
      </w:r>
      <w:r w:rsidRPr="000F7E2E">
        <w:rPr>
          <w:sz w:val="22"/>
          <w:szCs w:val="22"/>
        </w:rPr>
        <w:tab/>
        <w:t xml:space="preserve">Public Safety and Homeland Security Bureau </w:t>
      </w:r>
      <w:r w:rsidRPr="000F7E2E">
        <w:rPr>
          <w:sz w:val="22"/>
          <w:szCs w:val="22"/>
        </w:rPr>
        <w:tab/>
      </w:r>
    </w:p>
    <w:p w:rsidR="007B417A" w:rsidRPr="000F7E2E" w:rsidRDefault="007B417A">
      <w:pPr>
        <w:rPr>
          <w:sz w:val="22"/>
          <w:szCs w:val="22"/>
        </w:rPr>
      </w:pPr>
    </w:p>
    <w:p w:rsidR="00727E21" w:rsidRPr="000F7E2E" w:rsidRDefault="00727E21">
      <w:pPr>
        <w:rPr>
          <w:sz w:val="22"/>
          <w:szCs w:val="22"/>
        </w:rPr>
      </w:pPr>
    </w:p>
    <w:sectPr w:rsidR="00727E21" w:rsidRPr="000F7E2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12" w:rsidRDefault="00A31812">
      <w:pPr>
        <w:spacing w:line="20" w:lineRule="exact"/>
      </w:pPr>
    </w:p>
  </w:endnote>
  <w:endnote w:type="continuationSeparator" w:id="0">
    <w:p w:rsidR="00A31812" w:rsidRDefault="00A31812">
      <w:r>
        <w:t xml:space="preserve"> </w:t>
      </w:r>
    </w:p>
  </w:endnote>
  <w:endnote w:type="continuationNotice" w:id="1">
    <w:p w:rsidR="00A31812" w:rsidRDefault="00A318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7A" w:rsidRDefault="00A31812">
    <w:pPr>
      <w:pStyle w:val="Footer"/>
      <w:framePr w:wrap="around" w:vAnchor="text" w:hAnchor="margin" w:xAlign="center" w:y="1"/>
    </w:pPr>
    <w:r>
      <w:fldChar w:fldCharType="begin"/>
    </w:r>
    <w:r>
      <w:instrText xml:space="preserve">PAGE  </w:instrText>
    </w:r>
    <w:r>
      <w:fldChar w:fldCharType="end"/>
    </w:r>
  </w:p>
  <w:p w:rsidR="007B417A" w:rsidRDefault="007B4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7A" w:rsidRDefault="00A31812">
    <w:pPr>
      <w:pStyle w:val="Footer"/>
      <w:framePr w:wrap="around" w:vAnchor="text" w:hAnchor="margin" w:xAlign="center" w:y="1"/>
    </w:pPr>
    <w:r>
      <w:fldChar w:fldCharType="begin"/>
    </w:r>
    <w:r>
      <w:instrText xml:space="preserve">PAGE  </w:instrText>
    </w:r>
    <w:r>
      <w:fldChar w:fldCharType="separate"/>
    </w:r>
    <w:r w:rsidR="00C728B6">
      <w:rPr>
        <w:noProof/>
      </w:rPr>
      <w:t>1</w:t>
    </w:r>
    <w:r>
      <w:fldChar w:fldCharType="end"/>
    </w:r>
  </w:p>
  <w:p w:rsidR="007B417A" w:rsidRDefault="007B417A">
    <w:pPr>
      <w:spacing w:before="140" w:line="100" w:lineRule="exact"/>
      <w:rPr>
        <w:sz w:val="10"/>
      </w:rPr>
    </w:pPr>
  </w:p>
  <w:p w:rsidR="007B417A" w:rsidRDefault="007B417A">
    <w:pPr>
      <w:suppressAutoHyphens/>
      <w:spacing w:line="227" w:lineRule="auto"/>
    </w:pPr>
  </w:p>
  <w:p w:rsidR="007B417A" w:rsidRDefault="007B41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7A" w:rsidRDefault="007B417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12" w:rsidRDefault="00A31812">
      <w:r>
        <w:separator/>
      </w:r>
    </w:p>
  </w:footnote>
  <w:footnote w:type="continuationSeparator" w:id="0">
    <w:p w:rsidR="00A31812" w:rsidRDefault="00A31812">
      <w:pPr>
        <w:rPr>
          <w:sz w:val="20"/>
        </w:rPr>
      </w:pPr>
      <w:r>
        <w:rPr>
          <w:sz w:val="20"/>
        </w:rPr>
        <w:t xml:space="preserve">(Continued from previous page)  </w:t>
      </w:r>
      <w:r>
        <w:rPr>
          <w:sz w:val="20"/>
        </w:rPr>
        <w:separator/>
      </w:r>
    </w:p>
  </w:footnote>
  <w:footnote w:type="continuationNotice" w:id="1">
    <w:p w:rsidR="00A31812" w:rsidRDefault="00A31812">
      <w:pPr>
        <w:rPr>
          <w:sz w:val="20"/>
        </w:rPr>
      </w:pPr>
      <w:r>
        <w:rPr>
          <w:sz w:val="20"/>
        </w:rPr>
        <w:t>(continued….)</w:t>
      </w:r>
    </w:p>
  </w:footnote>
  <w:footnote w:id="2">
    <w:p w:rsidR="00215D44" w:rsidRDefault="00215D44" w:rsidP="00215D44">
      <w:pPr>
        <w:pStyle w:val="FootnoteText"/>
      </w:pPr>
      <w:r>
        <w:rPr>
          <w:rStyle w:val="FootnoteReference"/>
        </w:rPr>
        <w:footnoteRef/>
      </w:r>
      <w:r>
        <w:t xml:space="preserve"> </w:t>
      </w:r>
      <w:r w:rsidR="000F7E2E">
        <w:rPr>
          <w:i/>
        </w:rPr>
        <w:t xml:space="preserve">See </w:t>
      </w:r>
      <w:r w:rsidR="000F7E2E">
        <w:t xml:space="preserve">Request for Extension of Time to Submit Cost Proposals, filed November 20, 2013 by the Regents of the University of California (Request).  </w:t>
      </w:r>
      <w:r w:rsidR="000F7E2E">
        <w:rPr>
          <w:i/>
        </w:rPr>
        <w:t xml:space="preserve">See also </w:t>
      </w:r>
      <w:r w:rsidRPr="00215D44">
        <w:rPr>
          <w:color w:val="000000"/>
          <w:szCs w:val="22"/>
        </w:rPr>
        <w:t xml:space="preserve">Improving Public Safety Communications in the 800 MHz Band, WT Docket No. 02-55, </w:t>
      </w:r>
      <w:r w:rsidRPr="00215D44">
        <w:rPr>
          <w:i/>
          <w:color w:val="000000"/>
          <w:szCs w:val="22"/>
        </w:rPr>
        <w:t>et al.</w:t>
      </w:r>
      <w:r w:rsidRPr="00215D44">
        <w:rPr>
          <w:color w:val="000000"/>
          <w:szCs w:val="22"/>
        </w:rPr>
        <w:t xml:space="preserve">, </w:t>
      </w:r>
      <w:r w:rsidRPr="00215D44">
        <w:rPr>
          <w:i/>
          <w:color w:val="000000"/>
          <w:szCs w:val="22"/>
        </w:rPr>
        <w:t>Report and Order, Fifth Report and Order, Fourth Memorandum Opinion and Order</w:t>
      </w:r>
      <w:r w:rsidRPr="00215D44">
        <w:rPr>
          <w:color w:val="000000"/>
          <w:szCs w:val="22"/>
        </w:rPr>
        <w:t>, 19 FCC Rcd 14969 (2004) (</w:t>
      </w:r>
      <w:r w:rsidRPr="00215D44">
        <w:rPr>
          <w:i/>
          <w:iCs/>
          <w:color w:val="000000"/>
          <w:szCs w:val="22"/>
        </w:rPr>
        <w:t>800 MHz Report and Order</w:t>
      </w:r>
      <w:r w:rsidRPr="00215D44">
        <w:rPr>
          <w:color w:val="000000"/>
          <w:szCs w:val="22"/>
        </w:rPr>
        <w:t xml:space="preserve">); </w:t>
      </w:r>
      <w:r w:rsidRPr="00215D44">
        <w:rPr>
          <w:i/>
          <w:iCs/>
          <w:color w:val="000000"/>
          <w:szCs w:val="22"/>
        </w:rPr>
        <w:t>Supplemental Order and Order on Reconsideration</w:t>
      </w:r>
      <w:r w:rsidRPr="00215D44">
        <w:rPr>
          <w:color w:val="000000"/>
          <w:szCs w:val="22"/>
        </w:rPr>
        <w:t>, 19 FCC Rcd 25120 (2004) (</w:t>
      </w:r>
      <w:r w:rsidRPr="00215D44">
        <w:rPr>
          <w:i/>
          <w:iCs/>
          <w:color w:val="000000"/>
          <w:szCs w:val="22"/>
        </w:rPr>
        <w:t>800 MHz Supplemental Order</w:t>
      </w:r>
      <w:r w:rsidRPr="00215D44">
        <w:rPr>
          <w:color w:val="000000"/>
          <w:szCs w:val="22"/>
        </w:rPr>
        <w:t xml:space="preserve">), </w:t>
      </w:r>
      <w:r w:rsidRPr="00215D44">
        <w:rPr>
          <w:i/>
          <w:color w:val="000000"/>
          <w:szCs w:val="22"/>
        </w:rPr>
        <w:t xml:space="preserve">review denied sub nom. Mobile Relay Associates v. FCC, </w:t>
      </w:r>
      <w:r w:rsidRPr="00215D44">
        <w:rPr>
          <w:color w:val="000000"/>
          <w:szCs w:val="22"/>
        </w:rPr>
        <w:t xml:space="preserve">457 F.3d 1 (D.C. Cir. 2006); </w:t>
      </w:r>
      <w:r w:rsidRPr="00215D44">
        <w:rPr>
          <w:i/>
          <w:color w:val="000000"/>
          <w:szCs w:val="22"/>
        </w:rPr>
        <w:t>Memorandum Opinion and Order</w:t>
      </w:r>
      <w:r w:rsidRPr="00215D44">
        <w:rPr>
          <w:color w:val="000000"/>
          <w:szCs w:val="22"/>
        </w:rPr>
        <w:t xml:space="preserve">, 20 FCC Rcd 16015 (2005); </w:t>
      </w:r>
      <w:r w:rsidRPr="00215D44">
        <w:rPr>
          <w:i/>
          <w:color w:val="000000"/>
          <w:szCs w:val="22"/>
        </w:rPr>
        <w:t>Second Memorandum Opinion and Order</w:t>
      </w:r>
      <w:r w:rsidRPr="00215D44">
        <w:rPr>
          <w:color w:val="000000"/>
          <w:szCs w:val="22"/>
        </w:rPr>
        <w:t xml:space="preserve">, 22 FCC Rcd 10467 (2007).  </w:t>
      </w:r>
      <w:r w:rsidRPr="00215D44">
        <w:rPr>
          <w:i/>
          <w:color w:val="000000"/>
          <w:szCs w:val="22"/>
        </w:rPr>
        <w:t xml:space="preserve">See also Kay v. FCC, </w:t>
      </w:r>
      <w:r w:rsidRPr="00215D44">
        <w:rPr>
          <w:color w:val="000000"/>
          <w:szCs w:val="22"/>
        </w:rPr>
        <w:t>No. 06-1076 (D.C. Cir. filed Feb. 24, 2006) (holding additional appeals in abeyance)</w:t>
      </w:r>
    </w:p>
  </w:footnote>
  <w:footnote w:id="3">
    <w:p w:rsidR="00007455" w:rsidRDefault="00007455">
      <w:pPr>
        <w:pStyle w:val="FootnoteText"/>
      </w:pPr>
      <w:r>
        <w:rPr>
          <w:rStyle w:val="FootnoteReference"/>
        </w:rPr>
        <w:footnoteRef/>
      </w:r>
      <w:r>
        <w:t xml:space="preserve"> Request at 1.</w:t>
      </w:r>
    </w:p>
  </w:footnote>
  <w:footnote w:id="4">
    <w:p w:rsidR="002E2FAE" w:rsidRPr="002E2FAE" w:rsidRDefault="002E2FAE">
      <w:pPr>
        <w:pStyle w:val="FootnoteText"/>
      </w:pPr>
      <w:r>
        <w:rPr>
          <w:rStyle w:val="FootnoteReference"/>
        </w:rPr>
        <w:footnoteRef/>
      </w:r>
      <w:r>
        <w:t xml:space="preserve"> </w:t>
      </w:r>
      <w:r w:rsidRPr="007A70CA">
        <w:rPr>
          <w:i/>
        </w:rPr>
        <w:t>Id.</w:t>
      </w:r>
      <w:r>
        <w:rPr>
          <w:i/>
        </w:rPr>
        <w:t xml:space="preserve"> </w:t>
      </w:r>
      <w:r>
        <w:t>at 1-2.</w:t>
      </w:r>
    </w:p>
  </w:footnote>
  <w:footnote w:id="5">
    <w:p w:rsidR="00BE07BD" w:rsidRPr="00BE07BD" w:rsidRDefault="00BE07BD">
      <w:pPr>
        <w:pStyle w:val="FootnoteText"/>
      </w:pPr>
      <w:r>
        <w:rPr>
          <w:rStyle w:val="FootnoteReference"/>
        </w:rPr>
        <w:footnoteRef/>
      </w:r>
      <w:r>
        <w:t xml:space="preserve"> </w:t>
      </w:r>
      <w:r w:rsidRPr="007A70CA">
        <w:rPr>
          <w:i/>
        </w:rPr>
        <w:t>Id.</w:t>
      </w:r>
      <w:r>
        <w:rPr>
          <w:i/>
        </w:rPr>
        <w:t xml:space="preserve"> </w:t>
      </w:r>
      <w:r>
        <w:t>at 2.</w:t>
      </w:r>
    </w:p>
  </w:footnote>
  <w:footnote w:id="6">
    <w:p w:rsidR="00BE07BD" w:rsidRDefault="00BE07BD">
      <w:pPr>
        <w:pStyle w:val="FootnoteText"/>
      </w:pPr>
      <w:r>
        <w:rPr>
          <w:rStyle w:val="FootnoteReference"/>
        </w:rPr>
        <w:footnoteRef/>
      </w:r>
      <w:r>
        <w:t xml:space="preserve"> </w:t>
      </w:r>
      <w:r w:rsidR="000F75EA" w:rsidRPr="007A70CA">
        <w:rPr>
          <w:i/>
        </w:rPr>
        <w:t>Id.</w:t>
      </w:r>
    </w:p>
  </w:footnote>
  <w:footnote w:id="7">
    <w:p w:rsidR="000F75EA" w:rsidRDefault="000F75EA">
      <w:pPr>
        <w:pStyle w:val="FootnoteText"/>
      </w:pPr>
      <w:r>
        <w:rPr>
          <w:rStyle w:val="FootnoteReference"/>
        </w:rPr>
        <w:footnoteRef/>
      </w:r>
      <w:r>
        <w:t xml:space="preserve"> 47 C.F.R. §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55" w:rsidRDefault="008A1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7A" w:rsidRDefault="00A31812">
    <w:pPr>
      <w:pStyle w:val="Header"/>
      <w:pBdr>
        <w:bottom w:val="single" w:sz="12" w:space="1" w:color="auto"/>
      </w:pBdr>
      <w:rPr>
        <w:b w:val="0"/>
      </w:rPr>
    </w:pPr>
    <w:r>
      <w:tab/>
      <w:t>Federal Communications Commission</w:t>
    </w:r>
    <w:r>
      <w:tab/>
    </w:r>
    <w:r w:rsidR="0020261A">
      <w:t>DA 13-2234</w:t>
    </w:r>
  </w:p>
  <w:p w:rsidR="007B417A" w:rsidRDefault="000F7E2E">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1BC86D53" wp14:editId="7316C338">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7B417A" w:rsidRDefault="007B417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7A" w:rsidRDefault="00A31812">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21"/>
    <w:rsid w:val="00007455"/>
    <w:rsid w:val="000F75EA"/>
    <w:rsid w:val="000F7E2E"/>
    <w:rsid w:val="0020261A"/>
    <w:rsid w:val="00215D44"/>
    <w:rsid w:val="002E2FAE"/>
    <w:rsid w:val="002F75C5"/>
    <w:rsid w:val="003817C7"/>
    <w:rsid w:val="00640509"/>
    <w:rsid w:val="00727E21"/>
    <w:rsid w:val="007B417A"/>
    <w:rsid w:val="008A1755"/>
    <w:rsid w:val="00970E3B"/>
    <w:rsid w:val="009B23D9"/>
    <w:rsid w:val="00A31812"/>
    <w:rsid w:val="00A82803"/>
    <w:rsid w:val="00B415A0"/>
    <w:rsid w:val="00B526FC"/>
    <w:rsid w:val="00BE07BD"/>
    <w:rsid w:val="00C728B6"/>
    <w:rsid w:val="00F0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D44"/>
    <w:rPr>
      <w:sz w:val="24"/>
      <w:szCs w:val="24"/>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utoRedefine/>
    <w:semiHidden/>
    <w:pPr>
      <w:tabs>
        <w:tab w:val="left" w:pos="720"/>
        <w:tab w:val="left" w:pos="1440"/>
      </w:tabs>
      <w:spacing w:after="120"/>
      <w:ind w:right="144"/>
    </w:pPr>
  </w:style>
  <w:style w:type="character" w:styleId="FootnoteReference">
    <w:name w:val="footnote reference"/>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customStyle="1" w:styleId="documentbody1">
    <w:name w:val="documentbody1"/>
    <w:rsid w:val="00215D44"/>
    <w:rPr>
      <w:rFonts w:ascii="Verdana" w:hAnsi="Verdana" w:hint="default"/>
      <w:sz w:val="19"/>
      <w:szCs w:val="19"/>
    </w:rPr>
  </w:style>
  <w:style w:type="paragraph" w:styleId="BalloonText">
    <w:name w:val="Balloon Text"/>
    <w:basedOn w:val="Normal"/>
    <w:link w:val="BalloonTextChar"/>
    <w:rsid w:val="000F7E2E"/>
    <w:rPr>
      <w:rFonts w:ascii="Tahoma" w:hAnsi="Tahoma" w:cs="Tahoma"/>
      <w:sz w:val="16"/>
      <w:szCs w:val="16"/>
    </w:rPr>
  </w:style>
  <w:style w:type="character" w:customStyle="1" w:styleId="BalloonTextChar">
    <w:name w:val="Balloon Text Char"/>
    <w:basedOn w:val="DefaultParagraphFont"/>
    <w:link w:val="BalloonText"/>
    <w:rsid w:val="000F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D44"/>
    <w:rPr>
      <w:sz w:val="24"/>
      <w:szCs w:val="24"/>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utoRedefine/>
    <w:semiHidden/>
    <w:pPr>
      <w:tabs>
        <w:tab w:val="left" w:pos="720"/>
        <w:tab w:val="left" w:pos="1440"/>
      </w:tabs>
      <w:spacing w:after="120"/>
      <w:ind w:right="144"/>
    </w:pPr>
  </w:style>
  <w:style w:type="character" w:styleId="FootnoteReference">
    <w:name w:val="footnote reference"/>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customStyle="1" w:styleId="documentbody1">
    <w:name w:val="documentbody1"/>
    <w:rsid w:val="00215D44"/>
    <w:rPr>
      <w:rFonts w:ascii="Verdana" w:hAnsi="Verdana" w:hint="default"/>
      <w:sz w:val="19"/>
      <w:szCs w:val="19"/>
    </w:rPr>
  </w:style>
  <w:style w:type="paragraph" w:styleId="BalloonText">
    <w:name w:val="Balloon Text"/>
    <w:basedOn w:val="Normal"/>
    <w:link w:val="BalloonTextChar"/>
    <w:rsid w:val="000F7E2E"/>
    <w:rPr>
      <w:rFonts w:ascii="Tahoma" w:hAnsi="Tahoma" w:cs="Tahoma"/>
      <w:sz w:val="16"/>
      <w:szCs w:val="16"/>
    </w:rPr>
  </w:style>
  <w:style w:type="character" w:customStyle="1" w:styleId="BalloonTextChar">
    <w:name w:val="Balloon Text Char"/>
    <w:basedOn w:val="DefaultParagraphFont"/>
    <w:link w:val="BalloonText"/>
    <w:rsid w:val="000F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615</Words>
  <Characters>3351</Characters>
  <Application>Microsoft Office Word</Application>
  <DocSecurity>0</DocSecurity>
  <Lines>79</Lines>
  <Paragraphs>33</Paragraphs>
  <ScaleCrop>false</ScaleCrop>
  <HeadingPairs>
    <vt:vector size="2" baseType="variant">
      <vt:variant>
        <vt:lpstr>Title</vt:lpstr>
      </vt:variant>
      <vt:variant>
        <vt:i4>1</vt:i4>
      </vt:variant>
    </vt:vector>
  </HeadingPairs>
  <TitlesOfParts>
    <vt:vector size="1" baseType="lpstr">
      <vt:lpstr>Order</vt:lpstr>
    </vt:vector>
  </TitlesOfParts>
  <Manager/>
  <Company/>
  <LinksUpToDate>false</LinksUpToDate>
  <CharactersWithSpaces>3968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2013-11-21T15:13:00Z</cp:lastPrinted>
  <dcterms:created xsi:type="dcterms:W3CDTF">2013-11-21T16:23:00Z</dcterms:created>
  <dcterms:modified xsi:type="dcterms:W3CDTF">2013-11-21T16:23:00Z</dcterms:modified>
  <cp:category> </cp:category>
  <cp:contentStatus> </cp:contentStatus>
</cp:coreProperties>
</file>