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FA" w:rsidRPr="00AF6C9B" w:rsidRDefault="006245FA" w:rsidP="006245FA">
      <w:pPr>
        <w:pStyle w:val="Heading1"/>
        <w:spacing w:after="0"/>
        <w:rPr>
          <w:sz w:val="22"/>
          <w:szCs w:val="22"/>
        </w:rPr>
      </w:pPr>
      <w:bookmarkStart w:id="0" w:name="_GoBack"/>
      <w:bookmarkEnd w:id="0"/>
      <w:r w:rsidRPr="00AF6C9B">
        <w:rPr>
          <w:sz w:val="22"/>
          <w:szCs w:val="22"/>
        </w:rPr>
        <w:t>Before the</w:t>
      </w:r>
    </w:p>
    <w:p w:rsidR="006245FA" w:rsidRPr="00AF6C9B" w:rsidRDefault="006245FA" w:rsidP="006245FA">
      <w:pPr>
        <w:pStyle w:val="Heading1"/>
        <w:spacing w:after="0"/>
        <w:rPr>
          <w:sz w:val="22"/>
          <w:szCs w:val="22"/>
        </w:rPr>
      </w:pPr>
      <w:r>
        <w:rPr>
          <w:sz w:val="22"/>
          <w:szCs w:val="22"/>
        </w:rPr>
        <w:t xml:space="preserve">   </w:t>
      </w:r>
      <w:r w:rsidRPr="00AF6C9B">
        <w:rPr>
          <w:sz w:val="22"/>
          <w:szCs w:val="22"/>
        </w:rPr>
        <w:t>Federal Communications Commission</w:t>
      </w:r>
    </w:p>
    <w:p w:rsidR="006245FA" w:rsidRPr="00AF6C9B" w:rsidRDefault="006245FA" w:rsidP="006245FA">
      <w:pPr>
        <w:pStyle w:val="Heading1"/>
        <w:spacing w:after="0"/>
        <w:rPr>
          <w:sz w:val="22"/>
          <w:szCs w:val="22"/>
        </w:rPr>
      </w:pPr>
      <w:r w:rsidRPr="00AF6C9B">
        <w:rPr>
          <w:sz w:val="22"/>
          <w:szCs w:val="22"/>
        </w:rPr>
        <w:t xml:space="preserve">     Washington, D.C.  20554</w:t>
      </w:r>
    </w:p>
    <w:p w:rsidR="006245FA" w:rsidRPr="00AF6C9B" w:rsidRDefault="006245FA" w:rsidP="006245FA">
      <w:pPr>
        <w:rPr>
          <w:sz w:val="22"/>
          <w:szCs w:val="22"/>
        </w:rPr>
      </w:pPr>
    </w:p>
    <w:tbl>
      <w:tblPr>
        <w:tblW w:w="0" w:type="auto"/>
        <w:tblLook w:val="0000" w:firstRow="0" w:lastRow="0" w:firstColumn="0" w:lastColumn="0" w:noHBand="0" w:noVBand="0"/>
      </w:tblPr>
      <w:tblGrid>
        <w:gridCol w:w="4428"/>
        <w:gridCol w:w="1080"/>
        <w:gridCol w:w="4068"/>
      </w:tblGrid>
      <w:tr w:rsidR="006245FA" w:rsidRPr="00AF6C9B" w:rsidTr="002C01A9">
        <w:tc>
          <w:tcPr>
            <w:tcW w:w="4428" w:type="dxa"/>
          </w:tcPr>
          <w:p w:rsidR="006245FA" w:rsidRPr="00AF6C9B" w:rsidRDefault="006245FA" w:rsidP="002C01A9">
            <w:pPr>
              <w:keepNext/>
              <w:rPr>
                <w:sz w:val="22"/>
                <w:szCs w:val="22"/>
              </w:rPr>
            </w:pPr>
          </w:p>
          <w:p w:rsidR="006245FA" w:rsidRPr="00AF6C9B" w:rsidRDefault="006245FA" w:rsidP="002C01A9">
            <w:pPr>
              <w:keepNext/>
              <w:rPr>
                <w:sz w:val="22"/>
                <w:szCs w:val="22"/>
              </w:rPr>
            </w:pPr>
            <w:r w:rsidRPr="00AF6C9B">
              <w:rPr>
                <w:sz w:val="22"/>
                <w:szCs w:val="22"/>
              </w:rPr>
              <w:t xml:space="preserve">In the Matter of </w:t>
            </w:r>
          </w:p>
          <w:p w:rsidR="006245FA" w:rsidRPr="00AF6C9B" w:rsidRDefault="006245FA" w:rsidP="002C01A9">
            <w:pPr>
              <w:keepNext/>
              <w:rPr>
                <w:sz w:val="22"/>
                <w:szCs w:val="22"/>
              </w:rPr>
            </w:pPr>
          </w:p>
          <w:p w:rsidR="006245FA" w:rsidRPr="00AF6C9B" w:rsidRDefault="006245FA" w:rsidP="002C01A9">
            <w:pPr>
              <w:ind w:right="-18"/>
              <w:rPr>
                <w:b/>
                <w:sz w:val="22"/>
                <w:szCs w:val="22"/>
              </w:rPr>
            </w:pPr>
            <w:r w:rsidRPr="00AF6C9B">
              <w:rPr>
                <w:sz w:val="22"/>
                <w:szCs w:val="22"/>
              </w:rPr>
              <w:t>KSBJ Educational Foundation, Inc.</w:t>
            </w:r>
          </w:p>
          <w:p w:rsidR="006245FA" w:rsidRPr="00AF6C9B" w:rsidRDefault="006245FA" w:rsidP="002C01A9">
            <w:pPr>
              <w:keepNext/>
              <w:rPr>
                <w:sz w:val="22"/>
                <w:szCs w:val="22"/>
              </w:rPr>
            </w:pPr>
          </w:p>
          <w:p w:rsidR="006245FA" w:rsidRPr="00AF6C9B" w:rsidRDefault="006245FA" w:rsidP="002C01A9">
            <w:pPr>
              <w:keepNext/>
              <w:rPr>
                <w:sz w:val="22"/>
                <w:szCs w:val="22"/>
              </w:rPr>
            </w:pPr>
          </w:p>
        </w:tc>
        <w:tc>
          <w:tcPr>
            <w:tcW w:w="1080" w:type="dxa"/>
          </w:tcPr>
          <w:p w:rsidR="006245FA" w:rsidRPr="00AF6C9B" w:rsidRDefault="006245FA" w:rsidP="002C01A9">
            <w:pPr>
              <w:keepNext/>
              <w:rPr>
                <w:sz w:val="22"/>
                <w:szCs w:val="22"/>
              </w:rPr>
            </w:pPr>
            <w:r w:rsidRPr="00AF6C9B">
              <w:rPr>
                <w:sz w:val="22"/>
                <w:szCs w:val="22"/>
              </w:rPr>
              <w:t xml:space="preserve">    )</w:t>
            </w:r>
          </w:p>
          <w:p w:rsidR="006245FA" w:rsidRPr="00AF6C9B" w:rsidRDefault="006245FA" w:rsidP="002C01A9">
            <w:pPr>
              <w:keepNext/>
              <w:rPr>
                <w:sz w:val="22"/>
                <w:szCs w:val="22"/>
              </w:rPr>
            </w:pPr>
            <w:r w:rsidRPr="00AF6C9B">
              <w:rPr>
                <w:sz w:val="22"/>
                <w:szCs w:val="22"/>
              </w:rPr>
              <w:t xml:space="preserve">    )</w:t>
            </w:r>
          </w:p>
          <w:p w:rsidR="006245FA" w:rsidRPr="00AF6C9B" w:rsidRDefault="006245FA" w:rsidP="002C01A9">
            <w:pPr>
              <w:keepNext/>
              <w:rPr>
                <w:sz w:val="22"/>
                <w:szCs w:val="22"/>
              </w:rPr>
            </w:pPr>
            <w:r w:rsidRPr="00AF6C9B">
              <w:rPr>
                <w:sz w:val="22"/>
                <w:szCs w:val="22"/>
              </w:rPr>
              <w:t xml:space="preserve">    )</w:t>
            </w:r>
          </w:p>
          <w:p w:rsidR="006245FA" w:rsidRPr="00AF6C9B" w:rsidRDefault="006245FA" w:rsidP="002C01A9">
            <w:pPr>
              <w:keepNext/>
              <w:rPr>
                <w:sz w:val="22"/>
                <w:szCs w:val="22"/>
              </w:rPr>
            </w:pPr>
            <w:r w:rsidRPr="00AF6C9B">
              <w:rPr>
                <w:sz w:val="22"/>
                <w:szCs w:val="22"/>
              </w:rPr>
              <w:t xml:space="preserve">    )</w:t>
            </w:r>
          </w:p>
          <w:p w:rsidR="006245FA" w:rsidRPr="00AF6C9B" w:rsidRDefault="006245FA" w:rsidP="002C01A9">
            <w:pPr>
              <w:keepNext/>
              <w:rPr>
                <w:sz w:val="22"/>
                <w:szCs w:val="22"/>
              </w:rPr>
            </w:pPr>
            <w:r w:rsidRPr="00AF6C9B">
              <w:rPr>
                <w:sz w:val="22"/>
                <w:szCs w:val="22"/>
              </w:rPr>
              <w:t xml:space="preserve">    )</w:t>
            </w:r>
          </w:p>
          <w:p w:rsidR="006245FA" w:rsidRPr="00AF6C9B" w:rsidRDefault="006245FA" w:rsidP="002C01A9">
            <w:pPr>
              <w:keepNext/>
              <w:rPr>
                <w:sz w:val="22"/>
                <w:szCs w:val="22"/>
              </w:rPr>
            </w:pPr>
            <w:r w:rsidRPr="00AF6C9B">
              <w:rPr>
                <w:sz w:val="22"/>
                <w:szCs w:val="22"/>
              </w:rPr>
              <w:t xml:space="preserve">    )</w:t>
            </w:r>
          </w:p>
          <w:p w:rsidR="006245FA" w:rsidRPr="00AF6C9B" w:rsidRDefault="006245FA" w:rsidP="002C01A9">
            <w:pPr>
              <w:keepNext/>
              <w:rPr>
                <w:sz w:val="22"/>
                <w:szCs w:val="22"/>
              </w:rPr>
            </w:pPr>
            <w:r w:rsidRPr="00AF6C9B">
              <w:rPr>
                <w:sz w:val="22"/>
                <w:szCs w:val="22"/>
              </w:rPr>
              <w:t xml:space="preserve"> </w:t>
            </w:r>
          </w:p>
        </w:tc>
        <w:tc>
          <w:tcPr>
            <w:tcW w:w="4068" w:type="dxa"/>
          </w:tcPr>
          <w:p w:rsidR="006245FA" w:rsidRPr="00AF6C9B" w:rsidRDefault="006245FA" w:rsidP="002C01A9">
            <w:pPr>
              <w:rPr>
                <w:spacing w:val="-2"/>
                <w:sz w:val="22"/>
                <w:szCs w:val="22"/>
                <w:lang w:val="es-ES"/>
              </w:rPr>
            </w:pPr>
          </w:p>
          <w:p w:rsidR="006245FA" w:rsidRPr="00AF6C9B" w:rsidRDefault="006245FA" w:rsidP="002C01A9">
            <w:pPr>
              <w:ind w:firstLine="432"/>
              <w:rPr>
                <w:b/>
                <w:sz w:val="22"/>
                <w:szCs w:val="22"/>
              </w:rPr>
            </w:pPr>
            <w:r w:rsidRPr="00AF6C9B">
              <w:rPr>
                <w:spacing w:val="-2"/>
                <w:sz w:val="22"/>
                <w:szCs w:val="22"/>
              </w:rPr>
              <w:t xml:space="preserve">File No.:  </w:t>
            </w:r>
            <w:r w:rsidRPr="00AF6C9B">
              <w:rPr>
                <w:sz w:val="22"/>
                <w:szCs w:val="22"/>
              </w:rPr>
              <w:t>EB-SED-12-00000691</w:t>
            </w:r>
          </w:p>
          <w:p w:rsidR="006245FA" w:rsidRPr="00AF6C9B" w:rsidRDefault="006245FA" w:rsidP="002C01A9">
            <w:pPr>
              <w:ind w:firstLine="432"/>
              <w:rPr>
                <w:sz w:val="22"/>
                <w:szCs w:val="22"/>
              </w:rPr>
            </w:pPr>
          </w:p>
          <w:p w:rsidR="006245FA" w:rsidRPr="00AF6C9B" w:rsidRDefault="006245FA" w:rsidP="002C01A9">
            <w:pPr>
              <w:ind w:firstLine="432"/>
              <w:rPr>
                <w:sz w:val="22"/>
                <w:szCs w:val="22"/>
              </w:rPr>
            </w:pPr>
            <w:r w:rsidRPr="00AF6C9B">
              <w:rPr>
                <w:sz w:val="22"/>
                <w:szCs w:val="22"/>
              </w:rPr>
              <w:t xml:space="preserve">Acct. No.:  201432100005 </w:t>
            </w:r>
          </w:p>
          <w:p w:rsidR="006245FA" w:rsidRPr="00AF6C9B" w:rsidRDefault="006245FA" w:rsidP="002C01A9">
            <w:pPr>
              <w:ind w:firstLine="432"/>
              <w:rPr>
                <w:sz w:val="22"/>
                <w:szCs w:val="22"/>
              </w:rPr>
            </w:pPr>
          </w:p>
          <w:p w:rsidR="006245FA" w:rsidRPr="00AF6C9B" w:rsidRDefault="006245FA" w:rsidP="002C01A9">
            <w:pPr>
              <w:ind w:firstLine="432"/>
              <w:rPr>
                <w:sz w:val="22"/>
                <w:szCs w:val="22"/>
              </w:rPr>
            </w:pPr>
            <w:r w:rsidRPr="00AF6C9B">
              <w:rPr>
                <w:sz w:val="22"/>
                <w:szCs w:val="22"/>
              </w:rPr>
              <w:t>FRN:  0006157721</w:t>
            </w:r>
          </w:p>
        </w:tc>
      </w:tr>
    </w:tbl>
    <w:p w:rsidR="006245FA" w:rsidRPr="00AF6C9B" w:rsidRDefault="006245FA" w:rsidP="006245FA">
      <w:pPr>
        <w:keepNext/>
        <w:jc w:val="center"/>
        <w:rPr>
          <w:b/>
          <w:sz w:val="22"/>
          <w:szCs w:val="22"/>
        </w:rPr>
      </w:pPr>
      <w:r w:rsidRPr="00AF6C9B">
        <w:rPr>
          <w:b/>
          <w:sz w:val="22"/>
          <w:szCs w:val="22"/>
        </w:rPr>
        <w:t>ORDER</w:t>
      </w:r>
    </w:p>
    <w:p w:rsidR="006245FA" w:rsidRPr="00AF6C9B" w:rsidRDefault="006245FA" w:rsidP="006245FA">
      <w:pPr>
        <w:keepNext/>
        <w:jc w:val="center"/>
        <w:rPr>
          <w:sz w:val="22"/>
          <w:szCs w:val="22"/>
        </w:rPr>
      </w:pPr>
    </w:p>
    <w:p w:rsidR="006245FA" w:rsidRPr="00AF6C9B" w:rsidRDefault="006245FA" w:rsidP="006245FA">
      <w:pPr>
        <w:rPr>
          <w:b/>
          <w:sz w:val="22"/>
          <w:szCs w:val="22"/>
        </w:rPr>
      </w:pPr>
      <w:r w:rsidRPr="00AF6C9B">
        <w:rPr>
          <w:b/>
          <w:sz w:val="22"/>
          <w:szCs w:val="22"/>
        </w:rPr>
        <w:t>Adopted:  December 18, 2013</w:t>
      </w:r>
      <w:r w:rsidRPr="00AF6C9B">
        <w:rPr>
          <w:b/>
          <w:sz w:val="22"/>
          <w:szCs w:val="22"/>
        </w:rPr>
        <w:tab/>
      </w:r>
      <w:r w:rsidRPr="00AF6C9B">
        <w:rPr>
          <w:b/>
          <w:sz w:val="22"/>
          <w:szCs w:val="22"/>
        </w:rPr>
        <w:tab/>
      </w:r>
      <w:r w:rsidRPr="00AF6C9B">
        <w:rPr>
          <w:b/>
          <w:sz w:val="22"/>
          <w:szCs w:val="22"/>
        </w:rPr>
        <w:tab/>
      </w:r>
      <w:r w:rsidRPr="00AF6C9B">
        <w:rPr>
          <w:b/>
          <w:sz w:val="22"/>
          <w:szCs w:val="22"/>
        </w:rPr>
        <w:tab/>
        <w:t xml:space="preserve">                           Released:  December 18, 2013 </w:t>
      </w:r>
    </w:p>
    <w:p w:rsidR="006245FA" w:rsidRPr="00AF6C9B" w:rsidRDefault="006245FA" w:rsidP="006245FA">
      <w:pPr>
        <w:rPr>
          <w:sz w:val="22"/>
          <w:szCs w:val="22"/>
        </w:rPr>
      </w:pPr>
    </w:p>
    <w:p w:rsidR="006245FA" w:rsidRPr="00AF6C9B" w:rsidRDefault="006245FA" w:rsidP="006245FA">
      <w:pPr>
        <w:rPr>
          <w:sz w:val="22"/>
          <w:szCs w:val="22"/>
        </w:rPr>
      </w:pPr>
      <w:r w:rsidRPr="00AF6C9B">
        <w:rPr>
          <w:sz w:val="22"/>
          <w:szCs w:val="22"/>
        </w:rPr>
        <w:t>By the Chief, Enforcement Bureau:</w:t>
      </w:r>
    </w:p>
    <w:p w:rsidR="006245FA" w:rsidRPr="00AF6C9B" w:rsidRDefault="006245FA" w:rsidP="006245FA">
      <w:pPr>
        <w:pStyle w:val="par1"/>
        <w:numPr>
          <w:ilvl w:val="0"/>
          <w:numId w:val="0"/>
        </w:numPr>
        <w:rPr>
          <w:szCs w:val="22"/>
        </w:rPr>
      </w:pPr>
    </w:p>
    <w:p w:rsidR="006245FA" w:rsidRPr="00AF6C9B" w:rsidRDefault="006245FA" w:rsidP="006245FA">
      <w:pPr>
        <w:pStyle w:val="par1"/>
        <w:tabs>
          <w:tab w:val="clear" w:pos="1080"/>
        </w:tabs>
        <w:rPr>
          <w:color w:val="000000"/>
          <w:szCs w:val="22"/>
        </w:rPr>
      </w:pPr>
      <w:r w:rsidRPr="00AF6C9B">
        <w:rPr>
          <w:szCs w:val="22"/>
        </w:rPr>
        <w:t>In this Order, we adopt the attached Consent Decree entered into between the Enforcement Bureau (Bureau) of the Federal Communications Commission (Commission) and KSBJ Educational Foundation, Inc. (KSBJ).  The Consent Decree resolves and terminates the Bureau’s investigation into possible violations of Section 301 of the Communications Act of 1934, as amended (Act),</w:t>
      </w:r>
      <w:r w:rsidRPr="00AF6C9B">
        <w:rPr>
          <w:rStyle w:val="FootnoteReference"/>
          <w:szCs w:val="22"/>
        </w:rPr>
        <w:footnoteReference w:id="1"/>
      </w:r>
      <w:r w:rsidRPr="00AF6C9B">
        <w:rPr>
          <w:szCs w:val="22"/>
        </w:rPr>
        <w:t xml:space="preserve"> and Sections 25.102(a) and 25.121(e) of the Commission’s rules (Rules),</w:t>
      </w:r>
      <w:r w:rsidRPr="00AF6C9B">
        <w:rPr>
          <w:rStyle w:val="FootnoteReference"/>
          <w:szCs w:val="22"/>
        </w:rPr>
        <w:footnoteReference w:id="2"/>
      </w:r>
      <w:r w:rsidRPr="00AF6C9B">
        <w:rPr>
          <w:szCs w:val="22"/>
        </w:rPr>
        <w:t xml:space="preserve"> pertaining to the </w:t>
      </w:r>
      <w:r>
        <w:rPr>
          <w:szCs w:val="22"/>
        </w:rPr>
        <w:t xml:space="preserve">possible </w:t>
      </w:r>
      <w:r w:rsidRPr="00AF6C9B">
        <w:rPr>
          <w:szCs w:val="22"/>
        </w:rPr>
        <w:t>unauthorized operation of a fixed earth station.</w:t>
      </w:r>
    </w:p>
    <w:p w:rsidR="006245FA" w:rsidRPr="00AF6C9B" w:rsidRDefault="006245FA" w:rsidP="006245FA">
      <w:pPr>
        <w:pStyle w:val="par1"/>
        <w:numPr>
          <w:ilvl w:val="0"/>
          <w:numId w:val="0"/>
        </w:numPr>
        <w:rPr>
          <w:szCs w:val="22"/>
        </w:rPr>
      </w:pPr>
      <w:r w:rsidRPr="00AF6C9B">
        <w:rPr>
          <w:color w:val="000000"/>
          <w:szCs w:val="22"/>
        </w:rPr>
        <w:t xml:space="preserve"> </w:t>
      </w:r>
    </w:p>
    <w:p w:rsidR="006245FA" w:rsidRPr="00AF6C9B" w:rsidRDefault="006245FA" w:rsidP="006245FA">
      <w:pPr>
        <w:pStyle w:val="par1"/>
        <w:tabs>
          <w:tab w:val="clear" w:pos="1080"/>
        </w:tabs>
        <w:rPr>
          <w:szCs w:val="22"/>
        </w:rPr>
      </w:pPr>
      <w:r w:rsidRPr="00AF6C9B">
        <w:rPr>
          <w:szCs w:val="22"/>
        </w:rPr>
        <w:t xml:space="preserve">The Bureau and KSBJ have negotiated the Consent Decree that resolves this matter.  A copy of the Consent Decree is attached hereto and incorporated herein by reference.  </w:t>
      </w:r>
    </w:p>
    <w:p w:rsidR="006245FA" w:rsidRPr="00AF6C9B" w:rsidRDefault="006245FA" w:rsidP="006245FA">
      <w:pPr>
        <w:pStyle w:val="par1"/>
        <w:numPr>
          <w:ilvl w:val="0"/>
          <w:numId w:val="0"/>
        </w:numPr>
        <w:rPr>
          <w:szCs w:val="22"/>
        </w:rPr>
      </w:pPr>
    </w:p>
    <w:p w:rsidR="006245FA" w:rsidRPr="00AF6C9B" w:rsidRDefault="006245FA" w:rsidP="006245FA">
      <w:pPr>
        <w:pStyle w:val="par1"/>
        <w:tabs>
          <w:tab w:val="clear" w:pos="1080"/>
        </w:tabs>
        <w:rPr>
          <w:b/>
          <w:szCs w:val="22"/>
          <w:u w:val="single"/>
        </w:rPr>
      </w:pPr>
      <w:r w:rsidRPr="00AF6C9B">
        <w:rPr>
          <w:szCs w:val="22"/>
        </w:rPr>
        <w:t>After reviewing the terms of the Consent Decree and evaluating the facts before us, we find that the public interest would be served by adopting the Consent Decree and terminating the investigation.</w:t>
      </w:r>
    </w:p>
    <w:p w:rsidR="006245FA" w:rsidRPr="00AF6C9B" w:rsidRDefault="006245FA" w:rsidP="006245FA">
      <w:pPr>
        <w:pStyle w:val="par1"/>
        <w:numPr>
          <w:ilvl w:val="0"/>
          <w:numId w:val="0"/>
        </w:numPr>
        <w:ind w:left="720"/>
        <w:rPr>
          <w:b/>
          <w:szCs w:val="22"/>
          <w:u w:val="single"/>
        </w:rPr>
      </w:pPr>
      <w:r w:rsidRPr="00AF6C9B">
        <w:rPr>
          <w:b/>
          <w:szCs w:val="22"/>
          <w:u w:val="single"/>
        </w:rPr>
        <w:t xml:space="preserve"> </w:t>
      </w:r>
    </w:p>
    <w:p w:rsidR="006245FA" w:rsidRPr="00AF6C9B" w:rsidRDefault="006245FA" w:rsidP="006245FA">
      <w:pPr>
        <w:pStyle w:val="par1"/>
        <w:tabs>
          <w:tab w:val="left" w:pos="1080"/>
        </w:tabs>
        <w:rPr>
          <w:b/>
          <w:szCs w:val="22"/>
          <w:u w:val="single"/>
        </w:rPr>
      </w:pPr>
      <w:r w:rsidRPr="00AF6C9B">
        <w:rPr>
          <w:bCs/>
          <w:szCs w:val="22"/>
        </w:rPr>
        <w:tab/>
        <w:t>In the absence of material new evidence relating to this matter, we conclude that our investigation raises no substantial or material questions of fact as to whether KSBJ possesses the basic qualifications, including those related to character, to hold or obtain any Commission license or authorization.</w:t>
      </w:r>
      <w:r w:rsidRPr="00AF6C9B">
        <w:rPr>
          <w:b/>
          <w:szCs w:val="22"/>
          <w:u w:val="single"/>
        </w:rPr>
        <w:t xml:space="preserve"> </w:t>
      </w:r>
    </w:p>
    <w:p w:rsidR="006245FA" w:rsidRPr="00AF6C9B" w:rsidRDefault="006245FA" w:rsidP="006245FA">
      <w:pPr>
        <w:pStyle w:val="par1"/>
        <w:numPr>
          <w:ilvl w:val="0"/>
          <w:numId w:val="0"/>
        </w:numPr>
        <w:tabs>
          <w:tab w:val="num" w:pos="1440"/>
        </w:tabs>
        <w:rPr>
          <w:b/>
          <w:szCs w:val="22"/>
          <w:u w:val="single"/>
        </w:rPr>
      </w:pPr>
    </w:p>
    <w:p w:rsidR="006245FA" w:rsidRPr="00AF6C9B" w:rsidRDefault="006245FA" w:rsidP="006245FA">
      <w:pPr>
        <w:pStyle w:val="par1"/>
        <w:tabs>
          <w:tab w:val="left" w:pos="1080"/>
        </w:tabs>
        <w:rPr>
          <w:b/>
          <w:szCs w:val="22"/>
          <w:u w:val="single"/>
        </w:rPr>
      </w:pPr>
      <w:r w:rsidRPr="00AF6C9B">
        <w:rPr>
          <w:bCs/>
          <w:szCs w:val="22"/>
        </w:rPr>
        <w:tab/>
        <w:t xml:space="preserve">Accordingly, </w:t>
      </w:r>
      <w:r w:rsidRPr="00AF6C9B">
        <w:rPr>
          <w:b/>
          <w:bCs/>
          <w:szCs w:val="22"/>
        </w:rPr>
        <w:t>IT IS ORDERED</w:t>
      </w:r>
      <w:r w:rsidRPr="00AF6C9B">
        <w:rPr>
          <w:bCs/>
          <w:szCs w:val="22"/>
        </w:rPr>
        <w:t xml:space="preserve"> that, pursuant to Sections 4(i), 4(j), and 503(b) of the Act,</w:t>
      </w:r>
      <w:r w:rsidRPr="00AF6C9B">
        <w:rPr>
          <w:rStyle w:val="FootnoteReference"/>
          <w:bCs/>
          <w:szCs w:val="22"/>
        </w:rPr>
        <w:footnoteReference w:id="3"/>
      </w:r>
      <w:r w:rsidRPr="00AF6C9B">
        <w:rPr>
          <w:bCs/>
          <w:szCs w:val="22"/>
        </w:rPr>
        <w:t xml:space="preserve"> and Sections 0.111 and 0.311 of the Rules,</w:t>
      </w:r>
      <w:r w:rsidRPr="00AF6C9B">
        <w:rPr>
          <w:rStyle w:val="FootnoteReference"/>
          <w:bCs/>
          <w:szCs w:val="22"/>
        </w:rPr>
        <w:footnoteReference w:id="4"/>
      </w:r>
      <w:r w:rsidRPr="00AF6C9B">
        <w:rPr>
          <w:bCs/>
          <w:szCs w:val="22"/>
        </w:rPr>
        <w:t xml:space="preserve"> the Consent Decree attached to this Order </w:t>
      </w:r>
      <w:r w:rsidRPr="00AF6C9B">
        <w:rPr>
          <w:b/>
          <w:bCs/>
          <w:szCs w:val="22"/>
        </w:rPr>
        <w:t>IS ADOPTED</w:t>
      </w:r>
      <w:r w:rsidRPr="00AF6C9B">
        <w:rPr>
          <w:bCs/>
          <w:szCs w:val="22"/>
        </w:rPr>
        <w:t>.</w:t>
      </w:r>
    </w:p>
    <w:p w:rsidR="006245FA" w:rsidRDefault="006245FA" w:rsidP="006245FA">
      <w:pPr>
        <w:rPr>
          <w:bCs/>
          <w:sz w:val="22"/>
          <w:szCs w:val="22"/>
        </w:rPr>
      </w:pPr>
    </w:p>
    <w:p w:rsidR="006245FA" w:rsidRDefault="006245FA" w:rsidP="006245FA">
      <w:pPr>
        <w:rPr>
          <w:bCs/>
          <w:sz w:val="22"/>
          <w:szCs w:val="22"/>
        </w:rPr>
      </w:pPr>
    </w:p>
    <w:p w:rsidR="006245FA" w:rsidRDefault="006245FA" w:rsidP="006245FA">
      <w:pPr>
        <w:rPr>
          <w:bCs/>
          <w:sz w:val="22"/>
          <w:szCs w:val="22"/>
        </w:rPr>
      </w:pPr>
    </w:p>
    <w:p w:rsidR="006245FA" w:rsidRDefault="006245FA" w:rsidP="006245FA">
      <w:pPr>
        <w:rPr>
          <w:bCs/>
          <w:sz w:val="22"/>
          <w:szCs w:val="22"/>
        </w:rPr>
      </w:pPr>
    </w:p>
    <w:p w:rsidR="006245FA" w:rsidRDefault="006245FA" w:rsidP="006245FA">
      <w:pPr>
        <w:rPr>
          <w:bCs/>
          <w:sz w:val="22"/>
          <w:szCs w:val="22"/>
        </w:rPr>
      </w:pPr>
    </w:p>
    <w:p w:rsidR="006245FA" w:rsidRPr="00AF6C9B" w:rsidRDefault="006245FA" w:rsidP="006245FA">
      <w:pPr>
        <w:rPr>
          <w:bCs/>
          <w:sz w:val="22"/>
          <w:szCs w:val="22"/>
        </w:rPr>
      </w:pPr>
    </w:p>
    <w:p w:rsidR="006245FA" w:rsidRPr="00AF6C9B" w:rsidRDefault="006245FA" w:rsidP="006245FA">
      <w:pPr>
        <w:pStyle w:val="par1"/>
        <w:tabs>
          <w:tab w:val="left" w:pos="1080"/>
        </w:tabs>
        <w:rPr>
          <w:szCs w:val="22"/>
        </w:rPr>
      </w:pPr>
      <w:r w:rsidRPr="00AF6C9B">
        <w:rPr>
          <w:bCs/>
          <w:szCs w:val="22"/>
        </w:rPr>
        <w:lastRenderedPageBreak/>
        <w:tab/>
      </w:r>
      <w:r w:rsidRPr="00AF6C9B">
        <w:rPr>
          <w:b/>
          <w:szCs w:val="22"/>
        </w:rPr>
        <w:t>IT IS FURTHER ORDERED</w:t>
      </w:r>
      <w:r w:rsidRPr="00AF6C9B">
        <w:rPr>
          <w:szCs w:val="22"/>
        </w:rPr>
        <w:t xml:space="preserve"> that the above-captioned investigation </w:t>
      </w:r>
      <w:r w:rsidRPr="00AF6C9B">
        <w:rPr>
          <w:b/>
          <w:szCs w:val="22"/>
        </w:rPr>
        <w:t>IS TERMINATED</w:t>
      </w:r>
      <w:r w:rsidRPr="00AF6C9B">
        <w:rPr>
          <w:szCs w:val="22"/>
        </w:rPr>
        <w:t>.</w:t>
      </w:r>
    </w:p>
    <w:p w:rsidR="006245FA" w:rsidRPr="00AF6C9B" w:rsidRDefault="006245FA" w:rsidP="006245FA">
      <w:pPr>
        <w:rPr>
          <w:sz w:val="22"/>
          <w:szCs w:val="22"/>
        </w:rPr>
      </w:pPr>
    </w:p>
    <w:p w:rsidR="008C5128" w:rsidRPr="00514B06" w:rsidRDefault="006245FA" w:rsidP="006245FA">
      <w:pPr>
        <w:pStyle w:val="par1"/>
        <w:numPr>
          <w:ilvl w:val="0"/>
          <w:numId w:val="12"/>
        </w:numPr>
        <w:spacing w:after="120"/>
        <w:ind w:left="0" w:firstLine="720"/>
        <w:rPr>
          <w:szCs w:val="22"/>
        </w:rPr>
      </w:pPr>
      <w:r w:rsidRPr="00AF6C9B">
        <w:rPr>
          <w:b/>
          <w:szCs w:val="22"/>
        </w:rPr>
        <w:t xml:space="preserve">IT IS FURTHER ORDERED </w:t>
      </w:r>
      <w:r w:rsidRPr="00AF6C9B">
        <w:rPr>
          <w:szCs w:val="22"/>
        </w:rPr>
        <w:t>that a copy of this Order and Consent Decree shall be sent by first class mail and certified mail, return receipt requested, to Randy Schroeder, Chairman of the Board, KSBJ Educational Foundation, Inc., 327 Wilson Boulevard, Humble, TX 77347, and to A. Wray Fitch III, Esq., Gammon &amp; Grange, P.C., Counsel for KSBJ Educational Foundation, Inc., 8280 Greensboro Dr., Seventh Floor, McLean, VA 22102.</w:t>
      </w:r>
    </w:p>
    <w:p w:rsidR="008C5128" w:rsidRPr="00697A51" w:rsidRDefault="008C5128" w:rsidP="00F9157D">
      <w:pPr>
        <w:pStyle w:val="ListParagraph"/>
        <w:rPr>
          <w:b/>
          <w:sz w:val="22"/>
          <w:szCs w:val="22"/>
          <w:u w:val="single"/>
        </w:rPr>
      </w:pPr>
    </w:p>
    <w:p w:rsidR="008C5128" w:rsidRPr="00697A51" w:rsidRDefault="008C5128" w:rsidP="00F9157D">
      <w:pPr>
        <w:pStyle w:val="ListParagraph"/>
        <w:rPr>
          <w:b/>
          <w:sz w:val="22"/>
          <w:szCs w:val="22"/>
          <w:u w:val="single"/>
        </w:rPr>
      </w:pPr>
    </w:p>
    <w:p w:rsidR="008C5128" w:rsidRPr="00697A51" w:rsidRDefault="008C5128" w:rsidP="00F9157D">
      <w:pPr>
        <w:pStyle w:val="ListParagraph"/>
        <w:ind w:left="4320"/>
        <w:rPr>
          <w:sz w:val="22"/>
          <w:szCs w:val="22"/>
        </w:rPr>
      </w:pPr>
      <w:r w:rsidRPr="00697A51">
        <w:rPr>
          <w:sz w:val="22"/>
          <w:szCs w:val="22"/>
        </w:rPr>
        <w:t>FEDERAL COMMUNICATIONS COMMISSION</w:t>
      </w:r>
    </w:p>
    <w:p w:rsidR="008C5128" w:rsidRPr="00697A51" w:rsidRDefault="008C5128" w:rsidP="00F9157D">
      <w:pPr>
        <w:pStyle w:val="ListParagraph"/>
        <w:ind w:left="4320"/>
        <w:rPr>
          <w:sz w:val="22"/>
          <w:szCs w:val="22"/>
        </w:rPr>
      </w:pPr>
    </w:p>
    <w:p w:rsidR="008C5128" w:rsidRPr="00697A51" w:rsidRDefault="008C5128" w:rsidP="00F9157D">
      <w:pPr>
        <w:pStyle w:val="ListParagraph"/>
        <w:ind w:left="4320"/>
        <w:rPr>
          <w:sz w:val="22"/>
          <w:szCs w:val="22"/>
        </w:rPr>
      </w:pPr>
    </w:p>
    <w:p w:rsidR="008C5128" w:rsidRPr="00697A51" w:rsidRDefault="008C5128" w:rsidP="00F9157D">
      <w:pPr>
        <w:pStyle w:val="ListParagraph"/>
        <w:ind w:left="4320"/>
        <w:rPr>
          <w:sz w:val="22"/>
          <w:szCs w:val="22"/>
        </w:rPr>
      </w:pPr>
    </w:p>
    <w:p w:rsidR="00C246AB" w:rsidRDefault="00C246AB" w:rsidP="00C246AB">
      <w:pPr>
        <w:pStyle w:val="ListParagraph"/>
        <w:ind w:left="4320"/>
        <w:rPr>
          <w:sz w:val="22"/>
          <w:szCs w:val="22"/>
        </w:rPr>
      </w:pPr>
      <w:r>
        <w:rPr>
          <w:sz w:val="22"/>
          <w:szCs w:val="22"/>
        </w:rPr>
        <w:t>P. Michele Ellison</w:t>
      </w:r>
    </w:p>
    <w:p w:rsidR="00C246AB" w:rsidRPr="00AF6C9B" w:rsidRDefault="00C246AB" w:rsidP="00C246AB">
      <w:pPr>
        <w:pStyle w:val="ListParagraph"/>
        <w:ind w:left="4320"/>
        <w:rPr>
          <w:sz w:val="22"/>
          <w:szCs w:val="22"/>
        </w:rPr>
      </w:pPr>
      <w:r w:rsidRPr="00AF6C9B">
        <w:rPr>
          <w:sz w:val="22"/>
          <w:szCs w:val="22"/>
        </w:rPr>
        <w:t>Chief</w:t>
      </w:r>
    </w:p>
    <w:p w:rsidR="008C5128" w:rsidRPr="00883C77" w:rsidRDefault="00C246AB" w:rsidP="00C246AB">
      <w:pPr>
        <w:pStyle w:val="ListParagraph"/>
        <w:ind w:left="4320"/>
        <w:rPr>
          <w:szCs w:val="22"/>
        </w:rPr>
      </w:pPr>
      <w:r w:rsidRPr="00AF6C9B">
        <w:rPr>
          <w:sz w:val="22"/>
          <w:szCs w:val="22"/>
        </w:rPr>
        <w:t>Enforcement Bureau</w:t>
      </w:r>
    </w:p>
    <w:p w:rsidR="008C5128" w:rsidRDefault="008C5128" w:rsidP="008451EA">
      <w:pPr>
        <w:jc w:val="center"/>
        <w:rPr>
          <w:b/>
          <w:sz w:val="22"/>
          <w:szCs w:val="22"/>
        </w:rPr>
        <w:sectPr w:rsidR="008C5128" w:rsidSect="00F826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360"/>
        </w:sectPr>
      </w:pPr>
    </w:p>
    <w:p w:rsidR="008C5128" w:rsidRDefault="008C5128" w:rsidP="008451EA">
      <w:pPr>
        <w:jc w:val="center"/>
        <w:rPr>
          <w:b/>
          <w:sz w:val="22"/>
          <w:szCs w:val="22"/>
        </w:rPr>
      </w:pPr>
      <w:r w:rsidRPr="00927D50">
        <w:rPr>
          <w:b/>
          <w:sz w:val="22"/>
          <w:szCs w:val="22"/>
        </w:rPr>
        <w:t>Before the</w:t>
      </w:r>
    </w:p>
    <w:p w:rsidR="008C5128" w:rsidRPr="00927D50" w:rsidRDefault="008C5128" w:rsidP="008451EA">
      <w:pPr>
        <w:jc w:val="center"/>
        <w:rPr>
          <w:b/>
          <w:sz w:val="22"/>
          <w:szCs w:val="22"/>
        </w:rPr>
      </w:pPr>
      <w:r w:rsidRPr="00927D50">
        <w:rPr>
          <w:b/>
          <w:sz w:val="22"/>
          <w:szCs w:val="22"/>
        </w:rPr>
        <w:t>Federal Communications Commission</w:t>
      </w:r>
    </w:p>
    <w:p w:rsidR="008C5128" w:rsidRDefault="008C5128" w:rsidP="00152930">
      <w:pPr>
        <w:jc w:val="center"/>
        <w:rPr>
          <w:b/>
        </w:rPr>
      </w:pPr>
      <w:smartTag w:uri="urn:schemas-microsoft-com:office:smarttags" w:element="place">
        <w:smartTag w:uri="urn:schemas-microsoft-com:office:smarttags" w:element="City">
          <w:r w:rsidRPr="00927D50">
            <w:rPr>
              <w:b/>
              <w:sz w:val="22"/>
              <w:szCs w:val="22"/>
            </w:rPr>
            <w:t>Washington</w:t>
          </w:r>
        </w:smartTag>
        <w:r w:rsidRPr="00927D50">
          <w:rPr>
            <w:b/>
            <w:sz w:val="22"/>
            <w:szCs w:val="22"/>
          </w:rPr>
          <w:t xml:space="preserve">, </w:t>
        </w:r>
        <w:smartTag w:uri="urn:schemas-microsoft-com:office:smarttags" w:element="State">
          <w:r w:rsidRPr="00927D50">
            <w:rPr>
              <w:b/>
              <w:sz w:val="22"/>
              <w:szCs w:val="22"/>
            </w:rPr>
            <w:t>D.C.</w:t>
          </w:r>
        </w:smartTag>
      </w:smartTag>
      <w:r w:rsidRPr="00927D50">
        <w:rPr>
          <w:b/>
          <w:sz w:val="22"/>
          <w:szCs w:val="22"/>
        </w:rPr>
        <w:t xml:space="preserve">  20554</w:t>
      </w:r>
    </w:p>
    <w:p w:rsidR="008C5128" w:rsidRDefault="008C5128" w:rsidP="00152930">
      <w:pPr>
        <w:jc w:val="center"/>
        <w:rPr>
          <w:b/>
        </w:rPr>
      </w:pPr>
    </w:p>
    <w:p w:rsidR="008C5128" w:rsidRPr="00927D50" w:rsidRDefault="008C5128" w:rsidP="00152930">
      <w:pPr>
        <w:jc w:val="both"/>
        <w:rPr>
          <w:sz w:val="22"/>
          <w:szCs w:val="22"/>
        </w:rPr>
      </w:pPr>
      <w:r w:rsidRPr="00927D50">
        <w:rPr>
          <w:sz w:val="22"/>
          <w:szCs w:val="22"/>
        </w:rPr>
        <w:tab/>
      </w:r>
      <w:r w:rsidRPr="00927D50">
        <w:rPr>
          <w:sz w:val="22"/>
          <w:szCs w:val="22"/>
        </w:rPr>
        <w:tab/>
      </w:r>
      <w:r w:rsidRPr="00927D50">
        <w:rPr>
          <w:sz w:val="22"/>
          <w:szCs w:val="22"/>
        </w:rPr>
        <w:tab/>
      </w:r>
      <w:r>
        <w:rPr>
          <w:sz w:val="22"/>
          <w:szCs w:val="22"/>
        </w:rPr>
        <w:tab/>
      </w:r>
      <w:r>
        <w:rPr>
          <w:sz w:val="22"/>
          <w:szCs w:val="22"/>
        </w:rPr>
        <w:tab/>
      </w:r>
      <w:r>
        <w:rPr>
          <w:sz w:val="22"/>
          <w:szCs w:val="22"/>
        </w:rPr>
        <w:tab/>
        <w:t xml:space="preserve">     </w:t>
      </w:r>
      <w:r w:rsidRPr="00927D50">
        <w:rPr>
          <w:sz w:val="22"/>
          <w:szCs w:val="22"/>
        </w:rPr>
        <w:t>)</w:t>
      </w:r>
    </w:p>
    <w:p w:rsidR="008C5128" w:rsidRPr="00927D50" w:rsidRDefault="008C5128" w:rsidP="00152930">
      <w:pPr>
        <w:jc w:val="both"/>
        <w:rPr>
          <w:sz w:val="22"/>
          <w:szCs w:val="22"/>
        </w:rPr>
      </w:pPr>
      <w:r w:rsidRPr="00927D50">
        <w:rPr>
          <w:sz w:val="22"/>
          <w:szCs w:val="22"/>
        </w:rPr>
        <w:tab/>
      </w:r>
      <w:r w:rsidRPr="00927D50">
        <w:rPr>
          <w:sz w:val="22"/>
          <w:szCs w:val="22"/>
        </w:rPr>
        <w:tab/>
      </w:r>
      <w:r w:rsidRPr="00927D50">
        <w:rPr>
          <w:sz w:val="22"/>
          <w:szCs w:val="22"/>
        </w:rPr>
        <w:tab/>
      </w:r>
      <w:r w:rsidRPr="00927D50">
        <w:rPr>
          <w:sz w:val="22"/>
          <w:szCs w:val="22"/>
        </w:rPr>
        <w:tab/>
      </w:r>
      <w:r w:rsidRPr="00927D50">
        <w:rPr>
          <w:sz w:val="22"/>
          <w:szCs w:val="22"/>
        </w:rPr>
        <w:tab/>
      </w:r>
      <w:r w:rsidRPr="00927D50">
        <w:rPr>
          <w:sz w:val="22"/>
          <w:szCs w:val="22"/>
        </w:rPr>
        <w:tab/>
      </w:r>
      <w:r>
        <w:rPr>
          <w:sz w:val="22"/>
          <w:szCs w:val="22"/>
        </w:rPr>
        <w:t xml:space="preserve">     </w:t>
      </w:r>
      <w:r w:rsidRPr="00927D50">
        <w:rPr>
          <w:sz w:val="22"/>
          <w:szCs w:val="22"/>
        </w:rPr>
        <w:t>)</w:t>
      </w:r>
      <w:r>
        <w:rPr>
          <w:sz w:val="22"/>
          <w:szCs w:val="22"/>
        </w:rPr>
        <w:t xml:space="preserve">  </w:t>
      </w:r>
      <w:r w:rsidRPr="00927D50">
        <w:rPr>
          <w:sz w:val="22"/>
          <w:szCs w:val="22"/>
        </w:rPr>
        <w:tab/>
      </w:r>
      <w:r>
        <w:rPr>
          <w:sz w:val="22"/>
          <w:szCs w:val="22"/>
        </w:rPr>
        <w:t xml:space="preserve">                </w:t>
      </w:r>
      <w:r w:rsidRPr="00927D50">
        <w:rPr>
          <w:sz w:val="22"/>
          <w:szCs w:val="22"/>
        </w:rPr>
        <w:t>File No.</w:t>
      </w:r>
      <w:r>
        <w:rPr>
          <w:sz w:val="22"/>
          <w:szCs w:val="22"/>
        </w:rPr>
        <w:t>:</w:t>
      </w:r>
      <w:r w:rsidRPr="00927D50">
        <w:rPr>
          <w:sz w:val="22"/>
          <w:szCs w:val="22"/>
        </w:rPr>
        <w:t xml:space="preserve"> </w:t>
      </w:r>
      <w:r>
        <w:rPr>
          <w:sz w:val="22"/>
          <w:szCs w:val="22"/>
        </w:rPr>
        <w:t xml:space="preserve"> </w:t>
      </w:r>
      <w:r w:rsidRPr="00927D50">
        <w:rPr>
          <w:sz w:val="22"/>
          <w:szCs w:val="22"/>
        </w:rPr>
        <w:t>EB-SED-</w:t>
      </w:r>
      <w:r>
        <w:rPr>
          <w:sz w:val="22"/>
          <w:szCs w:val="22"/>
        </w:rPr>
        <w:t>12-</w:t>
      </w:r>
      <w:r w:rsidRPr="00927D50">
        <w:rPr>
          <w:sz w:val="22"/>
          <w:szCs w:val="22"/>
        </w:rPr>
        <w:t>00000691</w:t>
      </w:r>
    </w:p>
    <w:p w:rsidR="008C5128" w:rsidRPr="00927D50" w:rsidRDefault="008C5128" w:rsidP="00152930">
      <w:pPr>
        <w:jc w:val="both"/>
        <w:rPr>
          <w:sz w:val="22"/>
          <w:szCs w:val="22"/>
        </w:rPr>
      </w:pPr>
      <w:r w:rsidRPr="00927D50">
        <w:rPr>
          <w:sz w:val="22"/>
          <w:szCs w:val="22"/>
        </w:rPr>
        <w:t xml:space="preserve">In the Matter </w:t>
      </w:r>
      <w:r>
        <w:rPr>
          <w:sz w:val="22"/>
          <w:szCs w:val="22"/>
        </w:rPr>
        <w:t>o</w:t>
      </w:r>
      <w:r w:rsidRPr="00927D50">
        <w:rPr>
          <w:sz w:val="22"/>
          <w:szCs w:val="22"/>
        </w:rPr>
        <w:t>f</w:t>
      </w:r>
      <w:r w:rsidRPr="00927D50">
        <w:rPr>
          <w:sz w:val="22"/>
          <w:szCs w:val="22"/>
        </w:rPr>
        <w:tab/>
      </w:r>
      <w:r w:rsidRPr="00927D50">
        <w:rPr>
          <w:sz w:val="22"/>
          <w:szCs w:val="22"/>
        </w:rPr>
        <w:tab/>
      </w:r>
      <w:r>
        <w:rPr>
          <w:sz w:val="22"/>
          <w:szCs w:val="22"/>
        </w:rPr>
        <w:tab/>
      </w:r>
      <w:r>
        <w:rPr>
          <w:sz w:val="22"/>
          <w:szCs w:val="22"/>
        </w:rPr>
        <w:tab/>
      </w:r>
      <w:r>
        <w:rPr>
          <w:sz w:val="22"/>
          <w:szCs w:val="22"/>
        </w:rPr>
        <w:tab/>
        <w:t xml:space="preserve">     </w:t>
      </w:r>
      <w:r w:rsidRPr="00927D50">
        <w:rPr>
          <w:sz w:val="22"/>
          <w:szCs w:val="22"/>
        </w:rPr>
        <w:t>)</w:t>
      </w:r>
      <w:r>
        <w:rPr>
          <w:sz w:val="22"/>
          <w:szCs w:val="22"/>
        </w:rPr>
        <w:t xml:space="preserve">   </w:t>
      </w:r>
    </w:p>
    <w:p w:rsidR="008C5128" w:rsidRDefault="008C5128" w:rsidP="00152930">
      <w:pPr>
        <w:jc w:val="both"/>
        <w:rPr>
          <w:sz w:val="22"/>
          <w:szCs w:val="22"/>
        </w:rPr>
      </w:pPr>
      <w:r w:rsidRPr="00927D50">
        <w:rPr>
          <w:sz w:val="22"/>
          <w:szCs w:val="22"/>
        </w:rPr>
        <w:tab/>
      </w:r>
      <w:r w:rsidRPr="00927D50">
        <w:rPr>
          <w:sz w:val="22"/>
          <w:szCs w:val="22"/>
        </w:rPr>
        <w:tab/>
      </w:r>
      <w:r w:rsidRPr="00927D50">
        <w:rPr>
          <w:sz w:val="22"/>
          <w:szCs w:val="22"/>
        </w:rPr>
        <w:tab/>
      </w:r>
      <w:r w:rsidRPr="00927D50">
        <w:rPr>
          <w:sz w:val="22"/>
          <w:szCs w:val="22"/>
        </w:rPr>
        <w:tab/>
      </w:r>
      <w:r w:rsidRPr="00927D50">
        <w:rPr>
          <w:sz w:val="22"/>
          <w:szCs w:val="22"/>
        </w:rPr>
        <w:tab/>
      </w:r>
      <w:r w:rsidRPr="00927D50">
        <w:rPr>
          <w:sz w:val="22"/>
          <w:szCs w:val="22"/>
        </w:rPr>
        <w:tab/>
      </w:r>
      <w:r>
        <w:rPr>
          <w:sz w:val="22"/>
          <w:szCs w:val="22"/>
        </w:rPr>
        <w:t xml:space="preserve">     </w:t>
      </w:r>
      <w:r w:rsidRPr="00927D50">
        <w:rPr>
          <w:sz w:val="22"/>
          <w:szCs w:val="22"/>
        </w:rPr>
        <w:t>)</w:t>
      </w:r>
      <w:r>
        <w:rPr>
          <w:sz w:val="22"/>
          <w:szCs w:val="22"/>
        </w:rPr>
        <w:t xml:space="preserve">   </w:t>
      </w:r>
      <w:r w:rsidRPr="00927D50">
        <w:rPr>
          <w:sz w:val="22"/>
          <w:szCs w:val="22"/>
        </w:rPr>
        <w:tab/>
      </w:r>
      <w:r>
        <w:rPr>
          <w:sz w:val="22"/>
          <w:szCs w:val="22"/>
        </w:rPr>
        <w:t xml:space="preserve">                </w:t>
      </w:r>
      <w:r w:rsidRPr="00927D50">
        <w:rPr>
          <w:sz w:val="22"/>
          <w:szCs w:val="22"/>
        </w:rPr>
        <w:t>Acct. No.</w:t>
      </w:r>
      <w:r>
        <w:rPr>
          <w:sz w:val="22"/>
          <w:szCs w:val="22"/>
        </w:rPr>
        <w:t xml:space="preserve">:  </w:t>
      </w:r>
      <w:r w:rsidRPr="004F2798">
        <w:rPr>
          <w:sz w:val="22"/>
          <w:szCs w:val="22"/>
        </w:rPr>
        <w:t>201432100005</w:t>
      </w:r>
    </w:p>
    <w:p w:rsidR="008C5128" w:rsidRPr="00927D50" w:rsidRDefault="008C5128" w:rsidP="00152930">
      <w:pPr>
        <w:jc w:val="both"/>
        <w:rPr>
          <w:sz w:val="22"/>
          <w:szCs w:val="22"/>
        </w:rPr>
      </w:pPr>
      <w:r w:rsidRPr="00927D50">
        <w:rPr>
          <w:sz w:val="22"/>
          <w:szCs w:val="22"/>
        </w:rPr>
        <w:t>KSBJ Educational Foundation</w:t>
      </w:r>
      <w:r>
        <w:rPr>
          <w:sz w:val="22"/>
          <w:szCs w:val="22"/>
        </w:rPr>
        <w:t>, Inc.</w:t>
      </w:r>
      <w:r>
        <w:rPr>
          <w:sz w:val="22"/>
          <w:szCs w:val="22"/>
        </w:rPr>
        <w:tab/>
      </w:r>
      <w:r>
        <w:rPr>
          <w:sz w:val="22"/>
          <w:szCs w:val="22"/>
        </w:rPr>
        <w:tab/>
        <w:t xml:space="preserve">     )</w:t>
      </w:r>
    </w:p>
    <w:p w:rsidR="008C5128" w:rsidRPr="00927D50" w:rsidRDefault="008C5128" w:rsidP="00152930">
      <w:pPr>
        <w:jc w:val="both"/>
        <w:rPr>
          <w:sz w:val="22"/>
          <w:szCs w:val="22"/>
        </w:rPr>
      </w:pPr>
      <w:r w:rsidRPr="00927D50">
        <w:rPr>
          <w:sz w:val="22"/>
          <w:szCs w:val="22"/>
        </w:rPr>
        <w:tab/>
      </w:r>
      <w:r w:rsidRPr="00927D50">
        <w:rPr>
          <w:sz w:val="22"/>
          <w:szCs w:val="22"/>
        </w:rPr>
        <w:tab/>
      </w:r>
      <w:r w:rsidRPr="00927D50">
        <w:rPr>
          <w:sz w:val="22"/>
          <w:szCs w:val="22"/>
        </w:rPr>
        <w:tab/>
      </w:r>
      <w:r w:rsidRPr="00927D50">
        <w:rPr>
          <w:sz w:val="22"/>
          <w:szCs w:val="22"/>
        </w:rPr>
        <w:tab/>
      </w:r>
      <w:r w:rsidRPr="00927D50">
        <w:rPr>
          <w:sz w:val="22"/>
          <w:szCs w:val="22"/>
        </w:rPr>
        <w:tab/>
      </w:r>
      <w:r w:rsidRPr="00927D50">
        <w:rPr>
          <w:sz w:val="22"/>
          <w:szCs w:val="22"/>
        </w:rPr>
        <w:tab/>
      </w:r>
      <w:r>
        <w:rPr>
          <w:sz w:val="22"/>
          <w:szCs w:val="22"/>
        </w:rPr>
        <w:t xml:space="preserve">     </w:t>
      </w:r>
      <w:r w:rsidRPr="00927D50">
        <w:rPr>
          <w:sz w:val="22"/>
          <w:szCs w:val="22"/>
        </w:rPr>
        <w:t>)</w:t>
      </w:r>
      <w:r w:rsidRPr="00927D50">
        <w:rPr>
          <w:sz w:val="22"/>
          <w:szCs w:val="22"/>
        </w:rPr>
        <w:tab/>
      </w:r>
      <w:r>
        <w:rPr>
          <w:sz w:val="22"/>
          <w:szCs w:val="22"/>
        </w:rPr>
        <w:t xml:space="preserve">                </w:t>
      </w:r>
      <w:r w:rsidRPr="00927D50">
        <w:rPr>
          <w:sz w:val="22"/>
          <w:szCs w:val="22"/>
        </w:rPr>
        <w:t>FRN:</w:t>
      </w:r>
      <w:r>
        <w:rPr>
          <w:sz w:val="22"/>
          <w:szCs w:val="22"/>
        </w:rPr>
        <w:t xml:space="preserve">  </w:t>
      </w:r>
      <w:r w:rsidRPr="0074269A">
        <w:rPr>
          <w:sz w:val="22"/>
          <w:szCs w:val="22"/>
        </w:rPr>
        <w:t>0006157721</w:t>
      </w:r>
      <w:r>
        <w:rPr>
          <w:sz w:val="22"/>
          <w:szCs w:val="22"/>
        </w:rPr>
        <w:t xml:space="preserve"> </w:t>
      </w:r>
    </w:p>
    <w:p w:rsidR="008C5128" w:rsidRPr="00927D50" w:rsidRDefault="008C5128" w:rsidP="00152930">
      <w:pPr>
        <w:jc w:val="both"/>
        <w:rPr>
          <w:sz w:val="22"/>
          <w:szCs w:val="22"/>
        </w:rPr>
      </w:pPr>
    </w:p>
    <w:p w:rsidR="008C5128" w:rsidRPr="00927D50" w:rsidRDefault="008C5128" w:rsidP="00152930">
      <w:pPr>
        <w:jc w:val="center"/>
        <w:rPr>
          <w:sz w:val="22"/>
          <w:szCs w:val="22"/>
        </w:rPr>
      </w:pPr>
      <w:r w:rsidRPr="00927D50">
        <w:rPr>
          <w:b/>
          <w:sz w:val="22"/>
          <w:szCs w:val="22"/>
        </w:rPr>
        <w:t>CONSENT DECREE</w:t>
      </w:r>
    </w:p>
    <w:p w:rsidR="008C5128" w:rsidRPr="00927D50" w:rsidRDefault="008C5128" w:rsidP="00152930">
      <w:pPr>
        <w:jc w:val="center"/>
        <w:rPr>
          <w:sz w:val="22"/>
          <w:szCs w:val="22"/>
        </w:rPr>
      </w:pPr>
    </w:p>
    <w:p w:rsidR="008C5128" w:rsidRPr="00927D50" w:rsidRDefault="008C5128" w:rsidP="00927D50">
      <w:pPr>
        <w:rPr>
          <w:sz w:val="22"/>
          <w:szCs w:val="22"/>
        </w:rPr>
      </w:pPr>
      <w:r w:rsidRPr="00927D50">
        <w:rPr>
          <w:sz w:val="22"/>
          <w:szCs w:val="22"/>
        </w:rPr>
        <w:tab/>
        <w:t>The Enforcement Bureau of the Federal Communications Commission an</w:t>
      </w:r>
      <w:r>
        <w:rPr>
          <w:sz w:val="22"/>
          <w:szCs w:val="22"/>
        </w:rPr>
        <w:t>d KSBJ Educational Foundation</w:t>
      </w:r>
      <w:r w:rsidRPr="00927D50">
        <w:rPr>
          <w:sz w:val="22"/>
          <w:szCs w:val="22"/>
        </w:rPr>
        <w:t xml:space="preserve">, </w:t>
      </w:r>
      <w:r>
        <w:rPr>
          <w:sz w:val="22"/>
          <w:szCs w:val="22"/>
        </w:rPr>
        <w:t xml:space="preserve">Inc., </w:t>
      </w:r>
      <w:r w:rsidRPr="00927D50">
        <w:rPr>
          <w:sz w:val="22"/>
          <w:szCs w:val="22"/>
        </w:rPr>
        <w:t>by their respective authorized representatives, hereby enter into this Consent Decree for the purpose of terminating the Enforcement Bureau’s investigation into possible violations of Section 301 of the Communications Act of 1934, as amended,</w:t>
      </w:r>
      <w:r>
        <w:rPr>
          <w:rStyle w:val="FootnoteReference"/>
          <w:szCs w:val="22"/>
        </w:rPr>
        <w:footnoteReference w:id="5"/>
      </w:r>
      <w:r w:rsidRPr="00927D50">
        <w:rPr>
          <w:sz w:val="22"/>
          <w:szCs w:val="22"/>
        </w:rPr>
        <w:t xml:space="preserve"> and Sections 25.102(a) and 25.121(e) of the Commission’s rules,</w:t>
      </w:r>
      <w:r>
        <w:rPr>
          <w:rStyle w:val="FootnoteReference"/>
          <w:szCs w:val="22"/>
        </w:rPr>
        <w:footnoteReference w:id="6"/>
      </w:r>
      <w:r w:rsidRPr="00927D50">
        <w:rPr>
          <w:sz w:val="22"/>
          <w:szCs w:val="22"/>
        </w:rPr>
        <w:t xml:space="preserve"> </w:t>
      </w:r>
      <w:r>
        <w:rPr>
          <w:sz w:val="22"/>
          <w:szCs w:val="22"/>
        </w:rPr>
        <w:t>pertaining</w:t>
      </w:r>
      <w:r w:rsidRPr="00927D50">
        <w:rPr>
          <w:sz w:val="22"/>
          <w:szCs w:val="22"/>
        </w:rPr>
        <w:t xml:space="preserve"> to the apparent unauthorized operation of </w:t>
      </w:r>
      <w:r>
        <w:rPr>
          <w:sz w:val="22"/>
          <w:szCs w:val="22"/>
        </w:rPr>
        <w:t xml:space="preserve">a </w:t>
      </w:r>
      <w:r w:rsidRPr="00927D50">
        <w:rPr>
          <w:sz w:val="22"/>
          <w:szCs w:val="22"/>
        </w:rPr>
        <w:t>fixed earth station.</w:t>
      </w:r>
    </w:p>
    <w:p w:rsidR="008C5128" w:rsidRPr="00927D50" w:rsidRDefault="008C5128" w:rsidP="00152930">
      <w:pPr>
        <w:jc w:val="both"/>
        <w:rPr>
          <w:sz w:val="22"/>
          <w:szCs w:val="22"/>
        </w:rPr>
      </w:pPr>
    </w:p>
    <w:p w:rsidR="008C5128" w:rsidRPr="00927D50" w:rsidRDefault="008C5128" w:rsidP="0019678B">
      <w:pPr>
        <w:numPr>
          <w:ilvl w:val="0"/>
          <w:numId w:val="1"/>
        </w:numPr>
        <w:tabs>
          <w:tab w:val="clear" w:pos="1080"/>
          <w:tab w:val="num" w:pos="0"/>
        </w:tabs>
        <w:ind w:left="0" w:firstLine="0"/>
        <w:jc w:val="both"/>
        <w:rPr>
          <w:b/>
          <w:sz w:val="22"/>
          <w:szCs w:val="22"/>
        </w:rPr>
      </w:pPr>
      <w:r w:rsidRPr="00927D50">
        <w:rPr>
          <w:b/>
          <w:sz w:val="22"/>
          <w:szCs w:val="22"/>
        </w:rPr>
        <w:t>DEFINITIONS</w:t>
      </w:r>
    </w:p>
    <w:p w:rsidR="008C5128" w:rsidRPr="00927D50" w:rsidRDefault="008C5128" w:rsidP="00152930">
      <w:pPr>
        <w:jc w:val="both"/>
        <w:rPr>
          <w:sz w:val="22"/>
          <w:szCs w:val="22"/>
        </w:rPr>
      </w:pPr>
    </w:p>
    <w:p w:rsidR="008C5128" w:rsidRPr="00931943" w:rsidRDefault="008C5128" w:rsidP="00D42BA7">
      <w:pPr>
        <w:numPr>
          <w:ilvl w:val="0"/>
          <w:numId w:val="4"/>
        </w:numPr>
        <w:tabs>
          <w:tab w:val="clear" w:pos="1080"/>
          <w:tab w:val="num" w:pos="1440"/>
        </w:tabs>
        <w:ind w:left="1440"/>
        <w:jc w:val="both"/>
        <w:rPr>
          <w:sz w:val="22"/>
          <w:szCs w:val="22"/>
        </w:rPr>
      </w:pPr>
      <w:r w:rsidRPr="00931943">
        <w:rPr>
          <w:sz w:val="22"/>
          <w:szCs w:val="22"/>
        </w:rPr>
        <w:t>For the purposes of this Consent Decree, the following definitions shall apply:</w:t>
      </w:r>
    </w:p>
    <w:p w:rsidR="008C5128" w:rsidRPr="00931943" w:rsidRDefault="008C5128" w:rsidP="00931943">
      <w:pPr>
        <w:ind w:left="1440"/>
        <w:jc w:val="both"/>
        <w:rPr>
          <w:sz w:val="22"/>
          <w:szCs w:val="22"/>
        </w:rPr>
      </w:pPr>
    </w:p>
    <w:p w:rsidR="008C5128" w:rsidRPr="00931943" w:rsidRDefault="008C5128" w:rsidP="00F36D41">
      <w:pPr>
        <w:tabs>
          <w:tab w:val="left" w:pos="1170"/>
        </w:tabs>
        <w:spacing w:after="240"/>
        <w:ind w:left="2160" w:hanging="720"/>
        <w:rPr>
          <w:color w:val="000000"/>
          <w:sz w:val="22"/>
          <w:szCs w:val="22"/>
        </w:rPr>
      </w:pPr>
      <w:r w:rsidRPr="00931943">
        <w:rPr>
          <w:color w:val="000000"/>
          <w:sz w:val="22"/>
          <w:szCs w:val="22"/>
        </w:rPr>
        <w:t>(a)</w:t>
      </w:r>
      <w:r w:rsidRPr="00931943">
        <w:rPr>
          <w:color w:val="000000"/>
          <w:sz w:val="22"/>
          <w:szCs w:val="22"/>
        </w:rPr>
        <w:tab/>
        <w:t xml:space="preserve">“Act” means the Communications Act of 1934, as amended, 47 U.S.C. </w:t>
      </w:r>
      <w:r w:rsidRPr="00931943">
        <w:rPr>
          <w:iCs/>
          <w:color w:val="000000"/>
          <w:sz w:val="22"/>
          <w:szCs w:val="22"/>
        </w:rPr>
        <w:t>§</w:t>
      </w:r>
      <w:r w:rsidRPr="00931943">
        <w:rPr>
          <w:color w:val="000000"/>
          <w:sz w:val="22"/>
          <w:szCs w:val="22"/>
        </w:rPr>
        <w:t xml:space="preserve"> 151 </w:t>
      </w:r>
      <w:r w:rsidRPr="00931943">
        <w:rPr>
          <w:i/>
          <w:color w:val="000000"/>
          <w:sz w:val="22"/>
          <w:szCs w:val="22"/>
        </w:rPr>
        <w:t>et seq.</w:t>
      </w:r>
    </w:p>
    <w:p w:rsidR="008C5128" w:rsidRPr="00931943" w:rsidRDefault="008C5128" w:rsidP="00F36D41">
      <w:pPr>
        <w:spacing w:after="240"/>
        <w:ind w:left="2160" w:hanging="720"/>
        <w:rPr>
          <w:color w:val="000000"/>
          <w:sz w:val="22"/>
          <w:szCs w:val="22"/>
        </w:rPr>
      </w:pPr>
      <w:r w:rsidRPr="00931943">
        <w:rPr>
          <w:color w:val="000000"/>
          <w:sz w:val="22"/>
          <w:szCs w:val="22"/>
        </w:rPr>
        <w:t>(b)</w:t>
      </w:r>
      <w:r w:rsidRPr="00931943">
        <w:rPr>
          <w:color w:val="000000"/>
          <w:sz w:val="22"/>
          <w:szCs w:val="22"/>
        </w:rPr>
        <w:tab/>
        <w:t xml:space="preserve">“Adopting Order” means an order of the Bureau adopting the terms of this </w:t>
      </w:r>
      <w:r>
        <w:rPr>
          <w:color w:val="000000"/>
          <w:sz w:val="22"/>
          <w:szCs w:val="22"/>
        </w:rPr>
        <w:t>C</w:t>
      </w:r>
      <w:r w:rsidRPr="00931943">
        <w:rPr>
          <w:color w:val="000000"/>
          <w:sz w:val="22"/>
          <w:szCs w:val="22"/>
        </w:rPr>
        <w:t>onsent Decree without change, addition, deletion, or modification.</w:t>
      </w:r>
    </w:p>
    <w:p w:rsidR="008C5128" w:rsidRPr="00931943" w:rsidRDefault="008C5128" w:rsidP="00F36D41">
      <w:pPr>
        <w:spacing w:after="240"/>
        <w:ind w:left="2160" w:hanging="720"/>
        <w:rPr>
          <w:color w:val="000000"/>
          <w:sz w:val="22"/>
          <w:szCs w:val="22"/>
        </w:rPr>
      </w:pPr>
      <w:r w:rsidRPr="00931943">
        <w:rPr>
          <w:color w:val="000000"/>
          <w:sz w:val="22"/>
          <w:szCs w:val="22"/>
        </w:rPr>
        <w:t>(c)</w:t>
      </w:r>
      <w:r w:rsidRPr="00931943">
        <w:rPr>
          <w:color w:val="000000"/>
          <w:sz w:val="22"/>
          <w:szCs w:val="22"/>
        </w:rPr>
        <w:tab/>
        <w:t>“Bureau” means the Enforcement Bureau of the Federal Communications Commission.</w:t>
      </w:r>
    </w:p>
    <w:p w:rsidR="008C5128" w:rsidRPr="00931943" w:rsidRDefault="008C5128" w:rsidP="00F36D41">
      <w:pPr>
        <w:widowControl w:val="0"/>
        <w:numPr>
          <w:ilvl w:val="0"/>
          <w:numId w:val="7"/>
        </w:numPr>
        <w:tabs>
          <w:tab w:val="clear" w:pos="2520"/>
        </w:tabs>
        <w:spacing w:after="240"/>
        <w:ind w:left="2160" w:hanging="720"/>
        <w:rPr>
          <w:color w:val="000000"/>
          <w:sz w:val="22"/>
          <w:szCs w:val="22"/>
        </w:rPr>
      </w:pPr>
      <w:r w:rsidRPr="00931943">
        <w:rPr>
          <w:color w:val="000000"/>
          <w:sz w:val="22"/>
          <w:szCs w:val="22"/>
        </w:rPr>
        <w:t>“Commission” and “FCC” mean the Federal Communications Commission and all of its bureaus and offices.</w:t>
      </w:r>
    </w:p>
    <w:p w:rsidR="008C5128" w:rsidRPr="00931943" w:rsidRDefault="008C5128" w:rsidP="00F36D41">
      <w:pPr>
        <w:keepLines/>
        <w:numPr>
          <w:ilvl w:val="0"/>
          <w:numId w:val="7"/>
        </w:numPr>
        <w:tabs>
          <w:tab w:val="clear" w:pos="2520"/>
        </w:tabs>
        <w:spacing w:after="240"/>
        <w:ind w:left="2160" w:hanging="720"/>
        <w:rPr>
          <w:color w:val="000000"/>
          <w:sz w:val="22"/>
          <w:szCs w:val="22"/>
        </w:rPr>
      </w:pPr>
      <w:r w:rsidRPr="00931943">
        <w:rPr>
          <w:sz w:val="22"/>
          <w:szCs w:val="22"/>
        </w:rPr>
        <w:t>“Communications Laws” means</w:t>
      </w:r>
      <w:r>
        <w:rPr>
          <w:sz w:val="22"/>
          <w:szCs w:val="22"/>
        </w:rPr>
        <w:t>,</w:t>
      </w:r>
      <w:r w:rsidRPr="00931943">
        <w:rPr>
          <w:sz w:val="22"/>
          <w:szCs w:val="22"/>
        </w:rPr>
        <w:t xml:space="preserve"> collectively, the Act, the Rules, and the published and promulgated orders and decisions of the Commission to which </w:t>
      </w:r>
      <w:r>
        <w:rPr>
          <w:sz w:val="22"/>
          <w:szCs w:val="22"/>
        </w:rPr>
        <w:t>KSBJ is</w:t>
      </w:r>
      <w:r w:rsidRPr="00931943">
        <w:rPr>
          <w:sz w:val="22"/>
          <w:szCs w:val="22"/>
        </w:rPr>
        <w:t xml:space="preserve"> subject by virtue of </w:t>
      </w:r>
      <w:r>
        <w:rPr>
          <w:sz w:val="22"/>
          <w:szCs w:val="22"/>
        </w:rPr>
        <w:t>its</w:t>
      </w:r>
      <w:r w:rsidRPr="00931943">
        <w:rPr>
          <w:sz w:val="22"/>
          <w:szCs w:val="22"/>
        </w:rPr>
        <w:t xml:space="preserve"> business activities, including but not limited to, the Licensing Rules.</w:t>
      </w:r>
    </w:p>
    <w:p w:rsidR="008C5128" w:rsidRPr="00410613" w:rsidRDefault="008C5128" w:rsidP="00F36D41">
      <w:pPr>
        <w:widowControl w:val="0"/>
        <w:numPr>
          <w:ilvl w:val="0"/>
          <w:numId w:val="7"/>
        </w:numPr>
        <w:tabs>
          <w:tab w:val="clear" w:pos="2520"/>
        </w:tabs>
        <w:spacing w:after="240"/>
        <w:ind w:left="2160" w:right="600" w:hanging="720"/>
        <w:rPr>
          <w:color w:val="000000"/>
          <w:sz w:val="22"/>
          <w:szCs w:val="22"/>
        </w:rPr>
      </w:pPr>
      <w:r w:rsidRPr="00410613">
        <w:rPr>
          <w:sz w:val="22"/>
          <w:szCs w:val="22"/>
        </w:rPr>
        <w:t xml:space="preserve">“Compliance Plan” means the compliance obligations, program, and procedures described in this Consent Decree at paragraph </w:t>
      </w:r>
      <w:r>
        <w:rPr>
          <w:sz w:val="22"/>
          <w:szCs w:val="22"/>
        </w:rPr>
        <w:t>10</w:t>
      </w:r>
      <w:r w:rsidRPr="00410613">
        <w:rPr>
          <w:sz w:val="22"/>
          <w:szCs w:val="22"/>
        </w:rPr>
        <w:t>.</w:t>
      </w:r>
    </w:p>
    <w:p w:rsidR="008C5128" w:rsidRPr="00CD02F9" w:rsidRDefault="008C5128" w:rsidP="00F36D41">
      <w:pPr>
        <w:widowControl w:val="0"/>
        <w:numPr>
          <w:ilvl w:val="0"/>
          <w:numId w:val="7"/>
        </w:numPr>
        <w:tabs>
          <w:tab w:val="clear" w:pos="2520"/>
        </w:tabs>
        <w:spacing w:after="240"/>
        <w:ind w:left="2160" w:hanging="720"/>
        <w:rPr>
          <w:sz w:val="22"/>
          <w:szCs w:val="22"/>
        </w:rPr>
      </w:pPr>
      <w:r w:rsidRPr="00931943">
        <w:rPr>
          <w:color w:val="000000"/>
          <w:sz w:val="22"/>
          <w:szCs w:val="22"/>
        </w:rPr>
        <w:t xml:space="preserve">“Covered Employees” means all </w:t>
      </w:r>
      <w:r w:rsidRPr="00931943">
        <w:rPr>
          <w:sz w:val="22"/>
          <w:szCs w:val="22"/>
        </w:rPr>
        <w:t>employees and agents of</w:t>
      </w:r>
      <w:r w:rsidRPr="00931943">
        <w:rPr>
          <w:color w:val="000000"/>
          <w:sz w:val="22"/>
          <w:szCs w:val="22"/>
        </w:rPr>
        <w:t xml:space="preserve"> </w:t>
      </w:r>
      <w:r>
        <w:rPr>
          <w:color w:val="000000"/>
          <w:sz w:val="22"/>
          <w:szCs w:val="22"/>
        </w:rPr>
        <w:t>KSBJ</w:t>
      </w:r>
      <w:r w:rsidRPr="00931943">
        <w:rPr>
          <w:color w:val="000000"/>
          <w:sz w:val="22"/>
          <w:szCs w:val="22"/>
        </w:rPr>
        <w:t xml:space="preserve"> </w:t>
      </w:r>
      <w:r w:rsidRPr="004B3024">
        <w:rPr>
          <w:sz w:val="22"/>
          <w:szCs w:val="22"/>
        </w:rPr>
        <w:t>who perform</w:t>
      </w:r>
      <w:r>
        <w:rPr>
          <w:sz w:val="22"/>
          <w:szCs w:val="22"/>
        </w:rPr>
        <w:t>, or supervise, oversee, or manage the performance of,</w:t>
      </w:r>
      <w:r w:rsidRPr="004B3024">
        <w:rPr>
          <w:sz w:val="22"/>
          <w:szCs w:val="22"/>
        </w:rPr>
        <w:t xml:space="preserve"> </w:t>
      </w:r>
      <w:r>
        <w:rPr>
          <w:sz w:val="22"/>
          <w:szCs w:val="22"/>
        </w:rPr>
        <w:t xml:space="preserve">duties </w:t>
      </w:r>
      <w:r w:rsidRPr="004B3024">
        <w:rPr>
          <w:sz w:val="22"/>
          <w:szCs w:val="22"/>
        </w:rPr>
        <w:t xml:space="preserve">that </w:t>
      </w:r>
      <w:r>
        <w:rPr>
          <w:sz w:val="22"/>
          <w:szCs w:val="22"/>
        </w:rPr>
        <w:t>relate to KSBJ</w:t>
      </w:r>
      <w:r w:rsidRPr="004B3024">
        <w:rPr>
          <w:sz w:val="22"/>
          <w:szCs w:val="22"/>
        </w:rPr>
        <w:t>’s responsibilities</w:t>
      </w:r>
      <w:r w:rsidRPr="00931943">
        <w:rPr>
          <w:color w:val="000000"/>
          <w:sz w:val="22"/>
          <w:szCs w:val="22"/>
        </w:rPr>
        <w:t xml:space="preserve"> under the Licensing Rules.</w:t>
      </w:r>
    </w:p>
    <w:p w:rsidR="008C5128" w:rsidRPr="00931943" w:rsidRDefault="008C5128" w:rsidP="00CD02F9">
      <w:pPr>
        <w:widowControl w:val="0"/>
        <w:spacing w:after="240"/>
        <w:ind w:left="2160"/>
        <w:rPr>
          <w:sz w:val="22"/>
          <w:szCs w:val="22"/>
        </w:rPr>
      </w:pPr>
    </w:p>
    <w:p w:rsidR="008C5128" w:rsidRPr="00931943" w:rsidRDefault="008C5128" w:rsidP="00F36D41">
      <w:pPr>
        <w:widowControl w:val="0"/>
        <w:numPr>
          <w:ilvl w:val="0"/>
          <w:numId w:val="7"/>
        </w:numPr>
        <w:tabs>
          <w:tab w:val="clear" w:pos="2520"/>
        </w:tabs>
        <w:spacing w:after="240"/>
        <w:ind w:left="2160" w:hanging="720"/>
        <w:rPr>
          <w:color w:val="000000"/>
          <w:sz w:val="22"/>
          <w:szCs w:val="22"/>
        </w:rPr>
      </w:pPr>
      <w:r w:rsidRPr="00931943">
        <w:rPr>
          <w:color w:val="000000"/>
          <w:sz w:val="22"/>
          <w:szCs w:val="22"/>
        </w:rPr>
        <w:t>“Effective Date” means the date on which the Bureau releases the Adopting Order.</w:t>
      </w:r>
    </w:p>
    <w:p w:rsidR="008C5128" w:rsidRPr="008D71A6" w:rsidRDefault="008C5128" w:rsidP="00F36D41">
      <w:pPr>
        <w:widowControl w:val="0"/>
        <w:numPr>
          <w:ilvl w:val="0"/>
          <w:numId w:val="7"/>
        </w:numPr>
        <w:tabs>
          <w:tab w:val="clear" w:pos="2520"/>
        </w:tabs>
        <w:spacing w:after="240"/>
        <w:ind w:left="2160" w:hanging="720"/>
        <w:rPr>
          <w:color w:val="000000"/>
          <w:sz w:val="22"/>
          <w:szCs w:val="22"/>
        </w:rPr>
      </w:pPr>
      <w:r w:rsidRPr="00931943">
        <w:rPr>
          <w:color w:val="000000"/>
          <w:sz w:val="22"/>
          <w:szCs w:val="22"/>
        </w:rPr>
        <w:t xml:space="preserve">“Investigation” means the investigation commenced by the Bureau’s </w:t>
      </w:r>
      <w:r>
        <w:rPr>
          <w:color w:val="000000"/>
          <w:sz w:val="22"/>
          <w:szCs w:val="22"/>
        </w:rPr>
        <w:t>May 31</w:t>
      </w:r>
      <w:r w:rsidRPr="00931943">
        <w:rPr>
          <w:color w:val="000000"/>
          <w:sz w:val="22"/>
          <w:szCs w:val="22"/>
        </w:rPr>
        <w:t>, 20</w:t>
      </w:r>
      <w:r>
        <w:rPr>
          <w:color w:val="000000"/>
          <w:sz w:val="22"/>
          <w:szCs w:val="22"/>
        </w:rPr>
        <w:t>12</w:t>
      </w:r>
      <w:r w:rsidRPr="00931943">
        <w:rPr>
          <w:color w:val="000000"/>
          <w:sz w:val="22"/>
          <w:szCs w:val="22"/>
        </w:rPr>
        <w:t>, letter of inquiry</w:t>
      </w:r>
      <w:r w:rsidRPr="00931943">
        <w:rPr>
          <w:rStyle w:val="FootnoteReference"/>
          <w:szCs w:val="22"/>
        </w:rPr>
        <w:footnoteReference w:id="7"/>
      </w:r>
      <w:r w:rsidRPr="00931943">
        <w:rPr>
          <w:color w:val="000000"/>
          <w:sz w:val="22"/>
          <w:szCs w:val="22"/>
        </w:rPr>
        <w:t xml:space="preserve"> regarding whether </w:t>
      </w:r>
      <w:r>
        <w:rPr>
          <w:color w:val="000000"/>
          <w:sz w:val="22"/>
          <w:szCs w:val="22"/>
        </w:rPr>
        <w:t>KSBJ</w:t>
      </w:r>
      <w:r w:rsidRPr="00931943">
        <w:rPr>
          <w:color w:val="000000"/>
          <w:sz w:val="22"/>
          <w:szCs w:val="22"/>
        </w:rPr>
        <w:t xml:space="preserve"> operated </w:t>
      </w:r>
      <w:r>
        <w:rPr>
          <w:sz w:val="22"/>
          <w:szCs w:val="22"/>
        </w:rPr>
        <w:t xml:space="preserve">fixed earth station </w:t>
      </w:r>
      <w:r w:rsidRPr="00927D50">
        <w:rPr>
          <w:sz w:val="22"/>
          <w:szCs w:val="22"/>
        </w:rPr>
        <w:t xml:space="preserve">E940280 </w:t>
      </w:r>
      <w:r>
        <w:rPr>
          <w:sz w:val="22"/>
          <w:szCs w:val="22"/>
        </w:rPr>
        <w:t xml:space="preserve">in </w:t>
      </w:r>
      <w:r w:rsidRPr="00927D50">
        <w:rPr>
          <w:sz w:val="22"/>
          <w:szCs w:val="22"/>
        </w:rPr>
        <w:t>Humble, Texas</w:t>
      </w:r>
      <w:r>
        <w:rPr>
          <w:sz w:val="22"/>
          <w:szCs w:val="22"/>
        </w:rPr>
        <w:t xml:space="preserve">, after expiration of its license. </w:t>
      </w:r>
    </w:p>
    <w:p w:rsidR="008C5128" w:rsidRPr="00931943" w:rsidRDefault="008C5128" w:rsidP="00F36D41">
      <w:pPr>
        <w:widowControl w:val="0"/>
        <w:numPr>
          <w:ilvl w:val="0"/>
          <w:numId w:val="7"/>
        </w:numPr>
        <w:tabs>
          <w:tab w:val="clear" w:pos="2520"/>
        </w:tabs>
        <w:spacing w:after="240"/>
        <w:ind w:left="2160" w:hanging="720"/>
        <w:rPr>
          <w:color w:val="000000"/>
          <w:sz w:val="22"/>
          <w:szCs w:val="22"/>
        </w:rPr>
      </w:pPr>
      <w:r w:rsidRPr="00931943">
        <w:rPr>
          <w:color w:val="000000"/>
          <w:sz w:val="22"/>
          <w:szCs w:val="22"/>
        </w:rPr>
        <w:t>“</w:t>
      </w:r>
      <w:r>
        <w:rPr>
          <w:color w:val="000000"/>
          <w:sz w:val="22"/>
          <w:szCs w:val="22"/>
        </w:rPr>
        <w:t>KSBJ</w:t>
      </w:r>
      <w:r w:rsidRPr="00931943">
        <w:rPr>
          <w:color w:val="000000"/>
          <w:sz w:val="22"/>
          <w:szCs w:val="22"/>
        </w:rPr>
        <w:t xml:space="preserve">” means </w:t>
      </w:r>
      <w:r>
        <w:rPr>
          <w:color w:val="000000"/>
          <w:sz w:val="22"/>
          <w:szCs w:val="22"/>
        </w:rPr>
        <w:t>KSBJ Educational Foundation,</w:t>
      </w:r>
      <w:r w:rsidRPr="00931943">
        <w:rPr>
          <w:color w:val="000000"/>
          <w:sz w:val="22"/>
          <w:szCs w:val="22"/>
        </w:rPr>
        <w:t xml:space="preserve"> </w:t>
      </w:r>
      <w:r>
        <w:rPr>
          <w:color w:val="000000"/>
          <w:sz w:val="22"/>
          <w:szCs w:val="22"/>
        </w:rPr>
        <w:t xml:space="preserve">Inc., </w:t>
      </w:r>
      <w:r w:rsidRPr="00931943">
        <w:rPr>
          <w:color w:val="000000"/>
          <w:sz w:val="22"/>
          <w:szCs w:val="22"/>
        </w:rPr>
        <w:t>and its predecessors-in-interest and successors-in-interest.</w:t>
      </w:r>
    </w:p>
    <w:p w:rsidR="008C5128" w:rsidRPr="008D71A6" w:rsidRDefault="008C5128" w:rsidP="00F36D41">
      <w:pPr>
        <w:widowControl w:val="0"/>
        <w:numPr>
          <w:ilvl w:val="0"/>
          <w:numId w:val="7"/>
        </w:numPr>
        <w:tabs>
          <w:tab w:val="clear" w:pos="2520"/>
        </w:tabs>
        <w:spacing w:after="240"/>
        <w:ind w:left="2160" w:hanging="720"/>
        <w:rPr>
          <w:color w:val="000000"/>
          <w:sz w:val="22"/>
          <w:szCs w:val="22"/>
        </w:rPr>
      </w:pPr>
      <w:r w:rsidRPr="00931943">
        <w:rPr>
          <w:color w:val="000000"/>
          <w:sz w:val="22"/>
          <w:szCs w:val="22"/>
        </w:rPr>
        <w:t xml:space="preserve">“Licensing Rules” means Section 301 of the Act, Sections </w:t>
      </w:r>
      <w:r>
        <w:rPr>
          <w:color w:val="000000"/>
          <w:sz w:val="22"/>
          <w:szCs w:val="22"/>
        </w:rPr>
        <w:t>25.102(a) and 25</w:t>
      </w:r>
      <w:r w:rsidRPr="00931943">
        <w:rPr>
          <w:color w:val="000000"/>
          <w:sz w:val="22"/>
          <w:szCs w:val="22"/>
        </w:rPr>
        <w:t>.</w:t>
      </w:r>
      <w:r>
        <w:rPr>
          <w:color w:val="000000"/>
          <w:sz w:val="22"/>
          <w:szCs w:val="22"/>
        </w:rPr>
        <w:t>121(e)</w:t>
      </w:r>
      <w:r w:rsidRPr="00931943">
        <w:rPr>
          <w:color w:val="000000"/>
          <w:sz w:val="22"/>
          <w:szCs w:val="22"/>
        </w:rPr>
        <w:t xml:space="preserve"> of the Rules,</w:t>
      </w:r>
      <w:r w:rsidRPr="00931943">
        <w:rPr>
          <w:rStyle w:val="FootnoteReference"/>
          <w:szCs w:val="22"/>
        </w:rPr>
        <w:footnoteReference w:id="8"/>
      </w:r>
      <w:r w:rsidRPr="00931943">
        <w:rPr>
          <w:color w:val="000000"/>
          <w:sz w:val="22"/>
          <w:szCs w:val="22"/>
        </w:rPr>
        <w:t xml:space="preserve"> and other Communications Laws governing the use or operation of </w:t>
      </w:r>
      <w:r>
        <w:rPr>
          <w:color w:val="000000"/>
          <w:sz w:val="22"/>
          <w:szCs w:val="22"/>
        </w:rPr>
        <w:t>fixed satellite earth stations</w:t>
      </w:r>
      <w:r w:rsidRPr="00931943">
        <w:rPr>
          <w:color w:val="000000"/>
          <w:sz w:val="22"/>
          <w:szCs w:val="22"/>
        </w:rPr>
        <w:t>.</w:t>
      </w:r>
    </w:p>
    <w:p w:rsidR="008C5128" w:rsidRPr="00931943" w:rsidRDefault="008C5128" w:rsidP="00F36D41">
      <w:pPr>
        <w:widowControl w:val="0"/>
        <w:numPr>
          <w:ilvl w:val="0"/>
          <w:numId w:val="7"/>
        </w:numPr>
        <w:tabs>
          <w:tab w:val="clear" w:pos="2520"/>
        </w:tabs>
        <w:spacing w:after="240"/>
        <w:ind w:left="2160" w:hanging="720"/>
        <w:rPr>
          <w:color w:val="000000"/>
          <w:sz w:val="22"/>
          <w:szCs w:val="22"/>
        </w:rPr>
      </w:pPr>
      <w:r w:rsidRPr="00931943">
        <w:rPr>
          <w:sz w:val="22"/>
          <w:szCs w:val="22"/>
        </w:rPr>
        <w:t xml:space="preserve">“Operating Procedures” means the standard, internal operating procedures and compliance policies established by </w:t>
      </w:r>
      <w:r>
        <w:rPr>
          <w:sz w:val="22"/>
          <w:szCs w:val="22"/>
        </w:rPr>
        <w:t xml:space="preserve">KSBJ </w:t>
      </w:r>
      <w:r w:rsidRPr="00931943">
        <w:rPr>
          <w:sz w:val="22"/>
          <w:szCs w:val="22"/>
        </w:rPr>
        <w:t>to implement the Compliance Plan.</w:t>
      </w:r>
    </w:p>
    <w:p w:rsidR="008C5128" w:rsidRPr="00931943" w:rsidRDefault="008C5128" w:rsidP="00F36D41">
      <w:pPr>
        <w:widowControl w:val="0"/>
        <w:numPr>
          <w:ilvl w:val="0"/>
          <w:numId w:val="7"/>
        </w:numPr>
        <w:tabs>
          <w:tab w:val="clear" w:pos="2520"/>
        </w:tabs>
        <w:spacing w:after="240"/>
        <w:ind w:left="2160" w:hanging="720"/>
        <w:rPr>
          <w:color w:val="000000"/>
          <w:sz w:val="22"/>
          <w:szCs w:val="22"/>
        </w:rPr>
      </w:pPr>
      <w:r w:rsidRPr="00931943">
        <w:rPr>
          <w:sz w:val="22"/>
          <w:szCs w:val="22"/>
        </w:rPr>
        <w:t>“Parties” means</w:t>
      </w:r>
      <w:r>
        <w:rPr>
          <w:sz w:val="22"/>
          <w:szCs w:val="22"/>
        </w:rPr>
        <w:t xml:space="preserve"> KSBJ</w:t>
      </w:r>
      <w:r w:rsidRPr="00931943">
        <w:rPr>
          <w:sz w:val="22"/>
          <w:szCs w:val="22"/>
        </w:rPr>
        <w:t xml:space="preserve"> and the Bureau, each </w:t>
      </w:r>
      <w:r w:rsidRPr="00931943">
        <w:rPr>
          <w:bCs/>
          <w:sz w:val="22"/>
          <w:szCs w:val="22"/>
        </w:rPr>
        <w:t xml:space="preserve">of which is </w:t>
      </w:r>
      <w:r w:rsidRPr="00931943">
        <w:rPr>
          <w:sz w:val="22"/>
          <w:szCs w:val="22"/>
        </w:rPr>
        <w:t>a “Party</w:t>
      </w:r>
      <w:r w:rsidRPr="00931943">
        <w:rPr>
          <w:bCs/>
          <w:sz w:val="22"/>
          <w:szCs w:val="22"/>
        </w:rPr>
        <w:t>.”</w:t>
      </w:r>
    </w:p>
    <w:p w:rsidR="008C5128" w:rsidRPr="00F36D41" w:rsidRDefault="008C5128" w:rsidP="00F36D41">
      <w:pPr>
        <w:keepNext/>
        <w:numPr>
          <w:ilvl w:val="0"/>
          <w:numId w:val="7"/>
        </w:numPr>
        <w:tabs>
          <w:tab w:val="clear" w:pos="2520"/>
        </w:tabs>
        <w:spacing w:after="240"/>
        <w:ind w:left="2160" w:hanging="720"/>
        <w:rPr>
          <w:color w:val="000000"/>
          <w:sz w:val="22"/>
          <w:szCs w:val="22"/>
        </w:rPr>
      </w:pPr>
      <w:r w:rsidRPr="00931943">
        <w:rPr>
          <w:color w:val="000000"/>
          <w:sz w:val="22"/>
          <w:szCs w:val="22"/>
        </w:rPr>
        <w:t xml:space="preserve">“Rules” means the Commission’s regulations found in Title 47 of the Code of Federal Regulations. </w:t>
      </w:r>
    </w:p>
    <w:p w:rsidR="008C5128" w:rsidRPr="00927D50" w:rsidRDefault="008C5128" w:rsidP="0019678B">
      <w:pPr>
        <w:numPr>
          <w:ilvl w:val="0"/>
          <w:numId w:val="1"/>
        </w:numPr>
        <w:tabs>
          <w:tab w:val="clear" w:pos="1080"/>
          <w:tab w:val="num" w:pos="0"/>
        </w:tabs>
        <w:ind w:left="0" w:firstLine="0"/>
        <w:jc w:val="both"/>
        <w:rPr>
          <w:b/>
          <w:sz w:val="22"/>
          <w:szCs w:val="22"/>
        </w:rPr>
      </w:pPr>
      <w:r w:rsidRPr="00927D50">
        <w:rPr>
          <w:b/>
          <w:sz w:val="22"/>
          <w:szCs w:val="22"/>
        </w:rPr>
        <w:t>BACKGROUND</w:t>
      </w:r>
    </w:p>
    <w:p w:rsidR="008C5128" w:rsidRPr="00927D50" w:rsidRDefault="008C5128" w:rsidP="00152930">
      <w:pPr>
        <w:jc w:val="both"/>
        <w:rPr>
          <w:sz w:val="22"/>
          <w:szCs w:val="22"/>
        </w:rPr>
      </w:pPr>
    </w:p>
    <w:p w:rsidR="008C5128" w:rsidRPr="00927D50" w:rsidRDefault="008C5128" w:rsidP="00401C39">
      <w:pPr>
        <w:numPr>
          <w:ilvl w:val="0"/>
          <w:numId w:val="2"/>
        </w:numPr>
        <w:tabs>
          <w:tab w:val="clear" w:pos="1080"/>
          <w:tab w:val="num" w:pos="1440"/>
        </w:tabs>
        <w:ind w:left="0" w:firstLine="720"/>
        <w:rPr>
          <w:sz w:val="22"/>
          <w:szCs w:val="22"/>
        </w:rPr>
      </w:pPr>
      <w:r w:rsidRPr="00927D50">
        <w:rPr>
          <w:sz w:val="22"/>
          <w:szCs w:val="22"/>
        </w:rPr>
        <w:t xml:space="preserve">Section 301 of the Act and Section 25.102(a) </w:t>
      </w:r>
      <w:r>
        <w:rPr>
          <w:sz w:val="22"/>
          <w:szCs w:val="22"/>
        </w:rPr>
        <w:t xml:space="preserve">of the Rules </w:t>
      </w:r>
      <w:r w:rsidRPr="00927D50">
        <w:rPr>
          <w:sz w:val="22"/>
          <w:szCs w:val="22"/>
        </w:rPr>
        <w:t>prohibit the use or operation of any apparatus for the transmission of energy or communications or signals by an earth station except under and in accordance with an authorization granted by the Commission.</w:t>
      </w:r>
      <w:r>
        <w:rPr>
          <w:rStyle w:val="FootnoteReference"/>
          <w:szCs w:val="22"/>
        </w:rPr>
        <w:footnoteReference w:id="9"/>
      </w:r>
      <w:r w:rsidRPr="00927D50">
        <w:rPr>
          <w:sz w:val="22"/>
          <w:szCs w:val="22"/>
        </w:rPr>
        <w:t xml:space="preserve">  Section 25.121(e) requires a licensee of an earth station to file its renewal application “no earlier than 90 days, and no later than 30 days, before the expiration date of the license.”</w:t>
      </w:r>
      <w:r>
        <w:rPr>
          <w:rStyle w:val="FootnoteReference"/>
          <w:szCs w:val="22"/>
        </w:rPr>
        <w:footnoteReference w:id="10"/>
      </w:r>
      <w:r w:rsidRPr="00927D50">
        <w:rPr>
          <w:sz w:val="22"/>
          <w:szCs w:val="22"/>
        </w:rPr>
        <w:t xml:space="preserve">  Absent a timely filed renewal application, an earth station license automatically terminates at the end of the license period.</w:t>
      </w:r>
      <w:r>
        <w:rPr>
          <w:rStyle w:val="FootnoteReference"/>
          <w:szCs w:val="22"/>
        </w:rPr>
        <w:footnoteReference w:id="11"/>
      </w:r>
    </w:p>
    <w:p w:rsidR="008C5128" w:rsidRPr="00927D50" w:rsidRDefault="008C5128" w:rsidP="00401C39">
      <w:pPr>
        <w:rPr>
          <w:sz w:val="22"/>
          <w:szCs w:val="22"/>
        </w:rPr>
      </w:pPr>
    </w:p>
    <w:p w:rsidR="008C5128" w:rsidRDefault="008C5128" w:rsidP="004E18D8">
      <w:pPr>
        <w:numPr>
          <w:ilvl w:val="0"/>
          <w:numId w:val="2"/>
        </w:numPr>
        <w:tabs>
          <w:tab w:val="clear" w:pos="1080"/>
          <w:tab w:val="num" w:pos="1440"/>
        </w:tabs>
        <w:ind w:left="0" w:firstLine="720"/>
        <w:rPr>
          <w:sz w:val="22"/>
          <w:szCs w:val="22"/>
        </w:rPr>
      </w:pPr>
      <w:r>
        <w:rPr>
          <w:sz w:val="22"/>
          <w:szCs w:val="22"/>
        </w:rPr>
        <w:t>Commission records indicate that KSBJ did not timely file an application to renew the license for its fixed earth station (call sign E940280), and as a result, the license automatically expired on June 24, 2004.</w:t>
      </w:r>
      <w:r>
        <w:rPr>
          <w:rStyle w:val="FootnoteReference"/>
          <w:szCs w:val="22"/>
        </w:rPr>
        <w:footnoteReference w:id="12"/>
      </w:r>
      <w:r>
        <w:rPr>
          <w:sz w:val="22"/>
          <w:szCs w:val="22"/>
        </w:rPr>
        <w:t xml:space="preserve">  On September 13, 2011, KSBJ filed with the Commission’s International Bureau a request for Special Temporary Authority (STA) to operate an earth station.</w:t>
      </w:r>
      <w:r>
        <w:rPr>
          <w:rStyle w:val="FootnoteReference"/>
          <w:szCs w:val="22"/>
        </w:rPr>
        <w:footnoteReference w:id="13"/>
      </w:r>
      <w:r>
        <w:rPr>
          <w:sz w:val="22"/>
          <w:szCs w:val="22"/>
        </w:rPr>
        <w:t xml:space="preserve">  On January 18, 2012, the International Bureau dismissed the STA request because it was defective.</w:t>
      </w:r>
      <w:r>
        <w:rPr>
          <w:rStyle w:val="FootnoteReference"/>
          <w:szCs w:val="22"/>
        </w:rPr>
        <w:footnoteReference w:id="14"/>
      </w:r>
      <w:r>
        <w:rPr>
          <w:sz w:val="22"/>
          <w:szCs w:val="22"/>
        </w:rPr>
        <w:t xml:space="preserve">  Two days later, on January 20, 2012, KSBJ filed a second STA request, which the International Bureau granted on January 23, 2012.</w:t>
      </w:r>
      <w:r>
        <w:rPr>
          <w:rStyle w:val="FootnoteReference"/>
          <w:szCs w:val="22"/>
        </w:rPr>
        <w:footnoteReference w:id="15"/>
      </w:r>
      <w:r>
        <w:rPr>
          <w:sz w:val="22"/>
          <w:szCs w:val="22"/>
        </w:rPr>
        <w:t xml:space="preserve">  Because it appeared that KSBJ may have operated its earth station after the expiration of the station license, the International Bureau referred this matter to the Enforcement Bureau for investigation and possible enforcement action.  </w:t>
      </w:r>
    </w:p>
    <w:p w:rsidR="008C5128" w:rsidRDefault="008C5128" w:rsidP="00F36D41">
      <w:pPr>
        <w:pStyle w:val="ListParagraph"/>
        <w:rPr>
          <w:sz w:val="22"/>
          <w:szCs w:val="22"/>
        </w:rPr>
      </w:pPr>
    </w:p>
    <w:p w:rsidR="008C5128" w:rsidRPr="00602B54" w:rsidRDefault="008C5128" w:rsidP="004E18D8">
      <w:pPr>
        <w:numPr>
          <w:ilvl w:val="0"/>
          <w:numId w:val="2"/>
        </w:numPr>
        <w:tabs>
          <w:tab w:val="clear" w:pos="1080"/>
          <w:tab w:val="num" w:pos="1440"/>
        </w:tabs>
        <w:ind w:left="0" w:firstLine="720"/>
        <w:rPr>
          <w:sz w:val="22"/>
          <w:szCs w:val="22"/>
        </w:rPr>
      </w:pPr>
      <w:r w:rsidRPr="00E914E5">
        <w:rPr>
          <w:sz w:val="22"/>
          <w:szCs w:val="22"/>
        </w:rPr>
        <w:t xml:space="preserve">On </w:t>
      </w:r>
      <w:r>
        <w:rPr>
          <w:sz w:val="22"/>
          <w:szCs w:val="22"/>
        </w:rPr>
        <w:t>May 31, 2012</w:t>
      </w:r>
      <w:r w:rsidRPr="00E914E5">
        <w:rPr>
          <w:sz w:val="22"/>
          <w:szCs w:val="22"/>
        </w:rPr>
        <w:t>, the Bureau</w:t>
      </w:r>
      <w:r>
        <w:rPr>
          <w:sz w:val="22"/>
          <w:szCs w:val="22"/>
        </w:rPr>
        <w:t>’s Spectrum Enforcement Division</w:t>
      </w:r>
      <w:r w:rsidRPr="00E914E5">
        <w:rPr>
          <w:sz w:val="22"/>
          <w:szCs w:val="22"/>
        </w:rPr>
        <w:t xml:space="preserve"> issued a letter of inquiry (LOI) to </w:t>
      </w:r>
      <w:r>
        <w:rPr>
          <w:sz w:val="22"/>
          <w:szCs w:val="22"/>
        </w:rPr>
        <w:t>KSBJ</w:t>
      </w:r>
      <w:r w:rsidRPr="00E914E5">
        <w:rPr>
          <w:sz w:val="22"/>
          <w:szCs w:val="22"/>
        </w:rPr>
        <w:t>,</w:t>
      </w:r>
      <w:r w:rsidRPr="00E914E5">
        <w:rPr>
          <w:sz w:val="22"/>
          <w:szCs w:val="22"/>
          <w:vertAlign w:val="superscript"/>
        </w:rPr>
        <w:footnoteReference w:id="16"/>
      </w:r>
      <w:r w:rsidRPr="00E914E5">
        <w:rPr>
          <w:sz w:val="22"/>
          <w:szCs w:val="22"/>
        </w:rPr>
        <w:t xml:space="preserve"> directing </w:t>
      </w:r>
      <w:r>
        <w:rPr>
          <w:sz w:val="22"/>
          <w:szCs w:val="22"/>
        </w:rPr>
        <w:t>KSBJ</w:t>
      </w:r>
      <w:r w:rsidRPr="00E914E5">
        <w:rPr>
          <w:sz w:val="22"/>
          <w:szCs w:val="22"/>
        </w:rPr>
        <w:t xml:space="preserve"> to submit a sworn written response to a series of questions relating to its </w:t>
      </w:r>
      <w:r w:rsidRPr="00927D50">
        <w:rPr>
          <w:sz w:val="22"/>
          <w:szCs w:val="22"/>
        </w:rPr>
        <w:t>operation of fixed earth station E940280</w:t>
      </w:r>
      <w:r w:rsidRPr="00E914E5">
        <w:rPr>
          <w:sz w:val="22"/>
          <w:szCs w:val="22"/>
        </w:rPr>
        <w:t xml:space="preserve">.  </w:t>
      </w:r>
      <w:r>
        <w:rPr>
          <w:sz w:val="22"/>
          <w:szCs w:val="22"/>
        </w:rPr>
        <w:t>KSBJ</w:t>
      </w:r>
      <w:r w:rsidRPr="00E914E5">
        <w:rPr>
          <w:sz w:val="22"/>
          <w:szCs w:val="22"/>
        </w:rPr>
        <w:t xml:space="preserve"> responded to the LOI on </w:t>
      </w:r>
      <w:r>
        <w:rPr>
          <w:sz w:val="22"/>
          <w:szCs w:val="22"/>
        </w:rPr>
        <w:t>June 25, 2012</w:t>
      </w:r>
      <w:r w:rsidRPr="00E914E5">
        <w:rPr>
          <w:sz w:val="22"/>
          <w:szCs w:val="22"/>
        </w:rPr>
        <w:t>.</w:t>
      </w:r>
      <w:r w:rsidRPr="00E914E5">
        <w:rPr>
          <w:sz w:val="22"/>
          <w:szCs w:val="22"/>
          <w:vertAlign w:val="superscript"/>
        </w:rPr>
        <w:footnoteReference w:id="17"/>
      </w:r>
      <w:r w:rsidRPr="00E914E5">
        <w:rPr>
          <w:sz w:val="22"/>
          <w:szCs w:val="22"/>
        </w:rPr>
        <w:t xml:space="preserve">  In its LOI Response, </w:t>
      </w:r>
      <w:r w:rsidRPr="00602B54">
        <w:rPr>
          <w:sz w:val="22"/>
          <w:szCs w:val="22"/>
        </w:rPr>
        <w:t xml:space="preserve">KSBJ </w:t>
      </w:r>
      <w:r>
        <w:rPr>
          <w:sz w:val="22"/>
          <w:szCs w:val="22"/>
        </w:rPr>
        <w:t>stated that it discovered that its earth station license had expired</w:t>
      </w:r>
      <w:r w:rsidRPr="00041C52">
        <w:rPr>
          <w:sz w:val="22"/>
          <w:szCs w:val="22"/>
        </w:rPr>
        <w:t xml:space="preserve"> </w:t>
      </w:r>
      <w:r>
        <w:rPr>
          <w:sz w:val="22"/>
          <w:szCs w:val="22"/>
        </w:rPr>
        <w:t>on September 12, 2011, and that it took “immediate action” to come into compliance by filing its initial STA request the next day.</w:t>
      </w:r>
      <w:r>
        <w:rPr>
          <w:rStyle w:val="FootnoteReference"/>
          <w:szCs w:val="22"/>
        </w:rPr>
        <w:footnoteReference w:id="18"/>
      </w:r>
      <w:r>
        <w:rPr>
          <w:sz w:val="22"/>
          <w:szCs w:val="22"/>
        </w:rPr>
        <w:t xml:space="preserve">  </w:t>
      </w:r>
      <w:r w:rsidR="00D13956">
        <w:rPr>
          <w:sz w:val="22"/>
          <w:szCs w:val="22"/>
        </w:rPr>
        <w:t>KSBJ also acknowledged that it continued to operate the earth station until its initial STA request was dismissed.</w:t>
      </w:r>
      <w:r w:rsidR="00D13956">
        <w:rPr>
          <w:rStyle w:val="FootnoteReference"/>
          <w:szCs w:val="22"/>
        </w:rPr>
        <w:footnoteReference w:id="19"/>
      </w:r>
      <w:r w:rsidR="00D13956">
        <w:rPr>
          <w:sz w:val="22"/>
          <w:szCs w:val="22"/>
        </w:rPr>
        <w:t xml:space="preserve">  </w:t>
      </w:r>
      <w:r w:rsidRPr="00872739">
        <w:rPr>
          <w:sz w:val="22"/>
          <w:szCs w:val="22"/>
        </w:rPr>
        <w:t xml:space="preserve">The Bureau and </w:t>
      </w:r>
      <w:r>
        <w:rPr>
          <w:sz w:val="22"/>
          <w:szCs w:val="22"/>
        </w:rPr>
        <w:t>KSBJ</w:t>
      </w:r>
      <w:r w:rsidRPr="00872739">
        <w:rPr>
          <w:sz w:val="22"/>
          <w:szCs w:val="22"/>
        </w:rPr>
        <w:t xml:space="preserve"> </w:t>
      </w:r>
      <w:r>
        <w:rPr>
          <w:sz w:val="22"/>
          <w:szCs w:val="22"/>
        </w:rPr>
        <w:t>entered into</w:t>
      </w:r>
      <w:r w:rsidRPr="00872739">
        <w:rPr>
          <w:sz w:val="22"/>
          <w:szCs w:val="22"/>
        </w:rPr>
        <w:t xml:space="preserve"> </w:t>
      </w:r>
      <w:r>
        <w:rPr>
          <w:sz w:val="22"/>
          <w:szCs w:val="22"/>
        </w:rPr>
        <w:t xml:space="preserve">a </w:t>
      </w:r>
      <w:r w:rsidRPr="00872739">
        <w:rPr>
          <w:sz w:val="22"/>
          <w:szCs w:val="22"/>
        </w:rPr>
        <w:t>tolling agreement</w:t>
      </w:r>
      <w:r>
        <w:rPr>
          <w:sz w:val="22"/>
          <w:szCs w:val="22"/>
        </w:rPr>
        <w:t xml:space="preserve"> to toll the statute of limitations</w:t>
      </w:r>
      <w:r w:rsidRPr="00D15626">
        <w:rPr>
          <w:sz w:val="22"/>
          <w:szCs w:val="22"/>
        </w:rPr>
        <w:t>.</w:t>
      </w:r>
      <w:r>
        <w:rPr>
          <w:rStyle w:val="FootnoteReference"/>
          <w:szCs w:val="22"/>
        </w:rPr>
        <w:footnoteReference w:id="20"/>
      </w:r>
      <w:r>
        <w:rPr>
          <w:sz w:val="22"/>
          <w:szCs w:val="22"/>
        </w:rPr>
        <w:t xml:space="preserve"> </w:t>
      </w:r>
    </w:p>
    <w:p w:rsidR="008C5128" w:rsidRPr="00927D50" w:rsidRDefault="008C5128" w:rsidP="00DA5B1B">
      <w:pPr>
        <w:jc w:val="both"/>
        <w:rPr>
          <w:sz w:val="22"/>
          <w:szCs w:val="22"/>
        </w:rPr>
      </w:pPr>
    </w:p>
    <w:p w:rsidR="008C5128" w:rsidRPr="00927D50" w:rsidRDefault="008C5128" w:rsidP="00602B54">
      <w:pPr>
        <w:spacing w:after="240"/>
        <w:jc w:val="both"/>
        <w:rPr>
          <w:sz w:val="22"/>
          <w:szCs w:val="22"/>
        </w:rPr>
      </w:pPr>
      <w:r w:rsidRPr="00931943">
        <w:rPr>
          <w:b/>
          <w:sz w:val="22"/>
          <w:szCs w:val="22"/>
        </w:rPr>
        <w:t>III.</w:t>
      </w:r>
      <w:r w:rsidRPr="00931943">
        <w:rPr>
          <w:b/>
          <w:sz w:val="22"/>
          <w:szCs w:val="22"/>
        </w:rPr>
        <w:tab/>
      </w:r>
      <w:r w:rsidRPr="00927D50">
        <w:rPr>
          <w:b/>
          <w:sz w:val="22"/>
          <w:szCs w:val="22"/>
        </w:rPr>
        <w:t>TERMS OF THE AGREEMENT</w:t>
      </w:r>
    </w:p>
    <w:p w:rsidR="008C5128" w:rsidRPr="00927D50" w:rsidRDefault="008C5128" w:rsidP="00F36D41">
      <w:pPr>
        <w:numPr>
          <w:ilvl w:val="0"/>
          <w:numId w:val="2"/>
        </w:numPr>
        <w:tabs>
          <w:tab w:val="clear" w:pos="1080"/>
          <w:tab w:val="num" w:pos="1440"/>
        </w:tabs>
        <w:spacing w:after="240"/>
        <w:ind w:left="0" w:firstLine="720"/>
        <w:rPr>
          <w:sz w:val="22"/>
          <w:szCs w:val="22"/>
        </w:rPr>
      </w:pPr>
      <w:r w:rsidRPr="00927D50">
        <w:rPr>
          <w:b/>
          <w:sz w:val="22"/>
          <w:szCs w:val="22"/>
          <w:u w:val="single"/>
        </w:rPr>
        <w:t>Adopting Order</w:t>
      </w:r>
      <w:r w:rsidRPr="00927D50">
        <w:rPr>
          <w:sz w:val="22"/>
          <w:szCs w:val="22"/>
        </w:rPr>
        <w:t>.  The Parties agree that the provisions of this Consent Decree shall be subject to final approval by the Bureau by incorporation of such provisions by reference in the Adopting Order.</w:t>
      </w:r>
      <w:r>
        <w:rPr>
          <w:sz w:val="22"/>
          <w:szCs w:val="22"/>
        </w:rPr>
        <w:t xml:space="preserve"> </w:t>
      </w:r>
    </w:p>
    <w:p w:rsidR="008C5128" w:rsidRPr="00927D50" w:rsidRDefault="008C5128" w:rsidP="00F36D41">
      <w:pPr>
        <w:numPr>
          <w:ilvl w:val="0"/>
          <w:numId w:val="2"/>
        </w:numPr>
        <w:tabs>
          <w:tab w:val="clear" w:pos="1080"/>
          <w:tab w:val="num" w:pos="1440"/>
        </w:tabs>
        <w:spacing w:after="240"/>
        <w:ind w:left="0" w:firstLine="720"/>
        <w:rPr>
          <w:sz w:val="22"/>
          <w:szCs w:val="22"/>
        </w:rPr>
      </w:pPr>
      <w:r w:rsidRPr="00927D50">
        <w:rPr>
          <w:b/>
          <w:sz w:val="22"/>
          <w:szCs w:val="22"/>
          <w:u w:val="single"/>
        </w:rPr>
        <w:t>Jurisdiction</w:t>
      </w:r>
      <w:r w:rsidRPr="00927D50">
        <w:rPr>
          <w:sz w:val="22"/>
          <w:szCs w:val="22"/>
        </w:rPr>
        <w:t>.  KSBJ agrees that the Bureau has jurisdiction over it and the matters contained in this Consent Decree and that the Bureau has the authority to enter into and adopt this Consent Decree.</w:t>
      </w:r>
    </w:p>
    <w:p w:rsidR="008C5128" w:rsidRPr="00927D50" w:rsidRDefault="008C5128" w:rsidP="00F36D41">
      <w:pPr>
        <w:numPr>
          <w:ilvl w:val="0"/>
          <w:numId w:val="2"/>
        </w:numPr>
        <w:tabs>
          <w:tab w:val="clear" w:pos="1080"/>
          <w:tab w:val="num" w:pos="1440"/>
        </w:tabs>
        <w:spacing w:after="240"/>
        <w:ind w:left="0" w:firstLine="720"/>
        <w:rPr>
          <w:sz w:val="22"/>
          <w:szCs w:val="22"/>
        </w:rPr>
      </w:pPr>
      <w:r w:rsidRPr="00927D50">
        <w:rPr>
          <w:b/>
          <w:sz w:val="22"/>
          <w:szCs w:val="22"/>
          <w:u w:val="single"/>
        </w:rPr>
        <w:t>Effective Date; Violations</w:t>
      </w:r>
      <w:r w:rsidRPr="00927D50">
        <w:rPr>
          <w:sz w:val="22"/>
          <w:szCs w:val="22"/>
        </w:rPr>
        <w:t>.  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8C5128" w:rsidRPr="00927D50" w:rsidRDefault="008C5128" w:rsidP="003961BF">
      <w:pPr>
        <w:numPr>
          <w:ilvl w:val="0"/>
          <w:numId w:val="2"/>
        </w:numPr>
        <w:tabs>
          <w:tab w:val="clear" w:pos="1080"/>
          <w:tab w:val="num" w:pos="1440"/>
        </w:tabs>
        <w:spacing w:after="240"/>
        <w:ind w:left="0" w:firstLine="720"/>
        <w:rPr>
          <w:sz w:val="22"/>
          <w:szCs w:val="22"/>
        </w:rPr>
      </w:pPr>
      <w:r w:rsidRPr="00927D50">
        <w:rPr>
          <w:b/>
          <w:sz w:val="22"/>
          <w:szCs w:val="22"/>
          <w:u w:val="single"/>
        </w:rPr>
        <w:t>Termination of Investigation</w:t>
      </w:r>
      <w:r w:rsidRPr="00927D50">
        <w:rPr>
          <w:sz w:val="22"/>
          <w:szCs w:val="22"/>
        </w:rPr>
        <w:t xml:space="preserve">. </w:t>
      </w:r>
      <w:r>
        <w:rPr>
          <w:sz w:val="22"/>
          <w:szCs w:val="22"/>
        </w:rPr>
        <w:t xml:space="preserve"> </w:t>
      </w:r>
      <w:r w:rsidRPr="00927D50">
        <w:rPr>
          <w:sz w:val="22"/>
          <w:szCs w:val="22"/>
        </w:rPr>
        <w:t xml:space="preserve">In express reliance on the covenants and representations in this Consent Decree and to avoid further expenditure of public resources, the Bureau agrees to terminate the Investigation.  In consideration for the termination of the Investigation, KSBJ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KSBJ concerning the matters that were the subject of the </w:t>
      </w:r>
      <w:r>
        <w:rPr>
          <w:sz w:val="22"/>
          <w:szCs w:val="22"/>
        </w:rPr>
        <w:t>I</w:t>
      </w:r>
      <w:r w:rsidRPr="00927D50">
        <w:rPr>
          <w:sz w:val="22"/>
          <w:szCs w:val="22"/>
        </w:rPr>
        <w:t>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KSBJ with respect to KSBJ’s basic qualifications, including its character qualifications, to be a Commission licensee or to hold Commission licenses or authorizations.</w:t>
      </w:r>
    </w:p>
    <w:p w:rsidR="008C5128" w:rsidRPr="00927D50" w:rsidRDefault="008C5128" w:rsidP="004F2798">
      <w:pPr>
        <w:numPr>
          <w:ilvl w:val="0"/>
          <w:numId w:val="2"/>
        </w:numPr>
        <w:tabs>
          <w:tab w:val="clear" w:pos="1080"/>
          <w:tab w:val="num" w:pos="1440"/>
        </w:tabs>
        <w:spacing w:after="240"/>
        <w:ind w:left="0" w:firstLine="720"/>
        <w:rPr>
          <w:sz w:val="22"/>
          <w:szCs w:val="22"/>
        </w:rPr>
      </w:pPr>
      <w:r w:rsidRPr="00927D50">
        <w:rPr>
          <w:b/>
          <w:sz w:val="22"/>
          <w:szCs w:val="22"/>
          <w:u w:val="single"/>
        </w:rPr>
        <w:t>Compliance Officer</w:t>
      </w:r>
      <w:r w:rsidRPr="00927D50">
        <w:rPr>
          <w:sz w:val="22"/>
          <w:szCs w:val="22"/>
        </w:rPr>
        <w:t xml:space="preserve">.  Within thirty (30) calendar days after the Effective Date, KSBJ shall designate a senior corporate manager with the requisite corporate and organizational authority to serve as Compliance Officer and to discharge the duties set forth below.  The Compliance Officer shall be responsible for developing, implementing, and administering the Compliance Plan and </w:t>
      </w:r>
      <w:r>
        <w:rPr>
          <w:sz w:val="22"/>
          <w:szCs w:val="22"/>
        </w:rPr>
        <w:t xml:space="preserve">ensuring that KSBJ complies with the terms and conditions of the Compliance Plan and </w:t>
      </w:r>
      <w:r w:rsidRPr="00927D50">
        <w:rPr>
          <w:sz w:val="22"/>
          <w:szCs w:val="22"/>
        </w:rPr>
        <w:t xml:space="preserve">this Consent Decree.  In addition to the general knowledge of the Communications Laws necessary to discharge his/her duties under this Consent Decree, the Compliance Officer shall have specific knowledge of the Licensing Rules </w:t>
      </w:r>
      <w:r>
        <w:rPr>
          <w:sz w:val="22"/>
          <w:szCs w:val="22"/>
        </w:rPr>
        <w:t>prior to assuming his/her duties</w:t>
      </w:r>
      <w:r w:rsidRPr="00927D50">
        <w:rPr>
          <w:sz w:val="22"/>
          <w:szCs w:val="22"/>
        </w:rPr>
        <w:t>.</w:t>
      </w:r>
    </w:p>
    <w:p w:rsidR="008C5128" w:rsidRPr="00927D50" w:rsidRDefault="008C5128" w:rsidP="00F36D41">
      <w:pPr>
        <w:numPr>
          <w:ilvl w:val="0"/>
          <w:numId w:val="2"/>
        </w:numPr>
        <w:tabs>
          <w:tab w:val="clear" w:pos="1080"/>
          <w:tab w:val="num" w:pos="1440"/>
        </w:tabs>
        <w:spacing w:after="240"/>
        <w:ind w:left="0" w:firstLine="720"/>
        <w:rPr>
          <w:sz w:val="22"/>
          <w:szCs w:val="22"/>
        </w:rPr>
      </w:pPr>
      <w:r w:rsidRPr="00927D50">
        <w:rPr>
          <w:b/>
          <w:sz w:val="22"/>
          <w:szCs w:val="22"/>
          <w:u w:val="single"/>
        </w:rPr>
        <w:t>Compliance Plan</w:t>
      </w:r>
      <w:r w:rsidRPr="00927D50">
        <w:rPr>
          <w:sz w:val="22"/>
          <w:szCs w:val="22"/>
        </w:rPr>
        <w:t>.  For purposes of settling the matters set forth herein, KSBJ agrees that it shall within sixty (60) calendar days after the Effective Date, develop and implement a Compliance Plan designed to ensure future compliance with the Communications Laws and with the terms and conditions of this Consent Decree.  With respect to the Licensing Rules, KSBJ shall implement the following procedures:</w:t>
      </w:r>
    </w:p>
    <w:p w:rsidR="008C5128" w:rsidRPr="00927D50" w:rsidRDefault="008C5128" w:rsidP="00A23687">
      <w:pPr>
        <w:numPr>
          <w:ilvl w:val="0"/>
          <w:numId w:val="3"/>
        </w:numPr>
        <w:tabs>
          <w:tab w:val="clear" w:pos="720"/>
          <w:tab w:val="num" w:pos="2160"/>
        </w:tabs>
        <w:spacing w:after="120"/>
        <w:ind w:left="2160" w:hanging="720"/>
        <w:rPr>
          <w:b/>
          <w:sz w:val="22"/>
          <w:szCs w:val="22"/>
          <w:u w:val="single"/>
        </w:rPr>
      </w:pPr>
      <w:r w:rsidRPr="00927D50">
        <w:rPr>
          <w:b/>
          <w:sz w:val="22"/>
          <w:szCs w:val="22"/>
          <w:u w:val="single"/>
        </w:rPr>
        <w:t>Operating Procedures on Licensing</w:t>
      </w:r>
      <w:r>
        <w:rPr>
          <w:b/>
          <w:sz w:val="22"/>
          <w:szCs w:val="22"/>
          <w:u w:val="single"/>
        </w:rPr>
        <w:t xml:space="preserve"> Rules</w:t>
      </w:r>
      <w:r w:rsidRPr="00927D50">
        <w:rPr>
          <w:sz w:val="22"/>
          <w:szCs w:val="22"/>
        </w:rPr>
        <w:t xml:space="preserve">.  Within sixty (60) calendar days after the Effective Date, KSBJ shall establish Operating Procedures </w:t>
      </w:r>
      <w:r>
        <w:rPr>
          <w:sz w:val="22"/>
          <w:szCs w:val="22"/>
        </w:rPr>
        <w:t xml:space="preserve">that all Covered Employees must follow to help ensure KSBJ’s compliance with the Licensing Rules.  As part of the Operating Procedures, the Compliance Officer shall designate a Covered Employee to be responsible for developing and maintaining a database of all FCC licenses held by KSBJ and the expiration date of each such license.  The Compliance Officer shall </w:t>
      </w:r>
      <w:r w:rsidRPr="00927D50">
        <w:rPr>
          <w:sz w:val="22"/>
          <w:szCs w:val="22"/>
        </w:rPr>
        <w:t xml:space="preserve">ensure that KSBJ </w:t>
      </w:r>
      <w:r>
        <w:rPr>
          <w:sz w:val="22"/>
          <w:szCs w:val="22"/>
        </w:rPr>
        <w:t>timely files applications for renewal for any FCC licenses that KSBJ intends to operate after the license’s expiration date</w:t>
      </w:r>
      <w:r w:rsidRPr="00927D50">
        <w:rPr>
          <w:sz w:val="22"/>
          <w:szCs w:val="22"/>
        </w:rPr>
        <w:t>.</w:t>
      </w:r>
    </w:p>
    <w:p w:rsidR="008C5128" w:rsidRDefault="008C5128" w:rsidP="00A23687">
      <w:pPr>
        <w:spacing w:after="120"/>
        <w:ind w:left="2160" w:hanging="720"/>
        <w:rPr>
          <w:sz w:val="22"/>
          <w:szCs w:val="22"/>
        </w:rPr>
      </w:pPr>
      <w:r w:rsidRPr="00927D50">
        <w:rPr>
          <w:sz w:val="22"/>
          <w:szCs w:val="22"/>
        </w:rPr>
        <w:t>(b)</w:t>
      </w:r>
      <w:r w:rsidRPr="00927D50">
        <w:rPr>
          <w:b/>
          <w:sz w:val="22"/>
          <w:szCs w:val="22"/>
        </w:rPr>
        <w:t xml:space="preserve"> </w:t>
      </w:r>
      <w:r>
        <w:rPr>
          <w:b/>
          <w:sz w:val="22"/>
          <w:szCs w:val="22"/>
        </w:rPr>
        <w:tab/>
      </w:r>
      <w:r w:rsidRPr="00927D50">
        <w:rPr>
          <w:b/>
          <w:sz w:val="22"/>
          <w:szCs w:val="22"/>
          <w:u w:val="single"/>
        </w:rPr>
        <w:t>Compliance Manual</w:t>
      </w:r>
      <w:r>
        <w:rPr>
          <w:sz w:val="22"/>
          <w:szCs w:val="22"/>
        </w:rPr>
        <w:t>.</w:t>
      </w:r>
      <w:r w:rsidRPr="00927D50">
        <w:rPr>
          <w:sz w:val="22"/>
          <w:szCs w:val="22"/>
        </w:rPr>
        <w:t xml:space="preserve">  Within sixty (60) calendar days after the</w:t>
      </w:r>
      <w:r>
        <w:rPr>
          <w:sz w:val="22"/>
          <w:szCs w:val="22"/>
        </w:rPr>
        <w:t xml:space="preserve"> </w:t>
      </w:r>
      <w:r w:rsidRPr="00927D50">
        <w:rPr>
          <w:sz w:val="22"/>
          <w:szCs w:val="22"/>
        </w:rPr>
        <w:t xml:space="preserve">Effective Date, the Compliance Officer shall develop and </w:t>
      </w:r>
      <w:r w:rsidRPr="001A7CBC">
        <w:rPr>
          <w:kern w:val="28"/>
          <w:sz w:val="22"/>
          <w:szCs w:val="20"/>
        </w:rPr>
        <w:t xml:space="preserve">distribute a Compliance Manual to all Covered Employees.  The Compliance Manual shall explain the </w:t>
      </w:r>
      <w:r w:rsidRPr="001A7CBC">
        <w:rPr>
          <w:kern w:val="28"/>
          <w:sz w:val="22"/>
          <w:szCs w:val="22"/>
        </w:rPr>
        <w:t>Licensing</w:t>
      </w:r>
      <w:r w:rsidRPr="001A7CBC">
        <w:rPr>
          <w:kern w:val="28"/>
          <w:sz w:val="22"/>
          <w:szCs w:val="20"/>
        </w:rPr>
        <w:t xml:space="preserve"> Rules and set forth the Operating Procedures that Covered Employees shall follow to help ensure </w:t>
      </w:r>
      <w:r>
        <w:rPr>
          <w:kern w:val="28"/>
          <w:sz w:val="22"/>
          <w:szCs w:val="20"/>
        </w:rPr>
        <w:t xml:space="preserve">KSBJ’s </w:t>
      </w:r>
      <w:r w:rsidRPr="001A7CBC">
        <w:rPr>
          <w:kern w:val="28"/>
          <w:sz w:val="22"/>
          <w:szCs w:val="20"/>
        </w:rPr>
        <w:t xml:space="preserve">compliance with the </w:t>
      </w:r>
      <w:r w:rsidRPr="001A7CBC">
        <w:rPr>
          <w:kern w:val="28"/>
          <w:sz w:val="22"/>
          <w:szCs w:val="22"/>
        </w:rPr>
        <w:t>Licensing</w:t>
      </w:r>
      <w:r w:rsidRPr="001A7CBC">
        <w:rPr>
          <w:kern w:val="28"/>
          <w:sz w:val="22"/>
          <w:szCs w:val="20"/>
        </w:rPr>
        <w:t xml:space="preserve"> Rules.  </w:t>
      </w:r>
      <w:r w:rsidRPr="00927D50">
        <w:rPr>
          <w:sz w:val="22"/>
          <w:szCs w:val="22"/>
        </w:rPr>
        <w:t>KSBJ shall periodically review and revise the Compliance Manual as necessary to ensure that the information set forth therein remains current and complete.</w:t>
      </w:r>
      <w:r>
        <w:rPr>
          <w:sz w:val="22"/>
          <w:szCs w:val="22"/>
        </w:rPr>
        <w:t xml:space="preserve">  KSBJ shall distribute any revisions to the Compliance Manual promptly to all Covered Employees.</w:t>
      </w:r>
      <w:r w:rsidRPr="00927D50">
        <w:rPr>
          <w:sz w:val="22"/>
          <w:szCs w:val="22"/>
        </w:rPr>
        <w:t xml:space="preserve">  </w:t>
      </w:r>
    </w:p>
    <w:p w:rsidR="008C5128" w:rsidRPr="00C77F5A" w:rsidRDefault="008C5128" w:rsidP="00A23687">
      <w:pPr>
        <w:spacing w:after="240"/>
        <w:ind w:left="2160" w:hanging="720"/>
        <w:rPr>
          <w:sz w:val="22"/>
          <w:szCs w:val="22"/>
        </w:rPr>
      </w:pPr>
      <w:r>
        <w:rPr>
          <w:sz w:val="22"/>
          <w:szCs w:val="22"/>
        </w:rPr>
        <w:t xml:space="preserve">(c)  </w:t>
      </w:r>
      <w:r>
        <w:rPr>
          <w:sz w:val="22"/>
          <w:szCs w:val="22"/>
        </w:rPr>
        <w:tab/>
      </w:r>
      <w:r>
        <w:rPr>
          <w:b/>
          <w:sz w:val="22"/>
          <w:szCs w:val="22"/>
          <w:u w:val="single"/>
        </w:rPr>
        <w:t>Compliance Training Program</w:t>
      </w:r>
      <w:r>
        <w:rPr>
          <w:sz w:val="22"/>
          <w:szCs w:val="22"/>
        </w:rPr>
        <w:t>.  KSBJ</w:t>
      </w:r>
      <w:r w:rsidRPr="001758BC">
        <w:rPr>
          <w:sz w:val="22"/>
          <w:szCs w:val="22"/>
        </w:rPr>
        <w:t xml:space="preserve"> shall establish and implement a Compliance Training Program on compliance with the Licensing Rules and the Operating Procedures.  As part of the Compliance Training Program, Covered Employees shall be advised of </w:t>
      </w:r>
      <w:r>
        <w:rPr>
          <w:sz w:val="22"/>
          <w:szCs w:val="22"/>
        </w:rPr>
        <w:t>KSBJ</w:t>
      </w:r>
      <w:r w:rsidRPr="001758BC">
        <w:rPr>
          <w:sz w:val="22"/>
          <w:szCs w:val="22"/>
        </w:rPr>
        <w:t>’s obligation to report any noncompliance with the Licensing Rules under paragraph 1</w:t>
      </w:r>
      <w:r>
        <w:rPr>
          <w:sz w:val="22"/>
          <w:szCs w:val="22"/>
        </w:rPr>
        <w:t>1</w:t>
      </w:r>
      <w:r w:rsidRPr="001758BC">
        <w:rPr>
          <w:sz w:val="22"/>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w:t>
      </w:r>
      <w:r w:rsidRPr="001758BC">
        <w:rPr>
          <w:b/>
          <w:sz w:val="22"/>
          <w:szCs w:val="22"/>
        </w:rPr>
        <w:t xml:space="preserve"> </w:t>
      </w:r>
      <w:r w:rsidRPr="001758BC">
        <w:rPr>
          <w:sz w:val="22"/>
          <w:szCs w:val="22"/>
        </w:rPr>
        <w:t xml:space="preserve">except that any person who becomes a Covered Employee at any time after the Effective Date shall be trained within thirty (30) calendar days after the date such person becomes a Covered Employee.  </w:t>
      </w:r>
      <w:r>
        <w:rPr>
          <w:sz w:val="22"/>
          <w:szCs w:val="22"/>
        </w:rPr>
        <w:t>KSBJ</w:t>
      </w:r>
      <w:r w:rsidRPr="001758BC">
        <w:rPr>
          <w:sz w:val="22"/>
          <w:szCs w:val="22"/>
        </w:rPr>
        <w:t xml:space="preserve"> shall repeat the compliance training on an annual basis, and shall periodically review and revise the Compliance Training Program as necessary to ensure that it remains current and complete and to enhance its effectiveness.</w:t>
      </w:r>
    </w:p>
    <w:p w:rsidR="008C5128" w:rsidRDefault="008C5128" w:rsidP="00F36D41">
      <w:pPr>
        <w:numPr>
          <w:ilvl w:val="0"/>
          <w:numId w:val="2"/>
        </w:numPr>
        <w:tabs>
          <w:tab w:val="clear" w:pos="1080"/>
          <w:tab w:val="num" w:pos="1440"/>
        </w:tabs>
        <w:spacing w:after="240"/>
        <w:ind w:left="0" w:firstLine="720"/>
        <w:rPr>
          <w:b/>
          <w:sz w:val="22"/>
          <w:szCs w:val="22"/>
          <w:u w:val="single"/>
        </w:rPr>
      </w:pPr>
      <w:r>
        <w:rPr>
          <w:b/>
          <w:sz w:val="22"/>
          <w:szCs w:val="22"/>
          <w:u w:val="single"/>
        </w:rPr>
        <w:t>Reporting Noncompliance</w:t>
      </w:r>
      <w:r>
        <w:rPr>
          <w:sz w:val="22"/>
          <w:szCs w:val="22"/>
        </w:rPr>
        <w:t>.  KSBJ</w:t>
      </w:r>
      <w:r w:rsidRPr="00C77F5A">
        <w:rPr>
          <w:sz w:val="22"/>
          <w:szCs w:val="22"/>
        </w:rPr>
        <w:t xml:space="preserve"> shall report any noncompliance with the </w:t>
      </w:r>
      <w:r>
        <w:rPr>
          <w:sz w:val="22"/>
          <w:szCs w:val="22"/>
        </w:rPr>
        <w:t xml:space="preserve">Licensing </w:t>
      </w:r>
      <w:r w:rsidRPr="00C77F5A">
        <w:rPr>
          <w:sz w:val="22"/>
          <w:szCs w:val="22"/>
        </w:rPr>
        <w:t xml:space="preserve">Rules and with the terms and conditions of this Consent Decree within fifteen (15) calendar days after discovery of such noncompliance.  Such reports shall include a detailed explanation of (i) each instance of noncompliance; (ii) the steps that </w:t>
      </w:r>
      <w:r>
        <w:rPr>
          <w:sz w:val="22"/>
          <w:szCs w:val="22"/>
        </w:rPr>
        <w:t>KSBJ</w:t>
      </w:r>
      <w:r w:rsidRPr="00C77F5A">
        <w:rPr>
          <w:sz w:val="22"/>
          <w:szCs w:val="22"/>
        </w:rPr>
        <w:t xml:space="preserve"> has taken or will take to remedy such noncompliance; (iii) the schedule on which such remedial actions will be taken; and (iv) the steps that </w:t>
      </w:r>
      <w:r>
        <w:rPr>
          <w:sz w:val="22"/>
          <w:szCs w:val="22"/>
        </w:rPr>
        <w:t>KSBJ</w:t>
      </w:r>
      <w:r w:rsidRPr="00C77F5A">
        <w:rPr>
          <w:sz w:val="22"/>
          <w:szCs w:val="22"/>
        </w:rPr>
        <w:t xml:space="preserve"> has taken or will take to prevent the recurrence of any such noncompliance.  </w:t>
      </w:r>
      <w:r>
        <w:rPr>
          <w:sz w:val="22"/>
          <w:szCs w:val="22"/>
        </w:rPr>
        <w:t>All such reports of non</w:t>
      </w:r>
      <w:r w:rsidRPr="00C77F5A">
        <w:rPr>
          <w:sz w:val="22"/>
          <w:szCs w:val="22"/>
        </w:rPr>
        <w:t>compliance shall be submitted to the Chief, Spectrum Enforcement Division, Enforcement Bureau, Federal Communications Commission, Room 3-C366, 445 12th Street, S.W. Washington, DC 20554, with a copy submitted electronically to Linda Nagel at Linda.Nagel@fcc.gov and to Ricardo Durham at Ricardo.Durham@fcc.gov.</w:t>
      </w:r>
    </w:p>
    <w:p w:rsidR="008C5128" w:rsidRPr="00927D50"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Compliance Reports</w:t>
      </w:r>
      <w:r w:rsidRPr="00927D50">
        <w:rPr>
          <w:sz w:val="22"/>
          <w:szCs w:val="22"/>
        </w:rPr>
        <w:t xml:space="preserve">.  KSBJ shall file Compliance Reports with the Commission </w:t>
      </w:r>
      <w:r>
        <w:rPr>
          <w:sz w:val="22"/>
          <w:szCs w:val="22"/>
        </w:rPr>
        <w:t xml:space="preserve">ninety </w:t>
      </w:r>
      <w:r w:rsidRPr="00927D50">
        <w:rPr>
          <w:sz w:val="22"/>
          <w:szCs w:val="22"/>
        </w:rPr>
        <w:t>(90) calendar days after the Effective Date, twelve (12) months after the Effective Date, twenty-four (24) months after the Effective Date</w:t>
      </w:r>
      <w:r>
        <w:rPr>
          <w:sz w:val="22"/>
          <w:szCs w:val="22"/>
        </w:rPr>
        <w:t>, and thirty-six months (36) after the Effective Date</w:t>
      </w:r>
      <w:r w:rsidRPr="00927D50">
        <w:rPr>
          <w:sz w:val="22"/>
          <w:szCs w:val="22"/>
        </w:rPr>
        <w:t xml:space="preserve">.  </w:t>
      </w:r>
    </w:p>
    <w:p w:rsidR="008C5128" w:rsidRPr="00927D50" w:rsidRDefault="008C5128" w:rsidP="00A23687">
      <w:pPr>
        <w:numPr>
          <w:ilvl w:val="0"/>
          <w:numId w:val="6"/>
        </w:numPr>
        <w:tabs>
          <w:tab w:val="clear" w:pos="1080"/>
          <w:tab w:val="num" w:pos="2160"/>
        </w:tabs>
        <w:spacing w:after="120"/>
        <w:ind w:left="2160"/>
        <w:rPr>
          <w:sz w:val="22"/>
          <w:szCs w:val="22"/>
        </w:rPr>
      </w:pPr>
      <w:r w:rsidRPr="00927D50">
        <w:rPr>
          <w:sz w:val="22"/>
          <w:szCs w:val="22"/>
        </w:rPr>
        <w:t>Each Compliance Report shall include a detailed description of KSBJ’s efforts during the relevant period to comply with the terms and conditions of this Consent Decree.  In addition, each Compliance Report shall include a certification by the Compliance Officer, as an agent of and on behalf of KSBJ, stating that the Compliance Officer has personal knowledge that KSBJ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w:t>
      </w:r>
      <w:r>
        <w:rPr>
          <w:sz w:val="22"/>
          <w:szCs w:val="22"/>
        </w:rPr>
        <w:t>1</w:t>
      </w:r>
      <w:r w:rsidRPr="00927D50">
        <w:rPr>
          <w:sz w:val="22"/>
          <w:szCs w:val="22"/>
        </w:rPr>
        <w:t xml:space="preserve"> hereof.</w:t>
      </w:r>
    </w:p>
    <w:p w:rsidR="008C5128" w:rsidRPr="00927D50" w:rsidRDefault="008C5128" w:rsidP="00A23687">
      <w:pPr>
        <w:numPr>
          <w:ilvl w:val="0"/>
          <w:numId w:val="6"/>
        </w:numPr>
        <w:tabs>
          <w:tab w:val="clear" w:pos="1080"/>
          <w:tab w:val="num" w:pos="2160"/>
        </w:tabs>
        <w:spacing w:after="120"/>
        <w:ind w:left="2160"/>
        <w:rPr>
          <w:sz w:val="22"/>
          <w:szCs w:val="22"/>
        </w:rPr>
      </w:pPr>
      <w:r w:rsidRPr="00927D50">
        <w:rPr>
          <w:sz w:val="22"/>
          <w:szCs w:val="22"/>
        </w:rPr>
        <w:t>The Compliance Officer’s certification shall be accompanied by a statement explaining the basis for such certification and must comply with Section 1.16 of the Rules and be subscribed to as true under penalty of perjury in substantially the form set forth therein.</w:t>
      </w:r>
    </w:p>
    <w:p w:rsidR="008C5128" w:rsidRPr="00927D50" w:rsidRDefault="008C5128" w:rsidP="00A23687">
      <w:pPr>
        <w:numPr>
          <w:ilvl w:val="0"/>
          <w:numId w:val="6"/>
        </w:numPr>
        <w:tabs>
          <w:tab w:val="clear" w:pos="1080"/>
          <w:tab w:val="num" w:pos="2160"/>
        </w:tabs>
        <w:spacing w:after="120"/>
        <w:ind w:left="2160"/>
        <w:rPr>
          <w:sz w:val="22"/>
          <w:szCs w:val="22"/>
        </w:rPr>
      </w:pPr>
      <w:r w:rsidRPr="00927D50">
        <w:rPr>
          <w:sz w:val="22"/>
          <w:szCs w:val="22"/>
        </w:rPr>
        <w:t>If the Compliance Officer cannot provide the requisite certification, the Compliance Officer, as an agent of and on behalf of KSBJ, shall provide the Commission with a detailed explanation of the reason(s) why and describe fully (i) each instance of noncompliance; (ii) the steps that KSBJ has take</w:t>
      </w:r>
      <w:r>
        <w:rPr>
          <w:sz w:val="22"/>
          <w:szCs w:val="22"/>
        </w:rPr>
        <w:t>n</w:t>
      </w:r>
      <w:r w:rsidRPr="00927D50">
        <w:rPr>
          <w:sz w:val="22"/>
          <w:szCs w:val="22"/>
        </w:rPr>
        <w:t xml:space="preserve"> or will take to remedy such noncompliance, including the schedule on which proposed remedial actions will be taken; and (iii) the steps that KSBJ has taken or will take to prevent the recurrence of any such noncompliance, including the schedule on which such preventive action will be taken.</w:t>
      </w:r>
    </w:p>
    <w:p w:rsidR="008C5128" w:rsidRPr="00927D50" w:rsidRDefault="008C5128" w:rsidP="00A23687">
      <w:pPr>
        <w:numPr>
          <w:ilvl w:val="0"/>
          <w:numId w:val="6"/>
        </w:numPr>
        <w:tabs>
          <w:tab w:val="clear" w:pos="1080"/>
          <w:tab w:val="num" w:pos="2160"/>
        </w:tabs>
        <w:spacing w:after="240"/>
        <w:ind w:left="2160"/>
        <w:rPr>
          <w:sz w:val="22"/>
          <w:szCs w:val="22"/>
        </w:rPr>
      </w:pPr>
      <w:r w:rsidRPr="00927D50">
        <w:rPr>
          <w:sz w:val="22"/>
          <w:szCs w:val="22"/>
        </w:rPr>
        <w:t xml:space="preserve">All Compliance Reports shall be </w:t>
      </w:r>
      <w:r w:rsidRPr="00C77F5A">
        <w:rPr>
          <w:sz w:val="22"/>
          <w:szCs w:val="22"/>
        </w:rPr>
        <w:t xml:space="preserve">submitted to the Chief, Spectrum Enforcement Division, Enforcement Bureau, Federal Communications Commission, 445 12th Street, S.W., Room 3-C366, Washington, DC 20554, with a copy submitted electronically to </w:t>
      </w:r>
      <w:r>
        <w:rPr>
          <w:sz w:val="22"/>
          <w:szCs w:val="22"/>
        </w:rPr>
        <w:t>Linda Nagel</w:t>
      </w:r>
      <w:r w:rsidRPr="00C77F5A">
        <w:rPr>
          <w:sz w:val="22"/>
          <w:szCs w:val="22"/>
        </w:rPr>
        <w:t xml:space="preserve"> at </w:t>
      </w:r>
      <w:r>
        <w:rPr>
          <w:sz w:val="22"/>
          <w:szCs w:val="22"/>
        </w:rPr>
        <w:t>Linda.Nagel</w:t>
      </w:r>
      <w:r w:rsidRPr="00C77F5A">
        <w:rPr>
          <w:sz w:val="22"/>
          <w:szCs w:val="22"/>
        </w:rPr>
        <w:t xml:space="preserve">@fcc.gov and to </w:t>
      </w:r>
      <w:r>
        <w:rPr>
          <w:sz w:val="22"/>
          <w:szCs w:val="22"/>
        </w:rPr>
        <w:t>Ricardo Durham</w:t>
      </w:r>
      <w:r w:rsidRPr="00C77F5A">
        <w:rPr>
          <w:sz w:val="22"/>
          <w:szCs w:val="22"/>
        </w:rPr>
        <w:t xml:space="preserve"> at </w:t>
      </w:r>
      <w:r>
        <w:rPr>
          <w:sz w:val="22"/>
          <w:szCs w:val="22"/>
        </w:rPr>
        <w:t>Ricardo.Durham</w:t>
      </w:r>
      <w:r w:rsidRPr="00C77F5A">
        <w:rPr>
          <w:sz w:val="22"/>
          <w:szCs w:val="22"/>
        </w:rPr>
        <w:t>@fcc.gov</w:t>
      </w:r>
      <w:r w:rsidRPr="002B7D5F">
        <w:rPr>
          <w:szCs w:val="22"/>
        </w:rPr>
        <w:t>.</w:t>
      </w:r>
    </w:p>
    <w:p w:rsidR="008C5128" w:rsidRPr="00927D50"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Termination Date</w:t>
      </w:r>
      <w:r w:rsidRPr="00927D50">
        <w:rPr>
          <w:sz w:val="22"/>
          <w:szCs w:val="22"/>
        </w:rPr>
        <w:t xml:space="preserve">.  Unless stated otherwise, the obligations set forth in paragraphs </w:t>
      </w:r>
      <w:r>
        <w:rPr>
          <w:sz w:val="22"/>
          <w:szCs w:val="22"/>
        </w:rPr>
        <w:t>9</w:t>
      </w:r>
      <w:r w:rsidRPr="00927D50">
        <w:rPr>
          <w:sz w:val="22"/>
          <w:szCs w:val="22"/>
        </w:rPr>
        <w:t xml:space="preserve"> through </w:t>
      </w:r>
      <w:r>
        <w:rPr>
          <w:sz w:val="22"/>
          <w:szCs w:val="22"/>
        </w:rPr>
        <w:t>12</w:t>
      </w:r>
      <w:r w:rsidRPr="00927D50">
        <w:rPr>
          <w:sz w:val="22"/>
          <w:szCs w:val="22"/>
        </w:rPr>
        <w:t xml:space="preserve"> of this Consent Decree shall expire </w:t>
      </w:r>
      <w:r>
        <w:rPr>
          <w:sz w:val="22"/>
          <w:szCs w:val="22"/>
        </w:rPr>
        <w:t>thirty</w:t>
      </w:r>
      <w:r w:rsidRPr="00927D50">
        <w:rPr>
          <w:sz w:val="22"/>
          <w:szCs w:val="22"/>
        </w:rPr>
        <w:t>-</w:t>
      </w:r>
      <w:r>
        <w:rPr>
          <w:sz w:val="22"/>
          <w:szCs w:val="22"/>
        </w:rPr>
        <w:t>six</w:t>
      </w:r>
      <w:r w:rsidRPr="00927D50">
        <w:rPr>
          <w:sz w:val="22"/>
          <w:szCs w:val="22"/>
        </w:rPr>
        <w:t xml:space="preserve"> </w:t>
      </w:r>
      <w:r>
        <w:rPr>
          <w:sz w:val="22"/>
          <w:szCs w:val="22"/>
        </w:rPr>
        <w:t xml:space="preserve">(36) </w:t>
      </w:r>
      <w:r w:rsidRPr="00927D50">
        <w:rPr>
          <w:sz w:val="22"/>
          <w:szCs w:val="22"/>
        </w:rPr>
        <w:t>months after the Effective Date.</w:t>
      </w:r>
    </w:p>
    <w:p w:rsidR="008C5128" w:rsidRPr="0040242C" w:rsidRDefault="008C5128" w:rsidP="00F36D41">
      <w:pPr>
        <w:pStyle w:val="par1"/>
        <w:numPr>
          <w:ilvl w:val="0"/>
          <w:numId w:val="2"/>
        </w:numPr>
        <w:tabs>
          <w:tab w:val="clear" w:pos="1080"/>
          <w:tab w:val="num" w:pos="1440"/>
        </w:tabs>
        <w:spacing w:after="240"/>
        <w:ind w:left="0" w:firstLine="720"/>
        <w:rPr>
          <w:rFonts w:eastAsia="MS Mincho" w:cs="Arial"/>
          <w:szCs w:val="22"/>
        </w:rPr>
      </w:pPr>
      <w:r w:rsidRPr="00C77F5A">
        <w:rPr>
          <w:b/>
          <w:szCs w:val="22"/>
          <w:u w:val="single"/>
        </w:rPr>
        <w:t>Voluntary Contribution</w:t>
      </w:r>
      <w:r w:rsidRPr="00C77F5A">
        <w:rPr>
          <w:szCs w:val="22"/>
        </w:rPr>
        <w:t xml:space="preserve">.  KSBJ agrees that it will make a voluntary contribution to the United States Treasury in the amount of </w:t>
      </w:r>
      <w:r>
        <w:rPr>
          <w:szCs w:val="22"/>
        </w:rPr>
        <w:t>sixteen t</w:t>
      </w:r>
      <w:r w:rsidRPr="00C77F5A">
        <w:rPr>
          <w:szCs w:val="22"/>
        </w:rPr>
        <w:t>housand</w:t>
      </w:r>
      <w:r>
        <w:rPr>
          <w:szCs w:val="22"/>
        </w:rPr>
        <w:t xml:space="preserve"> d</w:t>
      </w:r>
      <w:r w:rsidRPr="00C77F5A">
        <w:rPr>
          <w:szCs w:val="22"/>
        </w:rPr>
        <w:t>ollars ($</w:t>
      </w:r>
      <w:r>
        <w:rPr>
          <w:szCs w:val="22"/>
        </w:rPr>
        <w:t>16</w:t>
      </w:r>
      <w:r w:rsidRPr="00C77F5A">
        <w:rPr>
          <w:szCs w:val="22"/>
        </w:rPr>
        <w:t>,000) within thirty (30) calendar days after the Effective Date.</w:t>
      </w:r>
      <w:r>
        <w:rPr>
          <w:szCs w:val="22"/>
        </w:rPr>
        <w:t xml:space="preserve">  KSBJ</w:t>
      </w:r>
      <w:r>
        <w:rPr>
          <w:rFonts w:eastAsia="MS Mincho"/>
          <w:szCs w:val="22"/>
        </w:rPr>
        <w:t xml:space="preserve"> </w:t>
      </w:r>
      <w:r w:rsidRPr="0040242C">
        <w:rPr>
          <w:rFonts w:eastAsia="MS Mincho"/>
          <w:szCs w:val="22"/>
        </w:rPr>
        <w:t xml:space="preserve">shall also send electronic notification of payment to Linda Nagel at Linda.Nagel@fcc.gov, Ricardo Durham at Ricardo.Durham@fcc.gov, and Samantha Peoples at Sam.Peoples@fcc.gov on the date said payment is made.  </w:t>
      </w:r>
      <w:r w:rsidRPr="0040242C">
        <w:rPr>
          <w:rFonts w:eastAsia="MS Mincho" w:cs="Arial"/>
          <w:szCs w:val="22"/>
        </w:rPr>
        <w:t xml:space="preserve">The payment must be made by check or similar instrument, wire transfer, or credit card, and must include the NAL/Account </w:t>
      </w:r>
      <w:r>
        <w:rPr>
          <w:rFonts w:eastAsia="MS Mincho" w:cs="Arial"/>
          <w:szCs w:val="22"/>
        </w:rPr>
        <w:t>N</w:t>
      </w:r>
      <w:r w:rsidRPr="0040242C">
        <w:rPr>
          <w:rFonts w:eastAsia="MS Mincho" w:cs="Arial"/>
          <w:szCs w:val="22"/>
        </w:rPr>
        <w:t>umber and FRN referenced above.  Regardless of the form of payment, a completed FCC Form 159 (Remittance Advice) must be submitted.</w:t>
      </w:r>
      <w:r w:rsidRPr="0040242C">
        <w:rPr>
          <w:rStyle w:val="FootnoteReference"/>
          <w:rFonts w:eastAsia="MS Mincho" w:cs="Arial"/>
          <w:szCs w:val="22"/>
        </w:rPr>
        <w:footnoteReference w:id="21"/>
      </w:r>
      <w:r w:rsidRPr="0040242C">
        <w:rPr>
          <w:rFonts w:eastAsia="MS Mincho" w:cs="Arial"/>
          <w:szCs w:val="22"/>
        </w:rPr>
        <w:t xml:space="preserve">  When completing the FCC Form 159, enter the Account Number in block number 23A (call sign/other ID) and enter the letters “FORF” in block number 24A (payment type code).   </w:t>
      </w:r>
      <w:r w:rsidRPr="0040242C">
        <w:rPr>
          <w:color w:val="000000"/>
          <w:szCs w:val="22"/>
        </w:rPr>
        <w:t xml:space="preserve">Below are additional instructions </w:t>
      </w:r>
      <w:r>
        <w:rPr>
          <w:color w:val="000000"/>
          <w:szCs w:val="22"/>
        </w:rPr>
        <w:t>that KSBJ</w:t>
      </w:r>
      <w:r w:rsidRPr="0040242C">
        <w:rPr>
          <w:color w:val="000000"/>
          <w:szCs w:val="22"/>
        </w:rPr>
        <w:t xml:space="preserve"> should follow based on the form of payment </w:t>
      </w:r>
      <w:r>
        <w:rPr>
          <w:color w:val="000000"/>
          <w:szCs w:val="22"/>
        </w:rPr>
        <w:t>it</w:t>
      </w:r>
      <w:r w:rsidRPr="0040242C">
        <w:rPr>
          <w:color w:val="000000"/>
          <w:szCs w:val="22"/>
        </w:rPr>
        <w:t xml:space="preserve"> select</w:t>
      </w:r>
      <w:r>
        <w:rPr>
          <w:color w:val="000000"/>
          <w:szCs w:val="22"/>
        </w:rPr>
        <w:t>s</w:t>
      </w:r>
      <w:r w:rsidRPr="0040242C">
        <w:rPr>
          <w:color w:val="000000"/>
          <w:szCs w:val="22"/>
        </w:rPr>
        <w:t>:</w:t>
      </w:r>
      <w:r>
        <w:rPr>
          <w:color w:val="000000"/>
          <w:szCs w:val="22"/>
        </w:rPr>
        <w:t xml:space="preserve"> </w:t>
      </w:r>
    </w:p>
    <w:p w:rsidR="008C5128" w:rsidRPr="0040242C" w:rsidRDefault="008C5128" w:rsidP="00F36D41">
      <w:pPr>
        <w:pStyle w:val="ParaNum"/>
        <w:numPr>
          <w:ilvl w:val="0"/>
          <w:numId w:val="11"/>
        </w:numPr>
        <w:tabs>
          <w:tab w:val="clear" w:pos="1440"/>
        </w:tabs>
        <w:rPr>
          <w:rFonts w:eastAsia="MS Mincho"/>
          <w:szCs w:val="22"/>
        </w:rPr>
      </w:pPr>
      <w:r w:rsidRPr="0040242C">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8C5128" w:rsidRPr="0040242C" w:rsidRDefault="008C5128" w:rsidP="00F36D41">
      <w:pPr>
        <w:pStyle w:val="ParaNum"/>
        <w:numPr>
          <w:ilvl w:val="0"/>
          <w:numId w:val="11"/>
        </w:numPr>
        <w:tabs>
          <w:tab w:val="clear" w:pos="1440"/>
        </w:tabs>
        <w:rPr>
          <w:rFonts w:eastAsia="MS Mincho"/>
          <w:szCs w:val="22"/>
        </w:rPr>
      </w:pPr>
      <w:r w:rsidRPr="0040242C">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8C5128" w:rsidRPr="0040242C" w:rsidRDefault="008C5128" w:rsidP="00F36D41">
      <w:pPr>
        <w:pStyle w:val="ParaNum"/>
        <w:numPr>
          <w:ilvl w:val="0"/>
          <w:numId w:val="11"/>
        </w:numPr>
        <w:tabs>
          <w:tab w:val="clear" w:pos="1440"/>
        </w:tabs>
        <w:spacing w:after="240"/>
        <w:rPr>
          <w:rFonts w:eastAsia="MS Mincho"/>
          <w:szCs w:val="22"/>
        </w:rPr>
      </w:pPr>
      <w:r w:rsidRPr="0040242C">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8C5128" w:rsidRPr="00927D50" w:rsidRDefault="008C5128" w:rsidP="00F36D41">
      <w:pPr>
        <w:spacing w:after="240"/>
        <w:rPr>
          <w:b/>
          <w:sz w:val="22"/>
          <w:szCs w:val="22"/>
          <w:u w:val="single"/>
        </w:rPr>
      </w:pPr>
      <w:r w:rsidRPr="0040242C">
        <w:rPr>
          <w:rFonts w:eastAsia="MS Mincho"/>
          <w:sz w:val="22"/>
          <w:szCs w:val="22"/>
        </w:rPr>
        <w:t xml:space="preserve">If </w:t>
      </w:r>
      <w:r>
        <w:rPr>
          <w:rFonts w:eastAsia="MS Mincho"/>
          <w:sz w:val="22"/>
          <w:szCs w:val="22"/>
        </w:rPr>
        <w:t>KSBJ has</w:t>
      </w:r>
      <w:r w:rsidRPr="0040242C">
        <w:rPr>
          <w:rFonts w:eastAsia="MS Mincho"/>
          <w:sz w:val="22"/>
          <w:szCs w:val="22"/>
        </w:rPr>
        <w:t xml:space="preserve"> questions regarding payment procedures, </w:t>
      </w:r>
      <w:r>
        <w:rPr>
          <w:rFonts w:eastAsia="MS Mincho"/>
          <w:sz w:val="22"/>
          <w:szCs w:val="22"/>
        </w:rPr>
        <w:t>it should</w:t>
      </w:r>
      <w:r w:rsidRPr="0040242C">
        <w:rPr>
          <w:rFonts w:eastAsia="MS Mincho"/>
          <w:sz w:val="22"/>
          <w:szCs w:val="22"/>
        </w:rPr>
        <w:t xml:space="preserve"> contact the Financial Operations Group Help Desk by phone, 1-877-480-3201, or by e</w:t>
      </w:r>
      <w:r w:rsidRPr="0040242C">
        <w:rPr>
          <w:rFonts w:eastAsia="MS Mincho"/>
          <w:sz w:val="22"/>
          <w:szCs w:val="22"/>
        </w:rPr>
        <w:noBreakHyphen/>
        <w:t xml:space="preserve">mail, </w:t>
      </w:r>
      <w:r w:rsidRPr="0040242C">
        <w:rPr>
          <w:rFonts w:eastAsia="MS Mincho" w:cs="Arial"/>
          <w:sz w:val="22"/>
          <w:szCs w:val="22"/>
        </w:rPr>
        <w:t>ARINQUIRIES@fcc.gov</w:t>
      </w:r>
      <w:r w:rsidRPr="0040242C">
        <w:rPr>
          <w:rFonts w:eastAsia="MS Mincho"/>
          <w:sz w:val="22"/>
          <w:szCs w:val="22"/>
        </w:rPr>
        <w:t>.</w:t>
      </w:r>
      <w:r w:rsidRPr="00C77F5A">
        <w:rPr>
          <w:sz w:val="22"/>
          <w:szCs w:val="22"/>
        </w:rPr>
        <w:t xml:space="preserve">  </w:t>
      </w:r>
    </w:p>
    <w:p w:rsidR="008C5128" w:rsidRPr="00927D50"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Waivers</w:t>
      </w:r>
      <w:r w:rsidRPr="00927D50">
        <w:rPr>
          <w:sz w:val="22"/>
          <w:szCs w:val="22"/>
        </w:rPr>
        <w:t xml:space="preserve">.  KSBJ waives any and all rights it may have to seek administrative or judicial reconsideration, review, appeal or stay, or to otherwise challenge or contest the validity of this Consent Decree and the Adopting Order, provided the Bureau issues an Adopting Order as defined herein.  KSBJ shall retain the right to challenge Commission interpretation of the Consent Decree or any terms contained herein.  If either Party (or the United States on behalf of the Commission) brings a judicial action to enforce the terms of the Adopting Order, neither KSBJ nor the Commission shall contest the validity of the Consent Decree or of the Adopting Order, and KSBJ shall waive any statutory right to a trial </w:t>
      </w:r>
      <w:r w:rsidRPr="00927D50">
        <w:rPr>
          <w:i/>
          <w:sz w:val="22"/>
          <w:szCs w:val="22"/>
        </w:rPr>
        <w:t>de novo</w:t>
      </w:r>
      <w:r w:rsidRPr="00927D50">
        <w:rPr>
          <w:sz w:val="22"/>
          <w:szCs w:val="22"/>
        </w:rPr>
        <w:t>.  KSBJ hereby agrees to waive any claims it may have under the Equal Access to Justice Act</w:t>
      </w:r>
      <w:r>
        <w:rPr>
          <w:rStyle w:val="FootnoteReference"/>
          <w:szCs w:val="22"/>
        </w:rPr>
        <w:footnoteReference w:id="22"/>
      </w:r>
      <w:r w:rsidRPr="00927D50">
        <w:rPr>
          <w:sz w:val="22"/>
          <w:szCs w:val="22"/>
        </w:rPr>
        <w:t xml:space="preserve"> relating to the matters address in this Consent Decree.</w:t>
      </w:r>
    </w:p>
    <w:p w:rsidR="008C5128" w:rsidRPr="00927D50"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Invalidity</w:t>
      </w:r>
      <w:r w:rsidRPr="00927D50">
        <w:rPr>
          <w:sz w:val="22"/>
          <w:szCs w:val="22"/>
        </w:rPr>
        <w:t>.  In the event that this Consent Decree in its entirety is rendered invalid by any court of competent jurisdiction, it shall become null and void and may not be used in any manner in any legal proceeding.</w:t>
      </w:r>
    </w:p>
    <w:p w:rsidR="008C5128" w:rsidRPr="00927D50"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Subsequent Rule or Order</w:t>
      </w:r>
      <w:r w:rsidRPr="00927D50">
        <w:rPr>
          <w:sz w:val="22"/>
          <w:szCs w:val="22"/>
        </w:rPr>
        <w:t>.  The Parties agree that if any provision of the Consent Decree conflicts with any subsequent Rule or order adopted by the Commission (except an order specifically intended to revise the terms of this Consent Decree to which KSBJ does not expressly consent), that provision will be superseded by such Rule or Commission order.</w:t>
      </w:r>
    </w:p>
    <w:p w:rsidR="008C5128" w:rsidRPr="00927D50"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Successors and Assigns</w:t>
      </w:r>
      <w:r w:rsidRPr="00927D50">
        <w:rPr>
          <w:sz w:val="22"/>
          <w:szCs w:val="22"/>
        </w:rPr>
        <w:t>.  KSBJ agrees that the provisions of this Consent Decree shall be binding on its successors, assigns, and transferees.</w:t>
      </w:r>
    </w:p>
    <w:p w:rsidR="008C5128" w:rsidRPr="00927D50"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Final Settlement</w:t>
      </w:r>
      <w:r w:rsidRPr="00927D50">
        <w:rPr>
          <w:sz w:val="22"/>
          <w:szCs w:val="22"/>
        </w:rPr>
        <w:t xml:space="preserve">.  The Parties agree and acknowledge that this Consent Decree shall constitute a final settlement between the Parties with respect to the Investigation.  The Parties further agree that this Consent Decree does not constitute either </w:t>
      </w:r>
      <w:r>
        <w:rPr>
          <w:sz w:val="22"/>
          <w:szCs w:val="22"/>
        </w:rPr>
        <w:t xml:space="preserve">an </w:t>
      </w:r>
      <w:r w:rsidRPr="00927D50">
        <w:rPr>
          <w:sz w:val="22"/>
          <w:szCs w:val="22"/>
        </w:rPr>
        <w:t>adjudication on the merits or a factual or legal finding or determination regarding any compliance or noncompliance with the Communications Laws.</w:t>
      </w:r>
    </w:p>
    <w:p w:rsidR="008C5128" w:rsidRPr="00927D50"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Modifications</w:t>
      </w:r>
      <w:r w:rsidRPr="00927D50">
        <w:rPr>
          <w:sz w:val="22"/>
          <w:szCs w:val="22"/>
        </w:rPr>
        <w:t>.  The Consent Decree cannot be modified without the advance written consent of both Parties.</w:t>
      </w:r>
    </w:p>
    <w:p w:rsidR="008C5128" w:rsidRPr="00927D50"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Paragraph Headings</w:t>
      </w:r>
      <w:r w:rsidRPr="00927D50">
        <w:rPr>
          <w:sz w:val="22"/>
          <w:szCs w:val="22"/>
        </w:rPr>
        <w:t>.  The headings of the paragraphs in this Consent Decree are inserted for convenience only and are not intended to affect the meaning or interpretation of this Consent Decree.</w:t>
      </w:r>
    </w:p>
    <w:p w:rsidR="008C5128" w:rsidRPr="0095355F" w:rsidRDefault="008C5128" w:rsidP="00F36D41">
      <w:pPr>
        <w:numPr>
          <w:ilvl w:val="0"/>
          <w:numId w:val="2"/>
        </w:numPr>
        <w:tabs>
          <w:tab w:val="clear" w:pos="1080"/>
          <w:tab w:val="num" w:pos="1440"/>
        </w:tabs>
        <w:spacing w:after="240"/>
        <w:ind w:left="0" w:firstLine="720"/>
        <w:rPr>
          <w:b/>
          <w:sz w:val="22"/>
          <w:szCs w:val="22"/>
          <w:u w:val="single"/>
        </w:rPr>
      </w:pPr>
      <w:r w:rsidRPr="00927D50">
        <w:rPr>
          <w:b/>
          <w:sz w:val="22"/>
          <w:szCs w:val="22"/>
          <w:u w:val="single"/>
        </w:rPr>
        <w:t>Authorized Representative</w:t>
      </w:r>
      <w:r w:rsidRPr="00927D50">
        <w:rPr>
          <w:sz w:val="22"/>
          <w:szCs w:val="22"/>
        </w:rPr>
        <w:t xml:space="preserve">.  The individual signing this Consent Decree on behalf of KSBJ represents and warrants that he is authorized by KSBJ to execute this Consent Decree and to bind KSBJ to the obligations set forth herein.  The FCC signatory represents that he is signing this Consent Decree in </w:t>
      </w:r>
      <w:r>
        <w:rPr>
          <w:sz w:val="22"/>
          <w:szCs w:val="22"/>
        </w:rPr>
        <w:t>his</w:t>
      </w:r>
      <w:r w:rsidRPr="00927D50">
        <w:rPr>
          <w:sz w:val="22"/>
          <w:szCs w:val="22"/>
        </w:rPr>
        <w:t xml:space="preserve"> official capacity and that he is authorized to execute this Consent Decree.</w:t>
      </w:r>
    </w:p>
    <w:p w:rsidR="008C5128" w:rsidRPr="00927D50" w:rsidRDefault="008C5128" w:rsidP="00931943">
      <w:pPr>
        <w:numPr>
          <w:ilvl w:val="0"/>
          <w:numId w:val="2"/>
        </w:numPr>
        <w:tabs>
          <w:tab w:val="clear" w:pos="1080"/>
          <w:tab w:val="num" w:pos="1440"/>
        </w:tabs>
        <w:spacing w:after="120"/>
        <w:ind w:left="0" w:firstLine="720"/>
        <w:rPr>
          <w:b/>
          <w:sz w:val="22"/>
          <w:szCs w:val="22"/>
          <w:u w:val="single"/>
        </w:rPr>
      </w:pPr>
      <w:r w:rsidRPr="00927D50">
        <w:rPr>
          <w:b/>
          <w:sz w:val="22"/>
          <w:szCs w:val="22"/>
          <w:u w:val="single"/>
        </w:rPr>
        <w:t>Counterparts</w:t>
      </w:r>
      <w:r w:rsidRPr="00927D50">
        <w:rPr>
          <w:sz w:val="22"/>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8C5128" w:rsidRPr="00927D50" w:rsidRDefault="008C5128" w:rsidP="00DD5AFF">
      <w:pPr>
        <w:jc w:val="both"/>
        <w:rPr>
          <w:b/>
          <w:sz w:val="22"/>
          <w:szCs w:val="22"/>
          <w:u w:val="single"/>
        </w:rPr>
      </w:pPr>
    </w:p>
    <w:p w:rsidR="008C5128" w:rsidRPr="00927D50" w:rsidRDefault="008C5128" w:rsidP="00DD5AFF">
      <w:pPr>
        <w:jc w:val="both"/>
        <w:rPr>
          <w:b/>
          <w:sz w:val="22"/>
          <w:szCs w:val="22"/>
          <w:u w:val="single"/>
        </w:rPr>
      </w:pPr>
    </w:p>
    <w:p w:rsidR="008C5128" w:rsidRPr="00927D50" w:rsidRDefault="008C5128" w:rsidP="00DD5AFF">
      <w:pPr>
        <w:jc w:val="both"/>
        <w:rPr>
          <w:b/>
          <w:sz w:val="22"/>
          <w:szCs w:val="22"/>
          <w:u w:val="single"/>
        </w:rPr>
      </w:pPr>
    </w:p>
    <w:p w:rsidR="008C5128" w:rsidRPr="00927D50" w:rsidRDefault="008C5128" w:rsidP="00DD5AFF">
      <w:pPr>
        <w:jc w:val="both"/>
        <w:rPr>
          <w:sz w:val="22"/>
          <w:szCs w:val="22"/>
        </w:rPr>
      </w:pPr>
      <w:r w:rsidRPr="00927D50">
        <w:rPr>
          <w:sz w:val="22"/>
          <w:szCs w:val="22"/>
        </w:rPr>
        <w:t>__________________________________</w:t>
      </w:r>
      <w:r w:rsidRPr="00927D50">
        <w:rPr>
          <w:sz w:val="22"/>
          <w:szCs w:val="22"/>
        </w:rPr>
        <w:tab/>
      </w:r>
    </w:p>
    <w:p w:rsidR="008C5128" w:rsidRDefault="008C5128" w:rsidP="001758BC">
      <w:pPr>
        <w:rPr>
          <w:sz w:val="22"/>
          <w:szCs w:val="22"/>
        </w:rPr>
      </w:pPr>
      <w:r>
        <w:rPr>
          <w:sz w:val="22"/>
          <w:szCs w:val="22"/>
        </w:rPr>
        <w:t>John D. Poutasse</w:t>
      </w:r>
    </w:p>
    <w:p w:rsidR="008C5128" w:rsidRDefault="008C5128" w:rsidP="001758BC">
      <w:pPr>
        <w:rPr>
          <w:sz w:val="22"/>
          <w:szCs w:val="22"/>
        </w:rPr>
      </w:pPr>
      <w:r>
        <w:rPr>
          <w:sz w:val="22"/>
          <w:szCs w:val="22"/>
        </w:rPr>
        <w:t>Chief, Spectrum Enforcement Division</w:t>
      </w:r>
    </w:p>
    <w:p w:rsidR="008C5128" w:rsidRDefault="008C5128" w:rsidP="001758BC">
      <w:pPr>
        <w:jc w:val="both"/>
        <w:rPr>
          <w:sz w:val="22"/>
          <w:szCs w:val="22"/>
        </w:rPr>
      </w:pPr>
      <w:r>
        <w:rPr>
          <w:sz w:val="22"/>
          <w:szCs w:val="22"/>
        </w:rPr>
        <w:t>Enforcement Bureau</w:t>
      </w:r>
    </w:p>
    <w:p w:rsidR="008C5128" w:rsidRDefault="008C5128" w:rsidP="00DD5AFF">
      <w:pPr>
        <w:jc w:val="both"/>
        <w:rPr>
          <w:sz w:val="22"/>
          <w:szCs w:val="22"/>
        </w:rPr>
      </w:pPr>
    </w:p>
    <w:p w:rsidR="008C5128" w:rsidRDefault="008C5128" w:rsidP="00DD5AFF">
      <w:pPr>
        <w:jc w:val="both"/>
        <w:rPr>
          <w:sz w:val="22"/>
          <w:szCs w:val="22"/>
        </w:rPr>
      </w:pPr>
    </w:p>
    <w:p w:rsidR="008C5128" w:rsidRPr="00927D50" w:rsidRDefault="008C5128" w:rsidP="00DD5AFF">
      <w:pPr>
        <w:jc w:val="both"/>
        <w:rPr>
          <w:sz w:val="22"/>
          <w:szCs w:val="22"/>
        </w:rPr>
      </w:pPr>
      <w:r w:rsidRPr="00927D50">
        <w:rPr>
          <w:sz w:val="22"/>
          <w:szCs w:val="22"/>
        </w:rPr>
        <w:t>_____________________________</w:t>
      </w:r>
    </w:p>
    <w:p w:rsidR="008C5128" w:rsidRPr="00927D50" w:rsidRDefault="008C5128" w:rsidP="00DD5AFF">
      <w:pPr>
        <w:jc w:val="both"/>
        <w:rPr>
          <w:sz w:val="22"/>
          <w:szCs w:val="22"/>
        </w:rPr>
      </w:pPr>
      <w:r w:rsidRPr="00927D50">
        <w:rPr>
          <w:sz w:val="22"/>
          <w:szCs w:val="22"/>
        </w:rPr>
        <w:t>D</w:t>
      </w:r>
      <w:r>
        <w:rPr>
          <w:sz w:val="22"/>
          <w:szCs w:val="22"/>
        </w:rPr>
        <w:t>ate</w:t>
      </w:r>
    </w:p>
    <w:p w:rsidR="008C5128" w:rsidRPr="00927D50" w:rsidRDefault="008C5128" w:rsidP="00DD5AFF">
      <w:pPr>
        <w:jc w:val="both"/>
        <w:rPr>
          <w:sz w:val="22"/>
          <w:szCs w:val="22"/>
        </w:rPr>
      </w:pPr>
    </w:p>
    <w:p w:rsidR="008C5128" w:rsidRPr="00927D50" w:rsidRDefault="008C5128" w:rsidP="00DD5AFF">
      <w:pPr>
        <w:jc w:val="both"/>
        <w:rPr>
          <w:sz w:val="22"/>
          <w:szCs w:val="22"/>
        </w:rPr>
      </w:pPr>
    </w:p>
    <w:p w:rsidR="008C5128" w:rsidRDefault="008C5128" w:rsidP="00DD5AFF">
      <w:pPr>
        <w:jc w:val="both"/>
        <w:rPr>
          <w:sz w:val="22"/>
          <w:szCs w:val="22"/>
        </w:rPr>
      </w:pPr>
    </w:p>
    <w:p w:rsidR="008C5128" w:rsidRPr="00927D50" w:rsidRDefault="008C5128" w:rsidP="00DD5AFF">
      <w:pPr>
        <w:jc w:val="both"/>
        <w:rPr>
          <w:sz w:val="22"/>
          <w:szCs w:val="22"/>
        </w:rPr>
      </w:pPr>
      <w:r w:rsidRPr="00927D50">
        <w:rPr>
          <w:sz w:val="22"/>
          <w:szCs w:val="22"/>
        </w:rPr>
        <w:t>__________________________________</w:t>
      </w:r>
      <w:r w:rsidRPr="00927D50">
        <w:rPr>
          <w:sz w:val="22"/>
          <w:szCs w:val="22"/>
        </w:rPr>
        <w:tab/>
      </w:r>
    </w:p>
    <w:p w:rsidR="008C5128" w:rsidRDefault="00791604" w:rsidP="005E1525">
      <w:pPr>
        <w:jc w:val="both"/>
        <w:rPr>
          <w:sz w:val="22"/>
          <w:szCs w:val="22"/>
        </w:rPr>
      </w:pPr>
      <w:r>
        <w:t>Randy Schroeder</w:t>
      </w:r>
      <w:r w:rsidRPr="00927D50">
        <w:rPr>
          <w:sz w:val="22"/>
          <w:szCs w:val="22"/>
        </w:rPr>
        <w:t xml:space="preserve"> </w:t>
      </w:r>
      <w:r w:rsidR="008C5128" w:rsidRPr="00927D50">
        <w:rPr>
          <w:sz w:val="22"/>
          <w:szCs w:val="22"/>
        </w:rPr>
        <w:t xml:space="preserve"> </w:t>
      </w:r>
    </w:p>
    <w:p w:rsidR="008C5128" w:rsidRDefault="00791604" w:rsidP="005E1525">
      <w:pPr>
        <w:jc w:val="both"/>
        <w:rPr>
          <w:sz w:val="22"/>
          <w:szCs w:val="22"/>
        </w:rPr>
      </w:pPr>
      <w:r>
        <w:rPr>
          <w:sz w:val="22"/>
          <w:szCs w:val="22"/>
        </w:rPr>
        <w:t>Chairman of the Board</w:t>
      </w:r>
    </w:p>
    <w:p w:rsidR="008C5128" w:rsidRDefault="008C5128" w:rsidP="005E1525">
      <w:pPr>
        <w:jc w:val="both"/>
        <w:rPr>
          <w:sz w:val="22"/>
          <w:szCs w:val="22"/>
        </w:rPr>
      </w:pPr>
      <w:r>
        <w:rPr>
          <w:sz w:val="22"/>
          <w:szCs w:val="22"/>
        </w:rPr>
        <w:t>KSBJ Educational Foundation, Inc.</w:t>
      </w:r>
    </w:p>
    <w:p w:rsidR="008C5128" w:rsidRDefault="008C5128" w:rsidP="005E1525">
      <w:pPr>
        <w:jc w:val="both"/>
        <w:rPr>
          <w:sz w:val="22"/>
          <w:szCs w:val="22"/>
        </w:rPr>
      </w:pPr>
    </w:p>
    <w:p w:rsidR="008C5128" w:rsidRDefault="008C5128" w:rsidP="005E1525">
      <w:pPr>
        <w:jc w:val="both"/>
        <w:rPr>
          <w:sz w:val="22"/>
          <w:szCs w:val="22"/>
        </w:rPr>
      </w:pPr>
    </w:p>
    <w:p w:rsidR="008C5128" w:rsidRPr="00927D50" w:rsidRDefault="008C5128" w:rsidP="00931943">
      <w:pPr>
        <w:jc w:val="both"/>
        <w:rPr>
          <w:sz w:val="22"/>
          <w:szCs w:val="22"/>
        </w:rPr>
      </w:pPr>
      <w:r w:rsidRPr="00927D50">
        <w:rPr>
          <w:sz w:val="22"/>
          <w:szCs w:val="22"/>
        </w:rPr>
        <w:t xml:space="preserve"> _____________________________</w:t>
      </w:r>
    </w:p>
    <w:p w:rsidR="008C5128" w:rsidRPr="00927D50" w:rsidRDefault="008C5128" w:rsidP="005E1525">
      <w:pPr>
        <w:jc w:val="both"/>
        <w:rPr>
          <w:sz w:val="22"/>
          <w:szCs w:val="22"/>
        </w:rPr>
      </w:pPr>
      <w:r>
        <w:rPr>
          <w:sz w:val="22"/>
          <w:szCs w:val="22"/>
        </w:rPr>
        <w:t>Date</w:t>
      </w:r>
    </w:p>
    <w:p w:rsidR="008C5128" w:rsidRPr="00927D50" w:rsidRDefault="008C5128" w:rsidP="00184469">
      <w:pPr>
        <w:ind w:left="360"/>
        <w:jc w:val="both"/>
        <w:rPr>
          <w:b/>
          <w:sz w:val="22"/>
          <w:szCs w:val="22"/>
          <w:u w:val="single"/>
        </w:rPr>
      </w:pPr>
    </w:p>
    <w:sectPr w:rsidR="008C5128" w:rsidRPr="00927D50" w:rsidSect="00A23687">
      <w:footnotePr>
        <w:numRestart w:val="eachSect"/>
      </w:footnotePr>
      <w:pgSz w:w="12240" w:h="15840" w:code="1"/>
      <w:pgMar w:top="1440" w:right="1440" w:bottom="1008" w:left="144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C0" w:rsidRDefault="001F42C0">
      <w:r>
        <w:separator/>
      </w:r>
    </w:p>
  </w:endnote>
  <w:endnote w:type="continuationSeparator" w:id="0">
    <w:p w:rsidR="001F42C0" w:rsidRDefault="001F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8" w:rsidRDefault="008C5128" w:rsidP="000771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128" w:rsidRDefault="008C5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8" w:rsidRPr="00556D77" w:rsidRDefault="008C5128" w:rsidP="00077185">
    <w:pPr>
      <w:pStyle w:val="Footer"/>
      <w:framePr w:wrap="around" w:vAnchor="text" w:hAnchor="margin" w:xAlign="center" w:y="1"/>
      <w:rPr>
        <w:rStyle w:val="PageNumber"/>
        <w:sz w:val="20"/>
        <w:szCs w:val="20"/>
      </w:rPr>
    </w:pPr>
    <w:r w:rsidRPr="00556D77">
      <w:rPr>
        <w:rStyle w:val="PageNumber"/>
        <w:sz w:val="20"/>
        <w:szCs w:val="20"/>
      </w:rPr>
      <w:fldChar w:fldCharType="begin"/>
    </w:r>
    <w:r w:rsidRPr="00556D77">
      <w:rPr>
        <w:rStyle w:val="PageNumber"/>
        <w:sz w:val="20"/>
        <w:szCs w:val="20"/>
      </w:rPr>
      <w:instrText xml:space="preserve">PAGE  </w:instrText>
    </w:r>
    <w:r w:rsidRPr="00556D77">
      <w:rPr>
        <w:rStyle w:val="PageNumber"/>
        <w:sz w:val="20"/>
        <w:szCs w:val="20"/>
      </w:rPr>
      <w:fldChar w:fldCharType="separate"/>
    </w:r>
    <w:r w:rsidR="004F38FD">
      <w:rPr>
        <w:rStyle w:val="PageNumber"/>
        <w:noProof/>
        <w:sz w:val="20"/>
        <w:szCs w:val="20"/>
      </w:rPr>
      <w:t>2</w:t>
    </w:r>
    <w:r w:rsidRPr="00556D77">
      <w:rPr>
        <w:rStyle w:val="PageNumber"/>
        <w:sz w:val="20"/>
        <w:szCs w:val="20"/>
      </w:rPr>
      <w:fldChar w:fldCharType="end"/>
    </w:r>
  </w:p>
  <w:p w:rsidR="008C5128" w:rsidRDefault="008C5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FD" w:rsidRDefault="004F3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C0" w:rsidRDefault="001F42C0">
      <w:r>
        <w:separator/>
      </w:r>
    </w:p>
  </w:footnote>
  <w:footnote w:type="continuationSeparator" w:id="0">
    <w:p w:rsidR="001F42C0" w:rsidRDefault="001F42C0">
      <w:r>
        <w:continuationSeparator/>
      </w:r>
    </w:p>
  </w:footnote>
  <w:footnote w:id="1">
    <w:p w:rsidR="006245FA" w:rsidRDefault="006245FA" w:rsidP="006245FA">
      <w:pPr>
        <w:pStyle w:val="FootnoteText"/>
        <w:tabs>
          <w:tab w:val="left" w:pos="0"/>
        </w:tabs>
      </w:pPr>
      <w:r w:rsidRPr="00AC36C1">
        <w:rPr>
          <w:rStyle w:val="FootnoteReference"/>
        </w:rPr>
        <w:footnoteRef/>
      </w:r>
      <w:r w:rsidRPr="00AC36C1">
        <w:t xml:space="preserve"> 47 U.S.C. § 301.</w:t>
      </w:r>
    </w:p>
  </w:footnote>
  <w:footnote w:id="2">
    <w:p w:rsidR="006245FA" w:rsidRDefault="006245FA" w:rsidP="006245FA">
      <w:pPr>
        <w:pStyle w:val="FootnoteText"/>
        <w:tabs>
          <w:tab w:val="left" w:pos="0"/>
        </w:tabs>
      </w:pPr>
      <w:r w:rsidRPr="00AC36C1">
        <w:rPr>
          <w:rStyle w:val="FootnoteReference"/>
        </w:rPr>
        <w:footnoteRef/>
      </w:r>
      <w:r w:rsidRPr="00AC36C1">
        <w:t xml:space="preserve"> 47 C.F.R. §§ 25.102(a), 25.121(e).</w:t>
      </w:r>
    </w:p>
  </w:footnote>
  <w:footnote w:id="3">
    <w:p w:rsidR="006245FA" w:rsidRDefault="006245FA" w:rsidP="006245FA">
      <w:pPr>
        <w:pStyle w:val="FootnoteText"/>
      </w:pPr>
      <w:r w:rsidRPr="00FB541E">
        <w:rPr>
          <w:rStyle w:val="FootnoteReference"/>
        </w:rPr>
        <w:footnoteRef/>
      </w:r>
      <w:r w:rsidRPr="00FB541E">
        <w:t xml:space="preserve"> 47 U.S.C. §§ 154(i), 154(j), 503(b).</w:t>
      </w:r>
    </w:p>
  </w:footnote>
  <w:footnote w:id="4">
    <w:p w:rsidR="006245FA" w:rsidRDefault="006245FA" w:rsidP="006245FA">
      <w:pPr>
        <w:pStyle w:val="FootnoteText"/>
      </w:pPr>
      <w:r w:rsidRPr="00FB541E">
        <w:rPr>
          <w:rStyle w:val="FootnoteReference"/>
        </w:rPr>
        <w:footnoteRef/>
      </w:r>
      <w:r w:rsidRPr="00A23687">
        <w:rPr>
          <w:lang w:val="es-ES"/>
        </w:rPr>
        <w:t xml:space="preserve"> 47 C.F.R. §§ 0.111, 0.311.</w:t>
      </w:r>
    </w:p>
  </w:footnote>
  <w:footnote w:id="5">
    <w:p w:rsidR="008C5128" w:rsidRDefault="008C5128">
      <w:pPr>
        <w:pStyle w:val="FootnoteText"/>
      </w:pPr>
      <w:r>
        <w:rPr>
          <w:rStyle w:val="FootnoteReference"/>
        </w:rPr>
        <w:footnoteRef/>
      </w:r>
      <w:r w:rsidRPr="00A23687">
        <w:rPr>
          <w:lang w:val="es-ES"/>
        </w:rPr>
        <w:t xml:space="preserve"> 47 U.S.C. § 301.</w:t>
      </w:r>
    </w:p>
  </w:footnote>
  <w:footnote w:id="6">
    <w:p w:rsidR="008C5128" w:rsidRDefault="008C5128">
      <w:pPr>
        <w:pStyle w:val="FootnoteText"/>
      </w:pPr>
      <w:r>
        <w:rPr>
          <w:rStyle w:val="FootnoteReference"/>
        </w:rPr>
        <w:footnoteRef/>
      </w:r>
      <w:r w:rsidRPr="00A23687">
        <w:rPr>
          <w:lang w:val="es-ES"/>
        </w:rPr>
        <w:t xml:space="preserve"> 47 C.F.R. §§ 25.102(a), 25.121(e).</w:t>
      </w:r>
    </w:p>
  </w:footnote>
  <w:footnote w:id="7">
    <w:p w:rsidR="008C5128" w:rsidRDefault="008C5128" w:rsidP="008763D2">
      <w:pPr>
        <w:pStyle w:val="FootnoteText"/>
      </w:pPr>
      <w:r w:rsidRPr="00371CF9">
        <w:rPr>
          <w:rStyle w:val="FootnoteReference"/>
        </w:rPr>
        <w:footnoteRef/>
      </w:r>
      <w:r w:rsidRPr="00371CF9">
        <w:t xml:space="preserve"> </w:t>
      </w:r>
      <w:r w:rsidRPr="00371CF9">
        <w:rPr>
          <w:i/>
        </w:rPr>
        <w:t>See</w:t>
      </w:r>
      <w:r w:rsidRPr="00371CF9">
        <w:t xml:space="preserve"> Letter from </w:t>
      </w:r>
      <w:r>
        <w:t>John D. Poutasse</w:t>
      </w:r>
      <w:r w:rsidRPr="00371CF9">
        <w:t>,</w:t>
      </w:r>
      <w:r>
        <w:t xml:space="preserve"> </w:t>
      </w:r>
      <w:r w:rsidRPr="00371CF9">
        <w:t>Chief, Spectrum Enforcement Division, FCC Enforcement Bureau, to</w:t>
      </w:r>
      <w:r>
        <w:t xml:space="preserve"> Mark Wanner</w:t>
      </w:r>
      <w:r w:rsidRPr="00371CF9">
        <w:t xml:space="preserve">, </w:t>
      </w:r>
      <w:r>
        <w:t>Senior Director of Planning and Technology, KSBJ Educational Foundation</w:t>
      </w:r>
      <w:r w:rsidRPr="00371CF9">
        <w:t xml:space="preserve"> (</w:t>
      </w:r>
      <w:r>
        <w:t>May 31</w:t>
      </w:r>
      <w:r w:rsidRPr="00371CF9">
        <w:t>, 20</w:t>
      </w:r>
      <w:r>
        <w:t>12</w:t>
      </w:r>
      <w:r w:rsidRPr="00371CF9">
        <w:t>) (on file in EB-</w:t>
      </w:r>
      <w:r w:rsidRPr="00556D77">
        <w:rPr>
          <w:spacing w:val="-2"/>
        </w:rPr>
        <w:t>SED-12-00000691</w:t>
      </w:r>
      <w:r w:rsidRPr="00371CF9">
        <w:t>).</w:t>
      </w:r>
    </w:p>
  </w:footnote>
  <w:footnote w:id="8">
    <w:p w:rsidR="008C5128" w:rsidRDefault="008C5128" w:rsidP="008763D2">
      <w:pPr>
        <w:pStyle w:val="FootnoteText"/>
      </w:pPr>
      <w:r w:rsidRPr="00371CF9">
        <w:rPr>
          <w:rStyle w:val="FootnoteReference"/>
        </w:rPr>
        <w:footnoteRef/>
      </w:r>
      <w:r w:rsidRPr="00556D77">
        <w:rPr>
          <w:lang w:val="es-ES"/>
        </w:rPr>
        <w:t xml:space="preserve"> 47 U.S.C. § 301; 47 C.F.R. §§ 25.102(a), 25.</w:t>
      </w:r>
      <w:r>
        <w:rPr>
          <w:lang w:val="es-ES"/>
        </w:rPr>
        <w:t>121</w:t>
      </w:r>
      <w:r w:rsidRPr="00556D77">
        <w:rPr>
          <w:lang w:val="es-ES"/>
        </w:rPr>
        <w:t>(e).</w:t>
      </w:r>
    </w:p>
  </w:footnote>
  <w:footnote w:id="9">
    <w:p w:rsidR="008C5128" w:rsidRDefault="008C5128">
      <w:pPr>
        <w:pStyle w:val="FootnoteText"/>
      </w:pPr>
      <w:r>
        <w:rPr>
          <w:rStyle w:val="FootnoteReference"/>
        </w:rPr>
        <w:footnoteRef/>
      </w:r>
      <w:r w:rsidRPr="006C21EC">
        <w:rPr>
          <w:lang w:val="es-ES"/>
        </w:rPr>
        <w:t xml:space="preserve"> 47 U.S.C. § 301; 47 C.F.R. § 25.102(a).  </w:t>
      </w:r>
    </w:p>
  </w:footnote>
  <w:footnote w:id="10">
    <w:p w:rsidR="008C5128" w:rsidRDefault="008C5128">
      <w:pPr>
        <w:pStyle w:val="FootnoteText"/>
      </w:pPr>
      <w:r>
        <w:rPr>
          <w:rStyle w:val="FootnoteReference"/>
        </w:rPr>
        <w:footnoteRef/>
      </w:r>
      <w:r w:rsidRPr="006C21EC">
        <w:rPr>
          <w:lang w:val="es-ES"/>
        </w:rPr>
        <w:t xml:space="preserve"> 47 C.F.R. § 25.</w:t>
      </w:r>
      <w:r>
        <w:rPr>
          <w:lang w:val="es-ES"/>
        </w:rPr>
        <w:t>121</w:t>
      </w:r>
      <w:r w:rsidRPr="006C21EC">
        <w:rPr>
          <w:lang w:val="es-ES"/>
        </w:rPr>
        <w:t xml:space="preserve">(e).  </w:t>
      </w:r>
    </w:p>
  </w:footnote>
  <w:footnote w:id="11">
    <w:p w:rsidR="008C5128" w:rsidRDefault="008C5128">
      <w:pPr>
        <w:pStyle w:val="FootnoteText"/>
      </w:pPr>
      <w:r>
        <w:rPr>
          <w:rStyle w:val="FootnoteReference"/>
        </w:rPr>
        <w:footnoteRef/>
      </w:r>
      <w:r>
        <w:t xml:space="preserve"> 47 C.F.R. § 25.161(b).  </w:t>
      </w:r>
    </w:p>
  </w:footnote>
  <w:footnote w:id="12">
    <w:p w:rsidR="008C5128" w:rsidRDefault="008C5128">
      <w:pPr>
        <w:pStyle w:val="FootnoteText"/>
      </w:pPr>
      <w:r>
        <w:rPr>
          <w:rStyle w:val="FootnoteReference"/>
        </w:rPr>
        <w:footnoteRef/>
      </w:r>
      <w:r>
        <w:t xml:space="preserve"> </w:t>
      </w:r>
      <w:r>
        <w:rPr>
          <w:i/>
        </w:rPr>
        <w:t xml:space="preserve">See </w:t>
      </w:r>
      <w:r>
        <w:t xml:space="preserve">File No. </w:t>
      </w:r>
      <w:r w:rsidRPr="00824F57">
        <w:t>SES-LIC-19940421-01478</w:t>
      </w:r>
      <w:r>
        <w:t>.</w:t>
      </w:r>
    </w:p>
  </w:footnote>
  <w:footnote w:id="13">
    <w:p w:rsidR="008C5128" w:rsidRDefault="008C5128">
      <w:pPr>
        <w:pStyle w:val="FootnoteText"/>
      </w:pPr>
      <w:r>
        <w:rPr>
          <w:rStyle w:val="FootnoteReference"/>
        </w:rPr>
        <w:footnoteRef/>
      </w:r>
      <w:r>
        <w:t xml:space="preserve"> </w:t>
      </w:r>
      <w:r>
        <w:rPr>
          <w:i/>
        </w:rPr>
        <w:t xml:space="preserve">See </w:t>
      </w:r>
      <w:r>
        <w:t xml:space="preserve">File No. </w:t>
      </w:r>
      <w:r w:rsidRPr="00824F57">
        <w:t>SES-STA-20110913-01082</w:t>
      </w:r>
      <w:r>
        <w:t xml:space="preserve">.  </w:t>
      </w:r>
    </w:p>
  </w:footnote>
  <w:footnote w:id="14">
    <w:p w:rsidR="008C5128" w:rsidRDefault="008C5128">
      <w:pPr>
        <w:pStyle w:val="FootnoteText"/>
      </w:pPr>
      <w:r>
        <w:rPr>
          <w:rStyle w:val="FootnoteReference"/>
        </w:rPr>
        <w:footnoteRef/>
      </w:r>
      <w:r>
        <w:t xml:space="preserve"> </w:t>
      </w:r>
      <w:r>
        <w:rPr>
          <w:i/>
        </w:rPr>
        <w:t xml:space="preserve">See </w:t>
      </w:r>
      <w:r>
        <w:t xml:space="preserve">Letter from Paul E. Blais, Chief, Systems Analysis Branch, Satellite Division, FCC International Bureau (Jan. 18, 2012).  </w:t>
      </w:r>
    </w:p>
  </w:footnote>
  <w:footnote w:id="15">
    <w:p w:rsidR="008C5128" w:rsidRDefault="008C5128">
      <w:pPr>
        <w:pStyle w:val="FootnoteText"/>
      </w:pPr>
      <w:r>
        <w:rPr>
          <w:rStyle w:val="FootnoteReference"/>
        </w:rPr>
        <w:footnoteRef/>
      </w:r>
      <w:r>
        <w:t xml:space="preserve"> </w:t>
      </w:r>
      <w:r>
        <w:rPr>
          <w:i/>
        </w:rPr>
        <w:t xml:space="preserve">See </w:t>
      </w:r>
      <w:r>
        <w:t xml:space="preserve">File No. </w:t>
      </w:r>
      <w:r w:rsidRPr="002A1DE9">
        <w:t>SES-STA-20120120-00080</w:t>
      </w:r>
      <w:r>
        <w:t xml:space="preserve">.  </w:t>
      </w:r>
      <w:r w:rsidRPr="00340A13">
        <w:t xml:space="preserve">On February 28, 2012, KSBJ filed an application for a new earth station license, which was granted on May 1, 2012 under call sign </w:t>
      </w:r>
      <w:r w:rsidRPr="00BD7FB4">
        <w:t>E12004</w:t>
      </w:r>
      <w:r>
        <w:t>2</w:t>
      </w:r>
      <w:r w:rsidRPr="00340A13">
        <w:t>.</w:t>
      </w:r>
      <w:r>
        <w:t xml:space="preserve">  </w:t>
      </w:r>
      <w:r w:rsidRPr="00B706CA">
        <w:rPr>
          <w:i/>
        </w:rPr>
        <w:t>See</w:t>
      </w:r>
      <w:r>
        <w:t xml:space="preserve"> File No. </w:t>
      </w:r>
      <w:r w:rsidRPr="007B36CB">
        <w:t>SES-LIC-</w:t>
      </w:r>
      <w:r>
        <w:t>20120228</w:t>
      </w:r>
      <w:r w:rsidRPr="007B36CB">
        <w:t>-</w:t>
      </w:r>
      <w:r>
        <w:t>00221.</w:t>
      </w:r>
    </w:p>
  </w:footnote>
  <w:footnote w:id="16">
    <w:p w:rsidR="008C5128" w:rsidRDefault="008C5128" w:rsidP="008763D2">
      <w:pPr>
        <w:pStyle w:val="FootnoteText"/>
      </w:pPr>
      <w:r w:rsidRPr="0040242C">
        <w:rPr>
          <w:rStyle w:val="FootnoteReference"/>
        </w:rPr>
        <w:footnoteRef/>
      </w:r>
      <w:r w:rsidRPr="0040242C">
        <w:rPr>
          <w:i/>
        </w:rPr>
        <w:t xml:space="preserve"> See</w:t>
      </w:r>
      <w:r w:rsidRPr="0040242C">
        <w:t xml:space="preserve"> </w:t>
      </w:r>
      <w:r>
        <w:rPr>
          <w:i/>
        </w:rPr>
        <w:t xml:space="preserve">supra </w:t>
      </w:r>
      <w:r>
        <w:t xml:space="preserve">note 3. </w:t>
      </w:r>
    </w:p>
  </w:footnote>
  <w:footnote w:id="17">
    <w:p w:rsidR="008C5128" w:rsidRDefault="008C5128" w:rsidP="008763D2">
      <w:pPr>
        <w:pStyle w:val="FootnoteText"/>
        <w:tabs>
          <w:tab w:val="left" w:pos="0"/>
        </w:tabs>
      </w:pPr>
      <w:r w:rsidRPr="0040242C">
        <w:rPr>
          <w:rStyle w:val="FootnoteReference"/>
        </w:rPr>
        <w:footnoteRef/>
      </w:r>
      <w:r w:rsidRPr="0040242C">
        <w:t xml:space="preserve"> </w:t>
      </w:r>
      <w:r w:rsidRPr="0040242C">
        <w:rPr>
          <w:i/>
        </w:rPr>
        <w:t xml:space="preserve">See </w:t>
      </w:r>
      <w:r w:rsidRPr="0040242C">
        <w:t xml:space="preserve">Letter from </w:t>
      </w:r>
      <w:r>
        <w:t>A. Wray Fitch</w:t>
      </w:r>
      <w:r w:rsidRPr="0040242C">
        <w:t xml:space="preserve">, </w:t>
      </w:r>
      <w:r>
        <w:t xml:space="preserve">Esq., Gammon &amp; Grange, P.C., </w:t>
      </w:r>
      <w:r w:rsidRPr="0040242C">
        <w:t xml:space="preserve">Counsel for </w:t>
      </w:r>
      <w:r>
        <w:t>KSBJ Educational Foundation</w:t>
      </w:r>
      <w:r w:rsidRPr="0040242C">
        <w:t xml:space="preserve">, </w:t>
      </w:r>
      <w:r>
        <w:t xml:space="preserve">Inc., </w:t>
      </w:r>
      <w:r w:rsidRPr="0040242C">
        <w:t>to Marlene H. Dortch, Secretary, Federal Communications Commission (</w:t>
      </w:r>
      <w:r>
        <w:t>June 25</w:t>
      </w:r>
      <w:r w:rsidRPr="0040242C">
        <w:t>, 201</w:t>
      </w:r>
      <w:r>
        <w:t>2</w:t>
      </w:r>
      <w:r w:rsidRPr="0040242C">
        <w:t xml:space="preserve">) </w:t>
      </w:r>
      <w:r>
        <w:t xml:space="preserve">(on file in EB-SED-12-00000691) </w:t>
      </w:r>
      <w:r w:rsidRPr="0040242C">
        <w:t xml:space="preserve">(LOI Response). </w:t>
      </w:r>
    </w:p>
  </w:footnote>
  <w:footnote w:id="18">
    <w:p w:rsidR="008C5128" w:rsidRDefault="008C5128" w:rsidP="00F57D69">
      <w:pPr>
        <w:pStyle w:val="FootnoteText"/>
      </w:pPr>
      <w:r>
        <w:rPr>
          <w:rStyle w:val="FootnoteReference"/>
        </w:rPr>
        <w:footnoteRef/>
      </w:r>
      <w:r>
        <w:t xml:space="preserve"> </w:t>
      </w:r>
      <w:r>
        <w:rPr>
          <w:i/>
        </w:rPr>
        <w:t>See</w:t>
      </w:r>
      <w:r>
        <w:t xml:space="preserve"> </w:t>
      </w:r>
      <w:r w:rsidRPr="000B5FE0">
        <w:rPr>
          <w:i/>
        </w:rPr>
        <w:t>id.</w:t>
      </w:r>
      <w:r>
        <w:t xml:space="preserve"> at 2–3.</w:t>
      </w:r>
    </w:p>
  </w:footnote>
  <w:footnote w:id="19">
    <w:p w:rsidR="00D13956" w:rsidRPr="00D13956" w:rsidRDefault="00D13956">
      <w:pPr>
        <w:pStyle w:val="FootnoteText"/>
      </w:pPr>
      <w:r>
        <w:rPr>
          <w:rStyle w:val="FootnoteReference"/>
        </w:rPr>
        <w:footnoteRef/>
      </w:r>
      <w:r>
        <w:t xml:space="preserve"> </w:t>
      </w:r>
      <w:r>
        <w:rPr>
          <w:i/>
        </w:rPr>
        <w:t xml:space="preserve">See id. </w:t>
      </w:r>
      <w:r>
        <w:t>at 3.</w:t>
      </w:r>
    </w:p>
  </w:footnote>
  <w:footnote w:id="20">
    <w:p w:rsidR="008C5128" w:rsidRDefault="008C5128">
      <w:pPr>
        <w:pStyle w:val="FootnoteText"/>
      </w:pPr>
      <w:r>
        <w:rPr>
          <w:rStyle w:val="FootnoteReference"/>
        </w:rPr>
        <w:footnoteRef/>
      </w:r>
      <w:r>
        <w:t xml:space="preserve"> </w:t>
      </w:r>
      <w:r>
        <w:rPr>
          <w:i/>
        </w:rPr>
        <w:t>See, e.g.,</w:t>
      </w:r>
      <w:r w:rsidRPr="00EB6791">
        <w:t xml:space="preserve"> </w:t>
      </w:r>
      <w:r w:rsidRPr="0040242C">
        <w:t>Tolling Agreement</w:t>
      </w:r>
      <w:r>
        <w:t xml:space="preserve"> Extension</w:t>
      </w:r>
      <w:r w:rsidRPr="0040242C">
        <w:t>, File No. EB-</w:t>
      </w:r>
      <w:r>
        <w:t>SED-12</w:t>
      </w:r>
      <w:r w:rsidRPr="0040242C">
        <w:t>-0</w:t>
      </w:r>
      <w:r>
        <w:t>0000691</w:t>
      </w:r>
      <w:r w:rsidRPr="0040242C">
        <w:t>, executed by and between John D. Poutasse, Chief, Spectrum Enforcement Division,</w:t>
      </w:r>
      <w:r>
        <w:t xml:space="preserve"> FCC</w:t>
      </w:r>
      <w:r w:rsidRPr="0040242C">
        <w:t xml:space="preserve"> </w:t>
      </w:r>
      <w:r w:rsidRPr="00556D77">
        <w:t>Enforcement Bureau, and A.Wray Fitch III</w:t>
      </w:r>
      <w:r>
        <w:t>,</w:t>
      </w:r>
      <w:r w:rsidRPr="00556D77">
        <w:t xml:space="preserve"> Esq., </w:t>
      </w:r>
      <w:r>
        <w:t xml:space="preserve">Gammon &amp; Grange, P.C., </w:t>
      </w:r>
      <w:r w:rsidRPr="00556D77">
        <w:t>Counsel for</w:t>
      </w:r>
      <w:r w:rsidRPr="00034375">
        <w:t xml:space="preserve"> KSBJ</w:t>
      </w:r>
      <w:r>
        <w:t xml:space="preserve"> Educational Foundation</w:t>
      </w:r>
      <w:r w:rsidRPr="0040242C">
        <w:t xml:space="preserve"> (</w:t>
      </w:r>
      <w:r>
        <w:t>Sept. 20</w:t>
      </w:r>
      <w:r w:rsidRPr="0040242C">
        <w:t>, 201</w:t>
      </w:r>
      <w:r>
        <w:t>3</w:t>
      </w:r>
      <w:r w:rsidRPr="0040242C">
        <w:t>)</w:t>
      </w:r>
      <w:r>
        <w:t xml:space="preserve"> (on file in EB-SED-12-00000691)</w:t>
      </w:r>
      <w:r w:rsidRPr="0040242C">
        <w:t>.</w:t>
      </w:r>
    </w:p>
  </w:footnote>
  <w:footnote w:id="21">
    <w:p w:rsidR="008C5128" w:rsidRDefault="008C5128" w:rsidP="00C77F5A">
      <w:pPr>
        <w:pStyle w:val="FootnoteText"/>
      </w:pPr>
      <w:r w:rsidRPr="0040242C">
        <w:rPr>
          <w:rStyle w:val="FootnoteReference"/>
        </w:rPr>
        <w:footnoteRef/>
      </w:r>
      <w:r w:rsidRPr="0040242C">
        <w:t xml:space="preserve"> </w:t>
      </w:r>
      <w:r w:rsidRPr="0040242C">
        <w:rPr>
          <w:rFonts w:eastAsia="MS Mincho" w:cs="Arial"/>
        </w:rPr>
        <w:t>An FCC Form 159 and detailed instructions for completing the form may be obtained at http://www.fcc.gov/Forms/Form159/159.pdf.</w:t>
      </w:r>
    </w:p>
  </w:footnote>
  <w:footnote w:id="22">
    <w:p w:rsidR="008C5128" w:rsidRDefault="008C5128" w:rsidP="006B3D90">
      <w:pPr>
        <w:pStyle w:val="FootnoteText"/>
      </w:pPr>
      <w:r>
        <w:rPr>
          <w:rStyle w:val="FootnoteReference"/>
        </w:rPr>
        <w:footnoteRef/>
      </w:r>
      <w:r>
        <w:t xml:space="preserve"> </w:t>
      </w:r>
      <w:r w:rsidRPr="00D5405B">
        <w:t xml:space="preserve">Equal Access to Justice Act, Pub L. No. 96-481, 94 Stat. 2325 (1980) (codified at 5 U.S.C. § 504); </w:t>
      </w:r>
      <w:r w:rsidRPr="00D5405B">
        <w:rPr>
          <w:i/>
        </w:rPr>
        <w:t>see also</w:t>
      </w:r>
      <w:r w:rsidRPr="00D5405B">
        <w:t xml:space="preserve"> 47 C.F.R. §§ 1.1501-1.1530.</w:t>
      </w:r>
    </w:p>
    <w:p w:rsidR="008C5128" w:rsidRDefault="008C5128" w:rsidP="006B3D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FD" w:rsidRDefault="004F3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8" w:rsidRPr="00061CE5" w:rsidRDefault="008C5128">
    <w:pPr>
      <w:pStyle w:val="Header"/>
      <w:rPr>
        <w:b/>
      </w:rPr>
    </w:pPr>
    <w:r w:rsidRPr="00061CE5">
      <w:rPr>
        <w:b/>
        <w:sz w:val="22"/>
        <w:u w:val="single"/>
      </w:rPr>
      <w:tab/>
      <w:t>Federal Communications Commission</w:t>
    </w:r>
    <w:r w:rsidRPr="00061CE5">
      <w:rPr>
        <w:b/>
        <w:sz w:val="22"/>
        <w:u w:val="single"/>
      </w:rPr>
      <w:tab/>
      <w:t>DA 13-</w:t>
    </w:r>
    <w:r>
      <w:rPr>
        <w:b/>
        <w:sz w:val="22"/>
        <w:u w:val="single"/>
      </w:rPr>
      <w:t>2252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8" w:rsidRPr="00061CE5" w:rsidRDefault="008C5128" w:rsidP="00061CE5">
    <w:pPr>
      <w:pStyle w:val="Header"/>
      <w:ind w:left="-270"/>
      <w:rPr>
        <w:b/>
      </w:rPr>
    </w:pPr>
    <w:r>
      <w:rPr>
        <w:b/>
        <w:sz w:val="22"/>
        <w:u w:val="single"/>
      </w:rPr>
      <w:t xml:space="preserve">                                                         </w:t>
    </w:r>
    <w:r w:rsidRPr="00061CE5">
      <w:rPr>
        <w:b/>
        <w:sz w:val="22"/>
        <w:u w:val="single"/>
      </w:rPr>
      <w:t>Federal Communications Commission</w:t>
    </w:r>
    <w:r w:rsidRPr="00061CE5">
      <w:rPr>
        <w:b/>
        <w:sz w:val="22"/>
        <w:u w:val="single"/>
      </w:rPr>
      <w:tab/>
      <w:t>DA 13-</w:t>
    </w:r>
    <w:r>
      <w:rPr>
        <w:b/>
        <w:sz w:val="22"/>
        <w:u w:val="single"/>
      </w:rPr>
      <w:t>2252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6CE"/>
    <w:multiLevelType w:val="hybridMultilevel"/>
    <w:tmpl w:val="A00A0AD2"/>
    <w:lvl w:ilvl="0" w:tplc="B01A55D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6E43EA"/>
    <w:multiLevelType w:val="hybridMultilevel"/>
    <w:tmpl w:val="BAB40F4A"/>
    <w:lvl w:ilvl="0" w:tplc="8D42B7E8">
      <w:start w:val="1"/>
      <w:numFmt w:val="decimal"/>
      <w:lvlText w:val="%1."/>
      <w:lvlJc w:val="left"/>
      <w:pPr>
        <w:tabs>
          <w:tab w:val="num" w:pos="1440"/>
        </w:tabs>
        <w:ind w:firstLine="720"/>
      </w:pPr>
      <w:rPr>
        <w:rFonts w:cs="Times New Roman"/>
      </w:rPr>
    </w:lvl>
    <w:lvl w:ilvl="1" w:tplc="98102FAC">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61A6952"/>
    <w:multiLevelType w:val="hybridMultilevel"/>
    <w:tmpl w:val="C00404DE"/>
    <w:lvl w:ilvl="0" w:tplc="4ACAB992">
      <w:start w:val="2"/>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92071A"/>
    <w:multiLevelType w:val="hybridMultilevel"/>
    <w:tmpl w:val="ECC4CA28"/>
    <w:lvl w:ilvl="0" w:tplc="141A75BA">
      <w:start w:val="1"/>
      <w:numFmt w:val="low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83A1A20"/>
    <w:multiLevelType w:val="hybridMultilevel"/>
    <w:tmpl w:val="6FBAB426"/>
    <w:lvl w:ilvl="0" w:tplc="50AC3812">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F5C196C"/>
    <w:multiLevelType w:val="hybridMultilevel"/>
    <w:tmpl w:val="08749580"/>
    <w:lvl w:ilvl="0" w:tplc="7EF4BE4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8">
    <w:nsid w:val="628E1E95"/>
    <w:multiLevelType w:val="singleLevel"/>
    <w:tmpl w:val="86A03FCC"/>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9">
    <w:nsid w:val="6E6B5660"/>
    <w:multiLevelType w:val="hybridMultilevel"/>
    <w:tmpl w:val="3C529494"/>
    <w:lvl w:ilvl="0" w:tplc="3C80753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39F6116"/>
    <w:multiLevelType w:val="hybridMultilevel"/>
    <w:tmpl w:val="9448F572"/>
    <w:lvl w:ilvl="0" w:tplc="4F3E940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D754AA9"/>
    <w:multiLevelType w:val="hybridMultilevel"/>
    <w:tmpl w:val="90EAF08C"/>
    <w:lvl w:ilvl="0" w:tplc="EAC87B1A">
      <w:start w:val="4"/>
      <w:numFmt w:val="lowerLetter"/>
      <w:lvlText w:val="(%1)"/>
      <w:lvlJc w:val="left"/>
      <w:pPr>
        <w:tabs>
          <w:tab w:val="num" w:pos="2520"/>
        </w:tabs>
        <w:ind w:left="2520" w:hanging="360"/>
      </w:pPr>
      <w:rPr>
        <w:rFonts w:cs="Times New Roman" w:hint="default"/>
      </w:rPr>
    </w:lvl>
    <w:lvl w:ilvl="1" w:tplc="20DC0084" w:tentative="1">
      <w:start w:val="1"/>
      <w:numFmt w:val="lowerLetter"/>
      <w:lvlText w:val="%2."/>
      <w:lvlJc w:val="left"/>
      <w:pPr>
        <w:tabs>
          <w:tab w:val="num" w:pos="3240"/>
        </w:tabs>
        <w:ind w:left="3240" w:hanging="360"/>
      </w:pPr>
      <w:rPr>
        <w:rFonts w:cs="Times New Roman"/>
      </w:rPr>
    </w:lvl>
    <w:lvl w:ilvl="2" w:tplc="0CFA24E4"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0"/>
  </w:num>
  <w:num w:numId="2">
    <w:abstractNumId w:val="2"/>
  </w:num>
  <w:num w:numId="3">
    <w:abstractNumId w:val="3"/>
  </w:num>
  <w:num w:numId="4">
    <w:abstractNumId w:val="10"/>
  </w:num>
  <w:num w:numId="5">
    <w:abstractNumId w:val="6"/>
  </w:num>
  <w:num w:numId="6">
    <w:abstractNumId w:val="9"/>
  </w:num>
  <w:num w:numId="7">
    <w:abstractNumId w:val="11"/>
  </w:num>
  <w:num w:numId="8">
    <w:abstractNumId w:val="8"/>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8C"/>
    <w:rsid w:val="00000C97"/>
    <w:rsid w:val="00012CB8"/>
    <w:rsid w:val="000208B7"/>
    <w:rsid w:val="00034375"/>
    <w:rsid w:val="00041C52"/>
    <w:rsid w:val="00061CE5"/>
    <w:rsid w:val="00062DA2"/>
    <w:rsid w:val="00064F5B"/>
    <w:rsid w:val="00077185"/>
    <w:rsid w:val="000A5C3F"/>
    <w:rsid w:val="000B5FE0"/>
    <w:rsid w:val="000B684F"/>
    <w:rsid w:val="000E755D"/>
    <w:rsid w:val="00152930"/>
    <w:rsid w:val="0016753A"/>
    <w:rsid w:val="001727A0"/>
    <w:rsid w:val="001758BC"/>
    <w:rsid w:val="00175E90"/>
    <w:rsid w:val="00184469"/>
    <w:rsid w:val="0019678B"/>
    <w:rsid w:val="001A3215"/>
    <w:rsid w:val="001A3529"/>
    <w:rsid w:val="001A7CBC"/>
    <w:rsid w:val="001D102C"/>
    <w:rsid w:val="001D4984"/>
    <w:rsid w:val="001F42C0"/>
    <w:rsid w:val="002113CB"/>
    <w:rsid w:val="002223A9"/>
    <w:rsid w:val="00246DE4"/>
    <w:rsid w:val="00262209"/>
    <w:rsid w:val="00266EBC"/>
    <w:rsid w:val="002738A8"/>
    <w:rsid w:val="00291A3F"/>
    <w:rsid w:val="00294319"/>
    <w:rsid w:val="0029791E"/>
    <w:rsid w:val="002A1DE9"/>
    <w:rsid w:val="002B0AA3"/>
    <w:rsid w:val="002B3D37"/>
    <w:rsid w:val="002B7D5F"/>
    <w:rsid w:val="003306F4"/>
    <w:rsid w:val="00340A13"/>
    <w:rsid w:val="003550DF"/>
    <w:rsid w:val="00371CF9"/>
    <w:rsid w:val="003827DE"/>
    <w:rsid w:val="00382E55"/>
    <w:rsid w:val="003961BF"/>
    <w:rsid w:val="003A5573"/>
    <w:rsid w:val="003B0B93"/>
    <w:rsid w:val="003B5E06"/>
    <w:rsid w:val="003C3AB4"/>
    <w:rsid w:val="003C7BB4"/>
    <w:rsid w:val="003E4FB7"/>
    <w:rsid w:val="003F22D4"/>
    <w:rsid w:val="003F2ED8"/>
    <w:rsid w:val="00401C39"/>
    <w:rsid w:val="0040242C"/>
    <w:rsid w:val="00410613"/>
    <w:rsid w:val="00433294"/>
    <w:rsid w:val="00456316"/>
    <w:rsid w:val="004776C8"/>
    <w:rsid w:val="004B3024"/>
    <w:rsid w:val="004B4407"/>
    <w:rsid w:val="004B56EC"/>
    <w:rsid w:val="004B591E"/>
    <w:rsid w:val="004C5108"/>
    <w:rsid w:val="004E0530"/>
    <w:rsid w:val="004E18D8"/>
    <w:rsid w:val="004F2798"/>
    <w:rsid w:val="004F38FD"/>
    <w:rsid w:val="00502EA7"/>
    <w:rsid w:val="00503747"/>
    <w:rsid w:val="00514B06"/>
    <w:rsid w:val="0051725B"/>
    <w:rsid w:val="00523135"/>
    <w:rsid w:val="00523A19"/>
    <w:rsid w:val="00544DE4"/>
    <w:rsid w:val="00555AB7"/>
    <w:rsid w:val="00556D77"/>
    <w:rsid w:val="005708C9"/>
    <w:rsid w:val="00582777"/>
    <w:rsid w:val="005A4C3B"/>
    <w:rsid w:val="005B32F1"/>
    <w:rsid w:val="005D21E8"/>
    <w:rsid w:val="005E1525"/>
    <w:rsid w:val="005F078D"/>
    <w:rsid w:val="00601BCC"/>
    <w:rsid w:val="00602B54"/>
    <w:rsid w:val="0061498C"/>
    <w:rsid w:val="006237E7"/>
    <w:rsid w:val="006245FA"/>
    <w:rsid w:val="00656918"/>
    <w:rsid w:val="00683986"/>
    <w:rsid w:val="00691E98"/>
    <w:rsid w:val="00697A51"/>
    <w:rsid w:val="006B3D90"/>
    <w:rsid w:val="006B4AE8"/>
    <w:rsid w:val="006C21EC"/>
    <w:rsid w:val="006F15CD"/>
    <w:rsid w:val="006F3DDF"/>
    <w:rsid w:val="006F72F6"/>
    <w:rsid w:val="00706954"/>
    <w:rsid w:val="00740968"/>
    <w:rsid w:val="0074269A"/>
    <w:rsid w:val="00744FEE"/>
    <w:rsid w:val="00747441"/>
    <w:rsid w:val="00756D12"/>
    <w:rsid w:val="007860CC"/>
    <w:rsid w:val="00791604"/>
    <w:rsid w:val="007B36CB"/>
    <w:rsid w:val="007B4AF3"/>
    <w:rsid w:val="007E00EA"/>
    <w:rsid w:val="007E1DC8"/>
    <w:rsid w:val="00824F57"/>
    <w:rsid w:val="00843768"/>
    <w:rsid w:val="00844D55"/>
    <w:rsid w:val="008451EA"/>
    <w:rsid w:val="00870828"/>
    <w:rsid w:val="00872739"/>
    <w:rsid w:val="008763D2"/>
    <w:rsid w:val="008813AA"/>
    <w:rsid w:val="00883C77"/>
    <w:rsid w:val="008B662E"/>
    <w:rsid w:val="008C5128"/>
    <w:rsid w:val="008D71A6"/>
    <w:rsid w:val="008E56E6"/>
    <w:rsid w:val="0091450E"/>
    <w:rsid w:val="00923188"/>
    <w:rsid w:val="00927D50"/>
    <w:rsid w:val="00931943"/>
    <w:rsid w:val="00934C84"/>
    <w:rsid w:val="00952893"/>
    <w:rsid w:val="0095355F"/>
    <w:rsid w:val="00962AB7"/>
    <w:rsid w:val="00994063"/>
    <w:rsid w:val="009A6010"/>
    <w:rsid w:val="009B695B"/>
    <w:rsid w:val="009B78FA"/>
    <w:rsid w:val="009C2987"/>
    <w:rsid w:val="009C716E"/>
    <w:rsid w:val="009D4115"/>
    <w:rsid w:val="009E75A8"/>
    <w:rsid w:val="00A23687"/>
    <w:rsid w:val="00A327F8"/>
    <w:rsid w:val="00A51ADA"/>
    <w:rsid w:val="00A57EFB"/>
    <w:rsid w:val="00A60301"/>
    <w:rsid w:val="00A723EF"/>
    <w:rsid w:val="00A9521F"/>
    <w:rsid w:val="00AA352D"/>
    <w:rsid w:val="00AA6A3A"/>
    <w:rsid w:val="00AB529A"/>
    <w:rsid w:val="00AC36C1"/>
    <w:rsid w:val="00AC6595"/>
    <w:rsid w:val="00AC7DB7"/>
    <w:rsid w:val="00B00F8B"/>
    <w:rsid w:val="00B165BA"/>
    <w:rsid w:val="00B31D94"/>
    <w:rsid w:val="00B42F2A"/>
    <w:rsid w:val="00B67470"/>
    <w:rsid w:val="00B706CA"/>
    <w:rsid w:val="00B7528A"/>
    <w:rsid w:val="00BA54E3"/>
    <w:rsid w:val="00BA6F64"/>
    <w:rsid w:val="00BC5AD7"/>
    <w:rsid w:val="00BD7FB4"/>
    <w:rsid w:val="00C06ADF"/>
    <w:rsid w:val="00C07EA8"/>
    <w:rsid w:val="00C246AB"/>
    <w:rsid w:val="00C41B04"/>
    <w:rsid w:val="00C6308B"/>
    <w:rsid w:val="00C77F5A"/>
    <w:rsid w:val="00C80F29"/>
    <w:rsid w:val="00C96142"/>
    <w:rsid w:val="00C96ABB"/>
    <w:rsid w:val="00CB0D63"/>
    <w:rsid w:val="00CC1BFA"/>
    <w:rsid w:val="00CC4751"/>
    <w:rsid w:val="00CD02F9"/>
    <w:rsid w:val="00CF73D6"/>
    <w:rsid w:val="00D10B79"/>
    <w:rsid w:val="00D13956"/>
    <w:rsid w:val="00D15626"/>
    <w:rsid w:val="00D42BA7"/>
    <w:rsid w:val="00D5405B"/>
    <w:rsid w:val="00DA0D4A"/>
    <w:rsid w:val="00DA5B1B"/>
    <w:rsid w:val="00DB1198"/>
    <w:rsid w:val="00DC6C57"/>
    <w:rsid w:val="00DC706B"/>
    <w:rsid w:val="00DD08FD"/>
    <w:rsid w:val="00DD5AFF"/>
    <w:rsid w:val="00DF0AD7"/>
    <w:rsid w:val="00E008E4"/>
    <w:rsid w:val="00E32070"/>
    <w:rsid w:val="00E51138"/>
    <w:rsid w:val="00E7293D"/>
    <w:rsid w:val="00E82008"/>
    <w:rsid w:val="00E9028D"/>
    <w:rsid w:val="00E914E5"/>
    <w:rsid w:val="00E95126"/>
    <w:rsid w:val="00EB2B4B"/>
    <w:rsid w:val="00EB6791"/>
    <w:rsid w:val="00EC5188"/>
    <w:rsid w:val="00EE7111"/>
    <w:rsid w:val="00F062AE"/>
    <w:rsid w:val="00F15F1E"/>
    <w:rsid w:val="00F36D41"/>
    <w:rsid w:val="00F40165"/>
    <w:rsid w:val="00F41AB9"/>
    <w:rsid w:val="00F4284C"/>
    <w:rsid w:val="00F44F9F"/>
    <w:rsid w:val="00F57D69"/>
    <w:rsid w:val="00F63835"/>
    <w:rsid w:val="00F63854"/>
    <w:rsid w:val="00F77DC5"/>
    <w:rsid w:val="00F826DE"/>
    <w:rsid w:val="00F91392"/>
    <w:rsid w:val="00F9157D"/>
    <w:rsid w:val="00F919F0"/>
    <w:rsid w:val="00FA0D61"/>
    <w:rsid w:val="00FB541E"/>
    <w:rsid w:val="00FC74E2"/>
    <w:rsid w:val="00FD3CB5"/>
    <w:rsid w:val="00FE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F5B"/>
    <w:rPr>
      <w:sz w:val="24"/>
      <w:szCs w:val="24"/>
    </w:rPr>
  </w:style>
  <w:style w:type="paragraph" w:styleId="Heading1">
    <w:name w:val="heading 1"/>
    <w:basedOn w:val="Normal"/>
    <w:next w:val="Normal"/>
    <w:link w:val="Heading1Char"/>
    <w:uiPriority w:val="99"/>
    <w:qFormat/>
    <w:rsid w:val="00F9157D"/>
    <w:pPr>
      <w:keepNext/>
      <w:tabs>
        <w:tab w:val="left" w:pos="-720"/>
      </w:tabs>
      <w:suppressAutoHyphens/>
      <w:spacing w:after="120" w:line="227"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57D"/>
    <w:rPr>
      <w:b/>
      <w:sz w:val="24"/>
    </w:rPr>
  </w:style>
  <w:style w:type="paragraph" w:styleId="BalloonText">
    <w:name w:val="Balloon Text"/>
    <w:basedOn w:val="Normal"/>
    <w:link w:val="BalloonTextChar"/>
    <w:uiPriority w:val="99"/>
    <w:semiHidden/>
    <w:rsid w:val="0019678B"/>
    <w:rPr>
      <w:sz w:val="2"/>
    </w:rPr>
  </w:style>
  <w:style w:type="character" w:customStyle="1" w:styleId="BalloonTextChar">
    <w:name w:val="Balloon Text Char"/>
    <w:basedOn w:val="DefaultParagraphFont"/>
    <w:link w:val="BalloonText"/>
    <w:uiPriority w:val="99"/>
    <w:semiHidden/>
    <w:locked/>
    <w:rPr>
      <w:sz w:val="2"/>
    </w:rPr>
  </w:style>
  <w:style w:type="paragraph" w:styleId="Footer">
    <w:name w:val="footer"/>
    <w:basedOn w:val="Normal"/>
    <w:link w:val="FooterChar"/>
    <w:uiPriority w:val="99"/>
    <w:rsid w:val="00077185"/>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character" w:styleId="PageNumber">
    <w:name w:val="page number"/>
    <w:basedOn w:val="DefaultParagraphFont"/>
    <w:uiPriority w:val="99"/>
    <w:rsid w:val="00077185"/>
    <w:rPr>
      <w:rFonts w:cs="Times New Roman"/>
    </w:rPr>
  </w:style>
  <w:style w:type="character" w:styleId="CommentReference">
    <w:name w:val="annotation reference"/>
    <w:basedOn w:val="DefaultParagraphFont"/>
    <w:uiPriority w:val="99"/>
    <w:rsid w:val="00AA6A3A"/>
    <w:rPr>
      <w:rFonts w:cs="Times New Roman"/>
      <w:sz w:val="16"/>
    </w:rPr>
  </w:style>
  <w:style w:type="paragraph" w:styleId="CommentText">
    <w:name w:val="annotation text"/>
    <w:basedOn w:val="Normal"/>
    <w:link w:val="CommentTextChar"/>
    <w:uiPriority w:val="99"/>
    <w:rsid w:val="00AA6A3A"/>
    <w:rPr>
      <w:sz w:val="20"/>
      <w:szCs w:val="20"/>
    </w:rPr>
  </w:style>
  <w:style w:type="character" w:customStyle="1" w:styleId="CommentTextChar">
    <w:name w:val="Comment Text Char"/>
    <w:basedOn w:val="DefaultParagraphFont"/>
    <w:link w:val="CommentText"/>
    <w:uiPriority w:val="99"/>
    <w:locked/>
    <w:rsid w:val="00AA6A3A"/>
  </w:style>
  <w:style w:type="paragraph" w:styleId="CommentSubject">
    <w:name w:val="annotation subject"/>
    <w:basedOn w:val="CommentText"/>
    <w:next w:val="CommentText"/>
    <w:link w:val="CommentSubjectChar"/>
    <w:uiPriority w:val="99"/>
    <w:rsid w:val="00AA6A3A"/>
    <w:rPr>
      <w:b/>
    </w:rPr>
  </w:style>
  <w:style w:type="character" w:customStyle="1" w:styleId="CommentSubjectChar">
    <w:name w:val="Comment Subject Char"/>
    <w:basedOn w:val="CommentTextChar"/>
    <w:link w:val="CommentSubject"/>
    <w:uiPriority w:val="99"/>
    <w:locked/>
    <w:rsid w:val="00AA6A3A"/>
    <w:rPr>
      <w:b/>
    </w:rPr>
  </w:style>
  <w:style w:type="paragraph" w:styleId="ListParagraph">
    <w:name w:val="List Paragraph"/>
    <w:basedOn w:val="Normal"/>
    <w:uiPriority w:val="99"/>
    <w:qFormat/>
    <w:rsid w:val="00EC5188"/>
    <w:pPr>
      <w:ind w:left="720"/>
    </w:pPr>
  </w:style>
  <w:style w:type="paragraph" w:styleId="Header">
    <w:name w:val="header"/>
    <w:basedOn w:val="Normal"/>
    <w:link w:val="HeaderChar"/>
    <w:uiPriority w:val="99"/>
    <w:rsid w:val="00061CE5"/>
    <w:pPr>
      <w:tabs>
        <w:tab w:val="center" w:pos="4680"/>
        <w:tab w:val="right" w:pos="9360"/>
      </w:tabs>
    </w:pPr>
    <w:rPr>
      <w:szCs w:val="20"/>
    </w:rPr>
  </w:style>
  <w:style w:type="character" w:customStyle="1" w:styleId="HeaderChar">
    <w:name w:val="Header Char"/>
    <w:basedOn w:val="DefaultParagraphFont"/>
    <w:link w:val="Header"/>
    <w:uiPriority w:val="99"/>
    <w:locked/>
    <w:rsid w:val="00061CE5"/>
    <w:rPr>
      <w:sz w:val="24"/>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rsid w:val="00931943"/>
    <w:pPr>
      <w:spacing w:after="120"/>
    </w:pPr>
    <w:rPr>
      <w:sz w:val="20"/>
      <w:szCs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uiPriority w:val="99"/>
    <w:rsid w:val="00931943"/>
  </w:style>
  <w:style w:type="character" w:customStyle="1" w:styleId="FootnoteTextChar1">
    <w:name w:val="Footnote Text Char1"/>
    <w:aliases w:val="Footnote Text Char1 Char Char1,rrfootnote Char Char Char1,Style 5 Char Char Char1,Footnote Text Char Char Char Char1,Footnote Text Char1 Char Char Char Char1,Footnote Text Char Char Char Char Char Char1,fn Char1,Styl Char1"/>
    <w:link w:val="FootnoteText"/>
    <w:uiPriority w:val="99"/>
    <w:locked/>
    <w:rsid w:val="00931943"/>
  </w:style>
  <w:style w:type="character" w:styleId="FootnoteReference">
    <w:name w:val="footnote reference"/>
    <w:aliases w:val="Style 4,Appel note de bas de p,Style 12,(NECG) Footnote Reference,Style 124,Style 13,o,fr,Style 3"/>
    <w:basedOn w:val="DefaultParagraphFont"/>
    <w:uiPriority w:val="99"/>
    <w:rsid w:val="00931943"/>
    <w:rPr>
      <w:rFonts w:ascii="Times New Roman" w:hAnsi="Times New Roman" w:cs="Times New Roman"/>
      <w:color w:val="auto"/>
      <w:sz w:val="22"/>
      <w:vertAlign w:val="superscript"/>
    </w:rPr>
  </w:style>
  <w:style w:type="paragraph" w:customStyle="1" w:styleId="par1">
    <w:name w:val="par1"/>
    <w:basedOn w:val="Normal"/>
    <w:link w:val="par1Char"/>
    <w:uiPriority w:val="99"/>
    <w:rsid w:val="00C77F5A"/>
    <w:pPr>
      <w:numPr>
        <w:numId w:val="8"/>
      </w:numPr>
    </w:pPr>
    <w:rPr>
      <w:sz w:val="22"/>
      <w:szCs w:val="20"/>
    </w:rPr>
  </w:style>
  <w:style w:type="paragraph" w:customStyle="1" w:styleId="ParaNum">
    <w:name w:val="ParaNum"/>
    <w:basedOn w:val="Normal"/>
    <w:link w:val="ParaNumChar"/>
    <w:uiPriority w:val="99"/>
    <w:rsid w:val="00C77F5A"/>
    <w:pPr>
      <w:widowControl w:val="0"/>
      <w:numPr>
        <w:numId w:val="9"/>
      </w:numPr>
      <w:tabs>
        <w:tab w:val="num" w:pos="1440"/>
      </w:tabs>
      <w:spacing w:after="120"/>
    </w:pPr>
    <w:rPr>
      <w:kern w:val="28"/>
      <w:sz w:val="22"/>
      <w:szCs w:val="20"/>
    </w:rPr>
  </w:style>
  <w:style w:type="character" w:customStyle="1" w:styleId="FootnoteTextChar2">
    <w:name w:val="Footnote Text Char2"/>
    <w:aliases w:val="Footnote Text Char Char2,Footnote Text Char1 Char Char2,rrfootnote Char Char Char2,Style 5 Char Char Char2,Footnote Text Char Char Char Char2,Footnote Text Char1 Char Char Char Char2,Footnote Text Char Char Char Char Char Char3"/>
    <w:uiPriority w:val="99"/>
    <w:locked/>
    <w:rsid w:val="00C77F5A"/>
    <w:rPr>
      <w:sz w:val="24"/>
      <w:lang w:val="en-US" w:eastAsia="en-US"/>
    </w:rPr>
  </w:style>
  <w:style w:type="character" w:customStyle="1" w:styleId="par1Char">
    <w:name w:val="par1 Char"/>
    <w:link w:val="par1"/>
    <w:uiPriority w:val="99"/>
    <w:locked/>
    <w:rsid w:val="00C77F5A"/>
    <w:rPr>
      <w:sz w:val="22"/>
    </w:rPr>
  </w:style>
  <w:style w:type="character" w:customStyle="1" w:styleId="ParaNumChar">
    <w:name w:val="ParaNum Char"/>
    <w:link w:val="ParaNum"/>
    <w:uiPriority w:val="99"/>
    <w:locked/>
    <w:rsid w:val="00C77F5A"/>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F5B"/>
    <w:rPr>
      <w:sz w:val="24"/>
      <w:szCs w:val="24"/>
    </w:rPr>
  </w:style>
  <w:style w:type="paragraph" w:styleId="Heading1">
    <w:name w:val="heading 1"/>
    <w:basedOn w:val="Normal"/>
    <w:next w:val="Normal"/>
    <w:link w:val="Heading1Char"/>
    <w:uiPriority w:val="99"/>
    <w:qFormat/>
    <w:rsid w:val="00F9157D"/>
    <w:pPr>
      <w:keepNext/>
      <w:tabs>
        <w:tab w:val="left" w:pos="-720"/>
      </w:tabs>
      <w:suppressAutoHyphens/>
      <w:spacing w:after="120" w:line="227"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57D"/>
    <w:rPr>
      <w:b/>
      <w:sz w:val="24"/>
    </w:rPr>
  </w:style>
  <w:style w:type="paragraph" w:styleId="BalloonText">
    <w:name w:val="Balloon Text"/>
    <w:basedOn w:val="Normal"/>
    <w:link w:val="BalloonTextChar"/>
    <w:uiPriority w:val="99"/>
    <w:semiHidden/>
    <w:rsid w:val="0019678B"/>
    <w:rPr>
      <w:sz w:val="2"/>
    </w:rPr>
  </w:style>
  <w:style w:type="character" w:customStyle="1" w:styleId="BalloonTextChar">
    <w:name w:val="Balloon Text Char"/>
    <w:basedOn w:val="DefaultParagraphFont"/>
    <w:link w:val="BalloonText"/>
    <w:uiPriority w:val="99"/>
    <w:semiHidden/>
    <w:locked/>
    <w:rPr>
      <w:sz w:val="2"/>
    </w:rPr>
  </w:style>
  <w:style w:type="paragraph" w:styleId="Footer">
    <w:name w:val="footer"/>
    <w:basedOn w:val="Normal"/>
    <w:link w:val="FooterChar"/>
    <w:uiPriority w:val="99"/>
    <w:rsid w:val="00077185"/>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character" w:styleId="PageNumber">
    <w:name w:val="page number"/>
    <w:basedOn w:val="DefaultParagraphFont"/>
    <w:uiPriority w:val="99"/>
    <w:rsid w:val="00077185"/>
    <w:rPr>
      <w:rFonts w:cs="Times New Roman"/>
    </w:rPr>
  </w:style>
  <w:style w:type="character" w:styleId="CommentReference">
    <w:name w:val="annotation reference"/>
    <w:basedOn w:val="DefaultParagraphFont"/>
    <w:uiPriority w:val="99"/>
    <w:rsid w:val="00AA6A3A"/>
    <w:rPr>
      <w:rFonts w:cs="Times New Roman"/>
      <w:sz w:val="16"/>
    </w:rPr>
  </w:style>
  <w:style w:type="paragraph" w:styleId="CommentText">
    <w:name w:val="annotation text"/>
    <w:basedOn w:val="Normal"/>
    <w:link w:val="CommentTextChar"/>
    <w:uiPriority w:val="99"/>
    <w:rsid w:val="00AA6A3A"/>
    <w:rPr>
      <w:sz w:val="20"/>
      <w:szCs w:val="20"/>
    </w:rPr>
  </w:style>
  <w:style w:type="character" w:customStyle="1" w:styleId="CommentTextChar">
    <w:name w:val="Comment Text Char"/>
    <w:basedOn w:val="DefaultParagraphFont"/>
    <w:link w:val="CommentText"/>
    <w:uiPriority w:val="99"/>
    <w:locked/>
    <w:rsid w:val="00AA6A3A"/>
  </w:style>
  <w:style w:type="paragraph" w:styleId="CommentSubject">
    <w:name w:val="annotation subject"/>
    <w:basedOn w:val="CommentText"/>
    <w:next w:val="CommentText"/>
    <w:link w:val="CommentSubjectChar"/>
    <w:uiPriority w:val="99"/>
    <w:rsid w:val="00AA6A3A"/>
    <w:rPr>
      <w:b/>
    </w:rPr>
  </w:style>
  <w:style w:type="character" w:customStyle="1" w:styleId="CommentSubjectChar">
    <w:name w:val="Comment Subject Char"/>
    <w:basedOn w:val="CommentTextChar"/>
    <w:link w:val="CommentSubject"/>
    <w:uiPriority w:val="99"/>
    <w:locked/>
    <w:rsid w:val="00AA6A3A"/>
    <w:rPr>
      <w:b/>
    </w:rPr>
  </w:style>
  <w:style w:type="paragraph" w:styleId="ListParagraph">
    <w:name w:val="List Paragraph"/>
    <w:basedOn w:val="Normal"/>
    <w:uiPriority w:val="99"/>
    <w:qFormat/>
    <w:rsid w:val="00EC5188"/>
    <w:pPr>
      <w:ind w:left="720"/>
    </w:pPr>
  </w:style>
  <w:style w:type="paragraph" w:styleId="Header">
    <w:name w:val="header"/>
    <w:basedOn w:val="Normal"/>
    <w:link w:val="HeaderChar"/>
    <w:uiPriority w:val="99"/>
    <w:rsid w:val="00061CE5"/>
    <w:pPr>
      <w:tabs>
        <w:tab w:val="center" w:pos="4680"/>
        <w:tab w:val="right" w:pos="9360"/>
      </w:tabs>
    </w:pPr>
    <w:rPr>
      <w:szCs w:val="20"/>
    </w:rPr>
  </w:style>
  <w:style w:type="character" w:customStyle="1" w:styleId="HeaderChar">
    <w:name w:val="Header Char"/>
    <w:basedOn w:val="DefaultParagraphFont"/>
    <w:link w:val="Header"/>
    <w:uiPriority w:val="99"/>
    <w:locked/>
    <w:rsid w:val="00061CE5"/>
    <w:rPr>
      <w:sz w:val="24"/>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rsid w:val="00931943"/>
    <w:pPr>
      <w:spacing w:after="120"/>
    </w:pPr>
    <w:rPr>
      <w:sz w:val="20"/>
      <w:szCs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uiPriority w:val="99"/>
    <w:rsid w:val="00931943"/>
  </w:style>
  <w:style w:type="character" w:customStyle="1" w:styleId="FootnoteTextChar1">
    <w:name w:val="Footnote Text Char1"/>
    <w:aliases w:val="Footnote Text Char1 Char Char1,rrfootnote Char Char Char1,Style 5 Char Char Char1,Footnote Text Char Char Char Char1,Footnote Text Char1 Char Char Char Char1,Footnote Text Char Char Char Char Char Char1,fn Char1,Styl Char1"/>
    <w:link w:val="FootnoteText"/>
    <w:uiPriority w:val="99"/>
    <w:locked/>
    <w:rsid w:val="00931943"/>
  </w:style>
  <w:style w:type="character" w:styleId="FootnoteReference">
    <w:name w:val="footnote reference"/>
    <w:aliases w:val="Style 4,Appel note de bas de p,Style 12,(NECG) Footnote Reference,Style 124,Style 13,o,fr,Style 3"/>
    <w:basedOn w:val="DefaultParagraphFont"/>
    <w:uiPriority w:val="99"/>
    <w:rsid w:val="00931943"/>
    <w:rPr>
      <w:rFonts w:ascii="Times New Roman" w:hAnsi="Times New Roman" w:cs="Times New Roman"/>
      <w:color w:val="auto"/>
      <w:sz w:val="22"/>
      <w:vertAlign w:val="superscript"/>
    </w:rPr>
  </w:style>
  <w:style w:type="paragraph" w:customStyle="1" w:styleId="par1">
    <w:name w:val="par1"/>
    <w:basedOn w:val="Normal"/>
    <w:link w:val="par1Char"/>
    <w:uiPriority w:val="99"/>
    <w:rsid w:val="00C77F5A"/>
    <w:pPr>
      <w:numPr>
        <w:numId w:val="8"/>
      </w:numPr>
    </w:pPr>
    <w:rPr>
      <w:sz w:val="22"/>
      <w:szCs w:val="20"/>
    </w:rPr>
  </w:style>
  <w:style w:type="paragraph" w:customStyle="1" w:styleId="ParaNum">
    <w:name w:val="ParaNum"/>
    <w:basedOn w:val="Normal"/>
    <w:link w:val="ParaNumChar"/>
    <w:uiPriority w:val="99"/>
    <w:rsid w:val="00C77F5A"/>
    <w:pPr>
      <w:widowControl w:val="0"/>
      <w:numPr>
        <w:numId w:val="9"/>
      </w:numPr>
      <w:tabs>
        <w:tab w:val="num" w:pos="1440"/>
      </w:tabs>
      <w:spacing w:after="120"/>
    </w:pPr>
    <w:rPr>
      <w:kern w:val="28"/>
      <w:sz w:val="22"/>
      <w:szCs w:val="20"/>
    </w:rPr>
  </w:style>
  <w:style w:type="character" w:customStyle="1" w:styleId="FootnoteTextChar2">
    <w:name w:val="Footnote Text Char2"/>
    <w:aliases w:val="Footnote Text Char Char2,Footnote Text Char1 Char Char2,rrfootnote Char Char Char2,Style 5 Char Char Char2,Footnote Text Char Char Char Char2,Footnote Text Char1 Char Char Char Char2,Footnote Text Char Char Char Char Char Char3"/>
    <w:uiPriority w:val="99"/>
    <w:locked/>
    <w:rsid w:val="00C77F5A"/>
    <w:rPr>
      <w:sz w:val="24"/>
      <w:lang w:val="en-US" w:eastAsia="en-US"/>
    </w:rPr>
  </w:style>
  <w:style w:type="character" w:customStyle="1" w:styleId="par1Char">
    <w:name w:val="par1 Char"/>
    <w:link w:val="par1"/>
    <w:uiPriority w:val="99"/>
    <w:locked/>
    <w:rsid w:val="00C77F5A"/>
    <w:rPr>
      <w:sz w:val="22"/>
    </w:rPr>
  </w:style>
  <w:style w:type="character" w:customStyle="1" w:styleId="ParaNumChar">
    <w:name w:val="ParaNum Char"/>
    <w:link w:val="ParaNum"/>
    <w:uiPriority w:val="99"/>
    <w:locked/>
    <w:rsid w:val="00C77F5A"/>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3313</Words>
  <Characters>18188</Characters>
  <Application>Microsoft Office Word</Application>
  <DocSecurity>0</DocSecurity>
  <Lines>353</Lines>
  <Paragraphs>102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21696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2013-11-26T14:52:00Z</cp:lastPrinted>
  <dcterms:created xsi:type="dcterms:W3CDTF">2013-12-18T22:11:00Z</dcterms:created>
  <dcterms:modified xsi:type="dcterms:W3CDTF">2013-12-18T22:11:00Z</dcterms:modified>
  <cp:category> </cp:category>
  <cp:contentStatus> </cp:contentStatus>
</cp:coreProperties>
</file>