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F4" w:rsidRPr="00305AB5" w:rsidRDefault="009415F4" w:rsidP="00870F5F">
      <w:pPr>
        <w:tabs>
          <w:tab w:val="right" w:pos="9360"/>
        </w:tabs>
        <w:suppressAutoHyphens/>
        <w:spacing w:line="227" w:lineRule="auto"/>
        <w:rPr>
          <w:b/>
          <w:spacing w:val="-2"/>
          <w:sz w:val="22"/>
          <w:szCs w:val="22"/>
        </w:rPr>
      </w:pPr>
      <w:bookmarkStart w:id="0" w:name="_GoBack"/>
      <w:bookmarkEnd w:id="0"/>
      <w:r w:rsidRPr="00305AB5">
        <w:rPr>
          <w:b/>
          <w:spacing w:val="-2"/>
          <w:sz w:val="22"/>
          <w:szCs w:val="22"/>
        </w:rPr>
        <w:tab/>
        <w:t xml:space="preserve">DA </w:t>
      </w:r>
      <w:r w:rsidR="00AE200E" w:rsidRPr="00AE200E">
        <w:rPr>
          <w:b/>
          <w:spacing w:val="-2"/>
          <w:sz w:val="22"/>
          <w:szCs w:val="22"/>
        </w:rPr>
        <w:t>13-2256</w:t>
      </w:r>
      <w:r w:rsidRPr="00305AB5">
        <w:rPr>
          <w:b/>
          <w:spacing w:val="-2"/>
          <w:sz w:val="22"/>
          <w:szCs w:val="22"/>
        </w:rPr>
        <w:tab/>
      </w:r>
    </w:p>
    <w:p w:rsidR="009415F4" w:rsidRPr="00305AB5" w:rsidRDefault="009415F4" w:rsidP="00870F5F">
      <w:pPr>
        <w:tabs>
          <w:tab w:val="right" w:pos="9360"/>
        </w:tabs>
        <w:suppressAutoHyphens/>
        <w:spacing w:line="228" w:lineRule="auto"/>
        <w:rPr>
          <w:b/>
          <w:spacing w:val="-2"/>
          <w:sz w:val="22"/>
          <w:szCs w:val="22"/>
        </w:rPr>
      </w:pPr>
      <w:r w:rsidRPr="00305AB5">
        <w:rPr>
          <w:b/>
          <w:spacing w:val="-2"/>
          <w:sz w:val="22"/>
          <w:szCs w:val="22"/>
        </w:rPr>
        <w:tab/>
      </w:r>
    </w:p>
    <w:p w:rsidR="009415F4" w:rsidRPr="00305AB5" w:rsidRDefault="009415F4" w:rsidP="00870F5F">
      <w:pPr>
        <w:tabs>
          <w:tab w:val="right" w:pos="9360"/>
        </w:tabs>
        <w:suppressAutoHyphens/>
        <w:spacing w:line="227" w:lineRule="auto"/>
        <w:rPr>
          <w:b/>
          <w:spacing w:val="-2"/>
          <w:sz w:val="22"/>
          <w:szCs w:val="22"/>
        </w:rPr>
      </w:pPr>
      <w:r w:rsidRPr="00305AB5">
        <w:rPr>
          <w:b/>
          <w:spacing w:val="-2"/>
          <w:sz w:val="22"/>
          <w:szCs w:val="22"/>
        </w:rPr>
        <w:tab/>
        <w:t xml:space="preserve">Released:  </w:t>
      </w:r>
      <w:r w:rsidR="001E59EC">
        <w:rPr>
          <w:b/>
          <w:spacing w:val="-2"/>
          <w:sz w:val="22"/>
          <w:szCs w:val="22"/>
        </w:rPr>
        <w:t>November 25</w:t>
      </w:r>
      <w:r w:rsidRPr="001E59EC">
        <w:rPr>
          <w:b/>
          <w:sz w:val="22"/>
          <w:szCs w:val="22"/>
        </w:rPr>
        <w:t>,</w:t>
      </w:r>
      <w:r w:rsidRPr="00305AB5">
        <w:rPr>
          <w:b/>
          <w:sz w:val="22"/>
          <w:szCs w:val="22"/>
        </w:rPr>
        <w:t xml:space="preserve"> 2013</w:t>
      </w:r>
    </w:p>
    <w:p w:rsidR="009415F4" w:rsidRPr="00305AB5" w:rsidRDefault="009415F4" w:rsidP="00870F5F">
      <w:pPr>
        <w:tabs>
          <w:tab w:val="left" w:pos="-720"/>
        </w:tabs>
        <w:suppressAutoHyphens/>
        <w:spacing w:line="227" w:lineRule="auto"/>
        <w:jc w:val="both"/>
        <w:rPr>
          <w:spacing w:val="-2"/>
          <w:sz w:val="22"/>
          <w:szCs w:val="22"/>
        </w:rPr>
      </w:pPr>
    </w:p>
    <w:p w:rsidR="009415F4" w:rsidRPr="00305AB5" w:rsidRDefault="009415F4" w:rsidP="00870F5F">
      <w:pPr>
        <w:pStyle w:val="BodyText"/>
        <w:rPr>
          <w:rFonts w:ascii="Times New Roman" w:hAnsi="Times New Roman"/>
          <w:bCs/>
          <w:szCs w:val="22"/>
        </w:rPr>
      </w:pPr>
      <w:r w:rsidRPr="00305AB5">
        <w:rPr>
          <w:rFonts w:ascii="Times New Roman" w:hAnsi="Times New Roman"/>
          <w:bCs/>
          <w:szCs w:val="22"/>
        </w:rPr>
        <w:t xml:space="preserve">PUBLIC SAFETY AND HOMELAND SECURITY BUREAU SEEKS COMMENT ON REQUEST FOR </w:t>
      </w:r>
      <w:r>
        <w:rPr>
          <w:rFonts w:ascii="Times New Roman" w:hAnsi="Times New Roman"/>
          <w:bCs/>
          <w:szCs w:val="22"/>
        </w:rPr>
        <w:t xml:space="preserve">PARTIAL </w:t>
      </w:r>
      <w:r w:rsidRPr="00305AB5">
        <w:rPr>
          <w:rFonts w:ascii="Times New Roman" w:hAnsi="Times New Roman"/>
          <w:bCs/>
          <w:szCs w:val="22"/>
        </w:rPr>
        <w:t>WAIVER FILED BY THE INTERNATIONAL ASSOCIATION OF AUTO THEFT INVESTIGATORS</w:t>
      </w:r>
    </w:p>
    <w:p w:rsidR="009415F4" w:rsidRPr="00305AB5" w:rsidRDefault="009415F4" w:rsidP="00870F5F">
      <w:pPr>
        <w:pStyle w:val="BodyText"/>
        <w:rPr>
          <w:rFonts w:ascii="Times New Roman" w:hAnsi="Times New Roman"/>
          <w:bCs/>
          <w:szCs w:val="22"/>
        </w:rPr>
      </w:pPr>
    </w:p>
    <w:p w:rsidR="009415F4" w:rsidRPr="00305AB5" w:rsidRDefault="009415F4" w:rsidP="00870F5F">
      <w:pPr>
        <w:pStyle w:val="BodyText"/>
        <w:rPr>
          <w:rFonts w:ascii="Times New Roman" w:hAnsi="Times New Roman"/>
          <w:szCs w:val="22"/>
        </w:rPr>
      </w:pPr>
      <w:r w:rsidRPr="00305AB5">
        <w:rPr>
          <w:rFonts w:ascii="Times New Roman" w:hAnsi="Times New Roman"/>
          <w:bCs/>
          <w:szCs w:val="22"/>
        </w:rPr>
        <w:t>PS Docket No. 13-</w:t>
      </w:r>
      <w:r>
        <w:rPr>
          <w:rFonts w:ascii="Times New Roman" w:hAnsi="Times New Roman"/>
          <w:bCs/>
          <w:szCs w:val="22"/>
        </w:rPr>
        <w:t>281</w:t>
      </w:r>
    </w:p>
    <w:p w:rsidR="009415F4" w:rsidRPr="00305AB5" w:rsidRDefault="009415F4" w:rsidP="00870F5F">
      <w:pPr>
        <w:tabs>
          <w:tab w:val="left" w:pos="-720"/>
        </w:tabs>
        <w:suppressAutoHyphens/>
        <w:spacing w:line="227" w:lineRule="auto"/>
        <w:jc w:val="both"/>
        <w:rPr>
          <w:spacing w:val="-2"/>
          <w:sz w:val="22"/>
          <w:szCs w:val="22"/>
        </w:rPr>
      </w:pPr>
    </w:p>
    <w:p w:rsidR="009415F4" w:rsidRPr="00305AB5" w:rsidRDefault="009415F4" w:rsidP="00870F5F">
      <w:pPr>
        <w:rPr>
          <w:b/>
          <w:sz w:val="22"/>
          <w:szCs w:val="22"/>
        </w:rPr>
      </w:pPr>
      <w:r w:rsidRPr="00305AB5">
        <w:rPr>
          <w:b/>
          <w:bCs/>
          <w:spacing w:val="-2"/>
          <w:sz w:val="22"/>
          <w:szCs w:val="22"/>
        </w:rPr>
        <w:t>Comment</w:t>
      </w:r>
      <w:r w:rsidRPr="00305AB5">
        <w:rPr>
          <w:b/>
          <w:sz w:val="22"/>
          <w:szCs w:val="22"/>
        </w:rPr>
        <w:t xml:space="preserve"> Date: </w:t>
      </w:r>
      <w:r w:rsidR="005642D5">
        <w:rPr>
          <w:b/>
          <w:sz w:val="22"/>
          <w:szCs w:val="22"/>
        </w:rPr>
        <w:t>December 26, 2013</w:t>
      </w:r>
    </w:p>
    <w:p w:rsidR="009415F4" w:rsidRPr="00305AB5" w:rsidRDefault="009415F4" w:rsidP="00870F5F">
      <w:pPr>
        <w:rPr>
          <w:b/>
          <w:sz w:val="22"/>
          <w:szCs w:val="22"/>
        </w:rPr>
      </w:pPr>
      <w:r w:rsidRPr="00305AB5">
        <w:rPr>
          <w:b/>
          <w:sz w:val="22"/>
          <w:szCs w:val="22"/>
        </w:rPr>
        <w:t xml:space="preserve">Reply Comment Date: </w:t>
      </w:r>
      <w:r w:rsidR="005642D5">
        <w:rPr>
          <w:b/>
          <w:sz w:val="22"/>
          <w:szCs w:val="22"/>
        </w:rPr>
        <w:t>January 9</w:t>
      </w:r>
      <w:r w:rsidRPr="00305AB5">
        <w:rPr>
          <w:b/>
          <w:sz w:val="22"/>
          <w:szCs w:val="22"/>
        </w:rPr>
        <w:t>, 201</w:t>
      </w:r>
      <w:r w:rsidR="00647CEE">
        <w:rPr>
          <w:b/>
          <w:sz w:val="22"/>
          <w:szCs w:val="22"/>
        </w:rPr>
        <w:t>4</w:t>
      </w:r>
    </w:p>
    <w:p w:rsidR="009415F4" w:rsidRPr="00305AB5" w:rsidRDefault="009415F4" w:rsidP="00870F5F">
      <w:pPr>
        <w:rPr>
          <w:sz w:val="22"/>
          <w:szCs w:val="22"/>
        </w:rPr>
      </w:pPr>
    </w:p>
    <w:p w:rsidR="009415F4" w:rsidRPr="00305AB5" w:rsidRDefault="009415F4" w:rsidP="007C64AD">
      <w:pPr>
        <w:ind w:firstLine="720"/>
        <w:rPr>
          <w:sz w:val="22"/>
          <w:szCs w:val="22"/>
        </w:rPr>
      </w:pPr>
      <w:r w:rsidRPr="00305AB5">
        <w:rPr>
          <w:color w:val="000000"/>
          <w:sz w:val="22"/>
          <w:szCs w:val="22"/>
        </w:rPr>
        <w:t>The Public Safet</w:t>
      </w:r>
      <w:r>
        <w:rPr>
          <w:color w:val="000000"/>
          <w:sz w:val="22"/>
          <w:szCs w:val="22"/>
        </w:rPr>
        <w:t>y and Homeland Security Bureau</w:t>
      </w:r>
      <w:r w:rsidRPr="00305AB5">
        <w:rPr>
          <w:color w:val="000000"/>
          <w:sz w:val="22"/>
          <w:szCs w:val="22"/>
        </w:rPr>
        <w:t xml:space="preserve"> </w:t>
      </w:r>
      <w:r>
        <w:rPr>
          <w:color w:val="000000"/>
          <w:sz w:val="22"/>
          <w:szCs w:val="22"/>
        </w:rPr>
        <w:t xml:space="preserve">(Bureau) </w:t>
      </w:r>
      <w:r w:rsidRPr="00305AB5">
        <w:rPr>
          <w:color w:val="000000"/>
          <w:sz w:val="22"/>
          <w:szCs w:val="22"/>
        </w:rPr>
        <w:t xml:space="preserve">seeks comment on a request for </w:t>
      </w:r>
      <w:r>
        <w:rPr>
          <w:color w:val="000000"/>
          <w:sz w:val="22"/>
          <w:szCs w:val="22"/>
        </w:rPr>
        <w:t xml:space="preserve">partial </w:t>
      </w:r>
      <w:r w:rsidRPr="00305AB5">
        <w:rPr>
          <w:color w:val="000000"/>
          <w:sz w:val="22"/>
          <w:szCs w:val="22"/>
        </w:rPr>
        <w:t>waiver filed on July 22, 2013, by the International Association of Auto Theft Investigators (IAATI).</w:t>
      </w:r>
      <w:r w:rsidRPr="00305AB5">
        <w:rPr>
          <w:color w:val="000000"/>
          <w:sz w:val="22"/>
          <w:szCs w:val="22"/>
          <w:vertAlign w:val="superscript"/>
        </w:rPr>
        <w:footnoteReference w:id="1"/>
      </w:r>
      <w:r w:rsidRPr="00305AB5">
        <w:rPr>
          <w:color w:val="000000"/>
          <w:sz w:val="22"/>
          <w:szCs w:val="22"/>
        </w:rPr>
        <w:t xml:space="preserve">  IAATI seeks waiver relief, pursuant to Section 1.925 of the Commission’s rules,</w:t>
      </w:r>
      <w:r w:rsidRPr="00305AB5">
        <w:rPr>
          <w:rStyle w:val="FootnoteReference"/>
          <w:color w:val="000000"/>
          <w:sz w:val="22"/>
          <w:szCs w:val="22"/>
        </w:rPr>
        <w:footnoteReference w:id="2"/>
      </w:r>
      <w:r w:rsidRPr="00305AB5">
        <w:rPr>
          <w:color w:val="000000"/>
          <w:sz w:val="22"/>
          <w:szCs w:val="22"/>
        </w:rPr>
        <w:t xml:space="preserve"> </w:t>
      </w:r>
      <w:r w:rsidRPr="00305AB5">
        <w:rPr>
          <w:sz w:val="22"/>
          <w:szCs w:val="22"/>
        </w:rPr>
        <w:t>of the May 27, 2019 deadline for Stolen Vehicle Recovery Systems (SVRS)</w:t>
      </w:r>
      <w:r>
        <w:rPr>
          <w:sz w:val="22"/>
          <w:szCs w:val="22"/>
        </w:rPr>
        <w:t>,</w:t>
      </w:r>
      <w:r w:rsidRPr="00305AB5">
        <w:rPr>
          <w:sz w:val="22"/>
          <w:szCs w:val="22"/>
        </w:rPr>
        <w:t xml:space="preserve"> </w:t>
      </w:r>
      <w:r>
        <w:rPr>
          <w:sz w:val="22"/>
          <w:szCs w:val="22"/>
        </w:rPr>
        <w:t xml:space="preserve">that operate </w:t>
      </w:r>
      <w:r w:rsidRPr="00305AB5">
        <w:rPr>
          <w:sz w:val="22"/>
          <w:szCs w:val="22"/>
        </w:rPr>
        <w:t xml:space="preserve">on 173.075 </w:t>
      </w:r>
      <w:r>
        <w:rPr>
          <w:sz w:val="22"/>
          <w:szCs w:val="22"/>
        </w:rPr>
        <w:t>MHz,</w:t>
      </w:r>
      <w:r w:rsidRPr="00305AB5">
        <w:rPr>
          <w:sz w:val="22"/>
          <w:szCs w:val="22"/>
        </w:rPr>
        <w:t xml:space="preserve"> to transition to 12.5 kHz narrowband operation.</w:t>
      </w:r>
      <w:r w:rsidRPr="00305AB5">
        <w:rPr>
          <w:rStyle w:val="FootnoteReference"/>
          <w:sz w:val="22"/>
          <w:szCs w:val="22"/>
        </w:rPr>
        <w:footnoteReference w:id="3"/>
      </w:r>
      <w:r w:rsidRPr="00305AB5">
        <w:rPr>
          <w:sz w:val="22"/>
          <w:szCs w:val="22"/>
        </w:rPr>
        <w:t xml:space="preserve">  IAATI requests an indefinite waiver only with respect to mobile units to allow the installed base of vehicles equipped with wideband vehicle location units (VLUs) to </w:t>
      </w:r>
      <w:r>
        <w:rPr>
          <w:sz w:val="22"/>
          <w:szCs w:val="22"/>
        </w:rPr>
        <w:t xml:space="preserve">continue to </w:t>
      </w:r>
      <w:r w:rsidRPr="00305AB5">
        <w:rPr>
          <w:sz w:val="22"/>
          <w:szCs w:val="22"/>
        </w:rPr>
        <w:t>emit wideband (20 kHz) tracking messages while being tracked and recovered by law enforcement entities.</w:t>
      </w:r>
      <w:r w:rsidRPr="00305AB5">
        <w:rPr>
          <w:rStyle w:val="FootnoteReference"/>
          <w:sz w:val="22"/>
          <w:szCs w:val="22"/>
        </w:rPr>
        <w:footnoteReference w:id="4"/>
      </w:r>
      <w:r w:rsidRPr="00305AB5">
        <w:rPr>
          <w:sz w:val="22"/>
          <w:szCs w:val="22"/>
        </w:rPr>
        <w:t xml:space="preserve">  The waiver would not apply to base stations.</w:t>
      </w:r>
      <w:r w:rsidRPr="00305AB5">
        <w:rPr>
          <w:rStyle w:val="FootnoteReference"/>
          <w:sz w:val="22"/>
          <w:szCs w:val="22"/>
        </w:rPr>
        <w:footnoteReference w:id="5"/>
      </w:r>
    </w:p>
    <w:p w:rsidR="009415F4" w:rsidRPr="00305AB5" w:rsidRDefault="009415F4" w:rsidP="003B0312">
      <w:pPr>
        <w:rPr>
          <w:color w:val="000000"/>
          <w:sz w:val="22"/>
          <w:szCs w:val="22"/>
        </w:rPr>
      </w:pPr>
    </w:p>
    <w:p w:rsidR="009415F4" w:rsidRPr="00305AB5" w:rsidRDefault="009415F4" w:rsidP="003B0312">
      <w:pPr>
        <w:rPr>
          <w:b/>
          <w:color w:val="000000"/>
          <w:sz w:val="22"/>
          <w:szCs w:val="22"/>
        </w:rPr>
      </w:pPr>
      <w:r w:rsidRPr="00305AB5">
        <w:rPr>
          <w:b/>
          <w:color w:val="000000"/>
          <w:sz w:val="22"/>
          <w:szCs w:val="22"/>
        </w:rPr>
        <w:t>Background</w:t>
      </w:r>
    </w:p>
    <w:p w:rsidR="009415F4" w:rsidRPr="00305AB5" w:rsidRDefault="009415F4" w:rsidP="003B0312">
      <w:pPr>
        <w:rPr>
          <w:color w:val="000000"/>
          <w:sz w:val="22"/>
          <w:szCs w:val="22"/>
        </w:rPr>
      </w:pPr>
    </w:p>
    <w:p w:rsidR="009415F4" w:rsidRPr="00305AB5" w:rsidRDefault="009415F4" w:rsidP="00870F5F">
      <w:pPr>
        <w:ind w:firstLine="720"/>
        <w:rPr>
          <w:sz w:val="22"/>
          <w:szCs w:val="22"/>
        </w:rPr>
      </w:pPr>
      <w:r w:rsidRPr="00305AB5">
        <w:rPr>
          <w:sz w:val="22"/>
          <w:szCs w:val="22"/>
        </w:rPr>
        <w:t xml:space="preserve">IAATI formed in 1952 “to improve </w:t>
      </w:r>
      <w:r>
        <w:rPr>
          <w:sz w:val="22"/>
          <w:szCs w:val="22"/>
        </w:rPr>
        <w:t>communication</w:t>
      </w:r>
      <w:r w:rsidRPr="00305AB5">
        <w:rPr>
          <w:sz w:val="22"/>
          <w:szCs w:val="22"/>
        </w:rPr>
        <w:t xml:space="preserve"> and coordination among the growing family of auto theft investigators.”</w:t>
      </w:r>
      <w:r w:rsidRPr="00305AB5">
        <w:rPr>
          <w:rStyle w:val="FootnoteReference"/>
          <w:sz w:val="22"/>
          <w:szCs w:val="22"/>
        </w:rPr>
        <w:footnoteReference w:id="6"/>
      </w:r>
      <w:r w:rsidRPr="00305AB5">
        <w:rPr>
          <w:sz w:val="22"/>
          <w:szCs w:val="22"/>
        </w:rPr>
        <w:t xml:space="preserve">  IAATI has 3,604 members in over 35 countries representing law enforcement agencies and others with a legitimate interest in auto theft investigation, prevention, and escalation.</w:t>
      </w:r>
      <w:r w:rsidRPr="00305AB5">
        <w:rPr>
          <w:rStyle w:val="FootnoteReference"/>
          <w:sz w:val="22"/>
          <w:szCs w:val="22"/>
        </w:rPr>
        <w:footnoteReference w:id="7"/>
      </w:r>
      <w:r w:rsidRPr="00305AB5">
        <w:rPr>
          <w:sz w:val="22"/>
          <w:szCs w:val="22"/>
        </w:rPr>
        <w:t xml:space="preserve">  IAATI “is dedicated to developing and encouraging the highest professional standards of </w:t>
      </w:r>
      <w:r w:rsidRPr="00305AB5">
        <w:rPr>
          <w:sz w:val="22"/>
          <w:szCs w:val="22"/>
        </w:rPr>
        <w:lastRenderedPageBreak/>
        <w:t>conduct among auto theft investigators, and strives to eliminate all factors interfering with the administration of the auto theft suppression effort (including technological and regulatory limitations where possible).”</w:t>
      </w:r>
      <w:r w:rsidRPr="00305AB5">
        <w:rPr>
          <w:rStyle w:val="FootnoteReference"/>
          <w:sz w:val="22"/>
          <w:szCs w:val="22"/>
        </w:rPr>
        <w:footnoteReference w:id="8"/>
      </w:r>
    </w:p>
    <w:p w:rsidR="009415F4" w:rsidRPr="00305AB5" w:rsidRDefault="009415F4" w:rsidP="00870F5F">
      <w:pPr>
        <w:ind w:firstLine="720"/>
        <w:rPr>
          <w:sz w:val="22"/>
          <w:szCs w:val="22"/>
        </w:rPr>
      </w:pPr>
    </w:p>
    <w:p w:rsidR="009415F4" w:rsidRPr="00305AB5" w:rsidRDefault="009415F4" w:rsidP="00870F5F">
      <w:pPr>
        <w:ind w:firstLine="720"/>
        <w:rPr>
          <w:sz w:val="22"/>
          <w:szCs w:val="22"/>
        </w:rPr>
      </w:pPr>
      <w:r w:rsidRPr="00305AB5">
        <w:rPr>
          <w:sz w:val="22"/>
          <w:szCs w:val="22"/>
        </w:rPr>
        <w:t>SVRS services assist public safety entities to locate and recover stolen vehicles.  When a vehicle owner subscribing to SVRS service notifies the police that his or her vehicle has been stolen, the police department can transmit a signal from a base station in the locality where the vehicle was stolen to activate a mobile transceiver in the vehicle known as a VLU.  Once the VLU is activated, a police car equipped with SVRS location-finding apparatus can then “home in” on the stolen vehicle.  The Commission permits state and local public safety entities to hold licenses for SVRS base stations, while VLUs are licensed “by rule.”</w:t>
      </w:r>
      <w:r w:rsidRPr="00305AB5">
        <w:rPr>
          <w:rStyle w:val="FootnoteReference"/>
          <w:sz w:val="22"/>
          <w:szCs w:val="22"/>
        </w:rPr>
        <w:footnoteReference w:id="9"/>
      </w:r>
      <w:r w:rsidRPr="00305AB5">
        <w:rPr>
          <w:sz w:val="22"/>
          <w:szCs w:val="22"/>
        </w:rPr>
        <w:t xml:space="preserve"> </w:t>
      </w:r>
    </w:p>
    <w:p w:rsidR="009415F4" w:rsidRPr="00305AB5" w:rsidRDefault="009415F4" w:rsidP="00870F5F">
      <w:pPr>
        <w:ind w:firstLine="720"/>
        <w:rPr>
          <w:sz w:val="22"/>
          <w:szCs w:val="22"/>
        </w:rPr>
      </w:pPr>
    </w:p>
    <w:p w:rsidR="009415F4" w:rsidRPr="00305AB5" w:rsidRDefault="009415F4" w:rsidP="00870F5F">
      <w:pPr>
        <w:ind w:firstLine="720"/>
        <w:rPr>
          <w:color w:val="000000"/>
          <w:sz w:val="22"/>
          <w:szCs w:val="22"/>
        </w:rPr>
      </w:pPr>
      <w:r>
        <w:rPr>
          <w:sz w:val="22"/>
          <w:szCs w:val="22"/>
        </w:rPr>
        <w:t>In 1995, the National Telecommunications and Information Administration (NTIA) mandated that after January 1, 2005, all federal land mobile radio systems in the 162-174 MHz band migrate to narrowband 12.5 kHz technology.</w:t>
      </w:r>
      <w:r>
        <w:rPr>
          <w:rStyle w:val="FootnoteReference"/>
          <w:sz w:val="22"/>
          <w:szCs w:val="22"/>
        </w:rPr>
        <w:footnoteReference w:id="10"/>
      </w:r>
      <w:r>
        <w:rPr>
          <w:sz w:val="22"/>
          <w:szCs w:val="22"/>
        </w:rPr>
        <w:t xml:space="preserve">   </w:t>
      </w:r>
      <w:r w:rsidRPr="00305AB5">
        <w:rPr>
          <w:sz w:val="22"/>
          <w:szCs w:val="22"/>
        </w:rPr>
        <w:t>In 2004, the Commission commenced a proceeding to transition certain frequency bands allocated primarily for Federal use, including the SVRS frequency 173.075 MHz, from wideband to narrowband channels.</w:t>
      </w:r>
      <w:r w:rsidRPr="00305AB5">
        <w:rPr>
          <w:rStyle w:val="FootnoteReference"/>
          <w:sz w:val="22"/>
          <w:szCs w:val="22"/>
        </w:rPr>
        <w:footnoteReference w:id="11"/>
      </w:r>
      <w:r w:rsidRPr="00305AB5">
        <w:rPr>
          <w:sz w:val="22"/>
          <w:szCs w:val="22"/>
        </w:rPr>
        <w:t xml:space="preserve">  In 2005, the Commission established the May 27, 2019 deadline for existing SVRS operators as of May 27, 2005 to transition from 20 kHz </w:t>
      </w:r>
      <w:r>
        <w:rPr>
          <w:sz w:val="22"/>
          <w:szCs w:val="22"/>
        </w:rPr>
        <w:t xml:space="preserve">authorized </w:t>
      </w:r>
      <w:r w:rsidRPr="00305AB5">
        <w:rPr>
          <w:sz w:val="22"/>
          <w:szCs w:val="22"/>
        </w:rPr>
        <w:t>bandwidth to 12.5 kHz authorized bandwidth</w:t>
      </w:r>
      <w:r>
        <w:rPr>
          <w:sz w:val="22"/>
          <w:szCs w:val="22"/>
        </w:rPr>
        <w:t xml:space="preserve">.  SVRS operators licensed after May 27, 2005 must conform to </w:t>
      </w:r>
      <w:r w:rsidRPr="00305AB5">
        <w:rPr>
          <w:sz w:val="22"/>
          <w:szCs w:val="22"/>
        </w:rPr>
        <w:t>the 12.5 kHz bandwidth</w:t>
      </w:r>
      <w:r>
        <w:rPr>
          <w:sz w:val="22"/>
          <w:szCs w:val="22"/>
        </w:rPr>
        <w:t xml:space="preserve"> limit</w:t>
      </w:r>
      <w:r w:rsidRPr="00305AB5">
        <w:rPr>
          <w:sz w:val="22"/>
          <w:szCs w:val="22"/>
        </w:rPr>
        <w:t>.</w:t>
      </w:r>
      <w:r w:rsidRPr="00305AB5">
        <w:rPr>
          <w:rStyle w:val="FootnoteReference"/>
          <w:sz w:val="22"/>
          <w:szCs w:val="22"/>
        </w:rPr>
        <w:footnoteReference w:id="12"/>
      </w:r>
      <w:r w:rsidRPr="00305AB5">
        <w:rPr>
          <w:sz w:val="22"/>
          <w:szCs w:val="22"/>
        </w:rPr>
        <w:t xml:space="preserve">  The Commission’s rules </w:t>
      </w:r>
      <w:r>
        <w:rPr>
          <w:sz w:val="22"/>
          <w:szCs w:val="22"/>
        </w:rPr>
        <w:t>restrict</w:t>
      </w:r>
      <w:r w:rsidRPr="00305AB5">
        <w:rPr>
          <w:sz w:val="22"/>
          <w:szCs w:val="22"/>
        </w:rPr>
        <w:t xml:space="preserve"> wideband VLUs to 2.5 watts output power, which is half the limit of narrowband VLUs.</w:t>
      </w:r>
      <w:r w:rsidRPr="00305AB5">
        <w:rPr>
          <w:rStyle w:val="FootnoteReference"/>
          <w:sz w:val="22"/>
          <w:szCs w:val="22"/>
        </w:rPr>
        <w:footnoteReference w:id="13"/>
      </w:r>
      <w:r w:rsidRPr="00305AB5">
        <w:rPr>
          <w:sz w:val="22"/>
          <w:szCs w:val="22"/>
        </w:rPr>
        <w:t xml:space="preserve">  All VLUs have a maximum duty cycle of 400 milliseconds every 10 seconds, except when a vehicle is actively tracked, the maximum duty cycle is 400 milliseconds every second.</w:t>
      </w:r>
      <w:r w:rsidRPr="00305AB5">
        <w:rPr>
          <w:rStyle w:val="FootnoteReference"/>
          <w:sz w:val="22"/>
          <w:szCs w:val="22"/>
        </w:rPr>
        <w:footnoteReference w:id="14"/>
      </w:r>
    </w:p>
    <w:p w:rsidR="009415F4" w:rsidRPr="00305AB5" w:rsidRDefault="009415F4" w:rsidP="00870F5F">
      <w:pPr>
        <w:rPr>
          <w:color w:val="000000"/>
          <w:sz w:val="22"/>
          <w:szCs w:val="22"/>
        </w:rPr>
      </w:pPr>
    </w:p>
    <w:p w:rsidR="009415F4" w:rsidRPr="00305AB5" w:rsidRDefault="009415F4" w:rsidP="00870F5F">
      <w:pPr>
        <w:rPr>
          <w:b/>
          <w:color w:val="000000"/>
          <w:sz w:val="22"/>
          <w:szCs w:val="22"/>
        </w:rPr>
      </w:pPr>
      <w:r w:rsidRPr="00305AB5">
        <w:rPr>
          <w:b/>
          <w:color w:val="000000"/>
          <w:sz w:val="22"/>
          <w:szCs w:val="22"/>
        </w:rPr>
        <w:t>Waiver Request</w:t>
      </w:r>
    </w:p>
    <w:p w:rsidR="009415F4" w:rsidRPr="00305AB5" w:rsidRDefault="009415F4" w:rsidP="00870F5F">
      <w:pPr>
        <w:rPr>
          <w:color w:val="000000"/>
          <w:sz w:val="22"/>
          <w:szCs w:val="22"/>
        </w:rPr>
      </w:pPr>
    </w:p>
    <w:p w:rsidR="009415F4" w:rsidRDefault="009415F4" w:rsidP="00306464">
      <w:pPr>
        <w:ind w:firstLine="720"/>
        <w:rPr>
          <w:color w:val="000000"/>
          <w:sz w:val="22"/>
          <w:szCs w:val="22"/>
        </w:rPr>
      </w:pPr>
      <w:r w:rsidRPr="00305AB5">
        <w:rPr>
          <w:color w:val="000000"/>
          <w:sz w:val="22"/>
          <w:szCs w:val="22"/>
        </w:rPr>
        <w:t>IAATI seeks a waiver “to allow public safety pool entities to activate and track any vehicle equipped with a wideband device for an indefinite period of time.”</w:t>
      </w:r>
      <w:r w:rsidRPr="00305AB5">
        <w:rPr>
          <w:rStyle w:val="FootnoteReference"/>
          <w:color w:val="000000"/>
          <w:sz w:val="22"/>
          <w:szCs w:val="22"/>
        </w:rPr>
        <w:footnoteReference w:id="15"/>
      </w:r>
      <w:r w:rsidRPr="00305AB5">
        <w:rPr>
          <w:color w:val="000000"/>
          <w:sz w:val="22"/>
          <w:szCs w:val="22"/>
        </w:rPr>
        <w:t xml:space="preserve">  IAATI argues that vehicles that are 15-20 years old are more likely to be stolen due to demand for used auto parts, which manufacturers </w:t>
      </w:r>
      <w:r>
        <w:rPr>
          <w:color w:val="000000"/>
          <w:sz w:val="22"/>
          <w:szCs w:val="22"/>
        </w:rPr>
        <w:t xml:space="preserve">often </w:t>
      </w:r>
      <w:r w:rsidRPr="00305AB5">
        <w:rPr>
          <w:color w:val="000000"/>
          <w:sz w:val="22"/>
          <w:szCs w:val="22"/>
        </w:rPr>
        <w:t xml:space="preserve">cease to produce after ten years, and </w:t>
      </w:r>
      <w:r>
        <w:rPr>
          <w:color w:val="000000"/>
          <w:sz w:val="22"/>
          <w:szCs w:val="22"/>
        </w:rPr>
        <w:t>because</w:t>
      </w:r>
      <w:r w:rsidRPr="00305AB5">
        <w:rPr>
          <w:color w:val="000000"/>
          <w:sz w:val="22"/>
          <w:szCs w:val="22"/>
        </w:rPr>
        <w:t xml:space="preserve"> older vehicles are easier to steal.</w:t>
      </w:r>
      <w:r w:rsidRPr="00305AB5">
        <w:rPr>
          <w:rStyle w:val="FootnoteReference"/>
          <w:color w:val="000000"/>
          <w:sz w:val="22"/>
          <w:szCs w:val="22"/>
        </w:rPr>
        <w:footnoteReference w:id="16"/>
      </w:r>
      <w:r w:rsidRPr="00305AB5">
        <w:rPr>
          <w:color w:val="000000"/>
          <w:sz w:val="22"/>
          <w:szCs w:val="22"/>
        </w:rPr>
        <w:t xml:space="preserve">  Recovery of these stolen vehicles often leads law enforcement to “chop shops” and other locations where additional criminal </w:t>
      </w:r>
      <w:r w:rsidRPr="00305AB5">
        <w:rPr>
          <w:color w:val="000000"/>
          <w:sz w:val="22"/>
          <w:szCs w:val="22"/>
        </w:rPr>
        <w:lastRenderedPageBreak/>
        <w:t>activity takes place.</w:t>
      </w:r>
      <w:r w:rsidRPr="00305AB5">
        <w:rPr>
          <w:rStyle w:val="FootnoteReference"/>
          <w:color w:val="000000"/>
          <w:sz w:val="22"/>
          <w:szCs w:val="22"/>
        </w:rPr>
        <w:footnoteReference w:id="17"/>
      </w:r>
      <w:r w:rsidRPr="00305AB5">
        <w:rPr>
          <w:color w:val="000000"/>
          <w:sz w:val="22"/>
          <w:szCs w:val="22"/>
        </w:rPr>
        <w:t xml:space="preserve">  Thus, IAATI contends that there is strong law enforcement interest in being able to track and recover these older stolen vehicles through their useful life.</w:t>
      </w:r>
      <w:r w:rsidRPr="00305AB5">
        <w:rPr>
          <w:rStyle w:val="FootnoteReference"/>
          <w:color w:val="000000"/>
          <w:sz w:val="22"/>
          <w:szCs w:val="22"/>
        </w:rPr>
        <w:footnoteReference w:id="18"/>
      </w:r>
      <w:r w:rsidRPr="00305AB5">
        <w:rPr>
          <w:color w:val="000000"/>
          <w:sz w:val="22"/>
          <w:szCs w:val="22"/>
        </w:rPr>
        <w:t xml:space="preserve">  Absent a waiver, </w:t>
      </w:r>
      <w:r>
        <w:rPr>
          <w:color w:val="000000"/>
          <w:sz w:val="22"/>
          <w:szCs w:val="22"/>
        </w:rPr>
        <w:t xml:space="preserve">after </w:t>
      </w:r>
      <w:r w:rsidRPr="00FC7009">
        <w:rPr>
          <w:color w:val="000000"/>
          <w:sz w:val="22"/>
          <w:szCs w:val="22"/>
        </w:rPr>
        <w:t>May 27, 2019</w:t>
      </w:r>
      <w:r>
        <w:rPr>
          <w:color w:val="000000"/>
          <w:sz w:val="22"/>
          <w:szCs w:val="22"/>
        </w:rPr>
        <w:t>, SVRS licensees</w:t>
      </w:r>
      <w:r w:rsidRPr="00305AB5">
        <w:rPr>
          <w:color w:val="000000"/>
          <w:sz w:val="22"/>
          <w:szCs w:val="22"/>
        </w:rPr>
        <w:t xml:space="preserve"> would no</w:t>
      </w:r>
      <w:r>
        <w:rPr>
          <w:color w:val="000000"/>
          <w:sz w:val="22"/>
          <w:szCs w:val="22"/>
        </w:rPr>
        <w:t xml:space="preserve"> longer </w:t>
      </w:r>
      <w:r w:rsidRPr="00305AB5">
        <w:rPr>
          <w:color w:val="000000"/>
          <w:sz w:val="22"/>
          <w:szCs w:val="22"/>
        </w:rPr>
        <w:t xml:space="preserve">be allowed to activate a wideband VLU in a </w:t>
      </w:r>
      <w:r>
        <w:rPr>
          <w:color w:val="000000"/>
          <w:sz w:val="22"/>
          <w:szCs w:val="22"/>
        </w:rPr>
        <w:t xml:space="preserve">stolen </w:t>
      </w:r>
      <w:r w:rsidRPr="00305AB5">
        <w:rPr>
          <w:color w:val="000000"/>
          <w:sz w:val="22"/>
          <w:szCs w:val="22"/>
        </w:rPr>
        <w:t xml:space="preserve">vehicle.  </w:t>
      </w:r>
    </w:p>
    <w:p w:rsidR="009415F4" w:rsidRPr="00305AB5" w:rsidRDefault="009415F4" w:rsidP="00306464">
      <w:pPr>
        <w:ind w:firstLine="720"/>
        <w:rPr>
          <w:color w:val="000000"/>
          <w:sz w:val="22"/>
          <w:szCs w:val="22"/>
        </w:rPr>
      </w:pPr>
    </w:p>
    <w:p w:rsidR="009415F4" w:rsidRPr="00305AB5" w:rsidRDefault="009415F4" w:rsidP="00E30419">
      <w:pPr>
        <w:ind w:firstLine="720"/>
        <w:rPr>
          <w:color w:val="000000"/>
          <w:sz w:val="22"/>
          <w:szCs w:val="22"/>
        </w:rPr>
      </w:pPr>
      <w:r w:rsidRPr="00305AB5">
        <w:rPr>
          <w:color w:val="000000"/>
          <w:sz w:val="22"/>
          <w:szCs w:val="22"/>
        </w:rPr>
        <w:t xml:space="preserve">IAATI notes that the nation’s sole SVRS provider </w:t>
      </w:r>
      <w:r>
        <w:rPr>
          <w:color w:val="000000"/>
          <w:sz w:val="22"/>
          <w:szCs w:val="22"/>
        </w:rPr>
        <w:t xml:space="preserve">The </w:t>
      </w:r>
      <w:r w:rsidRPr="00305AB5">
        <w:rPr>
          <w:color w:val="000000"/>
          <w:sz w:val="22"/>
          <w:szCs w:val="22"/>
        </w:rPr>
        <w:t>LoJack</w:t>
      </w:r>
      <w:r>
        <w:rPr>
          <w:color w:val="000000"/>
          <w:sz w:val="22"/>
          <w:szCs w:val="22"/>
        </w:rPr>
        <w:t xml:space="preserve"> Corporation (LoJack)</w:t>
      </w:r>
      <w:r w:rsidRPr="00305AB5">
        <w:rPr>
          <w:color w:val="000000"/>
          <w:sz w:val="22"/>
          <w:szCs w:val="22"/>
        </w:rPr>
        <w:t xml:space="preserve"> will be able to activate wideband VLUs using narrowband signals from base stations.</w:t>
      </w:r>
      <w:r w:rsidRPr="00305AB5">
        <w:rPr>
          <w:rStyle w:val="FootnoteReference"/>
          <w:color w:val="000000"/>
          <w:sz w:val="22"/>
          <w:szCs w:val="22"/>
        </w:rPr>
        <w:footnoteReference w:id="19"/>
      </w:r>
      <w:r w:rsidRPr="00305AB5">
        <w:rPr>
          <w:color w:val="000000"/>
          <w:sz w:val="22"/>
          <w:szCs w:val="22"/>
        </w:rPr>
        <w:t xml:space="preserve">  </w:t>
      </w:r>
      <w:r>
        <w:rPr>
          <w:color w:val="000000"/>
          <w:sz w:val="22"/>
          <w:szCs w:val="22"/>
        </w:rPr>
        <w:t>With grant of the waiver, the</w:t>
      </w:r>
      <w:r w:rsidRPr="00305AB5">
        <w:rPr>
          <w:color w:val="000000"/>
          <w:sz w:val="22"/>
          <w:szCs w:val="22"/>
        </w:rPr>
        <w:t xml:space="preserve"> only wideband signals sent on SVRS after</w:t>
      </w:r>
      <w:r w:rsidRPr="00B775AF">
        <w:t xml:space="preserve"> </w:t>
      </w:r>
      <w:r w:rsidRPr="00B775AF">
        <w:rPr>
          <w:color w:val="000000"/>
          <w:sz w:val="22"/>
          <w:szCs w:val="22"/>
        </w:rPr>
        <w:t>May 27, 2019</w:t>
      </w:r>
      <w:r w:rsidRPr="00305AB5">
        <w:rPr>
          <w:color w:val="000000"/>
          <w:sz w:val="22"/>
          <w:szCs w:val="22"/>
        </w:rPr>
        <w:t xml:space="preserve"> would be from VLUs responding to the base station and then sending brief tracking messages during the course of police tracking, which the majority of time will be completed in a matter of hours.</w:t>
      </w:r>
      <w:r w:rsidRPr="00305AB5">
        <w:rPr>
          <w:rStyle w:val="FootnoteReference"/>
          <w:color w:val="000000"/>
          <w:sz w:val="22"/>
          <w:szCs w:val="22"/>
        </w:rPr>
        <w:footnoteReference w:id="20"/>
      </w:r>
      <w:r w:rsidRPr="00305AB5">
        <w:rPr>
          <w:color w:val="000000"/>
          <w:sz w:val="22"/>
          <w:szCs w:val="22"/>
        </w:rPr>
        <w:t xml:space="preserve">  </w:t>
      </w:r>
      <w:r>
        <w:rPr>
          <w:color w:val="000000"/>
          <w:sz w:val="22"/>
          <w:szCs w:val="22"/>
        </w:rPr>
        <w:t>Thus, the requested waiver would not apply to fixed stations.</w:t>
      </w:r>
      <w:r>
        <w:rPr>
          <w:rStyle w:val="FootnoteReference"/>
          <w:color w:val="000000"/>
          <w:sz w:val="22"/>
          <w:szCs w:val="22"/>
        </w:rPr>
        <w:footnoteReference w:id="21"/>
      </w:r>
      <w:r>
        <w:rPr>
          <w:color w:val="000000"/>
          <w:sz w:val="22"/>
          <w:szCs w:val="22"/>
        </w:rPr>
        <w:t xml:space="preserve">  </w:t>
      </w:r>
      <w:r w:rsidRPr="00305AB5">
        <w:rPr>
          <w:color w:val="000000"/>
          <w:sz w:val="22"/>
          <w:szCs w:val="22"/>
        </w:rPr>
        <w:t>IAATI notes that only a small number of wideband units per day would be activated nationwide in 2019, and by 2025 that activation rate would fall even further.</w:t>
      </w:r>
      <w:r w:rsidRPr="00305AB5">
        <w:rPr>
          <w:rStyle w:val="FootnoteReference"/>
          <w:color w:val="000000"/>
          <w:sz w:val="22"/>
          <w:szCs w:val="22"/>
        </w:rPr>
        <w:footnoteReference w:id="22"/>
      </w:r>
      <w:r w:rsidRPr="00305AB5">
        <w:rPr>
          <w:color w:val="000000"/>
          <w:sz w:val="22"/>
          <w:szCs w:val="22"/>
        </w:rPr>
        <w:t xml:space="preserve">   IAATI states that over time, the legacy base of VLUs will erode naturally through attrition.</w:t>
      </w:r>
      <w:r w:rsidRPr="00305AB5">
        <w:rPr>
          <w:color w:val="000000"/>
          <w:sz w:val="22"/>
          <w:szCs w:val="22"/>
          <w:vertAlign w:val="superscript"/>
        </w:rPr>
        <w:footnoteReference w:id="23"/>
      </w:r>
      <w:r w:rsidRPr="00305AB5">
        <w:rPr>
          <w:color w:val="000000"/>
          <w:sz w:val="22"/>
          <w:szCs w:val="22"/>
        </w:rPr>
        <w:t xml:space="preserve">  IAATI notes that LoJack has ceased marketing wideband equipment.</w:t>
      </w:r>
      <w:r w:rsidRPr="00305AB5">
        <w:rPr>
          <w:rStyle w:val="FootnoteReference"/>
          <w:color w:val="000000"/>
          <w:sz w:val="22"/>
          <w:szCs w:val="22"/>
        </w:rPr>
        <w:footnoteReference w:id="24"/>
      </w:r>
      <w:r w:rsidRPr="00305AB5">
        <w:rPr>
          <w:color w:val="000000"/>
          <w:sz w:val="22"/>
          <w:szCs w:val="22"/>
        </w:rPr>
        <w:t xml:space="preserve">  LoJack filed a support letter confirming IAATI’s statements and noting that LoJack fully migrated </w:t>
      </w:r>
      <w:r>
        <w:rPr>
          <w:color w:val="000000"/>
          <w:sz w:val="22"/>
          <w:szCs w:val="22"/>
        </w:rPr>
        <w:t>from</w:t>
      </w:r>
      <w:r w:rsidRPr="00305AB5">
        <w:rPr>
          <w:color w:val="000000"/>
          <w:sz w:val="22"/>
          <w:szCs w:val="22"/>
        </w:rPr>
        <w:t xml:space="preserve"> wideband-only VLUs in early 2013.</w:t>
      </w:r>
      <w:r w:rsidRPr="00305AB5">
        <w:rPr>
          <w:rStyle w:val="FootnoteReference"/>
          <w:color w:val="000000"/>
          <w:sz w:val="22"/>
          <w:szCs w:val="22"/>
        </w:rPr>
        <w:footnoteReference w:id="25"/>
      </w:r>
      <w:r>
        <w:rPr>
          <w:color w:val="000000"/>
          <w:sz w:val="22"/>
          <w:szCs w:val="22"/>
        </w:rPr>
        <w:t xml:space="preserve">  Thus, no party is</w:t>
      </w:r>
      <w:r w:rsidRPr="00046E9D">
        <w:rPr>
          <w:color w:val="000000"/>
          <w:sz w:val="22"/>
          <w:szCs w:val="22"/>
        </w:rPr>
        <w:t xml:space="preserve"> manufacturing, marketing, or selling VLUs with a wideband mode</w:t>
      </w:r>
      <w:r>
        <w:rPr>
          <w:color w:val="000000"/>
          <w:sz w:val="22"/>
          <w:szCs w:val="22"/>
        </w:rPr>
        <w:t>.</w:t>
      </w:r>
      <w:r>
        <w:rPr>
          <w:rStyle w:val="FootnoteReference"/>
          <w:color w:val="000000"/>
          <w:sz w:val="22"/>
          <w:szCs w:val="22"/>
        </w:rPr>
        <w:footnoteReference w:id="26"/>
      </w:r>
      <w:r w:rsidRPr="00305AB5" w:rsidDel="00C415FC">
        <w:rPr>
          <w:color w:val="000000"/>
          <w:sz w:val="22"/>
          <w:szCs w:val="22"/>
        </w:rPr>
        <w:t xml:space="preserve"> </w:t>
      </w:r>
      <w:r w:rsidRPr="00305AB5">
        <w:rPr>
          <w:color w:val="000000"/>
          <w:sz w:val="22"/>
          <w:szCs w:val="22"/>
        </w:rPr>
        <w:t xml:space="preserve"> </w:t>
      </w:r>
    </w:p>
    <w:p w:rsidR="009415F4" w:rsidRPr="00305AB5" w:rsidRDefault="009415F4" w:rsidP="00306464">
      <w:pPr>
        <w:ind w:firstLine="720"/>
        <w:rPr>
          <w:color w:val="000000"/>
          <w:sz w:val="22"/>
          <w:szCs w:val="22"/>
        </w:rPr>
      </w:pPr>
    </w:p>
    <w:p w:rsidR="009415F4" w:rsidRPr="00305AB5" w:rsidRDefault="009415F4" w:rsidP="00306464">
      <w:pPr>
        <w:ind w:firstLine="720"/>
        <w:rPr>
          <w:color w:val="000000"/>
          <w:sz w:val="22"/>
          <w:szCs w:val="22"/>
        </w:rPr>
      </w:pPr>
      <w:r w:rsidRPr="00305AB5">
        <w:rPr>
          <w:color w:val="000000"/>
          <w:sz w:val="22"/>
          <w:szCs w:val="22"/>
        </w:rPr>
        <w:t>Under the first prong of the waiver standard, IAATI states that the purpose of Section 90.20(e)(6) is to provide law enforcement with a means of finding stolen vehicles.</w:t>
      </w:r>
      <w:r w:rsidRPr="00305AB5">
        <w:rPr>
          <w:rStyle w:val="FootnoteReference"/>
          <w:color w:val="000000"/>
          <w:sz w:val="22"/>
          <w:szCs w:val="22"/>
        </w:rPr>
        <w:footnoteReference w:id="27"/>
      </w:r>
      <w:r w:rsidRPr="00305AB5">
        <w:rPr>
          <w:color w:val="000000"/>
          <w:sz w:val="22"/>
          <w:szCs w:val="22"/>
        </w:rPr>
        <w:t xml:space="preserve">  IAATI argues that application of the rule would frustrate </w:t>
      </w:r>
      <w:r>
        <w:rPr>
          <w:color w:val="000000"/>
          <w:sz w:val="22"/>
          <w:szCs w:val="22"/>
        </w:rPr>
        <w:t>its</w:t>
      </w:r>
      <w:r w:rsidRPr="00305AB5">
        <w:rPr>
          <w:color w:val="000000"/>
          <w:sz w:val="22"/>
          <w:szCs w:val="22"/>
        </w:rPr>
        <w:t xml:space="preserve"> </w:t>
      </w:r>
      <w:r>
        <w:rPr>
          <w:color w:val="000000"/>
          <w:sz w:val="22"/>
          <w:szCs w:val="22"/>
        </w:rPr>
        <w:t>purpose</w:t>
      </w:r>
      <w:r w:rsidRPr="00305AB5">
        <w:rPr>
          <w:color w:val="000000"/>
          <w:sz w:val="22"/>
          <w:szCs w:val="22"/>
        </w:rPr>
        <w:t xml:space="preserve">, </w:t>
      </w:r>
      <w:r>
        <w:rPr>
          <w:color w:val="000000"/>
          <w:sz w:val="22"/>
          <w:szCs w:val="22"/>
        </w:rPr>
        <w:t xml:space="preserve">because </w:t>
      </w:r>
      <w:r w:rsidRPr="00305AB5">
        <w:rPr>
          <w:color w:val="000000"/>
          <w:sz w:val="22"/>
          <w:szCs w:val="22"/>
        </w:rPr>
        <w:t xml:space="preserve">it </w:t>
      </w:r>
      <w:r>
        <w:rPr>
          <w:color w:val="000000"/>
          <w:sz w:val="22"/>
          <w:szCs w:val="22"/>
        </w:rPr>
        <w:t xml:space="preserve">is in the public interest for </w:t>
      </w:r>
      <w:r w:rsidRPr="00305AB5">
        <w:rPr>
          <w:color w:val="000000"/>
          <w:sz w:val="22"/>
          <w:szCs w:val="22"/>
        </w:rPr>
        <w:t>law enforcement to continue to search for stolen vehicles</w:t>
      </w:r>
      <w:r>
        <w:rPr>
          <w:color w:val="000000"/>
          <w:sz w:val="22"/>
          <w:szCs w:val="22"/>
        </w:rPr>
        <w:t xml:space="preserve"> equipped with wideband VLUs</w:t>
      </w:r>
      <w:r w:rsidRPr="00305AB5">
        <w:rPr>
          <w:color w:val="000000"/>
          <w:sz w:val="22"/>
          <w:szCs w:val="22"/>
        </w:rPr>
        <w:t xml:space="preserve"> for as long as </w:t>
      </w:r>
      <w:r>
        <w:rPr>
          <w:color w:val="000000"/>
          <w:sz w:val="22"/>
          <w:szCs w:val="22"/>
        </w:rPr>
        <w:t>wideband VLUs</w:t>
      </w:r>
      <w:r w:rsidRPr="00305AB5">
        <w:rPr>
          <w:color w:val="000000"/>
          <w:sz w:val="22"/>
          <w:szCs w:val="22"/>
        </w:rPr>
        <w:t xml:space="preserve"> are in use.</w:t>
      </w:r>
      <w:r w:rsidRPr="00305AB5">
        <w:rPr>
          <w:rStyle w:val="FootnoteReference"/>
          <w:color w:val="000000"/>
          <w:sz w:val="22"/>
          <w:szCs w:val="22"/>
        </w:rPr>
        <w:footnoteReference w:id="28"/>
      </w:r>
      <w:r w:rsidRPr="00305AB5">
        <w:rPr>
          <w:color w:val="000000"/>
          <w:sz w:val="22"/>
          <w:szCs w:val="22"/>
        </w:rPr>
        <w:t xml:space="preserve">  IAATI avers that grant of the waiver would serve the purpose of the rule</w:t>
      </w:r>
      <w:r>
        <w:rPr>
          <w:color w:val="000000"/>
          <w:sz w:val="22"/>
          <w:szCs w:val="22"/>
        </w:rPr>
        <w:t xml:space="preserve">, </w:t>
      </w:r>
      <w:r w:rsidRPr="00645BB0">
        <w:rPr>
          <w:i/>
          <w:color w:val="000000"/>
          <w:sz w:val="22"/>
          <w:szCs w:val="22"/>
        </w:rPr>
        <w:t>i.e.</w:t>
      </w:r>
      <w:r w:rsidRPr="00305AB5">
        <w:rPr>
          <w:color w:val="000000"/>
          <w:sz w:val="22"/>
          <w:szCs w:val="22"/>
        </w:rPr>
        <w:t xml:space="preserve"> to fulfill its </w:t>
      </w:r>
      <w:r>
        <w:rPr>
          <w:color w:val="000000"/>
          <w:sz w:val="22"/>
          <w:szCs w:val="22"/>
        </w:rPr>
        <w:t xml:space="preserve">members’ </w:t>
      </w:r>
      <w:r w:rsidRPr="00305AB5">
        <w:rPr>
          <w:color w:val="000000"/>
          <w:sz w:val="22"/>
          <w:szCs w:val="22"/>
        </w:rPr>
        <w:t xml:space="preserve">duty </w:t>
      </w:r>
      <w:r>
        <w:rPr>
          <w:color w:val="000000"/>
          <w:sz w:val="22"/>
          <w:szCs w:val="22"/>
        </w:rPr>
        <w:t xml:space="preserve">to </w:t>
      </w:r>
      <w:r w:rsidRPr="00305AB5">
        <w:rPr>
          <w:color w:val="000000"/>
          <w:sz w:val="22"/>
          <w:szCs w:val="22"/>
        </w:rPr>
        <w:t>find missing vehicles at high risk for theft, which additionally reduces other crime by leading law enforcement to other criminal activities.</w:t>
      </w:r>
      <w:r w:rsidRPr="00305AB5">
        <w:rPr>
          <w:rStyle w:val="FootnoteReference"/>
          <w:color w:val="000000"/>
          <w:sz w:val="22"/>
          <w:szCs w:val="22"/>
        </w:rPr>
        <w:footnoteReference w:id="29"/>
      </w:r>
      <w:r w:rsidRPr="00305AB5">
        <w:rPr>
          <w:color w:val="000000"/>
          <w:sz w:val="22"/>
          <w:szCs w:val="22"/>
        </w:rPr>
        <w:t xml:space="preserve">  </w:t>
      </w:r>
    </w:p>
    <w:p w:rsidR="009415F4" w:rsidRPr="00305AB5" w:rsidRDefault="009415F4" w:rsidP="00306464">
      <w:pPr>
        <w:ind w:firstLine="720"/>
        <w:rPr>
          <w:color w:val="000000"/>
          <w:sz w:val="22"/>
          <w:szCs w:val="22"/>
        </w:rPr>
      </w:pPr>
    </w:p>
    <w:p w:rsidR="009415F4" w:rsidRPr="00305AB5" w:rsidRDefault="009415F4" w:rsidP="00306464">
      <w:pPr>
        <w:ind w:firstLine="720"/>
        <w:rPr>
          <w:color w:val="000000"/>
          <w:sz w:val="22"/>
          <w:szCs w:val="22"/>
        </w:rPr>
      </w:pPr>
      <w:r w:rsidRPr="00305AB5">
        <w:rPr>
          <w:color w:val="000000"/>
          <w:sz w:val="22"/>
          <w:szCs w:val="22"/>
        </w:rPr>
        <w:t>Moreover, LoJack states in its support letter that it is not feasible to recall and replace wideband VLUs that will be in the field after the 2019 deadline.</w:t>
      </w:r>
      <w:r w:rsidRPr="00305AB5">
        <w:rPr>
          <w:rStyle w:val="FootnoteReference"/>
          <w:color w:val="000000"/>
          <w:sz w:val="22"/>
          <w:szCs w:val="22"/>
        </w:rPr>
        <w:footnoteReference w:id="30"/>
      </w:r>
      <w:r w:rsidRPr="00305AB5">
        <w:rPr>
          <w:color w:val="000000"/>
          <w:sz w:val="22"/>
          <w:szCs w:val="22"/>
        </w:rPr>
        <w:t xml:space="preserve">  Most of those vehicles will no longer be with the original owners, and LoJack does not have any way to identify and contact the new owners.</w:t>
      </w:r>
      <w:r w:rsidRPr="00305AB5">
        <w:rPr>
          <w:rStyle w:val="FootnoteReference"/>
          <w:color w:val="000000"/>
          <w:sz w:val="22"/>
          <w:szCs w:val="22"/>
        </w:rPr>
        <w:footnoteReference w:id="31"/>
      </w:r>
    </w:p>
    <w:p w:rsidR="009415F4" w:rsidRDefault="009415F4" w:rsidP="007C64AD">
      <w:pPr>
        <w:rPr>
          <w:sz w:val="22"/>
          <w:szCs w:val="22"/>
        </w:rPr>
      </w:pPr>
    </w:p>
    <w:p w:rsidR="009415F4" w:rsidRDefault="009415F4" w:rsidP="00885C3B">
      <w:pPr>
        <w:ind w:firstLine="720"/>
      </w:pPr>
      <w:r w:rsidRPr="001D6AE3">
        <w:rPr>
          <w:sz w:val="22"/>
          <w:szCs w:val="22"/>
        </w:rPr>
        <w:t>Given the VLU operating parameters we described above</w:t>
      </w:r>
      <w:r>
        <w:rPr>
          <w:sz w:val="22"/>
          <w:szCs w:val="22"/>
        </w:rPr>
        <w:t xml:space="preserve"> and eventual attrition of the wideband VLU installed base</w:t>
      </w:r>
      <w:r w:rsidRPr="001D6AE3">
        <w:rPr>
          <w:sz w:val="22"/>
          <w:szCs w:val="22"/>
        </w:rPr>
        <w:t>, we seek comment</w:t>
      </w:r>
      <w:r>
        <w:rPr>
          <w:sz w:val="22"/>
          <w:szCs w:val="22"/>
        </w:rPr>
        <w:t xml:space="preserve"> </w:t>
      </w:r>
      <w:r w:rsidRPr="001D6AE3">
        <w:rPr>
          <w:sz w:val="22"/>
          <w:szCs w:val="22"/>
        </w:rPr>
        <w:t xml:space="preserve">on the extent of anticipated adjacent channel interference </w:t>
      </w:r>
      <w:r>
        <w:rPr>
          <w:sz w:val="22"/>
          <w:szCs w:val="22"/>
        </w:rPr>
        <w:t xml:space="preserve">to federal users operating adjacent to 173.075 MHz </w:t>
      </w:r>
      <w:r w:rsidRPr="001D6AE3">
        <w:rPr>
          <w:sz w:val="22"/>
          <w:szCs w:val="22"/>
        </w:rPr>
        <w:t>from wideband VLUs after May 27, 2019.</w:t>
      </w:r>
      <w:r>
        <w:rPr>
          <w:rStyle w:val="FootnoteReference"/>
          <w:sz w:val="22"/>
          <w:szCs w:val="22"/>
        </w:rPr>
        <w:footnoteReference w:id="32"/>
      </w:r>
      <w:r w:rsidRPr="001D6AE3">
        <w:rPr>
          <w:sz w:val="22"/>
          <w:szCs w:val="22"/>
        </w:rPr>
        <w:t xml:space="preserve">  We also seek comment on </w:t>
      </w:r>
      <w:r>
        <w:rPr>
          <w:sz w:val="22"/>
          <w:szCs w:val="22"/>
        </w:rPr>
        <w:t>the indefinite aspect of the waiver request.  If an extension of the deadline is warranted, should</w:t>
      </w:r>
      <w:r w:rsidRPr="001D6AE3">
        <w:rPr>
          <w:sz w:val="22"/>
          <w:szCs w:val="22"/>
        </w:rPr>
        <w:t xml:space="preserve"> the </w:t>
      </w:r>
      <w:r>
        <w:rPr>
          <w:sz w:val="22"/>
          <w:szCs w:val="22"/>
        </w:rPr>
        <w:t>Bureau</w:t>
      </w:r>
      <w:r w:rsidRPr="001D6AE3">
        <w:rPr>
          <w:sz w:val="22"/>
          <w:szCs w:val="22"/>
        </w:rPr>
        <w:t xml:space="preserve"> </w:t>
      </w:r>
      <w:r>
        <w:rPr>
          <w:sz w:val="22"/>
          <w:szCs w:val="22"/>
        </w:rPr>
        <w:t xml:space="preserve">instead </w:t>
      </w:r>
      <w:r w:rsidRPr="001D6AE3">
        <w:rPr>
          <w:sz w:val="22"/>
          <w:szCs w:val="22"/>
        </w:rPr>
        <w:t xml:space="preserve">limit </w:t>
      </w:r>
      <w:r>
        <w:rPr>
          <w:sz w:val="22"/>
          <w:szCs w:val="22"/>
        </w:rPr>
        <w:t>a</w:t>
      </w:r>
      <w:r w:rsidRPr="001D6AE3">
        <w:rPr>
          <w:sz w:val="22"/>
          <w:szCs w:val="22"/>
        </w:rPr>
        <w:t xml:space="preserve"> waiver by setting a </w:t>
      </w:r>
      <w:r>
        <w:rPr>
          <w:sz w:val="22"/>
          <w:szCs w:val="22"/>
        </w:rPr>
        <w:t xml:space="preserve">new </w:t>
      </w:r>
      <w:r w:rsidRPr="001D6AE3">
        <w:rPr>
          <w:sz w:val="22"/>
          <w:szCs w:val="22"/>
        </w:rPr>
        <w:t>narrowband deadline</w:t>
      </w:r>
      <w:r>
        <w:rPr>
          <w:sz w:val="22"/>
          <w:szCs w:val="22"/>
        </w:rPr>
        <w:t xml:space="preserve"> for SVRS mobile units at</w:t>
      </w:r>
      <w:r w:rsidRPr="001D6AE3">
        <w:rPr>
          <w:sz w:val="22"/>
          <w:szCs w:val="22"/>
        </w:rPr>
        <w:t xml:space="preserve"> a certai</w:t>
      </w:r>
      <w:r>
        <w:rPr>
          <w:sz w:val="22"/>
          <w:szCs w:val="22"/>
        </w:rPr>
        <w:t xml:space="preserve">n number of years beyond 2019?  If so, what deadline would be appropriate to balance the attrition of the installed base of wideband VLUs?  Would setting a deadline merely defer the problem only to necessitate a subsequent request for waiver?  </w:t>
      </w:r>
      <w:r w:rsidRPr="00686562">
        <w:rPr>
          <w:sz w:val="22"/>
          <w:szCs w:val="22"/>
        </w:rPr>
        <w:t>What is the impact of transitioning to narrowband operation if a new narrowband deadline for SVRS mobile units is not established?</w:t>
      </w:r>
      <w:r>
        <w:rPr>
          <w:sz w:val="22"/>
          <w:szCs w:val="22"/>
        </w:rPr>
        <w:t xml:space="preserve">  How would granting an indefinite waiver affect the transition of SVRS mobile units to narrowband technology?</w:t>
      </w:r>
    </w:p>
    <w:p w:rsidR="009415F4" w:rsidRPr="001D6AE3" w:rsidRDefault="009415F4" w:rsidP="001D6AE3">
      <w:pPr>
        <w:ind w:firstLine="720"/>
        <w:rPr>
          <w:sz w:val="22"/>
          <w:szCs w:val="22"/>
        </w:rPr>
      </w:pPr>
    </w:p>
    <w:p w:rsidR="009415F4" w:rsidRPr="00305AB5" w:rsidRDefault="009415F4" w:rsidP="008045E3">
      <w:pPr>
        <w:rPr>
          <w:b/>
          <w:sz w:val="22"/>
          <w:szCs w:val="22"/>
        </w:rPr>
      </w:pPr>
      <w:r w:rsidRPr="00305AB5">
        <w:rPr>
          <w:b/>
          <w:sz w:val="22"/>
          <w:szCs w:val="22"/>
        </w:rPr>
        <w:t>Procedural Matters</w:t>
      </w:r>
    </w:p>
    <w:p w:rsidR="009415F4" w:rsidRPr="00305AB5" w:rsidRDefault="009415F4" w:rsidP="00870F5F">
      <w:pPr>
        <w:ind w:firstLine="720"/>
        <w:rPr>
          <w:sz w:val="22"/>
          <w:szCs w:val="22"/>
        </w:rPr>
      </w:pPr>
    </w:p>
    <w:p w:rsidR="009415F4" w:rsidRPr="00305AB5" w:rsidRDefault="009415F4" w:rsidP="00305AB5">
      <w:pPr>
        <w:pStyle w:val="ParaNum0"/>
        <w:widowControl w:val="0"/>
        <w:numPr>
          <w:ilvl w:val="0"/>
          <w:numId w:val="0"/>
        </w:numPr>
        <w:tabs>
          <w:tab w:val="num" w:pos="1440"/>
        </w:tabs>
        <w:spacing w:after="120"/>
        <w:ind w:firstLine="720"/>
        <w:rPr>
          <w:szCs w:val="22"/>
        </w:rPr>
      </w:pPr>
      <w:bookmarkStart w:id="1" w:name="_Ref339017195"/>
      <w:bookmarkStart w:id="2" w:name="_Ref101766572"/>
      <w:r w:rsidRPr="00305AB5">
        <w:rPr>
          <w:szCs w:val="22"/>
        </w:rPr>
        <w:t xml:space="preserve">Pursuant to sections 1.415 and 1.419 of the Commission’s rules, 47 CFR §§ 1.415, 1.419, interested parties may file comments and reply comments on or before the dates indicated on the first page of this document.  </w:t>
      </w:r>
      <w:r w:rsidRPr="00305AB5">
        <w:rPr>
          <w:rStyle w:val="StyleParaNum11ptCharCharCharCharCharCharCharCharCharCharCharCharCharCharCharCharCharCharCharCharCharCharCharCharCharCharCharCharCharCharCharCharCharCharCharCharCharCharCharCharCharCharChar"/>
          <w:b/>
          <w:szCs w:val="22"/>
        </w:rPr>
        <w:t xml:space="preserve">All filings related to this Notice of Proposed Rulemaking should refer to </w:t>
      </w:r>
      <w:r w:rsidRPr="00305AB5">
        <w:rPr>
          <w:b/>
          <w:spacing w:val="-2"/>
          <w:szCs w:val="22"/>
        </w:rPr>
        <w:t>PS Docket No. 13-</w:t>
      </w:r>
      <w:r w:rsidRPr="00361A04">
        <w:rPr>
          <w:b/>
          <w:bCs/>
          <w:spacing w:val="-2"/>
          <w:szCs w:val="22"/>
        </w:rPr>
        <w:t>281</w:t>
      </w:r>
      <w:r w:rsidRPr="00305AB5">
        <w:rPr>
          <w:rStyle w:val="StyleParaNum11ptCharCharCharCharCharCharCharCharCharCharCharCharCharCharCharCharCharCharCharCharCharCharCharCharCharCharCharCharCharCharCharCharCharCharCharCharCharCharCharCharCharCharChar"/>
          <w:b/>
          <w:szCs w:val="22"/>
        </w:rPr>
        <w:t>.</w:t>
      </w:r>
      <w:bookmarkEnd w:id="1"/>
    </w:p>
    <w:p w:rsidR="009415F4" w:rsidRPr="00305AB5" w:rsidRDefault="009415F4" w:rsidP="000A4FFA">
      <w:pPr>
        <w:numPr>
          <w:ilvl w:val="0"/>
          <w:numId w:val="29"/>
        </w:numPr>
        <w:rPr>
          <w:sz w:val="22"/>
          <w:szCs w:val="22"/>
        </w:rPr>
      </w:pPr>
      <w:r w:rsidRPr="00305AB5">
        <w:rPr>
          <w:sz w:val="22"/>
          <w:szCs w:val="22"/>
        </w:rPr>
        <w:t xml:space="preserve">Electronic Filers:  Comments may be filed electronically using the Internet by accessing the </w:t>
      </w:r>
      <w:r w:rsidRPr="005642D5">
        <w:rPr>
          <w:sz w:val="22"/>
          <w:szCs w:val="22"/>
        </w:rPr>
        <w:t>ECFS:  http://apps.fcc.gov/ecfs</w:t>
      </w:r>
      <w:r w:rsidR="00FA2248">
        <w:rPr>
          <w:sz w:val="22"/>
          <w:szCs w:val="22"/>
        </w:rPr>
        <w:t>.</w:t>
      </w:r>
    </w:p>
    <w:p w:rsidR="009415F4" w:rsidRPr="00305AB5" w:rsidRDefault="009415F4" w:rsidP="00305AB5">
      <w:pPr>
        <w:rPr>
          <w:sz w:val="22"/>
          <w:szCs w:val="22"/>
        </w:rPr>
      </w:pPr>
    </w:p>
    <w:p w:rsidR="009415F4" w:rsidRPr="00305AB5" w:rsidRDefault="009415F4" w:rsidP="00305AB5">
      <w:pPr>
        <w:numPr>
          <w:ilvl w:val="0"/>
          <w:numId w:val="27"/>
        </w:numPr>
        <w:rPr>
          <w:sz w:val="22"/>
          <w:szCs w:val="22"/>
        </w:rPr>
      </w:pPr>
      <w:r w:rsidRPr="00305AB5">
        <w:rPr>
          <w:sz w:val="22"/>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415F4" w:rsidRPr="00305AB5" w:rsidRDefault="009415F4" w:rsidP="00305AB5">
      <w:pPr>
        <w:rPr>
          <w:sz w:val="22"/>
          <w:szCs w:val="22"/>
        </w:rPr>
      </w:pPr>
    </w:p>
    <w:p w:rsidR="009415F4" w:rsidRPr="00305AB5" w:rsidRDefault="009415F4" w:rsidP="00305AB5">
      <w:pPr>
        <w:ind w:left="720"/>
        <w:rPr>
          <w:sz w:val="22"/>
          <w:szCs w:val="22"/>
        </w:rPr>
      </w:pPr>
      <w:r w:rsidRPr="00305AB5">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415F4" w:rsidRPr="00305AB5" w:rsidRDefault="009415F4" w:rsidP="00305AB5">
      <w:pPr>
        <w:rPr>
          <w:sz w:val="22"/>
          <w:szCs w:val="22"/>
        </w:rPr>
      </w:pPr>
    </w:p>
    <w:p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All hand-delivered or messenger-delivered paper filings for the Commission’s Secretary must be delivered to FCC Headquarters at 445 12</w:t>
      </w:r>
      <w:r w:rsidRPr="00305AB5">
        <w:rPr>
          <w:sz w:val="22"/>
          <w:szCs w:val="22"/>
          <w:vertAlign w:val="superscript"/>
        </w:rPr>
        <w:t>th</w:t>
      </w:r>
      <w:r w:rsidRPr="00305AB5">
        <w:rPr>
          <w:sz w:val="22"/>
          <w:szCs w:val="22"/>
        </w:rPr>
        <w:t xml:space="preserve"> St., SW, Room TW-A325, Washington, DC 20554.  The filing hours are 8:00 a.m. to 7:00 p.m.  All hand deliveries must be held together with rubber bands or fasteners.  Any envelopes and boxes must be disposed of </w:t>
      </w:r>
      <w:r w:rsidRPr="00305AB5">
        <w:rPr>
          <w:sz w:val="22"/>
          <w:szCs w:val="22"/>
          <w:u w:val="single"/>
        </w:rPr>
        <w:t>before</w:t>
      </w:r>
      <w:r w:rsidRPr="00305AB5">
        <w:rPr>
          <w:sz w:val="22"/>
          <w:szCs w:val="22"/>
        </w:rPr>
        <w:t xml:space="preserve"> entering the building.  </w:t>
      </w:r>
    </w:p>
    <w:p w:rsidR="009415F4" w:rsidRPr="00305AB5" w:rsidRDefault="009415F4" w:rsidP="00305AB5">
      <w:pPr>
        <w:ind w:left="1080"/>
        <w:rPr>
          <w:sz w:val="22"/>
          <w:szCs w:val="22"/>
        </w:rPr>
      </w:pPr>
    </w:p>
    <w:p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Commercial overnight mail (other than U.S. Postal Service Express Mail and Priority Mail) must be sent to 9300 East Hampton Drive, Capitol Heights, MD  20743.</w:t>
      </w:r>
    </w:p>
    <w:p w:rsidR="009415F4" w:rsidRPr="00305AB5" w:rsidRDefault="009415F4" w:rsidP="00305AB5">
      <w:pPr>
        <w:rPr>
          <w:sz w:val="22"/>
          <w:szCs w:val="22"/>
        </w:rPr>
      </w:pPr>
    </w:p>
    <w:p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U.S. Postal Service first-class, Express, and Priority mail must be addressed to 445 12</w:t>
      </w:r>
      <w:r w:rsidRPr="00305AB5">
        <w:rPr>
          <w:sz w:val="22"/>
          <w:szCs w:val="22"/>
          <w:vertAlign w:val="superscript"/>
        </w:rPr>
        <w:t>th</w:t>
      </w:r>
      <w:r w:rsidRPr="00305AB5">
        <w:rPr>
          <w:sz w:val="22"/>
          <w:szCs w:val="22"/>
        </w:rPr>
        <w:t xml:space="preserve"> Street, SW, Washington DC  20554.</w:t>
      </w:r>
    </w:p>
    <w:p w:rsidR="009415F4" w:rsidRPr="00305AB5" w:rsidRDefault="009415F4" w:rsidP="00305AB5">
      <w:pPr>
        <w:rPr>
          <w:sz w:val="22"/>
          <w:szCs w:val="22"/>
        </w:rPr>
      </w:pPr>
    </w:p>
    <w:bookmarkEnd w:id="2"/>
    <w:p w:rsidR="009415F4" w:rsidRPr="00305AB5" w:rsidRDefault="009415F4" w:rsidP="000245E2">
      <w:pPr>
        <w:ind w:firstLine="720"/>
        <w:rPr>
          <w:rFonts w:eastAsia="Batang" w:cs="Batang"/>
          <w:sz w:val="22"/>
          <w:szCs w:val="22"/>
        </w:rPr>
      </w:pPr>
      <w:r w:rsidRPr="00305AB5">
        <w:rPr>
          <w:sz w:val="22"/>
          <w:szCs w:val="22"/>
        </w:rPr>
        <w:t xml:space="preserve">Parties may access documents submitted in </w:t>
      </w:r>
      <w:r>
        <w:rPr>
          <w:b/>
          <w:iCs/>
          <w:sz w:val="22"/>
          <w:szCs w:val="22"/>
        </w:rPr>
        <w:t>PS Docket No. 13-</w:t>
      </w:r>
      <w:r w:rsidRPr="00361A04">
        <w:rPr>
          <w:b/>
          <w:bCs/>
          <w:iCs/>
          <w:sz w:val="22"/>
          <w:szCs w:val="22"/>
        </w:rPr>
        <w:t>281</w:t>
      </w:r>
      <w:r w:rsidRPr="00305AB5">
        <w:rPr>
          <w:iCs/>
          <w:sz w:val="22"/>
          <w:szCs w:val="22"/>
        </w:rPr>
        <w:t>,</w:t>
      </w:r>
      <w:r w:rsidRPr="00305AB5">
        <w:rPr>
          <w:b/>
          <w:iCs/>
          <w:sz w:val="22"/>
          <w:szCs w:val="22"/>
        </w:rPr>
        <w:t xml:space="preserve"> </w:t>
      </w:r>
      <w:r w:rsidRPr="00305AB5">
        <w:rPr>
          <w:iCs/>
          <w:sz w:val="22"/>
          <w:szCs w:val="22"/>
        </w:rPr>
        <w:t xml:space="preserve">including the </w:t>
      </w:r>
      <w:r w:rsidR="001B409F" w:rsidRPr="001B409F">
        <w:rPr>
          <w:iCs/>
          <w:sz w:val="22"/>
          <w:szCs w:val="22"/>
        </w:rPr>
        <w:t>request for partial waiver</w:t>
      </w:r>
      <w:r w:rsidRPr="00305AB5">
        <w:rPr>
          <w:iCs/>
          <w:sz w:val="22"/>
          <w:szCs w:val="22"/>
        </w:rPr>
        <w:t>, by visiting the Commission’s</w:t>
      </w:r>
      <w:r w:rsidRPr="00305AB5">
        <w:rPr>
          <w:b/>
          <w:iCs/>
          <w:sz w:val="22"/>
          <w:szCs w:val="22"/>
        </w:rPr>
        <w:t xml:space="preserve"> </w:t>
      </w:r>
      <w:r w:rsidRPr="00305AB5">
        <w:rPr>
          <w:rFonts w:cs="Courier New"/>
          <w:sz w:val="22"/>
          <w:szCs w:val="22"/>
        </w:rPr>
        <w:t xml:space="preserve">ECFS and inputting </w:t>
      </w:r>
      <w:r w:rsidRPr="008F1D7C">
        <w:rPr>
          <w:b/>
          <w:iCs/>
          <w:sz w:val="22"/>
          <w:szCs w:val="22"/>
        </w:rPr>
        <w:t>13-</w:t>
      </w:r>
      <w:r w:rsidRPr="00361A04">
        <w:rPr>
          <w:b/>
          <w:bCs/>
          <w:iCs/>
          <w:sz w:val="22"/>
          <w:szCs w:val="22"/>
        </w:rPr>
        <w:t>281</w:t>
      </w:r>
      <w:r w:rsidRPr="00305AB5">
        <w:rPr>
          <w:iCs/>
          <w:sz w:val="22"/>
          <w:szCs w:val="22"/>
        </w:rPr>
        <w:t xml:space="preserve"> </w:t>
      </w:r>
      <w:r w:rsidRPr="00305AB5">
        <w:rPr>
          <w:rFonts w:cs="Courier New"/>
          <w:sz w:val="22"/>
          <w:szCs w:val="22"/>
        </w:rPr>
        <w:t xml:space="preserve">in the “Proceeding” search field.  These documents are also </w:t>
      </w:r>
      <w:r w:rsidRPr="00305AB5">
        <w:rPr>
          <w:sz w:val="22"/>
          <w:szCs w:val="22"/>
        </w:rPr>
        <w:t>available for public inspection and copying during business hours at the FCC Reference Information Center, Portals II, 445 12th St. SW, Room CY</w:t>
      </w:r>
      <w:r w:rsidRPr="00305AB5">
        <w:rPr>
          <w:sz w:val="22"/>
          <w:szCs w:val="22"/>
        </w:rPr>
        <w:noBreakHyphen/>
        <w:t>A257, Washington, D.C.</w:t>
      </w:r>
      <w:r w:rsidRPr="00305AB5">
        <w:rPr>
          <w:b/>
          <w:sz w:val="22"/>
          <w:szCs w:val="22"/>
        </w:rPr>
        <w:t xml:space="preserve"> </w:t>
      </w:r>
      <w:r w:rsidRPr="00305AB5">
        <w:rPr>
          <w:sz w:val="22"/>
          <w:szCs w:val="22"/>
        </w:rPr>
        <w:t xml:space="preserve">20554.  The documents may also be purchased from BCPI.  </w:t>
      </w:r>
      <w:r w:rsidRPr="00305AB5">
        <w:rPr>
          <w:rFonts w:cs="Courier New"/>
          <w:sz w:val="22"/>
          <w:szCs w:val="22"/>
        </w:rPr>
        <w:t>Email fcc504@fcc.gov or call the Consumer &amp; Governmental Affairs Bureau, (voice) (202) 418-0530, (TTY) (202)-418-0432 to request materials in formats accessible to people with disabilities, e.g. Braille, large print, electronic files, audio format.</w:t>
      </w:r>
    </w:p>
    <w:p w:rsidR="009415F4" w:rsidRPr="00305AB5" w:rsidRDefault="009415F4" w:rsidP="00870F5F">
      <w:pPr>
        <w:rPr>
          <w:sz w:val="22"/>
          <w:szCs w:val="22"/>
        </w:rPr>
      </w:pPr>
    </w:p>
    <w:p w:rsidR="009415F4" w:rsidRPr="00305AB5" w:rsidRDefault="009415F4" w:rsidP="00870F5F">
      <w:pPr>
        <w:rPr>
          <w:sz w:val="22"/>
          <w:szCs w:val="22"/>
        </w:rPr>
      </w:pPr>
      <w:r w:rsidRPr="00305AB5">
        <w:rPr>
          <w:sz w:val="22"/>
          <w:szCs w:val="22"/>
        </w:rPr>
        <w:tab/>
        <w:t xml:space="preserve">Because of the policy implications and potential impact of this proceeding on persons not party to the Application, it is in the public interest to treat this case as a permit-but-disclose proceeding under the </w:t>
      </w:r>
      <w:r w:rsidRPr="00305AB5">
        <w:rPr>
          <w:i/>
          <w:sz w:val="22"/>
          <w:szCs w:val="22"/>
        </w:rPr>
        <w:t>ex parte</w:t>
      </w:r>
      <w:r w:rsidRPr="00305AB5">
        <w:rPr>
          <w:sz w:val="22"/>
          <w:szCs w:val="22"/>
        </w:rPr>
        <w:t xml:space="preserve"> rules.  </w:t>
      </w:r>
      <w:r w:rsidRPr="00305AB5">
        <w:rPr>
          <w:i/>
          <w:sz w:val="22"/>
          <w:szCs w:val="22"/>
        </w:rPr>
        <w:t>See</w:t>
      </w:r>
      <w:r w:rsidRPr="00305AB5">
        <w:rPr>
          <w:sz w:val="22"/>
          <w:szCs w:val="22"/>
        </w:rPr>
        <w:t xml:space="preserve"> Sections 1.1200(a) and 1.1206 of the Commission’s rules, 47 C.F.R. §§ 1.1200(a) and 1.1206.  Therefore, subsequent to the release of this </w:t>
      </w:r>
      <w:r w:rsidRPr="00305AB5">
        <w:rPr>
          <w:i/>
          <w:sz w:val="22"/>
          <w:szCs w:val="22"/>
        </w:rPr>
        <w:t>Public Notice, ex parte</w:t>
      </w:r>
      <w:r w:rsidRPr="00305AB5">
        <w:rPr>
          <w:sz w:val="22"/>
          <w:szCs w:val="22"/>
        </w:rPr>
        <w:t xml:space="preserve"> presentations that are made with respect to the issues involved in the subject waiver request will be allowed, but must be disclosed in accordance with the requirements of Section 1.1206(b) of the Commission’s rules, 47 C.F.R. § 1.1206(b).  </w:t>
      </w:r>
    </w:p>
    <w:p w:rsidR="009415F4" w:rsidRPr="00305AB5" w:rsidRDefault="009415F4" w:rsidP="00870F5F">
      <w:pPr>
        <w:rPr>
          <w:sz w:val="22"/>
          <w:szCs w:val="22"/>
        </w:rPr>
      </w:pPr>
    </w:p>
    <w:p w:rsidR="009415F4" w:rsidRPr="00305AB5" w:rsidRDefault="009415F4" w:rsidP="00870F5F">
      <w:pPr>
        <w:ind w:firstLine="720"/>
        <w:rPr>
          <w:sz w:val="22"/>
          <w:szCs w:val="22"/>
        </w:rPr>
      </w:pPr>
      <w:r w:rsidRPr="00305AB5">
        <w:rPr>
          <w:sz w:val="22"/>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9415F4" w:rsidRPr="00305AB5" w:rsidRDefault="009415F4" w:rsidP="00870F5F">
      <w:pPr>
        <w:rPr>
          <w:sz w:val="22"/>
          <w:szCs w:val="22"/>
        </w:rPr>
      </w:pPr>
    </w:p>
    <w:p w:rsidR="009415F4" w:rsidRPr="00305AB5" w:rsidRDefault="009415F4" w:rsidP="00870F5F">
      <w:pPr>
        <w:ind w:firstLine="720"/>
        <w:rPr>
          <w:rFonts w:eastAsia="MS Mincho"/>
          <w:sz w:val="22"/>
          <w:szCs w:val="22"/>
        </w:rPr>
      </w:pPr>
      <w:r w:rsidRPr="00305AB5">
        <w:rPr>
          <w:rFonts w:eastAsia="MS Mincho"/>
          <w:sz w:val="22"/>
          <w:szCs w:val="22"/>
        </w:rPr>
        <w:t xml:space="preserve">For further information, contact Mr. Thomas Eng, Policy and Licensing Division, Public Safety and Homeland Security Bureau at (202) 418-0019 (voice), (202) 418-7233 (tty), or via email to </w:t>
      </w:r>
      <w:hyperlink r:id="rId8" w:history="1">
        <w:r w:rsidRPr="00305AB5">
          <w:rPr>
            <w:rStyle w:val="Hyperlink"/>
            <w:rFonts w:eastAsia="MS Mincho"/>
            <w:sz w:val="22"/>
            <w:szCs w:val="22"/>
          </w:rPr>
          <w:t>Thomas.Eng@fcc.gov</w:t>
        </w:r>
      </w:hyperlink>
      <w:r w:rsidRPr="00305AB5">
        <w:rPr>
          <w:rFonts w:eastAsia="MS Mincho"/>
          <w:sz w:val="22"/>
          <w:szCs w:val="22"/>
        </w:rPr>
        <w:t>.</w:t>
      </w:r>
    </w:p>
    <w:p w:rsidR="009415F4" w:rsidRPr="00305AB5" w:rsidRDefault="009415F4" w:rsidP="00870F5F">
      <w:pPr>
        <w:autoSpaceDE w:val="0"/>
        <w:autoSpaceDN w:val="0"/>
        <w:adjustRightInd w:val="0"/>
        <w:rPr>
          <w:color w:val="000000"/>
          <w:sz w:val="22"/>
          <w:szCs w:val="22"/>
        </w:rPr>
      </w:pPr>
    </w:p>
    <w:p w:rsidR="009415F4" w:rsidRPr="00305AB5" w:rsidRDefault="009415F4" w:rsidP="00870F5F">
      <w:pPr>
        <w:ind w:firstLine="720"/>
        <w:rPr>
          <w:sz w:val="22"/>
          <w:szCs w:val="22"/>
        </w:rPr>
      </w:pPr>
      <w:r w:rsidRPr="00305AB5">
        <w:rPr>
          <w:sz w:val="22"/>
          <w:szCs w:val="22"/>
        </w:rPr>
        <w:t>By the Deputy Chief, Public Safety and Homeland Security Bureau.</w:t>
      </w:r>
    </w:p>
    <w:p w:rsidR="009415F4" w:rsidRPr="00305AB5" w:rsidRDefault="009415F4" w:rsidP="00870F5F">
      <w:pPr>
        <w:autoSpaceDE w:val="0"/>
        <w:autoSpaceDN w:val="0"/>
        <w:adjustRightInd w:val="0"/>
        <w:rPr>
          <w:color w:val="000000"/>
          <w:sz w:val="22"/>
          <w:szCs w:val="22"/>
        </w:rPr>
      </w:pPr>
    </w:p>
    <w:p w:rsidR="009415F4" w:rsidRPr="00305AB5" w:rsidRDefault="009415F4" w:rsidP="00870F5F">
      <w:pPr>
        <w:autoSpaceDE w:val="0"/>
        <w:autoSpaceDN w:val="0"/>
        <w:adjustRightInd w:val="0"/>
        <w:jc w:val="center"/>
        <w:rPr>
          <w:color w:val="000000"/>
          <w:sz w:val="22"/>
          <w:szCs w:val="22"/>
        </w:rPr>
      </w:pPr>
      <w:r w:rsidRPr="00305AB5">
        <w:rPr>
          <w:sz w:val="22"/>
          <w:szCs w:val="22"/>
        </w:rPr>
        <w:t>- FCC -</w:t>
      </w:r>
    </w:p>
    <w:p w:rsidR="009415F4" w:rsidRPr="00305AB5" w:rsidRDefault="009415F4" w:rsidP="00870F5F">
      <w:pPr>
        <w:rPr>
          <w:sz w:val="22"/>
          <w:szCs w:val="22"/>
        </w:rPr>
      </w:pPr>
    </w:p>
    <w:sectPr w:rsidR="009415F4" w:rsidRPr="00305AB5" w:rsidSect="00A5361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F4" w:rsidRDefault="009415F4">
      <w:r>
        <w:separator/>
      </w:r>
    </w:p>
  </w:endnote>
  <w:endnote w:type="continuationSeparator" w:id="0">
    <w:p w:rsidR="009415F4" w:rsidRDefault="0094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29" w:rsidRDefault="00C71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F4" w:rsidRDefault="009415F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E10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29" w:rsidRDefault="00C71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F4" w:rsidRDefault="009415F4">
      <w:r>
        <w:separator/>
      </w:r>
    </w:p>
  </w:footnote>
  <w:footnote w:type="continuationSeparator" w:id="0">
    <w:p w:rsidR="009415F4" w:rsidRDefault="009415F4">
      <w:r>
        <w:continuationSeparator/>
      </w:r>
    </w:p>
  </w:footnote>
  <w:footnote w:id="1">
    <w:p w:rsidR="009415F4" w:rsidRDefault="009415F4" w:rsidP="00345C4F">
      <w:pPr>
        <w:pStyle w:val="FootnoteText"/>
      </w:pPr>
      <w:r w:rsidRPr="00870F5F">
        <w:rPr>
          <w:rStyle w:val="FootnoteReference"/>
        </w:rPr>
        <w:footnoteRef/>
      </w:r>
      <w:r w:rsidRPr="00870F5F">
        <w:t xml:space="preserve"> </w:t>
      </w:r>
      <w:r w:rsidRPr="00870F5F">
        <w:rPr>
          <w:i/>
        </w:rPr>
        <w:t>See</w:t>
      </w:r>
      <w:r w:rsidRPr="00870F5F">
        <w:t xml:space="preserve"> </w:t>
      </w:r>
      <w:r>
        <w:t xml:space="preserve">Request for Partial Waiver by the International </w:t>
      </w:r>
      <w:r w:rsidRPr="000A2E22">
        <w:t>Associat</w:t>
      </w:r>
      <w:r>
        <w:t xml:space="preserve">ion of Auto Theft Investigators (dated July 22, 2013) </w:t>
      </w:r>
      <w:r w:rsidRPr="00870F5F">
        <w:t>(Waiver Request).</w:t>
      </w:r>
    </w:p>
  </w:footnote>
  <w:footnote w:id="2">
    <w:p w:rsidR="009415F4" w:rsidRDefault="009415F4" w:rsidP="00870F5F">
      <w:pPr>
        <w:pStyle w:val="FootnoteText"/>
      </w:pPr>
      <w:r w:rsidRPr="00870F5F">
        <w:rPr>
          <w:rStyle w:val="FootnoteReference"/>
        </w:rPr>
        <w:footnoteRef/>
      </w:r>
      <w:r w:rsidRPr="00870F5F">
        <w:t xml:space="preserve"> </w:t>
      </w:r>
      <w:r w:rsidRPr="00870F5F">
        <w:rPr>
          <w:i/>
        </w:rPr>
        <w:t>See</w:t>
      </w:r>
      <w:r w:rsidRPr="00870F5F">
        <w:t xml:space="preserve"> 47 C.F.R. § 1.925.  “The Commission may grant a request for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  47 C.F.R. § 1.925(b)(3).</w:t>
      </w:r>
    </w:p>
  </w:footnote>
  <w:footnote w:id="3">
    <w:p w:rsidR="009415F4" w:rsidRDefault="009415F4">
      <w:pPr>
        <w:pStyle w:val="FootnoteText"/>
      </w:pPr>
      <w:r>
        <w:rPr>
          <w:rStyle w:val="FootnoteReference"/>
        </w:rPr>
        <w:footnoteRef/>
      </w:r>
      <w:r>
        <w:t xml:space="preserve"> </w:t>
      </w:r>
      <w:r w:rsidRPr="00526908">
        <w:t>47 C.F.R. §§ 90.20(e)(6)(ii), 2.106 footnote US312.</w:t>
      </w:r>
    </w:p>
  </w:footnote>
  <w:footnote w:id="4">
    <w:p w:rsidR="009415F4" w:rsidRDefault="009415F4">
      <w:pPr>
        <w:pStyle w:val="FootnoteText"/>
      </w:pPr>
      <w:r>
        <w:rPr>
          <w:rStyle w:val="FootnoteReference"/>
        </w:rPr>
        <w:footnoteRef/>
      </w:r>
      <w:r>
        <w:t xml:space="preserve"> </w:t>
      </w:r>
      <w:r w:rsidRPr="003E1B66">
        <w:t>Waiver Request at</w:t>
      </w:r>
      <w:r>
        <w:t xml:space="preserve"> 1, 4.</w:t>
      </w:r>
    </w:p>
  </w:footnote>
  <w:footnote w:id="5">
    <w:p w:rsidR="009415F4" w:rsidRDefault="009415F4">
      <w:pPr>
        <w:pStyle w:val="FootnoteText"/>
      </w:pPr>
      <w:r>
        <w:rPr>
          <w:rStyle w:val="FootnoteReference"/>
        </w:rPr>
        <w:footnoteRef/>
      </w:r>
      <w:r>
        <w:t xml:space="preserve"> </w:t>
      </w:r>
      <w:r>
        <w:rPr>
          <w:i/>
        </w:rPr>
        <w:t>Id</w:t>
      </w:r>
      <w:r>
        <w:t>. at 1.</w:t>
      </w:r>
    </w:p>
  </w:footnote>
  <w:footnote w:id="6">
    <w:p w:rsidR="009415F4" w:rsidRDefault="009415F4">
      <w:pPr>
        <w:pStyle w:val="FootnoteText"/>
      </w:pPr>
      <w:r>
        <w:rPr>
          <w:rStyle w:val="FootnoteReference"/>
        </w:rPr>
        <w:footnoteRef/>
      </w:r>
      <w:r>
        <w:t xml:space="preserve"> </w:t>
      </w:r>
      <w:r w:rsidRPr="003E1B66">
        <w:rPr>
          <w:i/>
        </w:rPr>
        <w:t>Id</w:t>
      </w:r>
      <w:r>
        <w:t>.</w:t>
      </w:r>
    </w:p>
  </w:footnote>
  <w:footnote w:id="7">
    <w:p w:rsidR="009415F4" w:rsidRDefault="009415F4">
      <w:pPr>
        <w:pStyle w:val="FootnoteText"/>
      </w:pPr>
      <w:r>
        <w:rPr>
          <w:rStyle w:val="FootnoteReference"/>
        </w:rPr>
        <w:footnoteRef/>
      </w:r>
      <w:r>
        <w:t xml:space="preserve"> </w:t>
      </w:r>
      <w:r>
        <w:rPr>
          <w:i/>
        </w:rPr>
        <w:t>Id</w:t>
      </w:r>
      <w:r>
        <w:t>. at 1-2.</w:t>
      </w:r>
    </w:p>
  </w:footnote>
  <w:footnote w:id="8">
    <w:p w:rsidR="009415F4" w:rsidRDefault="009415F4">
      <w:pPr>
        <w:pStyle w:val="FootnoteText"/>
      </w:pPr>
      <w:r>
        <w:rPr>
          <w:rStyle w:val="FootnoteReference"/>
        </w:rPr>
        <w:footnoteRef/>
      </w:r>
      <w:r>
        <w:t xml:space="preserve"> </w:t>
      </w:r>
      <w:r>
        <w:rPr>
          <w:i/>
        </w:rPr>
        <w:t>Id</w:t>
      </w:r>
      <w:r>
        <w:t>. at 2.</w:t>
      </w:r>
    </w:p>
  </w:footnote>
  <w:footnote w:id="9">
    <w:p w:rsidR="009415F4" w:rsidRDefault="009415F4">
      <w:pPr>
        <w:pStyle w:val="FootnoteText"/>
      </w:pPr>
      <w:r>
        <w:rPr>
          <w:rStyle w:val="FootnoteReference"/>
        </w:rPr>
        <w:footnoteRef/>
      </w:r>
      <w:r>
        <w:t xml:space="preserve"> </w:t>
      </w:r>
      <w:r w:rsidRPr="003E0AB5">
        <w:t>47 C.F.R. § 90.20(e)(6)(</w:t>
      </w:r>
      <w:r>
        <w:t>vii).</w:t>
      </w:r>
    </w:p>
  </w:footnote>
  <w:footnote w:id="10">
    <w:p w:rsidR="009415F4" w:rsidRDefault="009415F4">
      <w:pPr>
        <w:pStyle w:val="FootnoteText"/>
      </w:pPr>
      <w:r>
        <w:rPr>
          <w:rStyle w:val="FootnoteReference"/>
        </w:rPr>
        <w:footnoteRef/>
      </w:r>
      <w:r>
        <w:t xml:space="preserve"> </w:t>
      </w:r>
      <w:r w:rsidRPr="0051792C">
        <w:rPr>
          <w:i/>
        </w:rPr>
        <w:t xml:space="preserve">See </w:t>
      </w:r>
      <w:r w:rsidRPr="003E638D">
        <w:rPr>
          <w:i/>
        </w:rPr>
        <w:t xml:space="preserve">National Telecommunications and Information Administration </w:t>
      </w:r>
      <w:r w:rsidRPr="0051792C">
        <w:rPr>
          <w:i/>
        </w:rPr>
        <w:t xml:space="preserve">Manual of Regulations &amp; Procedures for Federal Radio Frequency Management, May 2003 Edition including the September 2004 Revision </w:t>
      </w:r>
      <w:r w:rsidRPr="0051792C">
        <w:t>at Section 4.3.7, which is titled “Channeling Plan for Assignments in the Band 162-174 MHz (12.5 kHz Plan).”</w:t>
      </w:r>
    </w:p>
  </w:footnote>
  <w:footnote w:id="11">
    <w:p w:rsidR="009415F4" w:rsidRDefault="009415F4">
      <w:pPr>
        <w:pStyle w:val="FootnoteText"/>
      </w:pPr>
      <w:r>
        <w:rPr>
          <w:rStyle w:val="FootnoteReference"/>
        </w:rPr>
        <w:footnoteRef/>
      </w:r>
      <w:r>
        <w:t xml:space="preserve"> </w:t>
      </w:r>
      <w:r w:rsidRPr="00EF4179">
        <w:t>Amendment to Parts 2 and 90 of the Commission’s Rules to Provide for Narrowband Private Land Mobile Radio Channels in the 150.05-150.8 MHz, 162-174 MHz, and 406.1-420 MHz Bands that are Allocated for Federal Government Use,</w:t>
      </w:r>
      <w:r>
        <w:t xml:space="preserve"> </w:t>
      </w:r>
      <w:r w:rsidRPr="00EF4179">
        <w:t xml:space="preserve">ET Docket No. 04-243, </w:t>
      </w:r>
      <w:r w:rsidRPr="00EF4179">
        <w:rPr>
          <w:i/>
        </w:rPr>
        <w:t>Notice of Proposed Rulemaking</w:t>
      </w:r>
      <w:r>
        <w:t>, 19 FCC Rcd 12690 (2004).</w:t>
      </w:r>
    </w:p>
  </w:footnote>
  <w:footnote w:id="12">
    <w:p w:rsidR="009415F4" w:rsidRDefault="009415F4">
      <w:pPr>
        <w:pStyle w:val="FootnoteText"/>
      </w:pPr>
      <w:r>
        <w:rPr>
          <w:rStyle w:val="FootnoteReference"/>
        </w:rPr>
        <w:footnoteRef/>
      </w:r>
      <w:r>
        <w:t xml:space="preserve"> </w:t>
      </w:r>
      <w:r w:rsidRPr="00526908">
        <w:t xml:space="preserve">Amendment to Parts 2 and 90 of the Commission’s Rules to Provide for Narrowband Private Land Mobile Radio Channels in the 150.05-150.8 MHz, 162-174 MHz, and 406.1-420 MHz Bands that are Allocated for Federal Government Use, </w:t>
      </w:r>
      <w:r w:rsidRPr="00EF4179">
        <w:t xml:space="preserve">ET Docket No. 04-243, </w:t>
      </w:r>
      <w:r w:rsidRPr="00526908">
        <w:rPr>
          <w:i/>
        </w:rPr>
        <w:t>Report and Order</w:t>
      </w:r>
      <w:r w:rsidRPr="00526908">
        <w:t>, 20 FCC Rcd 5793 ¶ 50 (2005).</w:t>
      </w:r>
      <w:r>
        <w:t xml:space="preserve">  </w:t>
      </w:r>
      <w:r w:rsidRPr="003E1B66">
        <w:rPr>
          <w:i/>
        </w:rPr>
        <w:t>See</w:t>
      </w:r>
      <w:r>
        <w:t xml:space="preserve"> </w:t>
      </w:r>
      <w:r w:rsidRPr="003E1B66">
        <w:t>47 C.F.R. §§ 2.106 footnote US312</w:t>
      </w:r>
      <w:r>
        <w:t>,</w:t>
      </w:r>
      <w:r w:rsidRPr="003E1B66">
        <w:t xml:space="preserve"> 90.20(e)(6)(ii).  </w:t>
      </w:r>
    </w:p>
  </w:footnote>
  <w:footnote w:id="13">
    <w:p w:rsidR="009415F4" w:rsidRDefault="009415F4">
      <w:pPr>
        <w:pStyle w:val="FootnoteText"/>
      </w:pPr>
      <w:r>
        <w:rPr>
          <w:rStyle w:val="FootnoteReference"/>
        </w:rPr>
        <w:footnoteRef/>
      </w:r>
      <w:r>
        <w:t xml:space="preserve"> </w:t>
      </w:r>
      <w:r w:rsidRPr="00C44615">
        <w:t>47 C.F.R. § 90.20(e)(6)(iii)</w:t>
      </w:r>
      <w:r>
        <w:t>.</w:t>
      </w:r>
    </w:p>
  </w:footnote>
  <w:footnote w:id="14">
    <w:p w:rsidR="009415F4" w:rsidRDefault="009415F4">
      <w:pPr>
        <w:pStyle w:val="FootnoteText"/>
      </w:pPr>
      <w:r>
        <w:rPr>
          <w:rStyle w:val="FootnoteReference"/>
        </w:rPr>
        <w:footnoteRef/>
      </w:r>
      <w:r>
        <w:t xml:space="preserve"> </w:t>
      </w:r>
      <w:r w:rsidRPr="00526908">
        <w:t>47 C.F.R. § 90.20(e)(6)(iv).</w:t>
      </w:r>
    </w:p>
  </w:footnote>
  <w:footnote w:id="15">
    <w:p w:rsidR="009415F4" w:rsidRDefault="009415F4">
      <w:pPr>
        <w:pStyle w:val="FootnoteText"/>
      </w:pPr>
      <w:r>
        <w:rPr>
          <w:rStyle w:val="FootnoteReference"/>
        </w:rPr>
        <w:footnoteRef/>
      </w:r>
      <w:r>
        <w:t xml:space="preserve"> Waiver Request at 4.</w:t>
      </w:r>
    </w:p>
  </w:footnote>
  <w:footnote w:id="16">
    <w:p w:rsidR="009415F4" w:rsidRDefault="009415F4">
      <w:pPr>
        <w:pStyle w:val="FootnoteText"/>
      </w:pPr>
      <w:r>
        <w:rPr>
          <w:rStyle w:val="FootnoteReference"/>
        </w:rPr>
        <w:footnoteRef/>
      </w:r>
      <w:r>
        <w:t xml:space="preserve"> </w:t>
      </w:r>
      <w:r>
        <w:rPr>
          <w:i/>
        </w:rPr>
        <w:t>Id</w:t>
      </w:r>
      <w:r>
        <w:t>.</w:t>
      </w:r>
    </w:p>
  </w:footnote>
  <w:footnote w:id="17">
    <w:p w:rsidR="009415F4" w:rsidRDefault="009415F4">
      <w:pPr>
        <w:pStyle w:val="FootnoteText"/>
      </w:pPr>
      <w:r>
        <w:rPr>
          <w:rStyle w:val="FootnoteReference"/>
        </w:rPr>
        <w:footnoteRef/>
      </w:r>
      <w:r>
        <w:t xml:space="preserve"> </w:t>
      </w:r>
      <w:r w:rsidRPr="007340C0">
        <w:rPr>
          <w:i/>
        </w:rPr>
        <w:t>Id</w:t>
      </w:r>
      <w:r w:rsidRPr="007340C0">
        <w:t>.</w:t>
      </w:r>
    </w:p>
  </w:footnote>
  <w:footnote w:id="18">
    <w:p w:rsidR="009415F4" w:rsidRDefault="009415F4">
      <w:pPr>
        <w:pStyle w:val="FootnoteText"/>
      </w:pPr>
      <w:r>
        <w:rPr>
          <w:rStyle w:val="FootnoteReference"/>
        </w:rPr>
        <w:footnoteRef/>
      </w:r>
      <w:r>
        <w:t xml:space="preserve"> </w:t>
      </w:r>
      <w:r w:rsidRPr="007340C0">
        <w:rPr>
          <w:i/>
        </w:rPr>
        <w:t>Id</w:t>
      </w:r>
      <w:r w:rsidRPr="007340C0">
        <w:t>.</w:t>
      </w:r>
    </w:p>
  </w:footnote>
  <w:footnote w:id="19">
    <w:p w:rsidR="009415F4" w:rsidRDefault="009415F4">
      <w:pPr>
        <w:pStyle w:val="FootnoteText"/>
      </w:pPr>
      <w:r>
        <w:rPr>
          <w:rStyle w:val="FootnoteReference"/>
        </w:rPr>
        <w:footnoteRef/>
      </w:r>
      <w:r>
        <w:t xml:space="preserve"> </w:t>
      </w:r>
      <w:r w:rsidRPr="00543FFA">
        <w:rPr>
          <w:i/>
        </w:rPr>
        <w:t>Id</w:t>
      </w:r>
      <w:r w:rsidRPr="00543FFA">
        <w:t>.</w:t>
      </w:r>
    </w:p>
  </w:footnote>
  <w:footnote w:id="20">
    <w:p w:rsidR="009415F4" w:rsidRDefault="009415F4">
      <w:pPr>
        <w:pStyle w:val="FootnoteText"/>
      </w:pPr>
      <w:r>
        <w:rPr>
          <w:rStyle w:val="FootnoteReference"/>
        </w:rPr>
        <w:footnoteRef/>
      </w:r>
      <w:r>
        <w:t xml:space="preserve"> </w:t>
      </w:r>
      <w:r>
        <w:rPr>
          <w:i/>
        </w:rPr>
        <w:t>Id</w:t>
      </w:r>
      <w:r>
        <w:t>.</w:t>
      </w:r>
    </w:p>
  </w:footnote>
  <w:footnote w:id="21">
    <w:p w:rsidR="009415F4" w:rsidRDefault="009415F4">
      <w:pPr>
        <w:pStyle w:val="FootnoteText"/>
      </w:pPr>
      <w:r>
        <w:rPr>
          <w:rStyle w:val="FootnoteReference"/>
        </w:rPr>
        <w:footnoteRef/>
      </w:r>
      <w:r>
        <w:t xml:space="preserve"> </w:t>
      </w:r>
      <w:r w:rsidRPr="00046E9D">
        <w:rPr>
          <w:i/>
        </w:rPr>
        <w:t>See id</w:t>
      </w:r>
      <w:r w:rsidRPr="00046E9D">
        <w:t>. at 1.</w:t>
      </w:r>
    </w:p>
  </w:footnote>
  <w:footnote w:id="22">
    <w:p w:rsidR="009415F4" w:rsidRDefault="009415F4">
      <w:pPr>
        <w:pStyle w:val="FootnoteText"/>
      </w:pPr>
      <w:r>
        <w:rPr>
          <w:rStyle w:val="FootnoteReference"/>
        </w:rPr>
        <w:footnoteRef/>
      </w:r>
      <w:r>
        <w:t xml:space="preserve"> </w:t>
      </w:r>
      <w:r w:rsidRPr="00543FFA">
        <w:rPr>
          <w:i/>
        </w:rPr>
        <w:t>Id</w:t>
      </w:r>
      <w:r w:rsidRPr="00543FFA">
        <w:t>.</w:t>
      </w:r>
      <w:r>
        <w:t xml:space="preserve"> at 4.</w:t>
      </w:r>
    </w:p>
  </w:footnote>
  <w:footnote w:id="23">
    <w:p w:rsidR="009415F4" w:rsidRDefault="009415F4" w:rsidP="00543FFA">
      <w:pPr>
        <w:pStyle w:val="FootnoteText"/>
      </w:pPr>
      <w:r>
        <w:rPr>
          <w:rStyle w:val="FootnoteReference"/>
        </w:rPr>
        <w:footnoteRef/>
      </w:r>
      <w:r>
        <w:t xml:space="preserve"> </w:t>
      </w:r>
      <w:r w:rsidRPr="00543FFA">
        <w:rPr>
          <w:i/>
        </w:rPr>
        <w:t>Id</w:t>
      </w:r>
      <w:r w:rsidRPr="00543FFA">
        <w:t>.</w:t>
      </w:r>
    </w:p>
  </w:footnote>
  <w:footnote w:id="24">
    <w:p w:rsidR="009415F4" w:rsidRDefault="009415F4">
      <w:pPr>
        <w:pStyle w:val="FootnoteText"/>
      </w:pPr>
      <w:r>
        <w:rPr>
          <w:rStyle w:val="FootnoteReference"/>
        </w:rPr>
        <w:footnoteRef/>
      </w:r>
      <w:r>
        <w:t xml:space="preserve"> </w:t>
      </w:r>
      <w:r w:rsidRPr="00543FFA">
        <w:rPr>
          <w:i/>
        </w:rPr>
        <w:t>Id</w:t>
      </w:r>
      <w:r w:rsidRPr="00543FFA">
        <w:t>.</w:t>
      </w:r>
    </w:p>
  </w:footnote>
  <w:footnote w:id="25">
    <w:p w:rsidR="009415F4" w:rsidRDefault="009415F4">
      <w:pPr>
        <w:pStyle w:val="FootnoteText"/>
      </w:pPr>
      <w:r>
        <w:rPr>
          <w:rStyle w:val="FootnoteReference"/>
        </w:rPr>
        <w:footnoteRef/>
      </w:r>
      <w:r>
        <w:t xml:space="preserve"> </w:t>
      </w:r>
      <w:r w:rsidRPr="001552FB">
        <w:t>Letter from Jose Oxholm, Sr. Vice President and General Counsel, LoJack Corporation, to Marlene H. Dortch, Secretary, Federal Communications Commission (dated July 22, 2013)</w:t>
      </w:r>
      <w:r>
        <w:t xml:space="preserve"> at 2 (LoJack </w:t>
      </w:r>
      <w:r w:rsidRPr="008C04DD">
        <w:t xml:space="preserve">Support </w:t>
      </w:r>
      <w:r>
        <w:t>Letter)</w:t>
      </w:r>
      <w:r w:rsidRPr="001552FB">
        <w:t>.</w:t>
      </w:r>
    </w:p>
  </w:footnote>
  <w:footnote w:id="26">
    <w:p w:rsidR="009415F4" w:rsidRDefault="009415F4">
      <w:pPr>
        <w:pStyle w:val="FootnoteText"/>
      </w:pPr>
      <w:r>
        <w:rPr>
          <w:rStyle w:val="FootnoteReference"/>
        </w:rPr>
        <w:footnoteRef/>
      </w:r>
      <w:r>
        <w:t xml:space="preserve"> </w:t>
      </w:r>
      <w:r w:rsidRPr="00046E9D">
        <w:t xml:space="preserve">The narrowbanding deadline of May 27, 2019 only applies to existing SVRS providers as of May 27, 2005.  </w:t>
      </w:r>
      <w:r w:rsidRPr="00046E9D">
        <w:rPr>
          <w:i/>
        </w:rPr>
        <w:t>See</w:t>
      </w:r>
      <w:r w:rsidRPr="00046E9D">
        <w:t xml:space="preserve"> 47 C.F.R. § 90.20(e)(6)(ii).  LoJack is the sole provider of SVRS in the United States and has been since before May 27, 2005.  </w:t>
      </w:r>
      <w:r w:rsidRPr="00046E9D">
        <w:rPr>
          <w:i/>
        </w:rPr>
        <w:t>See</w:t>
      </w:r>
      <w:r w:rsidRPr="00046E9D">
        <w:t xml:space="preserve"> Waiver Request at 3.  If any other entity were to initiate SVRS services today or in the future, the rules would prohibit their manufactur</w:t>
      </w:r>
      <w:r>
        <w:t>ing</w:t>
      </w:r>
      <w:r w:rsidRPr="00046E9D">
        <w:t xml:space="preserve">, marketing, or sale of any SVRS equipment with a wideband mode.  </w:t>
      </w:r>
      <w:r w:rsidRPr="00046E9D">
        <w:rPr>
          <w:i/>
        </w:rPr>
        <w:t>See</w:t>
      </w:r>
      <w:r w:rsidRPr="00046E9D">
        <w:t xml:space="preserve"> 47 C.F.R. § 90.20(e)(6)(ii).</w:t>
      </w:r>
    </w:p>
  </w:footnote>
  <w:footnote w:id="27">
    <w:p w:rsidR="009415F4" w:rsidRDefault="009415F4">
      <w:pPr>
        <w:pStyle w:val="FootnoteText"/>
      </w:pPr>
      <w:r>
        <w:rPr>
          <w:rStyle w:val="FootnoteReference"/>
        </w:rPr>
        <w:footnoteRef/>
      </w:r>
      <w:r>
        <w:t xml:space="preserve"> </w:t>
      </w:r>
      <w:r w:rsidRPr="001552FB">
        <w:t>Waiver Request</w:t>
      </w:r>
      <w:r>
        <w:t xml:space="preserve"> at 5.</w:t>
      </w:r>
    </w:p>
  </w:footnote>
  <w:footnote w:id="28">
    <w:p w:rsidR="009415F4" w:rsidRDefault="009415F4">
      <w:pPr>
        <w:pStyle w:val="FootnoteText"/>
      </w:pPr>
      <w:r>
        <w:rPr>
          <w:rStyle w:val="FootnoteReference"/>
        </w:rPr>
        <w:footnoteRef/>
      </w:r>
      <w:r>
        <w:t xml:space="preserve"> </w:t>
      </w:r>
      <w:r>
        <w:rPr>
          <w:i/>
        </w:rPr>
        <w:t>Id</w:t>
      </w:r>
      <w:r>
        <w:t>.</w:t>
      </w:r>
    </w:p>
  </w:footnote>
  <w:footnote w:id="29">
    <w:p w:rsidR="009415F4" w:rsidRDefault="009415F4">
      <w:pPr>
        <w:pStyle w:val="FootnoteText"/>
      </w:pPr>
      <w:r>
        <w:rPr>
          <w:rStyle w:val="FootnoteReference"/>
        </w:rPr>
        <w:footnoteRef/>
      </w:r>
      <w:r>
        <w:t xml:space="preserve"> </w:t>
      </w:r>
      <w:r w:rsidRPr="008C04DD">
        <w:rPr>
          <w:i/>
        </w:rPr>
        <w:t>Id</w:t>
      </w:r>
      <w:r w:rsidRPr="008C04DD">
        <w:t>.</w:t>
      </w:r>
    </w:p>
  </w:footnote>
  <w:footnote w:id="30">
    <w:p w:rsidR="009415F4" w:rsidRDefault="009415F4">
      <w:pPr>
        <w:pStyle w:val="FootnoteText"/>
      </w:pPr>
      <w:r>
        <w:rPr>
          <w:rStyle w:val="FootnoteReference"/>
        </w:rPr>
        <w:footnoteRef/>
      </w:r>
      <w:r>
        <w:t xml:space="preserve"> LoJack Support Letter at 2</w:t>
      </w:r>
      <w:r w:rsidRPr="00A53562">
        <w:t>.</w:t>
      </w:r>
    </w:p>
  </w:footnote>
  <w:footnote w:id="31">
    <w:p w:rsidR="009415F4" w:rsidRDefault="009415F4">
      <w:pPr>
        <w:pStyle w:val="FootnoteText"/>
      </w:pPr>
      <w:r>
        <w:rPr>
          <w:rStyle w:val="FootnoteReference"/>
        </w:rPr>
        <w:footnoteRef/>
      </w:r>
      <w:r>
        <w:t xml:space="preserve"> </w:t>
      </w:r>
      <w:r>
        <w:rPr>
          <w:i/>
        </w:rPr>
        <w:t>Id</w:t>
      </w:r>
      <w:r>
        <w:t xml:space="preserve">.  LoJack charges a one-time purchase price for the SVRS system, and there are no monthly fees.  </w:t>
      </w:r>
      <w:r>
        <w:rPr>
          <w:i/>
        </w:rPr>
        <w:t xml:space="preserve">See </w:t>
      </w:r>
      <w:hyperlink r:id="rId1" w:history="1">
        <w:r w:rsidRPr="000A4FFA">
          <w:rPr>
            <w:rStyle w:val="Hyperlink"/>
          </w:rPr>
          <w:t>http://www.lojack.com/Cars-Trucks-And-Classics/LoJack-Stolen-Vehicle-Recovery-System/One-time-cost-–-no-monthly-fees!</w:t>
        </w:r>
      </w:hyperlink>
      <w:r>
        <w:t xml:space="preserve"> (last visited September 27, 2013).  It follows that LoJack has no dealings</w:t>
      </w:r>
      <w:r w:rsidRPr="00C1042A">
        <w:t xml:space="preserve"> </w:t>
      </w:r>
      <w:r>
        <w:t>with and thus no contact information for subsequent owners of vehicles equipped with LoJack VLUs.</w:t>
      </w:r>
    </w:p>
  </w:footnote>
  <w:footnote w:id="32">
    <w:p w:rsidR="009415F4" w:rsidRDefault="009415F4">
      <w:pPr>
        <w:pStyle w:val="FootnoteText"/>
      </w:pPr>
      <w:r>
        <w:rPr>
          <w:rStyle w:val="FootnoteReference"/>
        </w:rPr>
        <w:footnoteRef/>
      </w:r>
      <w:r>
        <w:t xml:space="preserve"> Federally managed channels 173.0625 MHz and 173.0875 MHz could potentially be interfered with from VLUs transmitting in a wideband mode.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29" w:rsidRDefault="00C71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29" w:rsidRDefault="00C71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F4" w:rsidRDefault="00CE108C">
    <w:pPr>
      <w:pStyle w:val="Header"/>
      <w:tabs>
        <w:tab w:val="clear" w:pos="4320"/>
        <w:tab w:val="clear" w:pos="8640"/>
      </w:tabs>
      <w:spacing w:before="40"/>
      <w:ind w:firstLine="1080"/>
      <w:rPr>
        <w:rFonts w:ascii="News Gothic MT" w:hAnsi="News Gothic MT"/>
        <w:b/>
        <w:kern w:val="28"/>
        <w:sz w:val="96"/>
      </w:rP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fcc_logo" style="position:absolute;left:0;text-align:left;margin-left:2.4pt;margin-top:8.5pt;width:41.75pt;height:41.75pt;z-index:251659264;visibility:visible" o:allowincell="f">
          <v:imagedata r:id="rId1" o:title=""/>
          <w10:wrap type="topAndBottom"/>
        </v:shape>
      </w:pict>
    </w:r>
    <w:r>
      <w:rPr>
        <w:noProof/>
        <w:lang w:eastAsia="ja-JP"/>
      </w:rPr>
      <w:pict>
        <v:shapetype id="_x0000_t202" coordsize="21600,21600" o:spt="202" path="m,l,21600r21600,l21600,xe">
          <v:stroke joinstyle="miter"/>
          <v:path gradientshapeok="t" o:connecttype="rect"/>
        </v:shapetype>
        <v:shape id="Text Box 2"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415F4" w:rsidRDefault="009415F4">
                <w:pPr>
                  <w:rPr>
                    <w:rFonts w:ascii="Arial" w:hAnsi="Arial"/>
                    <w:b/>
                  </w:rPr>
                </w:pPr>
                <w:r>
                  <w:rPr>
                    <w:rFonts w:ascii="Arial" w:hAnsi="Arial"/>
                    <w:b/>
                  </w:rPr>
                  <w:t>Federal Communications Commission</w:t>
                </w:r>
              </w:p>
              <w:p w:rsidR="009415F4" w:rsidRDefault="009415F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415F4" w:rsidRDefault="009415F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9415F4">
      <w:rPr>
        <w:rFonts w:ascii="News Gothic MT" w:hAnsi="News Gothic MT"/>
        <w:b/>
        <w:kern w:val="28"/>
        <w:sz w:val="96"/>
      </w:rPr>
      <w:t>PUBLIC NOTICE</w:t>
    </w:r>
  </w:p>
  <w:p w:rsidR="009415F4" w:rsidRDefault="00CE108C">
    <w:pPr>
      <w:pStyle w:val="Header"/>
      <w:tabs>
        <w:tab w:val="clear" w:pos="4320"/>
        <w:tab w:val="clear" w:pos="8640"/>
        <w:tab w:val="left" w:pos="1080"/>
      </w:tabs>
      <w:spacing w:line="1120" w:lineRule="exact"/>
      <w:ind w:left="720"/>
      <w:rPr>
        <w:rFonts w:ascii="Arial" w:hAnsi="Arial"/>
        <w:b/>
        <w:sz w:val="28"/>
      </w:rPr>
    </w:pPr>
    <w:r>
      <w:rPr>
        <w:noProof/>
        <w:lang w:eastAsia="ja-JP"/>
      </w:rPr>
      <w:pict>
        <v:shape id="Text Box 5" o:spid="_x0000_s2051" type="#_x0000_t202" style="position:absolute;left:0;text-align:left;margin-left:274.05pt;margin-top:10.25pt;width:270.6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" o:allowincell="f" stroked="f">
          <v:textbox inset=",0,,0">
            <w:txbxContent>
              <w:p w:rsidR="009415F4" w:rsidRDefault="009415F4">
                <w:pPr>
                  <w:spacing w:before="40"/>
                  <w:jc w:val="center"/>
                  <w:rPr>
                    <w:rFonts w:ascii="Arial" w:hAnsi="Arial"/>
                    <w:b/>
                    <w:sz w:val="16"/>
                  </w:rPr>
                </w:pPr>
                <w:r>
                  <w:rPr>
                    <w:rFonts w:ascii="Arial" w:hAnsi="Arial"/>
                    <w:b/>
                    <w:sz w:val="16"/>
                  </w:rPr>
                  <w:t>News Media Information 202 / 418-0500</w:t>
                </w:r>
              </w:p>
              <w:p w:rsidR="009415F4" w:rsidRDefault="009415F4">
                <w:pPr>
                  <w:spacing w:before="40"/>
                  <w:jc w:val="center"/>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rsidR="009415F4" w:rsidRDefault="009415F4">
                <w:pPr>
                  <w:jc w:val="center"/>
                  <w:rPr>
                    <w:rFonts w:ascii="Arial" w:hAnsi="Arial"/>
                    <w:b/>
                    <w:sz w:val="16"/>
                  </w:rPr>
                </w:pPr>
                <w:r>
                  <w:rPr>
                    <w:rFonts w:ascii="Arial" w:hAnsi="Arial"/>
                    <w:b/>
                    <w:sz w:val="16"/>
                  </w:rPr>
                  <w:t>TTY: 1-888-835-5322</w:t>
                </w:r>
              </w:p>
              <w:p w:rsidR="009415F4" w:rsidRDefault="009415F4">
                <w:pPr>
                  <w:jc w:val="right"/>
                </w:pPr>
              </w:p>
            </w:txbxContent>
          </v:textbox>
        </v:shape>
      </w:pict>
    </w:r>
  </w:p>
  <w:p w:rsidR="009415F4" w:rsidRDefault="00CE108C">
    <w:pPr>
      <w:pStyle w:val="Header"/>
      <w:tabs>
        <w:tab w:val="clear" w:pos="4320"/>
        <w:tab w:val="clear" w:pos="8640"/>
        <w:tab w:val="left" w:pos="1080"/>
      </w:tabs>
      <w:ind w:left="720"/>
      <w:rPr>
        <w:rFonts w:ascii="Arial" w:hAnsi="Arial"/>
        <w:b/>
        <w:sz w:val="24"/>
      </w:rPr>
    </w:pPr>
    <w:r>
      <w:rPr>
        <w:noProof/>
        <w:lang w:eastAsia="ja-JP"/>
      </w:rPr>
      <w:pict>
        <v:line id="Line 4" o:spid="_x0000_s2052" style="position:absolute;left:0;text-align:left;z-index:251657216;visibility:visible" from="-31.95pt,4pt" to="508.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E034AC"/>
    <w:multiLevelType w:val="hybridMultilevel"/>
    <w:tmpl w:val="4A2859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66153D"/>
    <w:multiLevelType w:val="hybridMultilevel"/>
    <w:tmpl w:val="DD140BB2"/>
    <w:lvl w:ilvl="0" w:tplc="DECCF9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E85623F"/>
    <w:multiLevelType w:val="hybridMultilevel"/>
    <w:tmpl w:val="C8E243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0954AC7"/>
    <w:multiLevelType w:val="hybridMultilevel"/>
    <w:tmpl w:val="12FEFD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336BC7"/>
    <w:multiLevelType w:val="hybridMultilevel"/>
    <w:tmpl w:val="780A8400"/>
    <w:lvl w:ilvl="0" w:tplc="04090005">
      <w:start w:val="1"/>
      <w:numFmt w:val="bullet"/>
      <w:lvlText w:val=""/>
      <w:lvlJc w:val="left"/>
      <w:pPr>
        <w:tabs>
          <w:tab w:val="num" w:pos="720"/>
        </w:tabs>
        <w:ind w:left="720" w:hanging="360"/>
      </w:pPr>
      <w:rPr>
        <w:rFonts w:ascii="Wingdings" w:hAnsi="Wingdings" w:hint="default"/>
        <w:sz w:val="24"/>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6056699"/>
    <w:multiLevelType w:val="hybridMultilevel"/>
    <w:tmpl w:val="9CAC1FFA"/>
    <w:lvl w:ilvl="0" w:tplc="DECCF958">
      <w:start w:val="1"/>
      <w:numFmt w:val="bullet"/>
      <w:lvlText w:val=""/>
      <w:lvlJc w:val="left"/>
      <w:pPr>
        <w:tabs>
          <w:tab w:val="num" w:pos="720"/>
        </w:tabs>
        <w:ind w:left="720" w:hanging="360"/>
      </w:pPr>
      <w:rPr>
        <w:rFonts w:ascii="Symbol" w:hAnsi="Symbol" w:hint="default"/>
        <w:sz w:val="24"/>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A3007E"/>
    <w:multiLevelType w:val="hybridMultilevel"/>
    <w:tmpl w:val="ADCAC2C4"/>
    <w:lvl w:ilvl="0" w:tplc="54E2EE9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1A2E52"/>
    <w:multiLevelType w:val="hybridMultilevel"/>
    <w:tmpl w:val="88966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68869F7"/>
    <w:multiLevelType w:val="hybridMultilevel"/>
    <w:tmpl w:val="E8C8023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8108AEEE">
      <w:numFmt w:val="bullet"/>
      <w:lvlText w:val=""/>
      <w:lvlJc w:val="left"/>
      <w:pPr>
        <w:tabs>
          <w:tab w:val="num" w:pos="2160"/>
        </w:tabs>
        <w:ind w:left="2160" w:hanging="360"/>
      </w:pPr>
      <w:rPr>
        <w:rFonts w:ascii="Wingdings" w:eastAsia="Times New Roman"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20">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F36C0"/>
    <w:multiLevelType w:val="hybridMultilevel"/>
    <w:tmpl w:val="226E5A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0406EE"/>
    <w:multiLevelType w:val="hybridMultilevel"/>
    <w:tmpl w:val="6478ECE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3"/>
  </w:num>
  <w:num w:numId="12">
    <w:abstractNumId w:val="7"/>
  </w:num>
  <w:num w:numId="13">
    <w:abstractNumId w:val="21"/>
  </w:num>
  <w:num w:numId="14">
    <w:abstractNumId w:val="20"/>
  </w:num>
  <w:num w:numId="15">
    <w:abstractNumId w:val="8"/>
  </w:num>
  <w:num w:numId="16">
    <w:abstractNumId w:val="19"/>
  </w:num>
  <w:num w:numId="17">
    <w:abstractNumId w:val="2"/>
  </w:num>
  <w:num w:numId="18">
    <w:abstractNumId w:val="10"/>
  </w:num>
  <w:num w:numId="19">
    <w:abstractNumId w:val="9"/>
  </w:num>
  <w:num w:numId="20">
    <w:abstractNumId w:val="16"/>
  </w:num>
  <w:num w:numId="21">
    <w:abstractNumId w:val="11"/>
  </w:num>
  <w:num w:numId="22">
    <w:abstractNumId w:val="12"/>
  </w:num>
  <w:num w:numId="23">
    <w:abstractNumId w:val="5"/>
  </w:num>
  <w:num w:numId="24">
    <w:abstractNumId w:val="1"/>
  </w:num>
  <w:num w:numId="25">
    <w:abstractNumId w:val="14"/>
  </w:num>
  <w:num w:numId="26">
    <w:abstractNumId w:val="3"/>
  </w:num>
  <w:num w:numId="27">
    <w:abstractNumId w:val="0"/>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420"/>
    <w:rsid w:val="0000412A"/>
    <w:rsid w:val="00005796"/>
    <w:rsid w:val="00006AF4"/>
    <w:rsid w:val="00020F6C"/>
    <w:rsid w:val="00023367"/>
    <w:rsid w:val="0002371A"/>
    <w:rsid w:val="000245E2"/>
    <w:rsid w:val="000417A6"/>
    <w:rsid w:val="00046E9D"/>
    <w:rsid w:val="0005533E"/>
    <w:rsid w:val="00061DCB"/>
    <w:rsid w:val="00071851"/>
    <w:rsid w:val="00072079"/>
    <w:rsid w:val="00077E62"/>
    <w:rsid w:val="00083E33"/>
    <w:rsid w:val="000A2E22"/>
    <w:rsid w:val="000A44E4"/>
    <w:rsid w:val="000A4FFA"/>
    <w:rsid w:val="000A5689"/>
    <w:rsid w:val="000C3A2A"/>
    <w:rsid w:val="000C4522"/>
    <w:rsid w:val="000C4930"/>
    <w:rsid w:val="000D7E49"/>
    <w:rsid w:val="000F1A18"/>
    <w:rsid w:val="000F253D"/>
    <w:rsid w:val="000F4257"/>
    <w:rsid w:val="001022DA"/>
    <w:rsid w:val="001044D0"/>
    <w:rsid w:val="00111F66"/>
    <w:rsid w:val="00120676"/>
    <w:rsid w:val="00123A14"/>
    <w:rsid w:val="00123DCF"/>
    <w:rsid w:val="00124101"/>
    <w:rsid w:val="001411E6"/>
    <w:rsid w:val="00144FCE"/>
    <w:rsid w:val="00152A81"/>
    <w:rsid w:val="001552FB"/>
    <w:rsid w:val="001564AF"/>
    <w:rsid w:val="00164F53"/>
    <w:rsid w:val="001706A2"/>
    <w:rsid w:val="001732A2"/>
    <w:rsid w:val="00191950"/>
    <w:rsid w:val="001A1733"/>
    <w:rsid w:val="001A7624"/>
    <w:rsid w:val="001B409F"/>
    <w:rsid w:val="001B64B9"/>
    <w:rsid w:val="001D0458"/>
    <w:rsid w:val="001D23A5"/>
    <w:rsid w:val="001D5877"/>
    <w:rsid w:val="001D6AE3"/>
    <w:rsid w:val="001E59EC"/>
    <w:rsid w:val="00204B9C"/>
    <w:rsid w:val="002249A6"/>
    <w:rsid w:val="00232BC4"/>
    <w:rsid w:val="002530E4"/>
    <w:rsid w:val="00256E4D"/>
    <w:rsid w:val="00260C7F"/>
    <w:rsid w:val="00265114"/>
    <w:rsid w:val="00281FDC"/>
    <w:rsid w:val="002A17CA"/>
    <w:rsid w:val="002A66D0"/>
    <w:rsid w:val="002B39B6"/>
    <w:rsid w:val="002B5F2F"/>
    <w:rsid w:val="002C4026"/>
    <w:rsid w:val="002C4E98"/>
    <w:rsid w:val="002C6849"/>
    <w:rsid w:val="002C7DE9"/>
    <w:rsid w:val="002F0619"/>
    <w:rsid w:val="003010B1"/>
    <w:rsid w:val="00302AE4"/>
    <w:rsid w:val="00305AB5"/>
    <w:rsid w:val="00306464"/>
    <w:rsid w:val="003148FF"/>
    <w:rsid w:val="003157E6"/>
    <w:rsid w:val="00321DE2"/>
    <w:rsid w:val="0032662F"/>
    <w:rsid w:val="003348BE"/>
    <w:rsid w:val="0033733A"/>
    <w:rsid w:val="0033743F"/>
    <w:rsid w:val="00344F9D"/>
    <w:rsid w:val="00345C4F"/>
    <w:rsid w:val="00354683"/>
    <w:rsid w:val="00361A04"/>
    <w:rsid w:val="00366963"/>
    <w:rsid w:val="00381868"/>
    <w:rsid w:val="00387F38"/>
    <w:rsid w:val="0039530A"/>
    <w:rsid w:val="003B0312"/>
    <w:rsid w:val="003C6208"/>
    <w:rsid w:val="003E0AB5"/>
    <w:rsid w:val="003E1B66"/>
    <w:rsid w:val="003E3366"/>
    <w:rsid w:val="003E46C0"/>
    <w:rsid w:val="003E638D"/>
    <w:rsid w:val="004066D6"/>
    <w:rsid w:val="0040695F"/>
    <w:rsid w:val="00417529"/>
    <w:rsid w:val="00421211"/>
    <w:rsid w:val="0046461F"/>
    <w:rsid w:val="00465469"/>
    <w:rsid w:val="00477616"/>
    <w:rsid w:val="00482B03"/>
    <w:rsid w:val="004A027F"/>
    <w:rsid w:val="004A3415"/>
    <w:rsid w:val="004C7DAB"/>
    <w:rsid w:val="004D14B7"/>
    <w:rsid w:val="004D54AE"/>
    <w:rsid w:val="004D7FBE"/>
    <w:rsid w:val="004E234D"/>
    <w:rsid w:val="004F79D6"/>
    <w:rsid w:val="005078BC"/>
    <w:rsid w:val="0051086C"/>
    <w:rsid w:val="00511CB6"/>
    <w:rsid w:val="0051792C"/>
    <w:rsid w:val="00521420"/>
    <w:rsid w:val="00522F73"/>
    <w:rsid w:val="00526908"/>
    <w:rsid w:val="00543FFA"/>
    <w:rsid w:val="00545C04"/>
    <w:rsid w:val="00562FE1"/>
    <w:rsid w:val="005642D5"/>
    <w:rsid w:val="00577AAB"/>
    <w:rsid w:val="00581047"/>
    <w:rsid w:val="00581B70"/>
    <w:rsid w:val="00586634"/>
    <w:rsid w:val="005871B1"/>
    <w:rsid w:val="005A00E6"/>
    <w:rsid w:val="005B6C00"/>
    <w:rsid w:val="005D5658"/>
    <w:rsid w:val="005E7DED"/>
    <w:rsid w:val="00605AA3"/>
    <w:rsid w:val="0061154A"/>
    <w:rsid w:val="006368A0"/>
    <w:rsid w:val="00645BB0"/>
    <w:rsid w:val="00647CEE"/>
    <w:rsid w:val="006613BD"/>
    <w:rsid w:val="00665497"/>
    <w:rsid w:val="0067384B"/>
    <w:rsid w:val="00676771"/>
    <w:rsid w:val="00686562"/>
    <w:rsid w:val="006B1569"/>
    <w:rsid w:val="006B2E82"/>
    <w:rsid w:val="006B7585"/>
    <w:rsid w:val="006C67D0"/>
    <w:rsid w:val="006D08F2"/>
    <w:rsid w:val="006D254C"/>
    <w:rsid w:val="006D2C7E"/>
    <w:rsid w:val="006E0836"/>
    <w:rsid w:val="006E0E1E"/>
    <w:rsid w:val="006E1685"/>
    <w:rsid w:val="006E69DE"/>
    <w:rsid w:val="00702B29"/>
    <w:rsid w:val="0073098C"/>
    <w:rsid w:val="00733CD0"/>
    <w:rsid w:val="007340C0"/>
    <w:rsid w:val="00744C4D"/>
    <w:rsid w:val="00750165"/>
    <w:rsid w:val="0075212C"/>
    <w:rsid w:val="00760155"/>
    <w:rsid w:val="007607F9"/>
    <w:rsid w:val="00761154"/>
    <w:rsid w:val="00781B9A"/>
    <w:rsid w:val="00782DEC"/>
    <w:rsid w:val="007A2754"/>
    <w:rsid w:val="007A45EB"/>
    <w:rsid w:val="007A5276"/>
    <w:rsid w:val="007C2B8F"/>
    <w:rsid w:val="007C35BE"/>
    <w:rsid w:val="007C64AD"/>
    <w:rsid w:val="007D7CD0"/>
    <w:rsid w:val="007E1788"/>
    <w:rsid w:val="007F5DDA"/>
    <w:rsid w:val="008045E3"/>
    <w:rsid w:val="0080611C"/>
    <w:rsid w:val="008150FE"/>
    <w:rsid w:val="0081669E"/>
    <w:rsid w:val="00824B91"/>
    <w:rsid w:val="0083701F"/>
    <w:rsid w:val="00842DE1"/>
    <w:rsid w:val="0085172B"/>
    <w:rsid w:val="00852A14"/>
    <w:rsid w:val="00852A6D"/>
    <w:rsid w:val="00870F5F"/>
    <w:rsid w:val="00876D9C"/>
    <w:rsid w:val="008852CC"/>
    <w:rsid w:val="00885C3B"/>
    <w:rsid w:val="00894AE8"/>
    <w:rsid w:val="008A2638"/>
    <w:rsid w:val="008A4E45"/>
    <w:rsid w:val="008B7C3E"/>
    <w:rsid w:val="008C04DD"/>
    <w:rsid w:val="008C6C8F"/>
    <w:rsid w:val="008D50D6"/>
    <w:rsid w:val="008F1D7C"/>
    <w:rsid w:val="008F5F35"/>
    <w:rsid w:val="00927D51"/>
    <w:rsid w:val="009415F4"/>
    <w:rsid w:val="00944012"/>
    <w:rsid w:val="00973DD1"/>
    <w:rsid w:val="00977EC7"/>
    <w:rsid w:val="009867F5"/>
    <w:rsid w:val="009B5F7C"/>
    <w:rsid w:val="009C1D31"/>
    <w:rsid w:val="009D5273"/>
    <w:rsid w:val="009D5563"/>
    <w:rsid w:val="009E5260"/>
    <w:rsid w:val="009F795C"/>
    <w:rsid w:val="009F7F0C"/>
    <w:rsid w:val="00A155DA"/>
    <w:rsid w:val="00A24169"/>
    <w:rsid w:val="00A26871"/>
    <w:rsid w:val="00A359BF"/>
    <w:rsid w:val="00A53562"/>
    <w:rsid w:val="00A53613"/>
    <w:rsid w:val="00A64612"/>
    <w:rsid w:val="00A81CE8"/>
    <w:rsid w:val="00A9761B"/>
    <w:rsid w:val="00AA0187"/>
    <w:rsid w:val="00AA0BF7"/>
    <w:rsid w:val="00AA494E"/>
    <w:rsid w:val="00AA7002"/>
    <w:rsid w:val="00AB06CF"/>
    <w:rsid w:val="00AC24E4"/>
    <w:rsid w:val="00AC32BA"/>
    <w:rsid w:val="00AC3DFE"/>
    <w:rsid w:val="00AE200E"/>
    <w:rsid w:val="00AF052B"/>
    <w:rsid w:val="00B01894"/>
    <w:rsid w:val="00B05DE7"/>
    <w:rsid w:val="00B11EC1"/>
    <w:rsid w:val="00B17484"/>
    <w:rsid w:val="00B2041C"/>
    <w:rsid w:val="00B23CE3"/>
    <w:rsid w:val="00B45922"/>
    <w:rsid w:val="00B47C6A"/>
    <w:rsid w:val="00B5191E"/>
    <w:rsid w:val="00B67143"/>
    <w:rsid w:val="00B71074"/>
    <w:rsid w:val="00B71942"/>
    <w:rsid w:val="00B775AF"/>
    <w:rsid w:val="00B93DBA"/>
    <w:rsid w:val="00B975B1"/>
    <w:rsid w:val="00BA00F2"/>
    <w:rsid w:val="00BA5186"/>
    <w:rsid w:val="00BB286A"/>
    <w:rsid w:val="00BC5C64"/>
    <w:rsid w:val="00BD15A2"/>
    <w:rsid w:val="00BE33E6"/>
    <w:rsid w:val="00C046B0"/>
    <w:rsid w:val="00C1042A"/>
    <w:rsid w:val="00C20F34"/>
    <w:rsid w:val="00C415FC"/>
    <w:rsid w:val="00C44615"/>
    <w:rsid w:val="00C543E3"/>
    <w:rsid w:val="00C71329"/>
    <w:rsid w:val="00C7161E"/>
    <w:rsid w:val="00C745D5"/>
    <w:rsid w:val="00CB1702"/>
    <w:rsid w:val="00CB4486"/>
    <w:rsid w:val="00CC311C"/>
    <w:rsid w:val="00CC6711"/>
    <w:rsid w:val="00CD7EA7"/>
    <w:rsid w:val="00CE108C"/>
    <w:rsid w:val="00CE439B"/>
    <w:rsid w:val="00CF59F9"/>
    <w:rsid w:val="00D11AC3"/>
    <w:rsid w:val="00D13EB4"/>
    <w:rsid w:val="00D157E0"/>
    <w:rsid w:val="00D24E55"/>
    <w:rsid w:val="00D25745"/>
    <w:rsid w:val="00D3094A"/>
    <w:rsid w:val="00D30CCD"/>
    <w:rsid w:val="00D76FF2"/>
    <w:rsid w:val="00D804FF"/>
    <w:rsid w:val="00D80C86"/>
    <w:rsid w:val="00D9187F"/>
    <w:rsid w:val="00D94838"/>
    <w:rsid w:val="00D97FAE"/>
    <w:rsid w:val="00DB76D6"/>
    <w:rsid w:val="00DC6092"/>
    <w:rsid w:val="00DD055A"/>
    <w:rsid w:val="00DD063F"/>
    <w:rsid w:val="00DF4B45"/>
    <w:rsid w:val="00DF5A9B"/>
    <w:rsid w:val="00DF728F"/>
    <w:rsid w:val="00E03EEE"/>
    <w:rsid w:val="00E1436B"/>
    <w:rsid w:val="00E202FC"/>
    <w:rsid w:val="00E27F77"/>
    <w:rsid w:val="00E30419"/>
    <w:rsid w:val="00E50E4F"/>
    <w:rsid w:val="00E54318"/>
    <w:rsid w:val="00E62088"/>
    <w:rsid w:val="00E661EE"/>
    <w:rsid w:val="00E73421"/>
    <w:rsid w:val="00E762F8"/>
    <w:rsid w:val="00EA58E9"/>
    <w:rsid w:val="00EB028D"/>
    <w:rsid w:val="00EB04E7"/>
    <w:rsid w:val="00EB482A"/>
    <w:rsid w:val="00EC104F"/>
    <w:rsid w:val="00EC593A"/>
    <w:rsid w:val="00EC7513"/>
    <w:rsid w:val="00ED2E7C"/>
    <w:rsid w:val="00ED69CC"/>
    <w:rsid w:val="00ED6B76"/>
    <w:rsid w:val="00EE73DF"/>
    <w:rsid w:val="00EF10E4"/>
    <w:rsid w:val="00EF135D"/>
    <w:rsid w:val="00EF373C"/>
    <w:rsid w:val="00EF4179"/>
    <w:rsid w:val="00EF5615"/>
    <w:rsid w:val="00F02519"/>
    <w:rsid w:val="00F117C5"/>
    <w:rsid w:val="00F15FDF"/>
    <w:rsid w:val="00F257D3"/>
    <w:rsid w:val="00F4523D"/>
    <w:rsid w:val="00F57F42"/>
    <w:rsid w:val="00F66620"/>
    <w:rsid w:val="00F8761D"/>
    <w:rsid w:val="00F9021F"/>
    <w:rsid w:val="00FA2248"/>
    <w:rsid w:val="00FA2AA2"/>
    <w:rsid w:val="00FC47CC"/>
    <w:rsid w:val="00FC7009"/>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5F"/>
    <w:rPr>
      <w:sz w:val="24"/>
      <w:szCs w:val="20"/>
      <w:lang w:eastAsia="en-US"/>
    </w:rPr>
  </w:style>
  <w:style w:type="paragraph" w:styleId="Heading1">
    <w:name w:val="heading 1"/>
    <w:basedOn w:val="Normal"/>
    <w:next w:val="Normal"/>
    <w:link w:val="Heading1Char"/>
    <w:uiPriority w:val="99"/>
    <w:qFormat/>
    <w:rsid w:val="00A53613"/>
    <w:pPr>
      <w:keepNext/>
      <w:widowControl w:val="0"/>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A53613"/>
    <w:pPr>
      <w:keepNext/>
      <w:widowControl w:val="0"/>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A53613"/>
    <w:pPr>
      <w:keepNext/>
      <w:widowControl w:val="0"/>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A53613"/>
    <w:pPr>
      <w:keepNext/>
      <w:widowControl w:val="0"/>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A53613"/>
    <w:pPr>
      <w:keepNext/>
      <w:widowControl w:val="0"/>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A53613"/>
    <w:pPr>
      <w:widowControl w:val="0"/>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A53613"/>
    <w:pPr>
      <w:widowControl w:val="0"/>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A53613"/>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link w:val="Heading9Char"/>
    <w:uiPriority w:val="99"/>
    <w:qFormat/>
    <w:rsid w:val="00A53613"/>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D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C7BD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C7BD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7BD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C7BD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C7BD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C7BD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C7BD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C7BD7"/>
    <w:rPr>
      <w:rFonts w:asciiTheme="majorHAnsi" w:eastAsiaTheme="majorEastAsia" w:hAnsiTheme="majorHAnsi" w:cstheme="majorBidi"/>
      <w:lang w:eastAsia="en-US"/>
    </w:rPr>
  </w:style>
  <w:style w:type="paragraph" w:styleId="Header">
    <w:name w:val="header"/>
    <w:basedOn w:val="Normal"/>
    <w:link w:val="HeaderChar"/>
    <w:uiPriority w:val="99"/>
    <w:rsid w:val="00A53613"/>
    <w:pPr>
      <w:tabs>
        <w:tab w:val="center" w:pos="4320"/>
        <w:tab w:val="right" w:pos="8640"/>
      </w:tabs>
    </w:pPr>
    <w:rPr>
      <w:sz w:val="22"/>
    </w:rPr>
  </w:style>
  <w:style w:type="character" w:customStyle="1" w:styleId="HeaderChar">
    <w:name w:val="Header Char"/>
    <w:basedOn w:val="DefaultParagraphFont"/>
    <w:link w:val="Header"/>
    <w:uiPriority w:val="99"/>
    <w:semiHidden/>
    <w:rsid w:val="004C7BD7"/>
    <w:rPr>
      <w:sz w:val="24"/>
      <w:szCs w:val="20"/>
      <w:lang w:eastAsia="en-US"/>
    </w:rPr>
  </w:style>
  <w:style w:type="paragraph" w:styleId="Footer">
    <w:name w:val="footer"/>
    <w:basedOn w:val="Normal"/>
    <w:link w:val="FooterChar"/>
    <w:uiPriority w:val="99"/>
    <w:rsid w:val="00A53613"/>
    <w:pPr>
      <w:tabs>
        <w:tab w:val="center" w:pos="4320"/>
        <w:tab w:val="right" w:pos="8640"/>
      </w:tabs>
    </w:pPr>
    <w:rPr>
      <w:sz w:val="22"/>
    </w:rPr>
  </w:style>
  <w:style w:type="character" w:customStyle="1" w:styleId="FooterChar">
    <w:name w:val="Footer Char"/>
    <w:basedOn w:val="DefaultParagraphFont"/>
    <w:link w:val="Footer"/>
    <w:uiPriority w:val="99"/>
    <w:semiHidden/>
    <w:rsid w:val="004C7BD7"/>
    <w:rPr>
      <w:sz w:val="24"/>
      <w:szCs w:val="20"/>
      <w:lang w:eastAsia="en-US"/>
    </w:rPr>
  </w:style>
  <w:style w:type="character" w:styleId="Hyperlink">
    <w:name w:val="Hyperlink"/>
    <w:basedOn w:val="DefaultParagraphFont"/>
    <w:uiPriority w:val="99"/>
    <w:rsid w:val="00A53613"/>
    <w:rPr>
      <w:rFonts w:cs="Times New Roman"/>
      <w:color w:val="0000FF"/>
      <w:u w:val="single"/>
    </w:rPr>
  </w:style>
  <w:style w:type="paragraph" w:styleId="BlockText">
    <w:name w:val="Block Text"/>
    <w:basedOn w:val="Normal"/>
    <w:uiPriority w:val="99"/>
    <w:rsid w:val="00A53613"/>
    <w:pPr>
      <w:widowControl w:val="0"/>
      <w:spacing w:after="220"/>
      <w:ind w:left="1440" w:right="1440"/>
      <w:jc w:val="both"/>
    </w:pPr>
    <w:rPr>
      <w:sz w:val="22"/>
    </w:rPr>
  </w:style>
  <w:style w:type="paragraph" w:customStyle="1" w:styleId="Bullet">
    <w:name w:val="Bullet"/>
    <w:basedOn w:val="Normal"/>
    <w:uiPriority w:val="99"/>
    <w:rsid w:val="00A53613"/>
    <w:pPr>
      <w:widowControl w:val="0"/>
      <w:numPr>
        <w:numId w:val="1"/>
      </w:numPr>
      <w:tabs>
        <w:tab w:val="clear" w:pos="2520"/>
      </w:tabs>
      <w:spacing w:after="220"/>
      <w:ind w:left="2160" w:hanging="720"/>
      <w:jc w:val="both"/>
    </w:pPr>
    <w:rPr>
      <w:sz w:val="22"/>
    </w:rPr>
  </w:style>
  <w:style w:type="paragraph" w:styleId="Caption">
    <w:name w:val="caption"/>
    <w:basedOn w:val="Normal"/>
    <w:next w:val="Normal"/>
    <w:uiPriority w:val="99"/>
    <w:qFormat/>
    <w:rsid w:val="00A53613"/>
    <w:pPr>
      <w:spacing w:before="120" w:after="120"/>
    </w:pPr>
    <w:rPr>
      <w:b/>
      <w:sz w:val="22"/>
    </w:rPr>
  </w:style>
  <w:style w:type="character" w:styleId="FootnoteReference">
    <w:name w:val="footnote reference"/>
    <w:aliases w:val="Style 12,(NECG) Footnote Reference,Appel note de bas de p,Style 124,Style 13,o,fr,Style 3,Style 17,FR,Footnote Reference/,Style 6"/>
    <w:basedOn w:val="DefaultParagraphFont"/>
    <w:uiPriority w:val="99"/>
    <w:semiHidden/>
    <w:rsid w:val="00A53613"/>
    <w:rPr>
      <w:rFonts w:cs="Times New Roman"/>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
    <w:basedOn w:val="Normal"/>
    <w:link w:val="FootnoteTextChar3"/>
    <w:uiPriority w:val="99"/>
    <w:semiHidden/>
    <w:rsid w:val="00870F5F"/>
    <w:pPr>
      <w:tabs>
        <w:tab w:val="left" w:pos="720"/>
      </w:tabs>
      <w:spacing w:after="120"/>
    </w:pPr>
    <w:rPr>
      <w:sz w:val="20"/>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basedOn w:val="DefaultParagraphFont"/>
    <w:link w:val="FootnoteText"/>
    <w:uiPriority w:val="99"/>
    <w:locked/>
    <w:rsid w:val="00870F5F"/>
  </w:style>
  <w:style w:type="paragraph" w:customStyle="1" w:styleId="NumberedList">
    <w:name w:val="Numbered List"/>
    <w:basedOn w:val="Normal"/>
    <w:uiPriority w:val="99"/>
    <w:rsid w:val="00A53613"/>
    <w:pPr>
      <w:numPr>
        <w:numId w:val="11"/>
      </w:numPr>
      <w:tabs>
        <w:tab w:val="clear" w:pos="1080"/>
      </w:tabs>
      <w:spacing w:after="220"/>
      <w:ind w:firstLine="0"/>
    </w:pPr>
  </w:style>
  <w:style w:type="paragraph" w:customStyle="1" w:styleId="Paranum">
    <w:name w:val="Paranum"/>
    <w:basedOn w:val="Normal"/>
    <w:uiPriority w:val="99"/>
    <w:rsid w:val="00A53613"/>
    <w:pPr>
      <w:widowControl w:val="0"/>
      <w:numPr>
        <w:numId w:val="12"/>
      </w:numPr>
      <w:tabs>
        <w:tab w:val="clear" w:pos="1080"/>
      </w:tabs>
      <w:spacing w:after="220"/>
      <w:jc w:val="both"/>
    </w:pPr>
  </w:style>
  <w:style w:type="paragraph" w:customStyle="1" w:styleId="TableFormat">
    <w:name w:val="Table Format"/>
    <w:basedOn w:val="Normal"/>
    <w:uiPriority w:val="99"/>
    <w:rsid w:val="00A53613"/>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3613"/>
    <w:rPr>
      <w:caps/>
    </w:rPr>
  </w:style>
  <w:style w:type="character" w:styleId="FollowedHyperlink">
    <w:name w:val="FollowedHyperlink"/>
    <w:basedOn w:val="DefaultParagraphFont"/>
    <w:uiPriority w:val="99"/>
    <w:rsid w:val="00A53613"/>
    <w:rPr>
      <w:rFonts w:cs="Times New Roman"/>
      <w:color w:val="800080"/>
      <w:u w:val="single"/>
    </w:rPr>
  </w:style>
  <w:style w:type="character" w:styleId="PageNumber">
    <w:name w:val="page number"/>
    <w:basedOn w:val="DefaultParagraphFont"/>
    <w:uiPriority w:val="99"/>
    <w:rsid w:val="00A53613"/>
    <w:rPr>
      <w:rFonts w:cs="Times New Roman"/>
    </w:rPr>
  </w:style>
  <w:style w:type="paragraph" w:styleId="BalloonText">
    <w:name w:val="Balloon Text"/>
    <w:basedOn w:val="Normal"/>
    <w:link w:val="BalloonTextChar"/>
    <w:uiPriority w:val="99"/>
    <w:semiHidden/>
    <w:rsid w:val="00A53613"/>
    <w:rPr>
      <w:rFonts w:ascii="Tahoma" w:hAnsi="Tahoma" w:cs="Tahoma"/>
      <w:sz w:val="16"/>
      <w:szCs w:val="16"/>
    </w:rPr>
  </w:style>
  <w:style w:type="character" w:customStyle="1" w:styleId="BalloonTextChar">
    <w:name w:val="Balloon Text Char"/>
    <w:basedOn w:val="DefaultParagraphFont"/>
    <w:link w:val="BalloonText"/>
    <w:uiPriority w:val="99"/>
    <w:semiHidden/>
    <w:rsid w:val="004C7BD7"/>
    <w:rPr>
      <w:sz w:val="0"/>
      <w:szCs w:val="0"/>
      <w:lang w:eastAsia="en-US"/>
    </w:rPr>
  </w:style>
  <w:style w:type="character" w:styleId="CommentReference">
    <w:name w:val="annotation reference"/>
    <w:basedOn w:val="DefaultParagraphFont"/>
    <w:uiPriority w:val="99"/>
    <w:semiHidden/>
    <w:rsid w:val="00A53613"/>
    <w:rPr>
      <w:rFonts w:cs="Times New Roman"/>
      <w:sz w:val="16"/>
    </w:rPr>
  </w:style>
  <w:style w:type="paragraph" w:styleId="CommentText">
    <w:name w:val="annotation text"/>
    <w:basedOn w:val="Normal"/>
    <w:link w:val="CommentTextChar"/>
    <w:uiPriority w:val="99"/>
    <w:semiHidden/>
    <w:rsid w:val="00A53613"/>
    <w:rPr>
      <w:sz w:val="20"/>
    </w:rPr>
  </w:style>
  <w:style w:type="character" w:customStyle="1" w:styleId="CommentTextChar">
    <w:name w:val="Comment Text Char"/>
    <w:basedOn w:val="DefaultParagraphFont"/>
    <w:link w:val="CommentText"/>
    <w:uiPriority w:val="99"/>
    <w:semiHidden/>
    <w:rsid w:val="004C7BD7"/>
    <w:rPr>
      <w:sz w:val="20"/>
      <w:szCs w:val="20"/>
      <w:lang w:eastAsia="en-US"/>
    </w:rPr>
  </w:style>
  <w:style w:type="paragraph" w:styleId="CommentSubject">
    <w:name w:val="annotation subject"/>
    <w:basedOn w:val="CommentText"/>
    <w:next w:val="CommentText"/>
    <w:link w:val="CommentSubjectChar"/>
    <w:uiPriority w:val="99"/>
    <w:semiHidden/>
    <w:rsid w:val="00A53613"/>
    <w:rPr>
      <w:b/>
      <w:bCs/>
    </w:rPr>
  </w:style>
  <w:style w:type="character" w:customStyle="1" w:styleId="CommentSubjectChar">
    <w:name w:val="Comment Subject Char"/>
    <w:basedOn w:val="CommentTextChar"/>
    <w:link w:val="CommentSubject"/>
    <w:uiPriority w:val="99"/>
    <w:semiHidden/>
    <w:rsid w:val="004C7BD7"/>
    <w:rPr>
      <w:b/>
      <w:bCs/>
      <w:sz w:val="20"/>
      <w:szCs w:val="20"/>
      <w:lang w:eastAsia="en-US"/>
    </w:rPr>
  </w:style>
  <w:style w:type="paragraph" w:customStyle="1" w:styleId="ParaNum0">
    <w:name w:val="ParaNum"/>
    <w:basedOn w:val="Normal"/>
    <w:link w:val="ParaNumChar"/>
    <w:uiPriority w:val="99"/>
    <w:rsid w:val="00A53613"/>
    <w:pPr>
      <w:numPr>
        <w:numId w:val="16"/>
      </w:numPr>
      <w:tabs>
        <w:tab w:val="left" w:pos="1440"/>
      </w:tabs>
      <w:spacing w:after="240"/>
    </w:pPr>
    <w:rPr>
      <w:kern w:val="28"/>
      <w:sz w:val="22"/>
      <w:lang w:eastAsia="ja-JP"/>
    </w:rPr>
  </w:style>
  <w:style w:type="character" w:customStyle="1" w:styleId="ParaNumChar">
    <w:name w:val="ParaNum Char"/>
    <w:link w:val="ParaNum0"/>
    <w:uiPriority w:val="99"/>
    <w:locked/>
    <w:rsid w:val="00A53613"/>
    <w:rPr>
      <w:kern w:val="28"/>
      <w:sz w:val="22"/>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uiPriority w:val="99"/>
    <w:rsid w:val="00A53613"/>
    <w:pPr>
      <w:widowControl w:val="0"/>
      <w:tabs>
        <w:tab w:val="left" w:pos="1440"/>
      </w:tabs>
      <w:spacing w:after="220"/>
    </w:pPr>
    <w:rPr>
      <w:kern w:val="28"/>
      <w:sz w:val="22"/>
      <w:lang w:eastAsia="ja-JP"/>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uiPriority w:val="99"/>
    <w:locked/>
    <w:rsid w:val="00A53613"/>
    <w:rPr>
      <w:kern w:val="28"/>
      <w:sz w:val="22"/>
    </w:rPr>
  </w:style>
  <w:style w:type="paragraph" w:customStyle="1" w:styleId="StyleParaNumItalic">
    <w:name w:val="Style ParaNum + Italic"/>
    <w:basedOn w:val="ParaNum0"/>
    <w:link w:val="StyleParaNumItalicChar"/>
    <w:uiPriority w:val="99"/>
    <w:rsid w:val="00A53613"/>
    <w:rPr>
      <w:i/>
      <w:iCs/>
    </w:rPr>
  </w:style>
  <w:style w:type="character" w:customStyle="1" w:styleId="StyleParaNumItalicChar">
    <w:name w:val="Style ParaNum + Italic Char"/>
    <w:link w:val="StyleParaNumItalic"/>
    <w:uiPriority w:val="99"/>
    <w:locked/>
    <w:rsid w:val="00A53613"/>
    <w:rPr>
      <w:i/>
      <w:kern w:val="28"/>
      <w:sz w:val="22"/>
    </w:rPr>
  </w:style>
  <w:style w:type="paragraph" w:customStyle="1" w:styleId="StyleFirstline05Before6pt">
    <w:name w:val="Style First line:  0.5&quot; Before:  6 pt"/>
    <w:basedOn w:val="Normal"/>
    <w:uiPriority w:val="99"/>
    <w:rsid w:val="00A53613"/>
    <w:pPr>
      <w:spacing w:after="240"/>
      <w:ind w:firstLine="720"/>
    </w:pPr>
  </w:style>
  <w:style w:type="paragraph" w:customStyle="1" w:styleId="Style1">
    <w:name w:val="Style1"/>
    <w:basedOn w:val="Normal"/>
    <w:uiPriority w:val="99"/>
    <w:rsid w:val="00A53613"/>
    <w:pPr>
      <w:spacing w:before="120"/>
    </w:pPr>
    <w:rPr>
      <w:szCs w:val="22"/>
    </w:rPr>
  </w:style>
  <w:style w:type="paragraph" w:customStyle="1" w:styleId="StyleBefore6pt">
    <w:name w:val="Style Before:  6 pt"/>
    <w:basedOn w:val="Normal"/>
    <w:uiPriority w:val="99"/>
    <w:rsid w:val="00A53613"/>
    <w:pPr>
      <w:spacing w:after="240"/>
    </w:p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
    <w:uiPriority w:val="99"/>
    <w:semiHidden/>
    <w:locked/>
    <w:rsid w:val="0073098C"/>
    <w:rPr>
      <w:lang w:val="en-US" w:eastAsia="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73098C"/>
    <w:pPr>
      <w:widowControl w:val="0"/>
      <w:tabs>
        <w:tab w:val="left" w:pos="1440"/>
      </w:tabs>
      <w:spacing w:after="220"/>
    </w:pPr>
    <w:rPr>
      <w:kern w:val="28"/>
      <w:sz w:val="22"/>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73098C"/>
    <w:rPr>
      <w:kern w:val="28"/>
      <w:sz w:val="22"/>
      <w:lang w:val="en-US" w:eastAsia="en-US"/>
    </w:rPr>
  </w:style>
  <w:style w:type="paragraph" w:styleId="BodyText">
    <w:name w:val="Body Text"/>
    <w:basedOn w:val="Normal"/>
    <w:link w:val="BodyTextChar"/>
    <w:uiPriority w:val="99"/>
    <w:rsid w:val="00870F5F"/>
    <w:pPr>
      <w:widowControl w:val="0"/>
      <w:tabs>
        <w:tab w:val="center" w:pos="4680"/>
      </w:tabs>
      <w:suppressAutoHyphens/>
      <w:spacing w:line="227" w:lineRule="auto"/>
      <w:jc w:val="center"/>
    </w:pPr>
    <w:rPr>
      <w:rFonts w:ascii="Times" w:hAnsi="Times"/>
      <w:b/>
      <w:spacing w:val="-2"/>
      <w:sz w:val="22"/>
      <w:lang w:eastAsia="ja-JP"/>
    </w:rPr>
  </w:style>
  <w:style w:type="character" w:customStyle="1" w:styleId="BodyTextChar">
    <w:name w:val="Body Text Char"/>
    <w:basedOn w:val="DefaultParagraphFont"/>
    <w:link w:val="BodyText"/>
    <w:uiPriority w:val="99"/>
    <w:locked/>
    <w:rsid w:val="00870F5F"/>
    <w:rPr>
      <w:rFonts w:ascii="Times" w:hAnsi="Times"/>
      <w:b/>
      <w:snapToGrid w:val="0"/>
      <w:spacing w:val="-2"/>
      <w:sz w:val="22"/>
    </w:rPr>
  </w:style>
  <w:style w:type="character" w:customStyle="1" w:styleId="FootnoteTextCharCharCharCharChar">
    <w:name w:val="Footnote Text Char Char Char Char Char"/>
    <w:aliases w:val="Footnote Text Char2 Char Char Char Char Char,Footnote Text Char1 Char1 Char Char Char Char Char"/>
    <w:uiPriority w:val="99"/>
    <w:rsid w:val="00870F5F"/>
    <w:rPr>
      <w:lang w:val="en-US" w:eastAsia="en-US"/>
    </w:rPr>
  </w:style>
  <w:style w:type="character" w:customStyle="1" w:styleId="ptext-1">
    <w:name w:val="ptext-1"/>
    <w:uiPriority w:val="99"/>
    <w:rsid w:val="00870F5F"/>
  </w:style>
  <w:style w:type="paragraph" w:customStyle="1" w:styleId="Default">
    <w:name w:val="Default"/>
    <w:uiPriority w:val="99"/>
    <w:rsid w:val="00870F5F"/>
    <w:pPr>
      <w:autoSpaceDE w:val="0"/>
      <w:autoSpaceDN w:val="0"/>
      <w:adjustRightInd w:val="0"/>
    </w:pPr>
    <w:rPr>
      <w:color w:val="000000"/>
      <w:sz w:val="24"/>
      <w:szCs w:val="24"/>
      <w:lang w:eastAsia="en-US"/>
    </w:rPr>
  </w:style>
  <w:style w:type="character" w:customStyle="1" w:styleId="ParaNumCharChar">
    <w:name w:val="ParaNum Char Char"/>
    <w:uiPriority w:val="99"/>
    <w:locked/>
    <w:rsid w:val="00305AB5"/>
    <w:rPr>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9565">
      <w:marLeft w:val="0"/>
      <w:marRight w:val="0"/>
      <w:marTop w:val="0"/>
      <w:marBottom w:val="0"/>
      <w:divBdr>
        <w:top w:val="none" w:sz="0" w:space="0" w:color="auto"/>
        <w:left w:val="none" w:sz="0" w:space="0" w:color="auto"/>
        <w:bottom w:val="none" w:sz="0" w:space="0" w:color="auto"/>
        <w:right w:val="none" w:sz="0" w:space="0" w:color="auto"/>
      </w:divBdr>
    </w:div>
    <w:div w:id="984579568">
      <w:marLeft w:val="0"/>
      <w:marRight w:val="0"/>
      <w:marTop w:val="0"/>
      <w:marBottom w:val="0"/>
      <w:divBdr>
        <w:top w:val="none" w:sz="0" w:space="0" w:color="auto"/>
        <w:left w:val="none" w:sz="0" w:space="0" w:color="auto"/>
        <w:bottom w:val="none" w:sz="0" w:space="0" w:color="auto"/>
        <w:right w:val="none" w:sz="0" w:space="0" w:color="auto"/>
      </w:divBdr>
      <w:divsChild>
        <w:div w:id="984579559">
          <w:marLeft w:val="0"/>
          <w:marRight w:val="0"/>
          <w:marTop w:val="0"/>
          <w:marBottom w:val="0"/>
          <w:divBdr>
            <w:top w:val="none" w:sz="0" w:space="0" w:color="auto"/>
            <w:left w:val="none" w:sz="0" w:space="0" w:color="auto"/>
            <w:bottom w:val="none" w:sz="0" w:space="0" w:color="auto"/>
            <w:right w:val="none" w:sz="0" w:space="0" w:color="auto"/>
          </w:divBdr>
        </w:div>
        <w:div w:id="984579560">
          <w:marLeft w:val="0"/>
          <w:marRight w:val="0"/>
          <w:marTop w:val="0"/>
          <w:marBottom w:val="0"/>
          <w:divBdr>
            <w:top w:val="none" w:sz="0" w:space="0" w:color="auto"/>
            <w:left w:val="none" w:sz="0" w:space="0" w:color="auto"/>
            <w:bottom w:val="none" w:sz="0" w:space="0" w:color="auto"/>
            <w:right w:val="none" w:sz="0" w:space="0" w:color="auto"/>
          </w:divBdr>
        </w:div>
        <w:div w:id="984579561">
          <w:marLeft w:val="0"/>
          <w:marRight w:val="0"/>
          <w:marTop w:val="0"/>
          <w:marBottom w:val="0"/>
          <w:divBdr>
            <w:top w:val="none" w:sz="0" w:space="0" w:color="auto"/>
            <w:left w:val="none" w:sz="0" w:space="0" w:color="auto"/>
            <w:bottom w:val="none" w:sz="0" w:space="0" w:color="auto"/>
            <w:right w:val="none" w:sz="0" w:space="0" w:color="auto"/>
          </w:divBdr>
        </w:div>
        <w:div w:id="984579562">
          <w:marLeft w:val="0"/>
          <w:marRight w:val="0"/>
          <w:marTop w:val="0"/>
          <w:marBottom w:val="0"/>
          <w:divBdr>
            <w:top w:val="none" w:sz="0" w:space="0" w:color="auto"/>
            <w:left w:val="none" w:sz="0" w:space="0" w:color="auto"/>
            <w:bottom w:val="none" w:sz="0" w:space="0" w:color="auto"/>
            <w:right w:val="none" w:sz="0" w:space="0" w:color="auto"/>
          </w:divBdr>
        </w:div>
        <w:div w:id="984579563">
          <w:marLeft w:val="0"/>
          <w:marRight w:val="0"/>
          <w:marTop w:val="0"/>
          <w:marBottom w:val="0"/>
          <w:divBdr>
            <w:top w:val="none" w:sz="0" w:space="0" w:color="auto"/>
            <w:left w:val="none" w:sz="0" w:space="0" w:color="auto"/>
            <w:bottom w:val="none" w:sz="0" w:space="0" w:color="auto"/>
            <w:right w:val="none" w:sz="0" w:space="0" w:color="auto"/>
          </w:divBdr>
        </w:div>
        <w:div w:id="984579564">
          <w:marLeft w:val="0"/>
          <w:marRight w:val="0"/>
          <w:marTop w:val="0"/>
          <w:marBottom w:val="0"/>
          <w:divBdr>
            <w:top w:val="none" w:sz="0" w:space="0" w:color="auto"/>
            <w:left w:val="none" w:sz="0" w:space="0" w:color="auto"/>
            <w:bottom w:val="none" w:sz="0" w:space="0" w:color="auto"/>
            <w:right w:val="none" w:sz="0" w:space="0" w:color="auto"/>
          </w:divBdr>
        </w:div>
        <w:div w:id="984579566">
          <w:marLeft w:val="0"/>
          <w:marRight w:val="0"/>
          <w:marTop w:val="0"/>
          <w:marBottom w:val="0"/>
          <w:divBdr>
            <w:top w:val="none" w:sz="0" w:space="0" w:color="auto"/>
            <w:left w:val="none" w:sz="0" w:space="0" w:color="auto"/>
            <w:bottom w:val="none" w:sz="0" w:space="0" w:color="auto"/>
            <w:right w:val="none" w:sz="0" w:space="0" w:color="auto"/>
          </w:divBdr>
        </w:div>
        <w:div w:id="98457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Eng@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ojack.com/Cars-Trucks-And-Classics/LoJack-Stolen-Vehicle-Recovery-System/One-time-cost-&#8211;-no-monthly-f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8991</Characters>
  <Application>Microsoft Office Word</Application>
  <DocSecurity>0</DocSecurity>
  <Lines>153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2013-11-25T19:41:00Z</dcterms:created>
  <dcterms:modified xsi:type="dcterms:W3CDTF">2013-11-25T19:41:00Z</dcterms:modified>
  <cp:category> </cp:category>
  <cp:contentStatus> </cp:contentStatus>
</cp:coreProperties>
</file>