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9C" w:rsidRPr="00080686" w:rsidRDefault="000F029C">
      <w:pPr>
        <w:pStyle w:val="Title"/>
        <w:rPr>
          <w:smallCaps/>
          <w:sz w:val="22"/>
          <w:szCs w:val="22"/>
        </w:rPr>
      </w:pPr>
      <w:bookmarkStart w:id="0" w:name="_GoBack"/>
      <w:bookmarkEnd w:id="0"/>
    </w:p>
    <w:p w:rsidR="000F029C" w:rsidRPr="00080686" w:rsidRDefault="000F029C">
      <w:pPr>
        <w:jc w:val="center"/>
        <w:rPr>
          <w:sz w:val="22"/>
          <w:szCs w:val="22"/>
        </w:rPr>
      </w:pPr>
    </w:p>
    <w:p w:rsidR="00C9779E" w:rsidRPr="00C9779E" w:rsidRDefault="004A3455" w:rsidP="00C9779E">
      <w:pPr>
        <w:jc w:val="right"/>
        <w:rPr>
          <w:b/>
          <w:sz w:val="22"/>
          <w:szCs w:val="22"/>
          <w:lang w:val="de-DE"/>
        </w:rPr>
      </w:pPr>
      <w:r>
        <w:rPr>
          <w:b/>
          <w:sz w:val="22"/>
          <w:szCs w:val="22"/>
          <w:lang w:val="de-DE"/>
        </w:rPr>
        <w:t>DA 13-2273</w:t>
      </w:r>
    </w:p>
    <w:p w:rsidR="00C9779E" w:rsidRDefault="00C9779E">
      <w:pPr>
        <w:rPr>
          <w:sz w:val="22"/>
          <w:szCs w:val="22"/>
          <w:lang w:val="de-DE"/>
        </w:rPr>
      </w:pPr>
    </w:p>
    <w:p w:rsidR="000F029C" w:rsidRDefault="007321E9">
      <w:pPr>
        <w:rPr>
          <w:sz w:val="22"/>
          <w:szCs w:val="22"/>
          <w:lang w:val="de-DE"/>
        </w:rPr>
      </w:pPr>
      <w:r>
        <w:rPr>
          <w:sz w:val="22"/>
          <w:szCs w:val="22"/>
          <w:lang w:val="de-DE"/>
        </w:rPr>
        <w:t>John M. Beahn, Esq.</w:t>
      </w:r>
    </w:p>
    <w:p w:rsidR="007321E9" w:rsidRDefault="007321E9">
      <w:pPr>
        <w:rPr>
          <w:sz w:val="22"/>
          <w:szCs w:val="22"/>
          <w:lang w:val="de-DE"/>
        </w:rPr>
      </w:pPr>
      <w:r w:rsidRPr="007321E9">
        <w:rPr>
          <w:sz w:val="22"/>
          <w:szCs w:val="22"/>
          <w:lang w:val="de-DE"/>
        </w:rPr>
        <w:t xml:space="preserve">Joshua </w:t>
      </w:r>
      <w:r w:rsidR="000C4007">
        <w:rPr>
          <w:sz w:val="22"/>
          <w:szCs w:val="22"/>
          <w:lang w:val="de-DE"/>
        </w:rPr>
        <w:t xml:space="preserve">F. </w:t>
      </w:r>
      <w:r w:rsidRPr="007321E9">
        <w:rPr>
          <w:sz w:val="22"/>
          <w:szCs w:val="22"/>
          <w:lang w:val="de-DE"/>
        </w:rPr>
        <w:t>Gruenspecht</w:t>
      </w:r>
      <w:r>
        <w:rPr>
          <w:sz w:val="22"/>
          <w:szCs w:val="22"/>
          <w:lang w:val="de-DE"/>
        </w:rPr>
        <w:t>, Esq.</w:t>
      </w:r>
    </w:p>
    <w:p w:rsidR="007321E9" w:rsidRDefault="007321E9">
      <w:pPr>
        <w:rPr>
          <w:sz w:val="22"/>
          <w:szCs w:val="22"/>
          <w:lang w:val="de-DE"/>
        </w:rPr>
      </w:pPr>
      <w:r w:rsidRPr="007321E9">
        <w:rPr>
          <w:sz w:val="22"/>
          <w:szCs w:val="22"/>
          <w:lang w:val="de-DE"/>
        </w:rPr>
        <w:t>S</w:t>
      </w:r>
      <w:r>
        <w:rPr>
          <w:sz w:val="22"/>
          <w:szCs w:val="22"/>
          <w:lang w:val="de-DE"/>
        </w:rPr>
        <w:t>kadden</w:t>
      </w:r>
      <w:r w:rsidRPr="007321E9">
        <w:rPr>
          <w:sz w:val="22"/>
          <w:szCs w:val="22"/>
          <w:lang w:val="de-DE"/>
        </w:rPr>
        <w:t>, A</w:t>
      </w:r>
      <w:r>
        <w:rPr>
          <w:sz w:val="22"/>
          <w:szCs w:val="22"/>
          <w:lang w:val="de-DE"/>
        </w:rPr>
        <w:t>rps</w:t>
      </w:r>
      <w:r w:rsidRPr="007321E9">
        <w:rPr>
          <w:sz w:val="22"/>
          <w:szCs w:val="22"/>
          <w:lang w:val="de-DE"/>
        </w:rPr>
        <w:t>, S</w:t>
      </w:r>
      <w:r>
        <w:rPr>
          <w:sz w:val="22"/>
          <w:szCs w:val="22"/>
          <w:lang w:val="de-DE"/>
        </w:rPr>
        <w:t>late</w:t>
      </w:r>
      <w:r w:rsidRPr="007321E9">
        <w:rPr>
          <w:sz w:val="22"/>
          <w:szCs w:val="22"/>
          <w:lang w:val="de-DE"/>
        </w:rPr>
        <w:t>, M</w:t>
      </w:r>
      <w:r>
        <w:rPr>
          <w:sz w:val="22"/>
          <w:szCs w:val="22"/>
          <w:lang w:val="de-DE"/>
        </w:rPr>
        <w:t>eagher</w:t>
      </w:r>
      <w:r w:rsidRPr="007321E9">
        <w:rPr>
          <w:sz w:val="22"/>
          <w:szCs w:val="22"/>
          <w:lang w:val="de-DE"/>
        </w:rPr>
        <w:t xml:space="preserve"> &amp; F</w:t>
      </w:r>
      <w:r>
        <w:rPr>
          <w:sz w:val="22"/>
          <w:szCs w:val="22"/>
          <w:lang w:val="de-DE"/>
        </w:rPr>
        <w:t>lom</w:t>
      </w:r>
      <w:r w:rsidRPr="007321E9">
        <w:rPr>
          <w:sz w:val="22"/>
          <w:szCs w:val="22"/>
          <w:lang w:val="de-DE"/>
        </w:rPr>
        <w:t xml:space="preserve"> LLP</w:t>
      </w:r>
    </w:p>
    <w:p w:rsidR="007321E9" w:rsidRDefault="007321E9">
      <w:pPr>
        <w:rPr>
          <w:sz w:val="22"/>
          <w:szCs w:val="22"/>
          <w:lang w:val="de-DE"/>
        </w:rPr>
      </w:pPr>
      <w:r>
        <w:rPr>
          <w:sz w:val="22"/>
          <w:szCs w:val="22"/>
          <w:lang w:val="de-DE"/>
        </w:rPr>
        <w:t>1440 New York Avenue, N.W.</w:t>
      </w:r>
    </w:p>
    <w:p w:rsidR="007321E9" w:rsidRDefault="007321E9">
      <w:pPr>
        <w:rPr>
          <w:sz w:val="22"/>
          <w:szCs w:val="22"/>
          <w:lang w:val="de-DE"/>
        </w:rPr>
      </w:pPr>
      <w:r>
        <w:rPr>
          <w:sz w:val="22"/>
          <w:szCs w:val="22"/>
          <w:lang w:val="de-DE"/>
        </w:rPr>
        <w:t>Washington, DC 20005-2111</w:t>
      </w:r>
    </w:p>
    <w:p w:rsidR="007321E9" w:rsidRPr="00080686" w:rsidRDefault="007321E9">
      <w:pPr>
        <w:rPr>
          <w:sz w:val="22"/>
          <w:szCs w:val="22"/>
          <w:lang w:val="de-DE"/>
        </w:rPr>
      </w:pPr>
    </w:p>
    <w:p w:rsidR="000F029C" w:rsidRPr="00080686" w:rsidRDefault="00BE501E">
      <w:pPr>
        <w:rPr>
          <w:sz w:val="22"/>
          <w:szCs w:val="22"/>
        </w:rPr>
      </w:pPr>
      <w:r w:rsidRPr="00080686">
        <w:rPr>
          <w:sz w:val="22"/>
          <w:szCs w:val="22"/>
        </w:rPr>
        <w:t>Dear</w:t>
      </w:r>
      <w:r w:rsidR="007321E9">
        <w:rPr>
          <w:sz w:val="22"/>
          <w:szCs w:val="22"/>
        </w:rPr>
        <w:t xml:space="preserve"> Counsel</w:t>
      </w:r>
      <w:r w:rsidR="000F029C" w:rsidRPr="00080686">
        <w:rPr>
          <w:sz w:val="22"/>
          <w:szCs w:val="22"/>
        </w:rPr>
        <w:t>:</w:t>
      </w:r>
    </w:p>
    <w:p w:rsidR="000F029C" w:rsidRPr="00080686" w:rsidRDefault="000F029C">
      <w:pPr>
        <w:rPr>
          <w:sz w:val="22"/>
          <w:szCs w:val="22"/>
        </w:rPr>
      </w:pPr>
    </w:p>
    <w:p w:rsidR="009C622A" w:rsidRDefault="00A5152E" w:rsidP="00034145">
      <w:pPr>
        <w:ind w:firstLine="720"/>
        <w:rPr>
          <w:sz w:val="22"/>
          <w:szCs w:val="22"/>
        </w:rPr>
      </w:pPr>
      <w:r>
        <w:rPr>
          <w:sz w:val="22"/>
          <w:szCs w:val="22"/>
        </w:rPr>
        <w:t>By this letter, we deny the request made by</w:t>
      </w:r>
      <w:r w:rsidR="0016051F" w:rsidRPr="00080686">
        <w:rPr>
          <w:sz w:val="22"/>
          <w:szCs w:val="22"/>
        </w:rPr>
        <w:t xml:space="preserve"> Ztark Communications, LLC (Ztark)</w:t>
      </w:r>
      <w:r w:rsidR="00BE501E" w:rsidRPr="00080686">
        <w:rPr>
          <w:sz w:val="22"/>
          <w:szCs w:val="22"/>
        </w:rPr>
        <w:t xml:space="preserve"> </w:t>
      </w:r>
      <w:r>
        <w:rPr>
          <w:sz w:val="22"/>
          <w:szCs w:val="22"/>
        </w:rPr>
        <w:t xml:space="preserve">for an extension of time to pay the balance due </w:t>
      </w:r>
      <w:r w:rsidR="00B43DB7">
        <w:rPr>
          <w:sz w:val="22"/>
          <w:szCs w:val="22"/>
        </w:rPr>
        <w:t>on its winning bids in Broadband Radio Service (BRS) Auction 86 for its long form application</w:t>
      </w:r>
      <w:r w:rsidR="00BE501E" w:rsidRPr="00080686">
        <w:rPr>
          <w:sz w:val="22"/>
          <w:szCs w:val="22"/>
        </w:rPr>
        <w:t xml:space="preserve"> for </w:t>
      </w:r>
      <w:r w:rsidR="00034145" w:rsidRPr="00080686">
        <w:rPr>
          <w:sz w:val="22"/>
          <w:szCs w:val="22"/>
        </w:rPr>
        <w:t>BRS</w:t>
      </w:r>
      <w:r w:rsidR="002667A5" w:rsidRPr="00080686">
        <w:rPr>
          <w:sz w:val="22"/>
          <w:szCs w:val="22"/>
        </w:rPr>
        <w:t xml:space="preserve"> </w:t>
      </w:r>
      <w:r w:rsidR="00BE501E" w:rsidRPr="00080686">
        <w:rPr>
          <w:sz w:val="22"/>
          <w:szCs w:val="22"/>
        </w:rPr>
        <w:t>licenses BTA008, Albuquerque, N</w:t>
      </w:r>
      <w:r w:rsidR="00B43DB7">
        <w:rPr>
          <w:sz w:val="22"/>
          <w:szCs w:val="22"/>
        </w:rPr>
        <w:t xml:space="preserve">ew </w:t>
      </w:r>
      <w:r w:rsidR="00BE501E" w:rsidRPr="00080686">
        <w:rPr>
          <w:sz w:val="22"/>
          <w:szCs w:val="22"/>
        </w:rPr>
        <w:t>M</w:t>
      </w:r>
      <w:r w:rsidR="00B43DB7">
        <w:rPr>
          <w:sz w:val="22"/>
          <w:szCs w:val="22"/>
        </w:rPr>
        <w:t>exico</w:t>
      </w:r>
      <w:r w:rsidR="00BE501E" w:rsidRPr="00080686">
        <w:rPr>
          <w:sz w:val="22"/>
          <w:szCs w:val="22"/>
        </w:rPr>
        <w:t>, and BTA244, Las Cruces, N</w:t>
      </w:r>
      <w:r w:rsidR="00B43DB7">
        <w:rPr>
          <w:sz w:val="22"/>
          <w:szCs w:val="22"/>
        </w:rPr>
        <w:t xml:space="preserve">ew </w:t>
      </w:r>
      <w:r w:rsidR="00BE501E" w:rsidRPr="00080686">
        <w:rPr>
          <w:sz w:val="22"/>
          <w:szCs w:val="22"/>
        </w:rPr>
        <w:t>M</w:t>
      </w:r>
      <w:r w:rsidR="00B43DB7">
        <w:rPr>
          <w:sz w:val="22"/>
          <w:szCs w:val="22"/>
        </w:rPr>
        <w:t>exico</w:t>
      </w:r>
      <w:r w:rsidR="00BE501E" w:rsidRPr="00080686">
        <w:rPr>
          <w:sz w:val="22"/>
          <w:szCs w:val="22"/>
        </w:rPr>
        <w:t>.</w:t>
      </w:r>
      <w:r w:rsidR="00AD49BC" w:rsidRPr="00080686">
        <w:rPr>
          <w:sz w:val="22"/>
          <w:szCs w:val="22"/>
        </w:rPr>
        <w:t xml:space="preserve">  </w:t>
      </w:r>
    </w:p>
    <w:p w:rsidR="009C622A" w:rsidRDefault="009C622A" w:rsidP="00034145">
      <w:pPr>
        <w:ind w:firstLine="720"/>
        <w:rPr>
          <w:sz w:val="22"/>
          <w:szCs w:val="22"/>
        </w:rPr>
      </w:pPr>
    </w:p>
    <w:p w:rsidR="007A368F" w:rsidRDefault="007A368F" w:rsidP="00034145">
      <w:pPr>
        <w:ind w:firstLine="720"/>
        <w:rPr>
          <w:sz w:val="22"/>
          <w:szCs w:val="22"/>
        </w:rPr>
      </w:pPr>
      <w:r w:rsidRPr="007A368F">
        <w:rPr>
          <w:sz w:val="22"/>
          <w:szCs w:val="22"/>
        </w:rPr>
        <w:t xml:space="preserve">On October 30, 2009, the Commission completed </w:t>
      </w:r>
      <w:r w:rsidRPr="007A368F">
        <w:rPr>
          <w:bCs/>
          <w:sz w:val="22"/>
          <w:szCs w:val="22"/>
        </w:rPr>
        <w:t>Auction</w:t>
      </w:r>
      <w:r w:rsidRPr="007A368F">
        <w:rPr>
          <w:sz w:val="22"/>
          <w:szCs w:val="22"/>
        </w:rPr>
        <w:t xml:space="preserve"> </w:t>
      </w:r>
      <w:r w:rsidRPr="007A368F">
        <w:rPr>
          <w:bCs/>
          <w:sz w:val="22"/>
          <w:szCs w:val="22"/>
        </w:rPr>
        <w:t>86</w:t>
      </w:r>
      <w:r w:rsidRPr="007A368F">
        <w:rPr>
          <w:sz w:val="22"/>
          <w:szCs w:val="22"/>
        </w:rPr>
        <w:t xml:space="preserve"> for BRS licenses in the 2496-2502, 2602-2615, and 2616-2673.5 MHz bands.</w:t>
      </w:r>
      <w:r w:rsidRPr="007A368F">
        <w:rPr>
          <w:sz w:val="22"/>
          <w:szCs w:val="22"/>
          <w:vertAlign w:val="superscript"/>
        </w:rPr>
        <w:footnoteReference w:id="1"/>
      </w:r>
      <w:r w:rsidRPr="007A368F">
        <w:rPr>
          <w:sz w:val="22"/>
          <w:szCs w:val="22"/>
        </w:rPr>
        <w:t xml:space="preserve">  Pursuant to the Commission’s designated entity (“DE”) rules, which are designed to encourage auction participation by small businesses, eligible bidders in Auction 86 were permitted to apply for bidding credits as entrepreneurs, small businesses, or very small businesses, depending on their attributed average annual gross revenues for the three years immediately preceding the auction.</w:t>
      </w:r>
      <w:r w:rsidRPr="007A368F">
        <w:rPr>
          <w:sz w:val="22"/>
          <w:szCs w:val="22"/>
          <w:vertAlign w:val="superscript"/>
        </w:rPr>
        <w:footnoteReference w:id="2"/>
      </w:r>
      <w:r w:rsidRPr="007A368F">
        <w:rPr>
          <w:sz w:val="22"/>
          <w:szCs w:val="22"/>
        </w:rPr>
        <w:t xml:space="preserve">  In its long form application, Ztark certified to average gross revenues of </w:t>
      </w:r>
      <w:r w:rsidRPr="007A368F">
        <w:rPr>
          <w:color w:val="000000"/>
          <w:sz w:val="22"/>
          <w:szCs w:val="22"/>
          <w:shd w:val="clear" w:color="auto" w:fill="F7F5FF"/>
        </w:rPr>
        <w:t>$579,335.84 for itself and all its affiliates for the three years preceding the auction (</w:t>
      </w:r>
      <w:r w:rsidRPr="007A368F">
        <w:rPr>
          <w:i/>
          <w:color w:val="000000"/>
          <w:sz w:val="22"/>
          <w:szCs w:val="22"/>
          <w:shd w:val="clear" w:color="auto" w:fill="F7F5FF"/>
        </w:rPr>
        <w:t>i.e.</w:t>
      </w:r>
      <w:r w:rsidRPr="007A368F">
        <w:rPr>
          <w:color w:val="000000"/>
          <w:sz w:val="22"/>
          <w:szCs w:val="22"/>
          <w:shd w:val="clear" w:color="auto" w:fill="F7F5FF"/>
        </w:rPr>
        <w:t>, 2006, 2007, and 2008)</w:t>
      </w:r>
      <w:r w:rsidRPr="007A368F">
        <w:rPr>
          <w:sz w:val="22"/>
          <w:szCs w:val="22"/>
        </w:rPr>
        <w:t>,</w:t>
      </w:r>
      <w:r w:rsidRPr="007A368F">
        <w:rPr>
          <w:rStyle w:val="FootnoteReference"/>
          <w:sz w:val="22"/>
          <w:szCs w:val="22"/>
        </w:rPr>
        <w:footnoteReference w:id="3"/>
      </w:r>
      <w:r w:rsidRPr="007A368F">
        <w:rPr>
          <w:sz w:val="22"/>
          <w:szCs w:val="22"/>
        </w:rPr>
        <w:t xml:space="preserve"> and sought a 35% entrepreneur bidding credit, which was available to entities with average gross revenues of $3,000,000 or less for the three years immediately preceding the auction.</w:t>
      </w:r>
      <w:r w:rsidRPr="007A368F">
        <w:rPr>
          <w:rStyle w:val="FootnoteReference"/>
          <w:sz w:val="22"/>
          <w:szCs w:val="22"/>
        </w:rPr>
        <w:footnoteReference w:id="4"/>
      </w:r>
      <w:r w:rsidRPr="007A368F">
        <w:rPr>
          <w:sz w:val="22"/>
          <w:szCs w:val="22"/>
        </w:rPr>
        <w:t xml:space="preserve"> </w:t>
      </w:r>
      <w:r>
        <w:rPr>
          <w:sz w:val="22"/>
          <w:szCs w:val="22"/>
        </w:rPr>
        <w:t xml:space="preserve"> </w:t>
      </w:r>
    </w:p>
    <w:p w:rsidR="007A368F" w:rsidRDefault="007A368F" w:rsidP="00034145">
      <w:pPr>
        <w:ind w:firstLine="720"/>
        <w:rPr>
          <w:sz w:val="22"/>
          <w:szCs w:val="22"/>
        </w:rPr>
      </w:pPr>
    </w:p>
    <w:p w:rsidR="007A368F" w:rsidRDefault="007A368F" w:rsidP="00034145">
      <w:pPr>
        <w:ind w:firstLine="720"/>
        <w:rPr>
          <w:sz w:val="22"/>
          <w:szCs w:val="22"/>
        </w:rPr>
      </w:pPr>
      <w:r w:rsidRPr="007A368F">
        <w:rPr>
          <w:sz w:val="22"/>
          <w:szCs w:val="22"/>
        </w:rPr>
        <w:t xml:space="preserve">In adopting rules to determine eligibility for small business benefits, the Commission </w:t>
      </w:r>
      <w:r w:rsidR="001B12D8">
        <w:rPr>
          <w:sz w:val="22"/>
          <w:szCs w:val="22"/>
        </w:rPr>
        <w:t xml:space="preserve">sought to ensure </w:t>
      </w:r>
      <w:r w:rsidRPr="007A368F">
        <w:rPr>
          <w:sz w:val="22"/>
          <w:szCs w:val="22"/>
        </w:rPr>
        <w:t>that family members could not be used to evade its bidding credit eligibility requirements.</w:t>
      </w:r>
      <w:r w:rsidRPr="007A368F">
        <w:rPr>
          <w:sz w:val="22"/>
          <w:szCs w:val="22"/>
          <w:vertAlign w:val="superscript"/>
        </w:rPr>
        <w:footnoteReference w:id="5"/>
      </w:r>
      <w:r w:rsidRPr="007A368F">
        <w:rPr>
          <w:sz w:val="22"/>
          <w:szCs w:val="22"/>
        </w:rPr>
        <w:t xml:space="preserve">  The Commission therefore adopted a rule that immediate family members will be presumed to have an identity of interest with an applicant or its controlling interest.</w:t>
      </w:r>
      <w:r w:rsidRPr="007A368F">
        <w:rPr>
          <w:sz w:val="22"/>
          <w:szCs w:val="22"/>
          <w:vertAlign w:val="superscript"/>
        </w:rPr>
        <w:footnoteReference w:id="6"/>
      </w:r>
      <w:r w:rsidRPr="007A368F">
        <w:rPr>
          <w:sz w:val="22"/>
          <w:szCs w:val="22"/>
        </w:rPr>
        <w:t xml:space="preserve"> </w:t>
      </w:r>
      <w:r>
        <w:rPr>
          <w:sz w:val="22"/>
          <w:szCs w:val="22"/>
        </w:rPr>
        <w:t xml:space="preserve">  </w:t>
      </w:r>
      <w:r w:rsidRPr="007A368F">
        <w:rPr>
          <w:sz w:val="22"/>
          <w:szCs w:val="22"/>
        </w:rPr>
        <w:t>Ztark requested a ruling that it had rebutted the presumption that Tyler Kratz has an identity of interest with his father Douglas Kratz.</w:t>
      </w:r>
      <w:r w:rsidRPr="007A368F">
        <w:rPr>
          <w:sz w:val="22"/>
          <w:szCs w:val="22"/>
          <w:vertAlign w:val="superscript"/>
        </w:rPr>
        <w:footnoteReference w:id="7"/>
      </w:r>
      <w:r w:rsidRPr="007A368F">
        <w:rPr>
          <w:sz w:val="22"/>
          <w:szCs w:val="22"/>
        </w:rPr>
        <w:t xml:space="preserve"> </w:t>
      </w:r>
    </w:p>
    <w:p w:rsidR="007A368F" w:rsidRDefault="007A368F" w:rsidP="00034145">
      <w:pPr>
        <w:ind w:firstLine="720"/>
        <w:rPr>
          <w:sz w:val="22"/>
          <w:szCs w:val="22"/>
        </w:rPr>
      </w:pPr>
    </w:p>
    <w:p w:rsidR="000F029C" w:rsidRDefault="007A368F" w:rsidP="004B152D">
      <w:pPr>
        <w:ind w:firstLine="720"/>
        <w:rPr>
          <w:sz w:val="22"/>
          <w:szCs w:val="22"/>
        </w:rPr>
      </w:pPr>
      <w:r>
        <w:rPr>
          <w:sz w:val="22"/>
          <w:szCs w:val="22"/>
        </w:rPr>
        <w:t>On October 29, 2013, the Broadband Division</w:t>
      </w:r>
      <w:r w:rsidR="004B152D">
        <w:rPr>
          <w:sz w:val="22"/>
          <w:szCs w:val="22"/>
        </w:rPr>
        <w:t xml:space="preserve"> (“Division”)</w:t>
      </w:r>
      <w:r>
        <w:rPr>
          <w:sz w:val="22"/>
          <w:szCs w:val="22"/>
        </w:rPr>
        <w:t xml:space="preserve">, Wireless Telecommunications Bureau released an order </w:t>
      </w:r>
      <w:r w:rsidR="004B152D">
        <w:rPr>
          <w:sz w:val="22"/>
          <w:szCs w:val="22"/>
        </w:rPr>
        <w:t xml:space="preserve">holding that Ztark </w:t>
      </w:r>
      <w:r w:rsidR="004B152D" w:rsidRPr="004B152D">
        <w:rPr>
          <w:sz w:val="22"/>
          <w:szCs w:val="22"/>
        </w:rPr>
        <w:t>failed to demonstrate its eligibility for an auction bidding credit.</w:t>
      </w:r>
      <w:r w:rsidR="004B152D">
        <w:rPr>
          <w:rStyle w:val="FootnoteReference"/>
          <w:sz w:val="22"/>
          <w:szCs w:val="22"/>
        </w:rPr>
        <w:footnoteReference w:id="8"/>
      </w:r>
      <w:r w:rsidR="004B152D">
        <w:rPr>
          <w:sz w:val="22"/>
          <w:szCs w:val="22"/>
        </w:rPr>
        <w:t xml:space="preserve">  The Division held that </w:t>
      </w:r>
      <w:r w:rsidR="0005273F">
        <w:rPr>
          <w:sz w:val="22"/>
          <w:szCs w:val="22"/>
        </w:rPr>
        <w:t xml:space="preserve">Ztark had failed to rebut the presumption </w:t>
      </w:r>
      <w:r w:rsidR="0005273F" w:rsidRPr="007A368F">
        <w:rPr>
          <w:sz w:val="22"/>
          <w:szCs w:val="22"/>
        </w:rPr>
        <w:t>that Tyler Kratz has an identity of interest with Douglas Kratz.</w:t>
      </w:r>
      <w:r w:rsidR="0005273F">
        <w:rPr>
          <w:rStyle w:val="FootnoteReference"/>
          <w:sz w:val="22"/>
          <w:szCs w:val="22"/>
        </w:rPr>
        <w:footnoteReference w:id="9"/>
      </w:r>
      <w:r w:rsidR="0005273F">
        <w:rPr>
          <w:sz w:val="22"/>
          <w:szCs w:val="22"/>
        </w:rPr>
        <w:t xml:space="preserve">  </w:t>
      </w:r>
      <w:r w:rsidR="0005273F" w:rsidRPr="00981520">
        <w:rPr>
          <w:sz w:val="22"/>
          <w:szCs w:val="22"/>
        </w:rPr>
        <w:t xml:space="preserve">Because Ztark </w:t>
      </w:r>
      <w:r w:rsidR="0005273F">
        <w:rPr>
          <w:sz w:val="22"/>
          <w:szCs w:val="22"/>
        </w:rPr>
        <w:t xml:space="preserve">did </w:t>
      </w:r>
      <w:r w:rsidR="0005273F" w:rsidRPr="00981520">
        <w:rPr>
          <w:sz w:val="22"/>
          <w:szCs w:val="22"/>
        </w:rPr>
        <w:t xml:space="preserve">not provide Douglas Kratz’ gross revenues, </w:t>
      </w:r>
      <w:r w:rsidR="0005273F">
        <w:rPr>
          <w:sz w:val="22"/>
          <w:szCs w:val="22"/>
        </w:rPr>
        <w:t xml:space="preserve">the Division was </w:t>
      </w:r>
      <w:r w:rsidR="0005273F" w:rsidRPr="00981520">
        <w:rPr>
          <w:sz w:val="22"/>
          <w:szCs w:val="22"/>
        </w:rPr>
        <w:t xml:space="preserve">unable to conclude that Ztark </w:t>
      </w:r>
      <w:r w:rsidR="0005273F">
        <w:rPr>
          <w:sz w:val="22"/>
          <w:szCs w:val="22"/>
        </w:rPr>
        <w:t>wa</w:t>
      </w:r>
      <w:r w:rsidR="0005273F" w:rsidRPr="00981520">
        <w:rPr>
          <w:sz w:val="22"/>
          <w:szCs w:val="22"/>
        </w:rPr>
        <w:t>s eligible for a bidding credit.</w:t>
      </w:r>
      <w:r w:rsidR="0005273F">
        <w:rPr>
          <w:rStyle w:val="FootnoteReference"/>
          <w:sz w:val="22"/>
          <w:szCs w:val="22"/>
        </w:rPr>
        <w:footnoteReference w:id="10"/>
      </w:r>
      <w:r w:rsidR="0005273F">
        <w:rPr>
          <w:sz w:val="22"/>
          <w:szCs w:val="22"/>
        </w:rPr>
        <w:t xml:space="preserve">  The Division ordered Ztark to pay $413,700, t</w:t>
      </w:r>
      <w:r w:rsidR="0005273F" w:rsidRPr="00040CCF">
        <w:rPr>
          <w:sz w:val="22"/>
          <w:szCs w:val="22"/>
        </w:rPr>
        <w:t>he difference between Ztark’s gross winning bids and its net winning bids</w:t>
      </w:r>
      <w:r w:rsidR="0005273F">
        <w:rPr>
          <w:sz w:val="22"/>
          <w:szCs w:val="22"/>
        </w:rPr>
        <w:t>, by 6:00 pm on November 28, 2013.</w:t>
      </w:r>
      <w:r w:rsidR="0005273F">
        <w:rPr>
          <w:rStyle w:val="FootnoteReference"/>
          <w:sz w:val="22"/>
          <w:szCs w:val="22"/>
        </w:rPr>
        <w:footnoteReference w:id="11"/>
      </w:r>
    </w:p>
    <w:p w:rsidR="0005273F" w:rsidRDefault="0005273F" w:rsidP="004B152D">
      <w:pPr>
        <w:ind w:firstLine="720"/>
        <w:rPr>
          <w:sz w:val="22"/>
          <w:szCs w:val="22"/>
        </w:rPr>
      </w:pPr>
    </w:p>
    <w:p w:rsidR="0005273F" w:rsidRDefault="0005273F" w:rsidP="004B152D">
      <w:pPr>
        <w:ind w:firstLine="720"/>
        <w:rPr>
          <w:sz w:val="22"/>
          <w:szCs w:val="22"/>
        </w:rPr>
      </w:pPr>
      <w:r>
        <w:rPr>
          <w:sz w:val="22"/>
          <w:szCs w:val="22"/>
        </w:rPr>
        <w:t xml:space="preserve">On </w:t>
      </w:r>
      <w:r w:rsidR="00BB5600">
        <w:rPr>
          <w:sz w:val="22"/>
          <w:szCs w:val="22"/>
        </w:rPr>
        <w:t xml:space="preserve">November 13, 2013, Ztark requested an additional 60 days to </w:t>
      </w:r>
      <w:r w:rsidR="00A34400">
        <w:rPr>
          <w:sz w:val="22"/>
          <w:szCs w:val="22"/>
        </w:rPr>
        <w:t xml:space="preserve">make the $413,700 payment directed in the </w:t>
      </w:r>
      <w:r w:rsidR="00A34400">
        <w:rPr>
          <w:i/>
          <w:sz w:val="22"/>
          <w:szCs w:val="22"/>
        </w:rPr>
        <w:t>MO&amp;O</w:t>
      </w:r>
      <w:r w:rsidR="00A34400">
        <w:rPr>
          <w:sz w:val="22"/>
          <w:szCs w:val="22"/>
        </w:rPr>
        <w:t>.</w:t>
      </w:r>
      <w:r w:rsidR="00A34400">
        <w:rPr>
          <w:rStyle w:val="FootnoteReference"/>
          <w:sz w:val="22"/>
          <w:szCs w:val="22"/>
        </w:rPr>
        <w:footnoteReference w:id="12"/>
      </w:r>
      <w:r w:rsidR="00D9758F">
        <w:rPr>
          <w:sz w:val="22"/>
          <w:szCs w:val="22"/>
        </w:rPr>
        <w:t xml:space="preserve">  Ztark argues that </w:t>
      </w:r>
      <w:r w:rsidR="0069754C">
        <w:rPr>
          <w:sz w:val="22"/>
          <w:szCs w:val="22"/>
        </w:rPr>
        <w:t>winn</w:t>
      </w:r>
      <w:r w:rsidR="00A259E5">
        <w:rPr>
          <w:sz w:val="22"/>
          <w:szCs w:val="22"/>
        </w:rPr>
        <w:t>ing bidders in other auctions</w:t>
      </w:r>
      <w:r w:rsidR="0069754C">
        <w:rPr>
          <w:sz w:val="22"/>
          <w:szCs w:val="22"/>
        </w:rPr>
        <w:t xml:space="preserve"> </w:t>
      </w:r>
      <w:r w:rsidR="00A259E5">
        <w:rPr>
          <w:sz w:val="22"/>
          <w:szCs w:val="22"/>
        </w:rPr>
        <w:t>have been</w:t>
      </w:r>
      <w:r w:rsidR="0069754C">
        <w:rPr>
          <w:sz w:val="22"/>
          <w:szCs w:val="22"/>
        </w:rPr>
        <w:t xml:space="preserve"> given </w:t>
      </w:r>
      <w:r w:rsidR="00826089">
        <w:rPr>
          <w:sz w:val="22"/>
          <w:szCs w:val="22"/>
        </w:rPr>
        <w:t xml:space="preserve">more </w:t>
      </w:r>
      <w:r w:rsidR="0069754C">
        <w:rPr>
          <w:sz w:val="22"/>
          <w:szCs w:val="22"/>
        </w:rPr>
        <w:t>time to make their additional payment.</w:t>
      </w:r>
      <w:r w:rsidR="0069754C">
        <w:rPr>
          <w:rStyle w:val="FootnoteReference"/>
          <w:sz w:val="22"/>
          <w:szCs w:val="22"/>
        </w:rPr>
        <w:footnoteReference w:id="13"/>
      </w:r>
      <w:r w:rsidR="00826089">
        <w:rPr>
          <w:sz w:val="22"/>
          <w:szCs w:val="22"/>
        </w:rPr>
        <w:t xml:space="preserve">  Ztark also cites </w:t>
      </w:r>
      <w:r w:rsidR="00DD04BE">
        <w:rPr>
          <w:sz w:val="22"/>
          <w:szCs w:val="22"/>
        </w:rPr>
        <w:t>the Wireless Telecommunications Bureau’s decision to give Baker Creek Communications an additional twenty days (for a total of 34 days)</w:t>
      </w:r>
      <w:r w:rsidR="002A4B74">
        <w:rPr>
          <w:sz w:val="22"/>
          <w:szCs w:val="22"/>
        </w:rPr>
        <w:t xml:space="preserve"> to make an additional payment after they were deemed ineligible for a bidding credit.</w:t>
      </w:r>
      <w:r w:rsidR="002A4B74">
        <w:rPr>
          <w:rStyle w:val="FootnoteReference"/>
          <w:sz w:val="22"/>
          <w:szCs w:val="22"/>
        </w:rPr>
        <w:footnoteReference w:id="14"/>
      </w:r>
    </w:p>
    <w:p w:rsidR="00EE34A9" w:rsidRDefault="00EE34A9" w:rsidP="004B152D">
      <w:pPr>
        <w:ind w:firstLine="720"/>
        <w:rPr>
          <w:sz w:val="22"/>
          <w:szCs w:val="22"/>
        </w:rPr>
      </w:pPr>
    </w:p>
    <w:p w:rsidR="00EE34A9" w:rsidRDefault="00EE34A9" w:rsidP="004B152D">
      <w:pPr>
        <w:ind w:firstLine="720"/>
        <w:rPr>
          <w:sz w:val="22"/>
          <w:szCs w:val="22"/>
        </w:rPr>
      </w:pPr>
      <w:r>
        <w:rPr>
          <w:sz w:val="22"/>
          <w:szCs w:val="22"/>
        </w:rPr>
        <w:t>Ztark argues that the rejection of a bidding credit is “</w:t>
      </w:r>
      <w:r w:rsidRPr="00EE34A9">
        <w:rPr>
          <w:sz w:val="22"/>
          <w:szCs w:val="22"/>
        </w:rPr>
        <w:t>a relatively rare occurrence</w:t>
      </w:r>
      <w:r>
        <w:rPr>
          <w:sz w:val="22"/>
          <w:szCs w:val="22"/>
        </w:rPr>
        <w:t>” and that it should have additional time “</w:t>
      </w:r>
      <w:r w:rsidRPr="00EE34A9">
        <w:rPr>
          <w:sz w:val="22"/>
          <w:szCs w:val="22"/>
        </w:rPr>
        <w:t>to consider its legal and financial options.</w:t>
      </w:r>
      <w:r>
        <w:rPr>
          <w:sz w:val="22"/>
          <w:szCs w:val="22"/>
        </w:rPr>
        <w:t>”</w:t>
      </w:r>
      <w:r>
        <w:rPr>
          <w:rStyle w:val="FootnoteReference"/>
          <w:sz w:val="22"/>
          <w:szCs w:val="22"/>
        </w:rPr>
        <w:footnoteReference w:id="15"/>
      </w:r>
      <w:r>
        <w:rPr>
          <w:sz w:val="22"/>
          <w:szCs w:val="22"/>
        </w:rPr>
        <w:t xml:space="preserve">  Ztark also contends that it is in the best position to ensure that the spectrum it has applied for is put in use.</w:t>
      </w:r>
      <w:r>
        <w:rPr>
          <w:rStyle w:val="FootnoteReference"/>
          <w:sz w:val="22"/>
          <w:szCs w:val="22"/>
        </w:rPr>
        <w:footnoteReference w:id="16"/>
      </w:r>
      <w:r w:rsidR="00723964">
        <w:rPr>
          <w:sz w:val="22"/>
          <w:szCs w:val="22"/>
        </w:rPr>
        <w:t xml:space="preserve">  Ztark writes, “</w:t>
      </w:r>
      <w:r w:rsidR="00723964" w:rsidRPr="00723964">
        <w:rPr>
          <w:sz w:val="22"/>
          <w:szCs w:val="22"/>
        </w:rPr>
        <w:t>The grant of 60 additional days therefore benefits the public by vastly increasing the likelihood that Ztark will acquire appropriate external financing and finalize its license purchase, thereby freeing the spectrum up for rapid use.</w:t>
      </w:r>
      <w:r w:rsidR="00723964">
        <w:rPr>
          <w:sz w:val="22"/>
          <w:szCs w:val="22"/>
        </w:rPr>
        <w:t>”</w:t>
      </w:r>
      <w:r w:rsidR="00723964">
        <w:rPr>
          <w:rStyle w:val="FootnoteReference"/>
          <w:sz w:val="22"/>
          <w:szCs w:val="22"/>
        </w:rPr>
        <w:footnoteReference w:id="17"/>
      </w:r>
      <w:r w:rsidR="00723964">
        <w:rPr>
          <w:sz w:val="22"/>
          <w:szCs w:val="22"/>
        </w:rPr>
        <w:t xml:space="preserve">  Finally, Ztark </w:t>
      </w:r>
      <w:r w:rsidR="00573FB6">
        <w:rPr>
          <w:sz w:val="22"/>
          <w:szCs w:val="22"/>
        </w:rPr>
        <w:t>argues that granting an extension will increase the possibility that Ztark will be able to make full payment and “</w:t>
      </w:r>
      <w:r w:rsidR="00573FB6" w:rsidRPr="00573FB6">
        <w:rPr>
          <w:sz w:val="22"/>
          <w:szCs w:val="22"/>
        </w:rPr>
        <w:t>would appropriately balance the public interest in ensuring the fastest possible deployment of spectrum with the public interest in ensuring timely Commission auction payments.</w:t>
      </w:r>
      <w:r w:rsidR="00573FB6">
        <w:rPr>
          <w:rStyle w:val="FootnoteReference"/>
          <w:sz w:val="22"/>
          <w:szCs w:val="22"/>
        </w:rPr>
        <w:footnoteReference w:id="18"/>
      </w:r>
    </w:p>
    <w:p w:rsidR="00573FB6" w:rsidRDefault="00573FB6" w:rsidP="004B152D">
      <w:pPr>
        <w:ind w:firstLine="720"/>
        <w:rPr>
          <w:sz w:val="22"/>
          <w:szCs w:val="22"/>
        </w:rPr>
      </w:pPr>
    </w:p>
    <w:p w:rsidR="00573FB6" w:rsidRDefault="00573FB6" w:rsidP="004B152D">
      <w:pPr>
        <w:ind w:firstLine="720"/>
        <w:rPr>
          <w:sz w:val="22"/>
          <w:szCs w:val="22"/>
        </w:rPr>
      </w:pPr>
      <w:r>
        <w:rPr>
          <w:sz w:val="22"/>
          <w:szCs w:val="22"/>
        </w:rPr>
        <w:t>“</w:t>
      </w:r>
      <w:r w:rsidRPr="00573FB6">
        <w:rPr>
          <w:sz w:val="22"/>
          <w:szCs w:val="22"/>
        </w:rPr>
        <w:t>It is the policy of the Commission that extensions of time shall not be routinely granted.</w:t>
      </w:r>
      <w:r>
        <w:rPr>
          <w:sz w:val="22"/>
          <w:szCs w:val="22"/>
        </w:rPr>
        <w:t>”</w:t>
      </w:r>
      <w:r>
        <w:rPr>
          <w:rStyle w:val="FootnoteReference"/>
          <w:sz w:val="22"/>
          <w:szCs w:val="22"/>
        </w:rPr>
        <w:footnoteReference w:id="19"/>
      </w:r>
      <w:r>
        <w:rPr>
          <w:sz w:val="22"/>
          <w:szCs w:val="22"/>
        </w:rPr>
        <w:t xml:space="preserve">  After carefully reviewing the Extension Request, we conclude that Ztark has failed to show good cause for an extension.  </w:t>
      </w:r>
      <w:r w:rsidR="0020296E">
        <w:rPr>
          <w:sz w:val="22"/>
          <w:szCs w:val="22"/>
        </w:rPr>
        <w:t>Ztark</w:t>
      </w:r>
      <w:r w:rsidR="007E72B8">
        <w:rPr>
          <w:sz w:val="22"/>
          <w:szCs w:val="22"/>
        </w:rPr>
        <w:t xml:space="preserve"> </w:t>
      </w:r>
      <w:r w:rsidR="0020296E">
        <w:rPr>
          <w:sz w:val="22"/>
          <w:szCs w:val="22"/>
        </w:rPr>
        <w:t>was required</w:t>
      </w:r>
      <w:r w:rsidR="00BC75BB" w:rsidRPr="00BC75BB">
        <w:rPr>
          <w:sz w:val="22"/>
          <w:szCs w:val="22"/>
        </w:rPr>
        <w:t xml:space="preserve"> to </w:t>
      </w:r>
      <w:r w:rsidR="00BC75BB">
        <w:rPr>
          <w:sz w:val="22"/>
          <w:szCs w:val="22"/>
        </w:rPr>
        <w:t xml:space="preserve">pay the full amount of </w:t>
      </w:r>
      <w:r w:rsidR="00BC75BB" w:rsidRPr="00BC75BB">
        <w:rPr>
          <w:sz w:val="22"/>
          <w:szCs w:val="22"/>
        </w:rPr>
        <w:t xml:space="preserve">its winning bid within 10 business days after </w:t>
      </w:r>
      <w:r w:rsidR="00BC75BB">
        <w:rPr>
          <w:sz w:val="22"/>
          <w:szCs w:val="22"/>
        </w:rPr>
        <w:t>the dead</w:t>
      </w:r>
      <w:r w:rsidR="00BC75BB" w:rsidRPr="00BC75BB">
        <w:rPr>
          <w:sz w:val="22"/>
          <w:szCs w:val="22"/>
        </w:rPr>
        <w:t xml:space="preserve">line for submitting </w:t>
      </w:r>
      <w:r w:rsidR="00BC75BB">
        <w:rPr>
          <w:sz w:val="22"/>
          <w:szCs w:val="22"/>
        </w:rPr>
        <w:t xml:space="preserve">its </w:t>
      </w:r>
      <w:r w:rsidR="00BC75BB" w:rsidRPr="00BC75BB">
        <w:rPr>
          <w:sz w:val="22"/>
          <w:szCs w:val="22"/>
        </w:rPr>
        <w:t>down payment</w:t>
      </w:r>
      <w:r w:rsidR="00BC75BB">
        <w:rPr>
          <w:sz w:val="22"/>
          <w:szCs w:val="22"/>
        </w:rPr>
        <w:t>.</w:t>
      </w:r>
      <w:r w:rsidR="007E72B8">
        <w:rPr>
          <w:rStyle w:val="FootnoteReference"/>
          <w:sz w:val="22"/>
          <w:szCs w:val="22"/>
        </w:rPr>
        <w:footnoteReference w:id="20"/>
      </w:r>
      <w:r w:rsidR="007E72B8">
        <w:rPr>
          <w:sz w:val="22"/>
          <w:szCs w:val="22"/>
        </w:rPr>
        <w:t xml:space="preserve">  </w:t>
      </w:r>
      <w:r w:rsidR="008D2D43">
        <w:rPr>
          <w:sz w:val="22"/>
          <w:szCs w:val="22"/>
        </w:rPr>
        <w:t xml:space="preserve">In addition to the </w:t>
      </w:r>
      <w:r w:rsidR="008D2D43" w:rsidRPr="008D2D43">
        <w:rPr>
          <w:sz w:val="22"/>
          <w:szCs w:val="22"/>
        </w:rPr>
        <w:t xml:space="preserve">initial 10 business days given to all winning bidders to make </w:t>
      </w:r>
      <w:r w:rsidR="008D2D43">
        <w:rPr>
          <w:sz w:val="22"/>
          <w:szCs w:val="22"/>
        </w:rPr>
        <w:t xml:space="preserve">their </w:t>
      </w:r>
      <w:r w:rsidR="008D2D43" w:rsidRPr="008D2D43">
        <w:rPr>
          <w:sz w:val="22"/>
          <w:szCs w:val="22"/>
        </w:rPr>
        <w:t>final payment</w:t>
      </w:r>
      <w:r w:rsidR="008D2D43">
        <w:rPr>
          <w:sz w:val="22"/>
          <w:szCs w:val="22"/>
        </w:rPr>
        <w:t>,</w:t>
      </w:r>
      <w:r w:rsidR="00FD6D25">
        <w:rPr>
          <w:sz w:val="22"/>
          <w:szCs w:val="22"/>
        </w:rPr>
        <w:t xml:space="preserve"> t</w:t>
      </w:r>
      <w:r w:rsidR="007E72B8">
        <w:rPr>
          <w:sz w:val="22"/>
          <w:szCs w:val="22"/>
        </w:rPr>
        <w:t xml:space="preserve">he </w:t>
      </w:r>
      <w:r w:rsidR="007E72B8">
        <w:rPr>
          <w:i/>
          <w:sz w:val="22"/>
          <w:szCs w:val="22"/>
        </w:rPr>
        <w:t xml:space="preserve">MO&amp;O </w:t>
      </w:r>
      <w:r w:rsidR="00B436C5">
        <w:rPr>
          <w:sz w:val="22"/>
          <w:szCs w:val="22"/>
        </w:rPr>
        <w:t xml:space="preserve">granted </w:t>
      </w:r>
      <w:r w:rsidR="007E72B8">
        <w:rPr>
          <w:sz w:val="22"/>
          <w:szCs w:val="22"/>
        </w:rPr>
        <w:t xml:space="preserve">Ztark </w:t>
      </w:r>
      <w:r w:rsidR="008D2D43">
        <w:rPr>
          <w:sz w:val="22"/>
          <w:szCs w:val="22"/>
        </w:rPr>
        <w:t xml:space="preserve">an additional </w:t>
      </w:r>
      <w:r w:rsidR="007E72B8">
        <w:rPr>
          <w:sz w:val="22"/>
          <w:szCs w:val="22"/>
        </w:rPr>
        <w:t xml:space="preserve">thirty days to </w:t>
      </w:r>
      <w:r w:rsidR="008D2D43">
        <w:rPr>
          <w:sz w:val="22"/>
          <w:szCs w:val="22"/>
        </w:rPr>
        <w:t xml:space="preserve">pay the </w:t>
      </w:r>
      <w:r w:rsidR="008D2D43" w:rsidRPr="008D2D43">
        <w:rPr>
          <w:sz w:val="22"/>
          <w:szCs w:val="22"/>
        </w:rPr>
        <w:t>additional balance it owed on the licenses because it was determined to be ineligible for a bidding credit</w:t>
      </w:r>
      <w:r w:rsidR="007E72B8">
        <w:rPr>
          <w:sz w:val="22"/>
          <w:szCs w:val="22"/>
        </w:rPr>
        <w:t>.  Furthermore, Ztark has known for over a year that its eligibility for a bidding credit was in question.</w:t>
      </w:r>
      <w:r w:rsidR="007E72B8">
        <w:rPr>
          <w:rStyle w:val="FootnoteReference"/>
          <w:sz w:val="22"/>
          <w:szCs w:val="22"/>
        </w:rPr>
        <w:footnoteReference w:id="21"/>
      </w:r>
      <w:r w:rsidR="007E72B8">
        <w:rPr>
          <w:sz w:val="22"/>
          <w:szCs w:val="22"/>
        </w:rPr>
        <w:t xml:space="preserve">  It has had more than adequate opportunity to make contingency plans and obtain financing in case it needed to make an additional payment on its licenses.  Ztark also fails to provide any assurance that it would be able to pay the monies due even if it receives an extension.  Instead, it </w:t>
      </w:r>
      <w:r w:rsidR="00525FC4">
        <w:rPr>
          <w:sz w:val="22"/>
          <w:szCs w:val="22"/>
        </w:rPr>
        <w:t>seeks additional time to evaluate its legal and financial options.</w:t>
      </w:r>
      <w:r w:rsidR="00A824D1">
        <w:rPr>
          <w:sz w:val="22"/>
          <w:szCs w:val="22"/>
        </w:rPr>
        <w:t xml:space="preserve">  We </w:t>
      </w:r>
      <w:r w:rsidR="00B436C5">
        <w:rPr>
          <w:sz w:val="22"/>
          <w:szCs w:val="22"/>
        </w:rPr>
        <w:t>are not persuaded that</w:t>
      </w:r>
      <w:r w:rsidR="00A824D1">
        <w:rPr>
          <w:sz w:val="22"/>
          <w:szCs w:val="22"/>
        </w:rPr>
        <w:t xml:space="preserve"> Ztark needs additional time to evaluate such options when it made an unconditional winning bid for the two licenses</w:t>
      </w:r>
      <w:r w:rsidR="00B436C5">
        <w:rPr>
          <w:sz w:val="22"/>
          <w:szCs w:val="22"/>
        </w:rPr>
        <w:t xml:space="preserve"> over four years ago, </w:t>
      </w:r>
      <w:r w:rsidR="00A824D1">
        <w:rPr>
          <w:sz w:val="22"/>
          <w:szCs w:val="22"/>
        </w:rPr>
        <w:t>in Auction 86.</w:t>
      </w:r>
      <w:r w:rsidR="00EF212B">
        <w:rPr>
          <w:rStyle w:val="FootnoteReference"/>
          <w:sz w:val="22"/>
          <w:szCs w:val="22"/>
        </w:rPr>
        <w:footnoteReference w:id="22"/>
      </w:r>
    </w:p>
    <w:p w:rsidR="00227E1F" w:rsidRDefault="00227E1F" w:rsidP="004B152D">
      <w:pPr>
        <w:ind w:firstLine="720"/>
        <w:rPr>
          <w:sz w:val="22"/>
          <w:szCs w:val="22"/>
        </w:rPr>
      </w:pPr>
    </w:p>
    <w:p w:rsidR="00227E1F" w:rsidRDefault="00227E1F" w:rsidP="004B152D">
      <w:pPr>
        <w:ind w:firstLine="720"/>
        <w:rPr>
          <w:sz w:val="22"/>
          <w:szCs w:val="22"/>
        </w:rPr>
      </w:pPr>
      <w:r>
        <w:rPr>
          <w:sz w:val="22"/>
          <w:szCs w:val="22"/>
        </w:rPr>
        <w:t xml:space="preserve">The </w:t>
      </w:r>
      <w:r w:rsidR="001B37AF">
        <w:rPr>
          <w:sz w:val="22"/>
          <w:szCs w:val="22"/>
        </w:rPr>
        <w:t xml:space="preserve">cases </w:t>
      </w:r>
      <w:r>
        <w:rPr>
          <w:sz w:val="22"/>
          <w:szCs w:val="22"/>
        </w:rPr>
        <w:t xml:space="preserve">cited by Ztark do not support its Extension Request.  The </w:t>
      </w:r>
      <w:r w:rsidR="00B436C5">
        <w:rPr>
          <w:sz w:val="22"/>
          <w:szCs w:val="22"/>
        </w:rPr>
        <w:t xml:space="preserve">only precedent Ztark </w:t>
      </w:r>
      <w:r w:rsidR="001B12D8">
        <w:rPr>
          <w:sz w:val="22"/>
          <w:szCs w:val="22"/>
        </w:rPr>
        <w:t>cites</w:t>
      </w:r>
      <w:r w:rsidR="00B436C5">
        <w:rPr>
          <w:sz w:val="22"/>
          <w:szCs w:val="22"/>
        </w:rPr>
        <w:t xml:space="preserve"> for a 90 day payment deadline, the </w:t>
      </w:r>
      <w:r w:rsidRPr="00D476E1">
        <w:rPr>
          <w:i/>
          <w:sz w:val="22"/>
          <w:szCs w:val="22"/>
        </w:rPr>
        <w:t>Minnesota Christian Broadcasters</w:t>
      </w:r>
      <w:r>
        <w:rPr>
          <w:sz w:val="22"/>
          <w:szCs w:val="22"/>
        </w:rPr>
        <w:t xml:space="preserve"> case</w:t>
      </w:r>
      <w:r w:rsidR="00B436C5">
        <w:rPr>
          <w:sz w:val="22"/>
          <w:szCs w:val="22"/>
        </w:rPr>
        <w:t>,</w:t>
      </w:r>
      <w:r>
        <w:rPr>
          <w:sz w:val="22"/>
          <w:szCs w:val="22"/>
        </w:rPr>
        <w:t xml:space="preserve"> involved an auction that </w:t>
      </w:r>
      <w:r w:rsidR="00041604">
        <w:rPr>
          <w:sz w:val="22"/>
          <w:szCs w:val="22"/>
        </w:rPr>
        <w:t>substantially</w:t>
      </w:r>
      <w:r w:rsidR="00B436C5">
        <w:rPr>
          <w:sz w:val="22"/>
          <w:szCs w:val="22"/>
        </w:rPr>
        <w:t xml:space="preserve"> </w:t>
      </w:r>
      <w:r>
        <w:rPr>
          <w:sz w:val="22"/>
          <w:szCs w:val="22"/>
        </w:rPr>
        <w:t>predate</w:t>
      </w:r>
      <w:r w:rsidR="00041604">
        <w:rPr>
          <w:sz w:val="22"/>
          <w:szCs w:val="22"/>
        </w:rPr>
        <w:t>s</w:t>
      </w:r>
      <w:r>
        <w:rPr>
          <w:sz w:val="22"/>
          <w:szCs w:val="22"/>
        </w:rPr>
        <w:t xml:space="preserve"> the </w:t>
      </w:r>
      <w:r w:rsidR="00EF212B">
        <w:rPr>
          <w:sz w:val="22"/>
          <w:szCs w:val="22"/>
        </w:rPr>
        <w:t xml:space="preserve">Commission’s </w:t>
      </w:r>
      <w:r>
        <w:rPr>
          <w:sz w:val="22"/>
          <w:szCs w:val="22"/>
        </w:rPr>
        <w:t xml:space="preserve">current </w:t>
      </w:r>
      <w:r w:rsidR="00EF212B">
        <w:rPr>
          <w:sz w:val="22"/>
          <w:szCs w:val="22"/>
        </w:rPr>
        <w:t>practice of</w:t>
      </w:r>
      <w:r>
        <w:rPr>
          <w:sz w:val="22"/>
          <w:szCs w:val="22"/>
        </w:rPr>
        <w:t xml:space="preserve"> requiring </w:t>
      </w:r>
      <w:r w:rsidR="00EF212B">
        <w:rPr>
          <w:sz w:val="22"/>
          <w:szCs w:val="22"/>
        </w:rPr>
        <w:t xml:space="preserve">final </w:t>
      </w:r>
      <w:r>
        <w:rPr>
          <w:sz w:val="22"/>
          <w:szCs w:val="22"/>
        </w:rPr>
        <w:t>payment within ten business days</w:t>
      </w:r>
      <w:r w:rsidR="00EF212B">
        <w:rPr>
          <w:sz w:val="22"/>
          <w:szCs w:val="22"/>
        </w:rPr>
        <w:t xml:space="preserve"> after submission of the down payment</w:t>
      </w:r>
      <w:r>
        <w:rPr>
          <w:sz w:val="22"/>
          <w:szCs w:val="22"/>
        </w:rPr>
        <w:t>.  The 30 days Ztark received to make its additional payment is comparable to or more than the amount of time Liberty Productions (21 days)</w:t>
      </w:r>
      <w:r>
        <w:rPr>
          <w:rStyle w:val="FootnoteReference"/>
          <w:sz w:val="22"/>
          <w:szCs w:val="22"/>
        </w:rPr>
        <w:footnoteReference w:id="23"/>
      </w:r>
      <w:r>
        <w:rPr>
          <w:sz w:val="22"/>
          <w:szCs w:val="22"/>
        </w:rPr>
        <w:t xml:space="preserve"> and Baker Creek Communications (34 days) received to make their payments.</w:t>
      </w:r>
    </w:p>
    <w:p w:rsidR="001B37AF" w:rsidRDefault="001B37AF" w:rsidP="004B152D">
      <w:pPr>
        <w:ind w:firstLine="720"/>
        <w:rPr>
          <w:sz w:val="22"/>
          <w:szCs w:val="22"/>
        </w:rPr>
      </w:pPr>
    </w:p>
    <w:p w:rsidR="001B37AF" w:rsidRDefault="001B37AF" w:rsidP="004B152D">
      <w:pPr>
        <w:ind w:firstLine="720"/>
        <w:rPr>
          <w:sz w:val="22"/>
          <w:szCs w:val="22"/>
        </w:rPr>
      </w:pPr>
      <w:r>
        <w:rPr>
          <w:sz w:val="22"/>
          <w:szCs w:val="22"/>
        </w:rPr>
        <w:t>Because Ztark also mentions standards relevant to a waiver of the Commission’s rules,</w:t>
      </w:r>
      <w:r w:rsidR="002563FE">
        <w:rPr>
          <w:rStyle w:val="FootnoteReference"/>
          <w:sz w:val="22"/>
          <w:szCs w:val="22"/>
        </w:rPr>
        <w:footnoteReference w:id="24"/>
      </w:r>
      <w:r>
        <w:rPr>
          <w:sz w:val="22"/>
          <w:szCs w:val="22"/>
        </w:rPr>
        <w:t xml:space="preserve"> we will also evaluate </w:t>
      </w:r>
      <w:r w:rsidR="002563FE">
        <w:rPr>
          <w:sz w:val="22"/>
          <w:szCs w:val="22"/>
        </w:rPr>
        <w:t>the Extension Request under the waiver standard in Section 1.925(b)(3) of the Commission’s Rules.</w:t>
      </w:r>
      <w:r w:rsidR="002563FE">
        <w:rPr>
          <w:rStyle w:val="FootnoteReference"/>
          <w:sz w:val="22"/>
          <w:szCs w:val="22"/>
        </w:rPr>
        <w:footnoteReference w:id="25"/>
      </w:r>
      <w:r w:rsidR="002563FE">
        <w:rPr>
          <w:sz w:val="22"/>
          <w:szCs w:val="22"/>
        </w:rPr>
        <w:t xml:space="preserve">  </w:t>
      </w:r>
      <w:r w:rsidR="00A96CC0" w:rsidRPr="00A96CC0">
        <w:rPr>
          <w:sz w:val="22"/>
          <w:szCs w:val="22"/>
        </w:rPr>
        <w:t xml:space="preserve">To be granted a waiver of the </w:t>
      </w:r>
      <w:r w:rsidR="00A96CC0">
        <w:rPr>
          <w:sz w:val="22"/>
          <w:szCs w:val="22"/>
        </w:rPr>
        <w:t>November 29</w:t>
      </w:r>
      <w:r w:rsidR="00A96CC0" w:rsidRPr="00A96CC0">
        <w:rPr>
          <w:sz w:val="22"/>
          <w:szCs w:val="22"/>
        </w:rPr>
        <w:t>, 201</w:t>
      </w:r>
      <w:r w:rsidR="00A96CC0">
        <w:rPr>
          <w:sz w:val="22"/>
          <w:szCs w:val="22"/>
        </w:rPr>
        <w:t>3</w:t>
      </w:r>
      <w:r w:rsidR="00A96CC0" w:rsidRPr="00A96CC0">
        <w:rPr>
          <w:sz w:val="22"/>
          <w:szCs w:val="22"/>
        </w:rPr>
        <w:t xml:space="preserve"> </w:t>
      </w:r>
      <w:r w:rsidR="00A96CC0">
        <w:rPr>
          <w:sz w:val="22"/>
          <w:szCs w:val="22"/>
        </w:rPr>
        <w:t xml:space="preserve">payment </w:t>
      </w:r>
      <w:r w:rsidR="00A96CC0" w:rsidRPr="00A96CC0">
        <w:rPr>
          <w:sz w:val="22"/>
          <w:szCs w:val="22"/>
        </w:rPr>
        <w:t xml:space="preserve">deadline, </w:t>
      </w:r>
      <w:r w:rsidR="00A96CC0">
        <w:rPr>
          <w:sz w:val="22"/>
          <w:szCs w:val="22"/>
        </w:rPr>
        <w:t xml:space="preserve">Ztark </w:t>
      </w:r>
      <w:r w:rsidR="00A96CC0" w:rsidRPr="00A96CC0">
        <w:rPr>
          <w:sz w:val="22"/>
          <w:szCs w:val="22"/>
        </w:rPr>
        <w:t>must show that either (1) the underlying purpose of the rule(s) would not be served or would be frustrated by application to the instant case, and that a grant of the requested waiver would be in the public interest; or (2) in view of the unique or unusual circumstances of the instant case, application of the rule(s) would be inequitable, unduly burdensome or contrary to the public interest, or the applicant has no reasonable alternative.</w:t>
      </w:r>
      <w:r w:rsidR="00A96CC0">
        <w:rPr>
          <w:rStyle w:val="FootnoteReference"/>
          <w:sz w:val="22"/>
          <w:szCs w:val="22"/>
        </w:rPr>
        <w:footnoteReference w:id="26"/>
      </w:r>
      <w:r w:rsidR="00B13F8D">
        <w:rPr>
          <w:sz w:val="22"/>
          <w:szCs w:val="22"/>
        </w:rPr>
        <w:t xml:space="preserve">  “</w:t>
      </w:r>
      <w:r w:rsidR="00B13F8D" w:rsidRPr="00B13F8D">
        <w:rPr>
          <w:sz w:val="22"/>
          <w:szCs w:val="22"/>
        </w:rPr>
        <w:t>The Commission's competitive bidding rules are designed to maintain a fair and efficient license assignment process that promotes a number of statutory purposes, including the rapid deployment of new technologies and services to the public and the efficient and intensive use of spectrum.</w:t>
      </w:r>
      <w:r w:rsidR="00B13F8D">
        <w:rPr>
          <w:sz w:val="22"/>
          <w:szCs w:val="22"/>
        </w:rPr>
        <w:t>”</w:t>
      </w:r>
      <w:r w:rsidR="00B13F8D">
        <w:rPr>
          <w:rStyle w:val="FootnoteReference"/>
          <w:sz w:val="22"/>
          <w:szCs w:val="22"/>
        </w:rPr>
        <w:footnoteReference w:id="27"/>
      </w:r>
      <w:r w:rsidR="00B13F8D">
        <w:rPr>
          <w:sz w:val="22"/>
          <w:szCs w:val="22"/>
        </w:rPr>
        <w:t xml:space="preserve"> </w:t>
      </w:r>
      <w:r w:rsidR="00B13F8D" w:rsidRPr="00B13F8D">
        <w:rPr>
          <w:sz w:val="22"/>
          <w:szCs w:val="22"/>
        </w:rPr>
        <w:t xml:space="preserve"> </w:t>
      </w:r>
      <w:r w:rsidR="00B13F8D">
        <w:rPr>
          <w:sz w:val="22"/>
          <w:szCs w:val="22"/>
        </w:rPr>
        <w:t>“</w:t>
      </w:r>
      <w:r w:rsidR="00B13F8D" w:rsidRPr="00B13F8D">
        <w:rPr>
          <w:sz w:val="22"/>
          <w:szCs w:val="22"/>
        </w:rPr>
        <w:t xml:space="preserve">The payment requirements and default provisions of Section 1.2109 function, </w:t>
      </w:r>
      <w:r w:rsidR="00B13F8D" w:rsidRPr="00B13F8D">
        <w:rPr>
          <w:i/>
          <w:sz w:val="22"/>
          <w:szCs w:val="22"/>
        </w:rPr>
        <w:t>inter alia</w:t>
      </w:r>
      <w:r w:rsidR="00B13F8D" w:rsidRPr="00B13F8D">
        <w:rPr>
          <w:sz w:val="22"/>
          <w:szCs w:val="22"/>
        </w:rPr>
        <w:t>, to deter insincere bidding by entities that are not prepared to use the spectrum efficiently and effectively.</w:t>
      </w:r>
      <w:r w:rsidR="00B13F8D">
        <w:rPr>
          <w:sz w:val="22"/>
          <w:szCs w:val="22"/>
        </w:rPr>
        <w:t>”</w:t>
      </w:r>
      <w:r w:rsidR="00B13F8D">
        <w:rPr>
          <w:rStyle w:val="FootnoteReference"/>
          <w:sz w:val="22"/>
          <w:szCs w:val="22"/>
        </w:rPr>
        <w:footnoteReference w:id="28"/>
      </w:r>
      <w:r w:rsidR="00B13F8D">
        <w:rPr>
          <w:sz w:val="22"/>
          <w:szCs w:val="22"/>
        </w:rPr>
        <w:t xml:space="preserve">  Ztark has failed to demonstrate how enforcing our payment deadline would frustrate the underlying purpose of the rule.</w:t>
      </w:r>
      <w:r w:rsidR="00592EC7">
        <w:rPr>
          <w:sz w:val="22"/>
          <w:szCs w:val="22"/>
        </w:rPr>
        <w:t xml:space="preserve">  We reject Ztark’s assertion that a waiver is appropriate because they are allegedly in the best position to put the spectrum in use before anybody else could acquire the spectrum and place it in use.  First, Ztark’s assertions that it has the ability to put the spectrum in use are unsupported.  In light of its apparent inability or unwillingness to pay its gross winning bids, we cannot conclude that Ztark is able to utilize the spectrum.  Second, </w:t>
      </w:r>
      <w:r w:rsidR="00966077">
        <w:rPr>
          <w:sz w:val="22"/>
          <w:szCs w:val="22"/>
        </w:rPr>
        <w:t xml:space="preserve">even if </w:t>
      </w:r>
      <w:r w:rsidR="00F63EF5">
        <w:rPr>
          <w:sz w:val="22"/>
          <w:szCs w:val="22"/>
        </w:rPr>
        <w:t>Ztark had shown that it would promptly place the spectrum in use, the possibility of delay is not a valid public interest justification for a waiver.  In the context of enforcing buildout requirements, the Commission recently wrote:</w:t>
      </w:r>
    </w:p>
    <w:p w:rsidR="00966077" w:rsidRDefault="00966077" w:rsidP="004B152D">
      <w:pPr>
        <w:ind w:firstLine="720"/>
        <w:rPr>
          <w:sz w:val="22"/>
          <w:szCs w:val="22"/>
        </w:rPr>
      </w:pPr>
    </w:p>
    <w:p w:rsidR="00966077" w:rsidRDefault="00966077" w:rsidP="00F63EF5">
      <w:pPr>
        <w:ind w:left="720" w:right="720"/>
        <w:rPr>
          <w:sz w:val="22"/>
          <w:szCs w:val="22"/>
        </w:rPr>
      </w:pPr>
      <w:r w:rsidRPr="00966077">
        <w:rPr>
          <w:sz w:val="22"/>
          <w:szCs w:val="22"/>
        </w:rPr>
        <w:t>Any licensee who has not built could argue that its licenses should not be cancelled because there would be a delay in relicensing the spectrum.   If this argument were taken to its logical conclusion, the Commission would never enforce buildout requirements so long as a licensee claimed the ability to build before a new licensee would have to build the spectrum.  Such a result would remove any incentive licensees had to meet the buildout deadlines established by the Commission.</w:t>
      </w:r>
      <w:r w:rsidR="00F63EF5">
        <w:rPr>
          <w:rStyle w:val="FootnoteReference"/>
          <w:sz w:val="22"/>
          <w:szCs w:val="22"/>
        </w:rPr>
        <w:footnoteReference w:id="29"/>
      </w:r>
    </w:p>
    <w:p w:rsidR="00F63EF5" w:rsidRDefault="00F63EF5" w:rsidP="00F63EF5">
      <w:pPr>
        <w:ind w:left="720" w:right="720"/>
        <w:rPr>
          <w:sz w:val="22"/>
          <w:szCs w:val="22"/>
        </w:rPr>
      </w:pPr>
    </w:p>
    <w:p w:rsidR="00F63EF5" w:rsidRDefault="00F63EF5" w:rsidP="00F63EF5">
      <w:pPr>
        <w:rPr>
          <w:sz w:val="22"/>
          <w:szCs w:val="22"/>
        </w:rPr>
      </w:pPr>
      <w:r>
        <w:rPr>
          <w:sz w:val="22"/>
          <w:szCs w:val="22"/>
        </w:rPr>
        <w:t xml:space="preserve">Ztark’s argument suffers from the same defect.  If we refused to enforce our payment deadlines because there would be a delay in placing the spectrum in use, we would never enforce our deadlines, and applicants would have no incentive to make timely payments.  The public interest </w:t>
      </w:r>
      <w:r w:rsidR="00FC3ECD">
        <w:rPr>
          <w:sz w:val="22"/>
          <w:szCs w:val="22"/>
        </w:rPr>
        <w:t xml:space="preserve">in ensuring the integrity of our auction process outweighs any </w:t>
      </w:r>
      <w:r w:rsidR="004C21FC">
        <w:rPr>
          <w:sz w:val="22"/>
          <w:szCs w:val="22"/>
        </w:rPr>
        <w:t xml:space="preserve">harm from </w:t>
      </w:r>
      <w:r w:rsidR="00FC3ECD">
        <w:rPr>
          <w:sz w:val="22"/>
          <w:szCs w:val="22"/>
        </w:rPr>
        <w:t>delay</w:t>
      </w:r>
      <w:r w:rsidR="004C21FC">
        <w:rPr>
          <w:sz w:val="22"/>
          <w:szCs w:val="22"/>
        </w:rPr>
        <w:t>,</w:t>
      </w:r>
      <w:r w:rsidR="00FC3ECD">
        <w:rPr>
          <w:sz w:val="22"/>
          <w:szCs w:val="22"/>
        </w:rPr>
        <w:t xml:space="preserve"> which can be attributed to Ztark’s inability to have its financial arrangements in order.</w:t>
      </w:r>
    </w:p>
    <w:p w:rsidR="00335792" w:rsidRDefault="00335792" w:rsidP="00F63EF5">
      <w:pPr>
        <w:rPr>
          <w:sz w:val="22"/>
          <w:szCs w:val="22"/>
        </w:rPr>
      </w:pPr>
    </w:p>
    <w:p w:rsidR="00E327E7" w:rsidRDefault="00335792" w:rsidP="00F63EF5">
      <w:pPr>
        <w:rPr>
          <w:sz w:val="22"/>
          <w:szCs w:val="22"/>
        </w:rPr>
      </w:pPr>
      <w:r>
        <w:rPr>
          <w:sz w:val="22"/>
          <w:szCs w:val="22"/>
        </w:rPr>
        <w:tab/>
        <w:t xml:space="preserve">Ztark has failed to </w:t>
      </w:r>
      <w:r w:rsidR="00370E56">
        <w:rPr>
          <w:sz w:val="22"/>
          <w:szCs w:val="22"/>
        </w:rPr>
        <w:t xml:space="preserve">justify a waiver under the second prong of the waiver standard because there is nothing unique or unusual about its circumstances.  </w:t>
      </w:r>
      <w:r w:rsidR="004935E1" w:rsidRPr="004935E1">
        <w:rPr>
          <w:sz w:val="22"/>
          <w:szCs w:val="22"/>
        </w:rPr>
        <w:t xml:space="preserve">We </w:t>
      </w:r>
      <w:r w:rsidR="004935E1">
        <w:rPr>
          <w:sz w:val="22"/>
          <w:szCs w:val="22"/>
        </w:rPr>
        <w:t>are not persuaded</w:t>
      </w:r>
      <w:r w:rsidR="004935E1" w:rsidRPr="004935E1">
        <w:rPr>
          <w:sz w:val="22"/>
          <w:szCs w:val="22"/>
        </w:rPr>
        <w:t xml:space="preserve"> that </w:t>
      </w:r>
      <w:r w:rsidR="004935E1">
        <w:rPr>
          <w:sz w:val="22"/>
          <w:szCs w:val="22"/>
        </w:rPr>
        <w:t>Ztark</w:t>
      </w:r>
      <w:r w:rsidR="004935E1" w:rsidRPr="004935E1">
        <w:rPr>
          <w:sz w:val="22"/>
          <w:szCs w:val="22"/>
        </w:rPr>
        <w:t>'</w:t>
      </w:r>
      <w:r w:rsidR="004935E1">
        <w:rPr>
          <w:sz w:val="22"/>
          <w:szCs w:val="22"/>
        </w:rPr>
        <w:t>s</w:t>
      </w:r>
      <w:r w:rsidR="004935E1" w:rsidRPr="004935E1">
        <w:rPr>
          <w:sz w:val="22"/>
          <w:szCs w:val="22"/>
        </w:rPr>
        <w:t xml:space="preserve"> own failure to comply with </w:t>
      </w:r>
      <w:r w:rsidR="004935E1">
        <w:rPr>
          <w:sz w:val="22"/>
          <w:szCs w:val="22"/>
        </w:rPr>
        <w:t xml:space="preserve">our designated entity </w:t>
      </w:r>
      <w:r w:rsidR="004935E1" w:rsidRPr="004935E1">
        <w:rPr>
          <w:sz w:val="22"/>
          <w:szCs w:val="22"/>
        </w:rPr>
        <w:t xml:space="preserve">eligibility rules and gross revenues reporting requirements is a unique circumstance warranting </w:t>
      </w:r>
      <w:r w:rsidR="004935E1">
        <w:rPr>
          <w:sz w:val="22"/>
          <w:szCs w:val="22"/>
        </w:rPr>
        <w:t xml:space="preserve">waiver of </w:t>
      </w:r>
      <w:r w:rsidR="004935E1" w:rsidRPr="004935E1">
        <w:rPr>
          <w:sz w:val="22"/>
          <w:szCs w:val="22"/>
        </w:rPr>
        <w:t xml:space="preserve">our payment procedures.  </w:t>
      </w:r>
      <w:r w:rsidR="00370E56">
        <w:rPr>
          <w:sz w:val="22"/>
          <w:szCs w:val="22"/>
        </w:rPr>
        <w:t xml:space="preserve">Every bidder who places a bid and </w:t>
      </w:r>
      <w:r w:rsidR="004935E1">
        <w:rPr>
          <w:sz w:val="22"/>
          <w:szCs w:val="22"/>
        </w:rPr>
        <w:t>applies for</w:t>
      </w:r>
      <w:r w:rsidR="00370E56">
        <w:rPr>
          <w:sz w:val="22"/>
          <w:szCs w:val="22"/>
        </w:rPr>
        <w:t xml:space="preserve"> a bidding credit assumes the risk that it will </w:t>
      </w:r>
      <w:r w:rsidR="004935E1">
        <w:rPr>
          <w:sz w:val="22"/>
          <w:szCs w:val="22"/>
        </w:rPr>
        <w:t>be determined to be ineligible for</w:t>
      </w:r>
      <w:r w:rsidR="00370E56">
        <w:rPr>
          <w:sz w:val="22"/>
          <w:szCs w:val="22"/>
        </w:rPr>
        <w:t xml:space="preserve"> the bidding credit it </w:t>
      </w:r>
      <w:r w:rsidR="004935E1">
        <w:rPr>
          <w:sz w:val="22"/>
          <w:szCs w:val="22"/>
        </w:rPr>
        <w:t>seeks</w:t>
      </w:r>
      <w:r w:rsidR="00370E56">
        <w:rPr>
          <w:sz w:val="22"/>
          <w:szCs w:val="22"/>
        </w:rPr>
        <w:t>.</w:t>
      </w:r>
      <w:r w:rsidR="004C21FC">
        <w:rPr>
          <w:sz w:val="22"/>
          <w:szCs w:val="22"/>
        </w:rPr>
        <w:t xml:space="preserve"> </w:t>
      </w:r>
      <w:r w:rsidR="00211706">
        <w:rPr>
          <w:sz w:val="22"/>
          <w:szCs w:val="22"/>
        </w:rPr>
        <w:t xml:space="preserve"> Thus, </w:t>
      </w:r>
      <w:r w:rsidR="00211706" w:rsidRPr="00211706">
        <w:rPr>
          <w:sz w:val="22"/>
          <w:szCs w:val="22"/>
        </w:rPr>
        <w:t>Ztark knew or should have known that it had an obligation to comply with our rules from the time of its initial application</w:t>
      </w:r>
      <w:r w:rsidR="00211706">
        <w:rPr>
          <w:sz w:val="22"/>
          <w:szCs w:val="22"/>
        </w:rPr>
        <w:t xml:space="preserve">. </w:t>
      </w:r>
      <w:r w:rsidR="004C21FC">
        <w:rPr>
          <w:sz w:val="22"/>
          <w:szCs w:val="22"/>
        </w:rPr>
        <w:t xml:space="preserve"> Furthermore, we see nothing inequitable in enforcing the </w:t>
      </w:r>
      <w:r w:rsidR="004C21FC">
        <w:rPr>
          <w:i/>
          <w:sz w:val="22"/>
          <w:szCs w:val="22"/>
        </w:rPr>
        <w:t>MO&amp;O</w:t>
      </w:r>
      <w:r w:rsidR="004C21FC">
        <w:rPr>
          <w:sz w:val="22"/>
          <w:szCs w:val="22"/>
        </w:rPr>
        <w:t xml:space="preserve">’s payment deadline when Ztark has </w:t>
      </w:r>
      <w:r w:rsidR="00EA3CC4">
        <w:rPr>
          <w:sz w:val="22"/>
          <w:szCs w:val="22"/>
        </w:rPr>
        <w:t xml:space="preserve">received </w:t>
      </w:r>
      <w:r w:rsidR="004C21FC">
        <w:rPr>
          <w:sz w:val="22"/>
          <w:szCs w:val="22"/>
        </w:rPr>
        <w:t>more than adequate notice that its request for a bidding credit may be denied.</w:t>
      </w:r>
      <w:r w:rsidR="004935E1">
        <w:rPr>
          <w:sz w:val="22"/>
          <w:szCs w:val="22"/>
        </w:rPr>
        <w:t xml:space="preserve">  </w:t>
      </w:r>
    </w:p>
    <w:p w:rsidR="00311582" w:rsidRDefault="00311582" w:rsidP="00493042">
      <w:pPr>
        <w:rPr>
          <w:sz w:val="22"/>
          <w:szCs w:val="22"/>
        </w:rPr>
      </w:pPr>
    </w:p>
    <w:p w:rsidR="00493042" w:rsidRDefault="00EA3CC4" w:rsidP="00493042">
      <w:pPr>
        <w:rPr>
          <w:sz w:val="22"/>
          <w:szCs w:val="22"/>
        </w:rPr>
      </w:pPr>
      <w:r>
        <w:rPr>
          <w:sz w:val="22"/>
          <w:szCs w:val="22"/>
        </w:rPr>
        <w:tab/>
      </w:r>
      <w:r w:rsidR="00493042" w:rsidRPr="00493042">
        <w:rPr>
          <w:sz w:val="22"/>
          <w:szCs w:val="22"/>
        </w:rPr>
        <w:t>Accordingly, IT IS ORDERED, pursuant to Sections 4(i) and 309</w:t>
      </w:r>
      <w:r w:rsidR="00493042">
        <w:rPr>
          <w:sz w:val="22"/>
          <w:szCs w:val="22"/>
        </w:rPr>
        <w:t>(j)</w:t>
      </w:r>
      <w:r w:rsidR="00493042" w:rsidRPr="00493042">
        <w:rPr>
          <w:sz w:val="22"/>
          <w:szCs w:val="22"/>
        </w:rPr>
        <w:t xml:space="preserve"> of the Communications Act of 1934, as amended, 47 U.S.C. §§ 154(i), 309</w:t>
      </w:r>
      <w:r w:rsidR="00493042">
        <w:rPr>
          <w:sz w:val="22"/>
          <w:szCs w:val="22"/>
        </w:rPr>
        <w:t>(j)</w:t>
      </w:r>
      <w:r w:rsidR="00493042" w:rsidRPr="00493042">
        <w:rPr>
          <w:sz w:val="22"/>
          <w:szCs w:val="22"/>
        </w:rPr>
        <w:t xml:space="preserve">, and Sections </w:t>
      </w:r>
      <w:r w:rsidR="00493042">
        <w:rPr>
          <w:sz w:val="22"/>
          <w:szCs w:val="22"/>
        </w:rPr>
        <w:t xml:space="preserve">1.46 and </w:t>
      </w:r>
      <w:r w:rsidR="00493042" w:rsidRPr="00493042">
        <w:rPr>
          <w:sz w:val="22"/>
          <w:szCs w:val="22"/>
        </w:rPr>
        <w:t xml:space="preserve">1.925 of the Commission’s Rules, 47 C.F.R. §§ </w:t>
      </w:r>
      <w:r w:rsidR="00493042">
        <w:rPr>
          <w:sz w:val="22"/>
          <w:szCs w:val="22"/>
        </w:rPr>
        <w:t xml:space="preserve">1.46, </w:t>
      </w:r>
      <w:r w:rsidR="00493042" w:rsidRPr="00493042">
        <w:rPr>
          <w:sz w:val="22"/>
          <w:szCs w:val="22"/>
        </w:rPr>
        <w:t xml:space="preserve">1.925, that the </w:t>
      </w:r>
      <w:r w:rsidR="00493042">
        <w:rPr>
          <w:sz w:val="22"/>
          <w:szCs w:val="22"/>
        </w:rPr>
        <w:t xml:space="preserve">request </w:t>
      </w:r>
      <w:r w:rsidR="00493042" w:rsidRPr="00493042">
        <w:rPr>
          <w:sz w:val="22"/>
          <w:szCs w:val="22"/>
        </w:rPr>
        <w:t xml:space="preserve">for extension of time to </w:t>
      </w:r>
      <w:r w:rsidR="00493042">
        <w:rPr>
          <w:sz w:val="22"/>
          <w:szCs w:val="22"/>
        </w:rPr>
        <w:t>pay the $413,700 balance on its gross winning bids filed by Ztark Communications, LLC</w:t>
      </w:r>
      <w:r w:rsidR="00493042" w:rsidRPr="00493042">
        <w:rPr>
          <w:sz w:val="22"/>
          <w:szCs w:val="22"/>
        </w:rPr>
        <w:t xml:space="preserve"> on </w:t>
      </w:r>
      <w:r w:rsidR="00493042">
        <w:rPr>
          <w:sz w:val="22"/>
          <w:szCs w:val="22"/>
        </w:rPr>
        <w:t>November 13</w:t>
      </w:r>
      <w:r w:rsidR="00493042" w:rsidRPr="00493042">
        <w:rPr>
          <w:sz w:val="22"/>
          <w:szCs w:val="22"/>
        </w:rPr>
        <w:t>, 201</w:t>
      </w:r>
      <w:r w:rsidR="00493042">
        <w:rPr>
          <w:sz w:val="22"/>
          <w:szCs w:val="22"/>
        </w:rPr>
        <w:t>3</w:t>
      </w:r>
      <w:r w:rsidR="00493042" w:rsidRPr="00493042">
        <w:rPr>
          <w:sz w:val="22"/>
          <w:szCs w:val="22"/>
        </w:rPr>
        <w:t xml:space="preserve"> </w:t>
      </w:r>
      <w:r w:rsidR="00493042">
        <w:rPr>
          <w:sz w:val="22"/>
          <w:szCs w:val="22"/>
        </w:rPr>
        <w:t xml:space="preserve">IS </w:t>
      </w:r>
      <w:r w:rsidR="00493042" w:rsidRPr="00493042">
        <w:rPr>
          <w:sz w:val="22"/>
          <w:szCs w:val="22"/>
        </w:rPr>
        <w:t>DENIED</w:t>
      </w:r>
      <w:r w:rsidR="00493042">
        <w:rPr>
          <w:sz w:val="22"/>
          <w:szCs w:val="22"/>
        </w:rPr>
        <w:t>, and the deadline for Ztark to make that payment SHALL REMAIN November 29, 2013</w:t>
      </w:r>
      <w:r w:rsidR="00493042" w:rsidRPr="00493042">
        <w:rPr>
          <w:sz w:val="22"/>
          <w:szCs w:val="22"/>
        </w:rPr>
        <w:t>.</w:t>
      </w:r>
    </w:p>
    <w:p w:rsidR="003639D4" w:rsidRDefault="003639D4" w:rsidP="00493042">
      <w:pPr>
        <w:rPr>
          <w:sz w:val="22"/>
          <w:szCs w:val="22"/>
        </w:rPr>
      </w:pPr>
    </w:p>
    <w:p w:rsidR="003639D4" w:rsidRPr="00493042" w:rsidRDefault="003639D4" w:rsidP="003639D4">
      <w:pPr>
        <w:ind w:firstLine="720"/>
        <w:rPr>
          <w:sz w:val="22"/>
          <w:szCs w:val="22"/>
        </w:rPr>
      </w:pPr>
      <w:r w:rsidRPr="003639D4">
        <w:rPr>
          <w:sz w:val="22"/>
          <w:szCs w:val="22"/>
        </w:rPr>
        <w:t>Th</w:t>
      </w:r>
      <w:r>
        <w:rPr>
          <w:sz w:val="22"/>
          <w:szCs w:val="22"/>
        </w:rPr>
        <w:t>i</w:t>
      </w:r>
      <w:r w:rsidRPr="003639D4">
        <w:rPr>
          <w:sz w:val="22"/>
          <w:szCs w:val="22"/>
        </w:rPr>
        <w:t xml:space="preserve">s action </w:t>
      </w:r>
      <w:r>
        <w:rPr>
          <w:sz w:val="22"/>
          <w:szCs w:val="22"/>
        </w:rPr>
        <w:t xml:space="preserve">is </w:t>
      </w:r>
      <w:r w:rsidRPr="003639D4">
        <w:rPr>
          <w:sz w:val="22"/>
          <w:szCs w:val="22"/>
        </w:rPr>
        <w:t>taken under delegated authority pursuant to Sections 0.131 and 0.331 of the Commission’s Rules, 47 C.F.R. §§ 0.131, 0.331.</w:t>
      </w:r>
    </w:p>
    <w:p w:rsidR="00EA3CC4" w:rsidRPr="004C21FC" w:rsidRDefault="00EA3CC4" w:rsidP="00F63EF5">
      <w:pPr>
        <w:rPr>
          <w:sz w:val="22"/>
          <w:szCs w:val="22"/>
        </w:rPr>
      </w:pPr>
    </w:p>
    <w:p w:rsidR="000F029C" w:rsidRPr="00080686" w:rsidRDefault="000F029C">
      <w:pPr>
        <w:rPr>
          <w:sz w:val="22"/>
          <w:szCs w:val="22"/>
        </w:rPr>
      </w:pPr>
    </w:p>
    <w:p w:rsidR="000F029C" w:rsidRPr="00080686" w:rsidRDefault="000F029C">
      <w:pPr>
        <w:tabs>
          <w:tab w:val="left" w:pos="-720"/>
        </w:tabs>
        <w:suppressAutoHyphens/>
        <w:rPr>
          <w:sz w:val="22"/>
          <w:szCs w:val="22"/>
        </w:rPr>
      </w:pPr>
    </w:p>
    <w:p w:rsidR="000F029C" w:rsidRPr="00080686" w:rsidRDefault="000F029C">
      <w:pPr>
        <w:tabs>
          <w:tab w:val="left" w:pos="-720"/>
        </w:tabs>
        <w:suppressAutoHyphens/>
        <w:rPr>
          <w:sz w:val="22"/>
          <w:szCs w:val="22"/>
        </w:rPr>
      </w:pPr>
      <w:r w:rsidRPr="00080686">
        <w:rPr>
          <w:sz w:val="22"/>
          <w:szCs w:val="22"/>
        </w:rPr>
        <w:tab/>
      </w:r>
      <w:r w:rsidRPr="00080686">
        <w:rPr>
          <w:sz w:val="22"/>
          <w:szCs w:val="22"/>
        </w:rPr>
        <w:tab/>
      </w:r>
      <w:r w:rsidRPr="00080686">
        <w:rPr>
          <w:sz w:val="22"/>
          <w:szCs w:val="22"/>
        </w:rPr>
        <w:tab/>
      </w:r>
      <w:r w:rsidRPr="00080686">
        <w:rPr>
          <w:sz w:val="22"/>
          <w:szCs w:val="22"/>
        </w:rPr>
        <w:tab/>
      </w:r>
      <w:r w:rsidRPr="00080686">
        <w:rPr>
          <w:sz w:val="22"/>
          <w:szCs w:val="22"/>
        </w:rPr>
        <w:tab/>
        <w:t>Sincerely,</w:t>
      </w:r>
    </w:p>
    <w:p w:rsidR="000F029C" w:rsidRPr="00080686" w:rsidRDefault="000F029C">
      <w:pPr>
        <w:pStyle w:val="Header"/>
        <w:tabs>
          <w:tab w:val="clear" w:pos="4320"/>
          <w:tab w:val="clear" w:pos="8640"/>
        </w:tabs>
        <w:rPr>
          <w:sz w:val="22"/>
          <w:szCs w:val="22"/>
        </w:rPr>
      </w:pPr>
    </w:p>
    <w:p w:rsidR="000F029C" w:rsidRDefault="000F029C">
      <w:pPr>
        <w:rPr>
          <w:sz w:val="22"/>
          <w:szCs w:val="22"/>
        </w:rPr>
      </w:pPr>
    </w:p>
    <w:p w:rsidR="00C549C2" w:rsidRPr="00080686" w:rsidRDefault="00C549C2">
      <w:pPr>
        <w:rPr>
          <w:sz w:val="22"/>
          <w:szCs w:val="22"/>
        </w:rPr>
      </w:pPr>
    </w:p>
    <w:p w:rsidR="000F029C" w:rsidRPr="00080686" w:rsidRDefault="00722FFC">
      <w:pPr>
        <w:ind w:left="2880" w:firstLine="720"/>
        <w:rPr>
          <w:sz w:val="22"/>
          <w:szCs w:val="22"/>
        </w:rPr>
      </w:pPr>
      <w:r w:rsidRPr="00080686">
        <w:rPr>
          <w:sz w:val="22"/>
          <w:szCs w:val="22"/>
        </w:rPr>
        <w:t xml:space="preserve">John </w:t>
      </w:r>
      <w:r w:rsidR="009E19B7">
        <w:rPr>
          <w:sz w:val="22"/>
          <w:szCs w:val="22"/>
        </w:rPr>
        <w:t xml:space="preserve">J. </w:t>
      </w:r>
      <w:r w:rsidRPr="00080686">
        <w:rPr>
          <w:sz w:val="22"/>
          <w:szCs w:val="22"/>
        </w:rPr>
        <w:t>Schauble</w:t>
      </w:r>
    </w:p>
    <w:p w:rsidR="000F029C" w:rsidRPr="00080686" w:rsidRDefault="000F029C" w:rsidP="009E19B7">
      <w:pPr>
        <w:ind w:left="1440"/>
        <w:rPr>
          <w:sz w:val="22"/>
          <w:szCs w:val="22"/>
        </w:rPr>
      </w:pPr>
      <w:r w:rsidRPr="00080686">
        <w:rPr>
          <w:sz w:val="22"/>
          <w:szCs w:val="22"/>
        </w:rPr>
        <w:tab/>
      </w:r>
      <w:r w:rsidRPr="00080686">
        <w:rPr>
          <w:sz w:val="22"/>
          <w:szCs w:val="22"/>
        </w:rPr>
        <w:tab/>
      </w:r>
      <w:r w:rsidRPr="00080686">
        <w:rPr>
          <w:sz w:val="22"/>
          <w:szCs w:val="22"/>
        </w:rPr>
        <w:tab/>
      </w:r>
      <w:r w:rsidR="00722FFC" w:rsidRPr="00080686">
        <w:rPr>
          <w:sz w:val="22"/>
          <w:szCs w:val="22"/>
        </w:rPr>
        <w:t xml:space="preserve">Deputy </w:t>
      </w:r>
      <w:r w:rsidR="003D1BC8" w:rsidRPr="00080686">
        <w:rPr>
          <w:sz w:val="22"/>
          <w:szCs w:val="22"/>
        </w:rPr>
        <w:t>Chief</w:t>
      </w:r>
      <w:r w:rsidR="009E19B7">
        <w:rPr>
          <w:sz w:val="22"/>
          <w:szCs w:val="22"/>
        </w:rPr>
        <w:t xml:space="preserve">, </w:t>
      </w:r>
      <w:r w:rsidR="003D1BC8" w:rsidRPr="00080686">
        <w:rPr>
          <w:sz w:val="22"/>
          <w:szCs w:val="22"/>
        </w:rPr>
        <w:t>Broadband</w:t>
      </w:r>
      <w:r w:rsidRPr="00080686">
        <w:rPr>
          <w:sz w:val="22"/>
          <w:szCs w:val="22"/>
        </w:rPr>
        <w:t xml:space="preserve"> Division</w:t>
      </w:r>
    </w:p>
    <w:p w:rsidR="000F029C" w:rsidRPr="0082466F" w:rsidRDefault="003D1BC8" w:rsidP="0082466F">
      <w:pPr>
        <w:ind w:left="3600"/>
        <w:rPr>
          <w:sz w:val="22"/>
          <w:szCs w:val="22"/>
        </w:rPr>
      </w:pPr>
      <w:r w:rsidRPr="00080686">
        <w:rPr>
          <w:sz w:val="22"/>
          <w:szCs w:val="22"/>
        </w:rPr>
        <w:t>Wireless Telecommunications</w:t>
      </w:r>
      <w:r w:rsidR="000F029C" w:rsidRPr="00080686">
        <w:rPr>
          <w:sz w:val="22"/>
          <w:szCs w:val="22"/>
        </w:rPr>
        <w:t xml:space="preserve"> Bureau</w:t>
      </w:r>
      <w:r w:rsidR="00987A7B" w:rsidRPr="00080686">
        <w:rPr>
          <w:b/>
          <w:bCs/>
          <w:sz w:val="22"/>
          <w:szCs w:val="22"/>
          <w:lang w:val="de-DE"/>
        </w:rPr>
        <w:t xml:space="preserve"> </w:t>
      </w:r>
    </w:p>
    <w:sectPr w:rsidR="000F029C" w:rsidRPr="008246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43" w:rsidRDefault="00C46443">
      <w:r>
        <w:separator/>
      </w:r>
    </w:p>
  </w:endnote>
  <w:endnote w:type="continuationSeparator" w:id="0">
    <w:p w:rsidR="00C46443" w:rsidRDefault="00C4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ED" w:rsidRDefault="001C26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6ED" w:rsidRDefault="001C2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6ED" w:rsidRDefault="001C26ED">
    <w:pPr>
      <w:pStyle w:val="Footer"/>
      <w:framePr w:wrap="around" w:vAnchor="text" w:hAnchor="margin" w:xAlign="center" w:y="1"/>
      <w:rPr>
        <w:rStyle w:val="PageNumber"/>
      </w:rPr>
    </w:pPr>
  </w:p>
  <w:p w:rsidR="001C26ED" w:rsidRDefault="001C2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7A" w:rsidRDefault="004E65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43" w:rsidRDefault="00C46443">
      <w:r>
        <w:separator/>
      </w:r>
    </w:p>
  </w:footnote>
  <w:footnote w:type="continuationSeparator" w:id="0">
    <w:p w:rsidR="00C46443" w:rsidRDefault="00C46443">
      <w:r>
        <w:continuationSeparator/>
      </w:r>
    </w:p>
  </w:footnote>
  <w:footnote w:id="1">
    <w:p w:rsidR="007A368F" w:rsidRPr="00496B51" w:rsidRDefault="007A368F" w:rsidP="00A824D1">
      <w:pPr>
        <w:spacing w:after="120"/>
        <w:rPr>
          <w:rFonts w:ascii="Verdana" w:hAnsi="Verdana"/>
          <w:color w:val="000000"/>
          <w:sz w:val="19"/>
          <w:szCs w:val="19"/>
        </w:rPr>
      </w:pPr>
      <w:r>
        <w:rPr>
          <w:rStyle w:val="FootnoteReference"/>
        </w:rPr>
        <w:footnoteRef/>
      </w:r>
      <w:r>
        <w:t xml:space="preserve"> </w:t>
      </w:r>
      <w:r w:rsidRPr="00496B51">
        <w:rPr>
          <w:i/>
          <w:sz w:val="20"/>
        </w:rPr>
        <w:t>See</w:t>
      </w:r>
      <w:r w:rsidRPr="00496B51">
        <w:rPr>
          <w:sz w:val="20"/>
        </w:rPr>
        <w:t xml:space="preserve"> </w:t>
      </w:r>
      <w:r w:rsidRPr="00496B51">
        <w:rPr>
          <w:color w:val="000000"/>
          <w:sz w:val="20"/>
        </w:rPr>
        <w:t>A</w:t>
      </w:r>
      <w:r>
        <w:rPr>
          <w:color w:val="000000"/>
          <w:sz w:val="20"/>
        </w:rPr>
        <w:t xml:space="preserve">uction of Broadband Radio Service Licenses Closes, Winning Bidders Announced For Auction </w:t>
      </w:r>
      <w:r w:rsidRPr="00496B51">
        <w:rPr>
          <w:color w:val="000000"/>
          <w:sz w:val="20"/>
        </w:rPr>
        <w:t xml:space="preserve">86, </w:t>
      </w:r>
      <w:r w:rsidRPr="00496B51">
        <w:rPr>
          <w:i/>
          <w:color w:val="000000"/>
          <w:sz w:val="20"/>
        </w:rPr>
        <w:t>Public Notice</w:t>
      </w:r>
      <w:r w:rsidRPr="00496B51">
        <w:rPr>
          <w:color w:val="000000"/>
          <w:sz w:val="20"/>
        </w:rPr>
        <w:t>, 24 FCC Rcd 13572 (WTB 2009)</w:t>
      </w:r>
      <w:r>
        <w:rPr>
          <w:color w:val="000000"/>
          <w:sz w:val="20"/>
        </w:rPr>
        <w:t xml:space="preserve"> </w:t>
      </w:r>
      <w:r w:rsidRPr="005115CC">
        <w:rPr>
          <w:sz w:val="20"/>
        </w:rPr>
        <w:t>(“</w:t>
      </w:r>
      <w:r>
        <w:rPr>
          <w:i/>
          <w:iCs/>
          <w:sz w:val="20"/>
        </w:rPr>
        <w:t>Auction 86 Closing</w:t>
      </w:r>
      <w:r w:rsidRPr="005115CC">
        <w:rPr>
          <w:i/>
          <w:iCs/>
          <w:sz w:val="20"/>
        </w:rPr>
        <w:t xml:space="preserve"> P</w:t>
      </w:r>
      <w:r>
        <w:rPr>
          <w:i/>
          <w:iCs/>
          <w:sz w:val="20"/>
        </w:rPr>
        <w:t>N</w:t>
      </w:r>
      <w:r w:rsidRPr="005115CC">
        <w:rPr>
          <w:sz w:val="20"/>
        </w:rPr>
        <w:t>”).</w:t>
      </w:r>
    </w:p>
  </w:footnote>
  <w:footnote w:id="2">
    <w:p w:rsidR="007A368F" w:rsidRPr="00B600A0" w:rsidRDefault="007A368F" w:rsidP="00A824D1">
      <w:pPr>
        <w:spacing w:after="120"/>
        <w:rPr>
          <w:sz w:val="20"/>
        </w:rPr>
      </w:pPr>
      <w:r>
        <w:rPr>
          <w:rStyle w:val="FootnoteReference"/>
        </w:rPr>
        <w:footnoteRef/>
      </w:r>
      <w:r>
        <w:t xml:space="preserve"> </w:t>
      </w:r>
      <w:r w:rsidRPr="008637A1">
        <w:rPr>
          <w:i/>
          <w:sz w:val="20"/>
        </w:rPr>
        <w:t xml:space="preserve">See </w:t>
      </w:r>
      <w:hyperlink r:id="rId1" w:tgtFrame="_top" w:history="1">
        <w:r w:rsidRPr="005115CC">
          <w:rPr>
            <w:sz w:val="20"/>
          </w:rPr>
          <w:t>47 C.F.R. §</w:t>
        </w:r>
        <w:r>
          <w:rPr>
            <w:sz w:val="20"/>
          </w:rPr>
          <w:t xml:space="preserve"> 1.2110</w:t>
        </w:r>
      </w:hyperlink>
      <w:r>
        <w:rPr>
          <w:sz w:val="20"/>
        </w:rPr>
        <w:t xml:space="preserve">; </w:t>
      </w:r>
      <w:bookmarkStart w:id="1" w:name="SR;4197"/>
      <w:bookmarkStart w:id="2" w:name="SearchTerm"/>
      <w:bookmarkEnd w:id="1"/>
      <w:r>
        <w:rPr>
          <w:sz w:val="20"/>
        </w:rPr>
        <w:t>Auction</w:t>
      </w:r>
      <w:r w:rsidRPr="005115CC">
        <w:rPr>
          <w:sz w:val="20"/>
        </w:rPr>
        <w:t xml:space="preserve"> of Broadband Radio Service (</w:t>
      </w:r>
      <w:bookmarkStart w:id="3" w:name="SR;4202"/>
      <w:bookmarkEnd w:id="3"/>
      <w:r>
        <w:rPr>
          <w:sz w:val="20"/>
        </w:rPr>
        <w:t>BRS)</w:t>
      </w:r>
      <w:r w:rsidRPr="005115CC">
        <w:rPr>
          <w:sz w:val="20"/>
        </w:rPr>
        <w:t xml:space="preserve"> Licenses Scheduled for October 27, 2009; Notice and Filing Requirements, Minimum Opening Bids, Upfront Payments, and Other Procedures for</w:t>
      </w:r>
      <w:r>
        <w:rPr>
          <w:sz w:val="20"/>
        </w:rPr>
        <w:t xml:space="preserve"> Auction 86</w:t>
      </w:r>
      <w:bookmarkStart w:id="4" w:name="SR;4222"/>
      <w:bookmarkStart w:id="5" w:name="SR;4223"/>
      <w:bookmarkEnd w:id="4"/>
      <w:bookmarkEnd w:id="5"/>
      <w:r w:rsidRPr="005115CC">
        <w:rPr>
          <w:sz w:val="20"/>
        </w:rPr>
        <w:t xml:space="preserve">, </w:t>
      </w:r>
      <w:r w:rsidRPr="005115CC">
        <w:rPr>
          <w:i/>
          <w:iCs/>
          <w:sz w:val="20"/>
        </w:rPr>
        <w:t>Public Notice</w:t>
      </w:r>
      <w:r w:rsidRPr="005115CC">
        <w:rPr>
          <w:sz w:val="20"/>
        </w:rPr>
        <w:t>,  24 FCC Rcd 8277, 8</w:t>
      </w:r>
      <w:r>
        <w:rPr>
          <w:sz w:val="20"/>
        </w:rPr>
        <w:t>296</w:t>
      </w:r>
      <w:r w:rsidRPr="005115CC">
        <w:rPr>
          <w:sz w:val="20"/>
        </w:rPr>
        <w:t xml:space="preserve"> ¶</w:t>
      </w:r>
      <w:r>
        <w:rPr>
          <w:sz w:val="20"/>
        </w:rPr>
        <w:t xml:space="preserve"> 71</w:t>
      </w:r>
      <w:r w:rsidRPr="005115CC">
        <w:rPr>
          <w:sz w:val="20"/>
        </w:rPr>
        <w:t xml:space="preserve"> (</w:t>
      </w:r>
      <w:r>
        <w:rPr>
          <w:sz w:val="20"/>
        </w:rPr>
        <w:t xml:space="preserve">WTB </w:t>
      </w:r>
      <w:r w:rsidRPr="005115CC">
        <w:rPr>
          <w:sz w:val="20"/>
        </w:rPr>
        <w:t>2009)</w:t>
      </w:r>
      <w:bookmarkStart w:id="6" w:name="SR;4238"/>
      <w:bookmarkStart w:id="7" w:name="SR;4239"/>
      <w:bookmarkEnd w:id="2"/>
      <w:bookmarkEnd w:id="6"/>
      <w:bookmarkEnd w:id="7"/>
      <w:r>
        <w:rPr>
          <w:sz w:val="20"/>
        </w:rPr>
        <w:t xml:space="preserve"> (“</w:t>
      </w:r>
      <w:r>
        <w:rPr>
          <w:i/>
          <w:sz w:val="20"/>
        </w:rPr>
        <w:t>Auction 86 Procedures PN</w:t>
      </w:r>
      <w:r>
        <w:rPr>
          <w:sz w:val="20"/>
        </w:rPr>
        <w:t>”)</w:t>
      </w:r>
      <w:r w:rsidRPr="005115CC">
        <w:rPr>
          <w:sz w:val="20"/>
        </w:rPr>
        <w:t xml:space="preserve">. </w:t>
      </w:r>
      <w:r>
        <w:rPr>
          <w:sz w:val="20"/>
        </w:rPr>
        <w:t xml:space="preserve"> </w:t>
      </w:r>
      <w:r w:rsidRPr="00B600A0">
        <w:rPr>
          <w:sz w:val="20"/>
        </w:rPr>
        <w:t>The level of bidding credit was determined as follows:</w:t>
      </w:r>
    </w:p>
    <w:p w:rsidR="007A368F" w:rsidRPr="00B600A0" w:rsidRDefault="007A368F" w:rsidP="00A824D1">
      <w:pPr>
        <w:spacing w:after="120"/>
        <w:rPr>
          <w:sz w:val="20"/>
        </w:rPr>
      </w:pPr>
      <w:r w:rsidRPr="00B600A0">
        <w:rPr>
          <w:sz w:val="20"/>
        </w:rPr>
        <w:t>• A bidder with attributed average annual gross revenues that exceeded $15 million but did not exceed $40 million for the preceding three years (“small business”) would receive a 15 percent discount on its winning bid.</w:t>
      </w:r>
    </w:p>
    <w:p w:rsidR="007A368F" w:rsidRPr="00B600A0" w:rsidRDefault="007A368F" w:rsidP="00A824D1">
      <w:pPr>
        <w:spacing w:after="120"/>
        <w:rPr>
          <w:sz w:val="20"/>
        </w:rPr>
      </w:pPr>
      <w:r w:rsidRPr="00B600A0">
        <w:rPr>
          <w:sz w:val="20"/>
        </w:rPr>
        <w:t>• A bidder with attributed average annual gross revenues that exceeded $3 million but did not exceed $15 million for the preceding three years (“very small business”) would receive a 25 percent discount on its winning bid.</w:t>
      </w:r>
    </w:p>
    <w:p w:rsidR="007A368F" w:rsidRDefault="007A368F" w:rsidP="00A824D1">
      <w:pPr>
        <w:spacing w:after="120"/>
        <w:rPr>
          <w:sz w:val="20"/>
        </w:rPr>
      </w:pPr>
      <w:r w:rsidRPr="00B600A0">
        <w:rPr>
          <w:sz w:val="20"/>
        </w:rPr>
        <w:t>• A bidder with attributed average annual gross revenues that did not exceed $3 million for the preceding three years (“entrepreneur”) would receive a 35 percent discount on its winning bid.</w:t>
      </w:r>
      <w:r>
        <w:rPr>
          <w:sz w:val="20"/>
        </w:rPr>
        <w:t xml:space="preserve">  </w:t>
      </w:r>
    </w:p>
    <w:p w:rsidR="007A368F" w:rsidRDefault="007A368F" w:rsidP="00A824D1">
      <w:pPr>
        <w:spacing w:after="120"/>
      </w:pPr>
      <w:r>
        <w:rPr>
          <w:i/>
          <w:iCs/>
          <w:sz w:val="20"/>
        </w:rPr>
        <w:t xml:space="preserve">Auction 86 </w:t>
      </w:r>
      <w:r w:rsidRPr="005115CC">
        <w:rPr>
          <w:i/>
          <w:iCs/>
          <w:sz w:val="20"/>
        </w:rPr>
        <w:t>Procedures PN</w:t>
      </w:r>
      <w:r>
        <w:rPr>
          <w:i/>
          <w:iCs/>
          <w:sz w:val="20"/>
        </w:rPr>
        <w:t xml:space="preserve">, </w:t>
      </w:r>
      <w:r>
        <w:rPr>
          <w:sz w:val="20"/>
        </w:rPr>
        <w:t>24 FCC Rcd at 8296 ¶ 73.</w:t>
      </w:r>
    </w:p>
  </w:footnote>
  <w:footnote w:id="3">
    <w:p w:rsidR="007A368F" w:rsidRPr="00063EB8" w:rsidRDefault="007A368F" w:rsidP="00A824D1">
      <w:pPr>
        <w:pStyle w:val="FootnoteText"/>
        <w:spacing w:after="120"/>
      </w:pPr>
      <w:r>
        <w:rPr>
          <w:rStyle w:val="FootnoteReference"/>
        </w:rPr>
        <w:footnoteRef/>
      </w:r>
      <w:r>
        <w:t xml:space="preserve"> </w:t>
      </w:r>
      <w:r w:rsidR="00E327E7">
        <w:t xml:space="preserve">File No. </w:t>
      </w:r>
      <w:r w:rsidR="00E327E7" w:rsidRPr="0036168D">
        <w:rPr>
          <w:spacing w:val="-2"/>
        </w:rPr>
        <w:t>0004041872</w:t>
      </w:r>
      <w:r>
        <w:t>, Revenue Information.</w:t>
      </w:r>
    </w:p>
  </w:footnote>
  <w:footnote w:id="4">
    <w:p w:rsidR="007A368F" w:rsidRDefault="007A368F" w:rsidP="00A824D1">
      <w:pPr>
        <w:pStyle w:val="FootnoteText"/>
        <w:spacing w:after="120"/>
      </w:pPr>
      <w:r>
        <w:rPr>
          <w:rStyle w:val="FootnoteReference"/>
        </w:rPr>
        <w:footnoteRef/>
      </w:r>
      <w:r>
        <w:t xml:space="preserve"> Ztark’s gross winning bids totaled $1,182,000.  </w:t>
      </w:r>
      <w:r>
        <w:rPr>
          <w:i/>
          <w:iCs/>
        </w:rPr>
        <w:t>Auction 86 Closing</w:t>
      </w:r>
      <w:r w:rsidRPr="005115CC">
        <w:rPr>
          <w:i/>
          <w:iCs/>
        </w:rPr>
        <w:t xml:space="preserve"> P</w:t>
      </w:r>
      <w:r>
        <w:rPr>
          <w:i/>
          <w:iCs/>
        </w:rPr>
        <w:t>N</w:t>
      </w:r>
      <w:r>
        <w:rPr>
          <w:iCs/>
        </w:rPr>
        <w:t xml:space="preserve">, 24 FCC Rcd at </w:t>
      </w:r>
      <w:r>
        <w:t xml:space="preserve">13582, 13583 </w:t>
      </w:r>
      <w:r>
        <w:rPr>
          <w:iCs/>
        </w:rPr>
        <w:t>Attachment A.</w:t>
      </w:r>
      <w:r>
        <w:t xml:space="preserve">  Thus, a bidding credit received pursuant to the entrepreneur credit would equal $413,700.</w:t>
      </w:r>
    </w:p>
  </w:footnote>
  <w:footnote w:id="5">
    <w:p w:rsidR="007A368F" w:rsidRPr="00D97599" w:rsidRDefault="007A368F" w:rsidP="00A824D1">
      <w:pPr>
        <w:pStyle w:val="FootnoteText"/>
        <w:spacing w:after="120"/>
      </w:pPr>
      <w:r>
        <w:rPr>
          <w:rStyle w:val="FootnoteReference"/>
        </w:rPr>
        <w:footnoteRef/>
      </w:r>
      <w:r>
        <w:t xml:space="preserve"> </w:t>
      </w:r>
      <w:r>
        <w:rPr>
          <w:i/>
        </w:rPr>
        <w:t>See</w:t>
      </w:r>
      <w:r>
        <w:t xml:space="preserve"> Implementation  of Section 309(j) of the Communications Act – Competitive Bidding, PP Docket No. 93-253, </w:t>
      </w:r>
      <w:r>
        <w:rPr>
          <w:i/>
        </w:rPr>
        <w:t>Second Memorandum Opinion and Order</w:t>
      </w:r>
      <w:r>
        <w:t>, 9 FCC Rcd 7245, 7262 ¶ 102 (1994) (“</w:t>
      </w:r>
      <w:r>
        <w:rPr>
          <w:i/>
        </w:rPr>
        <w:t>Competitive Bidding 2</w:t>
      </w:r>
      <w:r w:rsidRPr="00D97599">
        <w:rPr>
          <w:i/>
          <w:vertAlign w:val="superscript"/>
        </w:rPr>
        <w:t>nd</w:t>
      </w:r>
      <w:r>
        <w:rPr>
          <w:i/>
        </w:rPr>
        <w:t xml:space="preserve"> MO&amp;O</w:t>
      </w:r>
      <w:r>
        <w:t>”).</w:t>
      </w:r>
    </w:p>
  </w:footnote>
  <w:footnote w:id="6">
    <w:p w:rsidR="007A368F" w:rsidRPr="00D97599" w:rsidRDefault="007A368F" w:rsidP="00A824D1">
      <w:pPr>
        <w:pStyle w:val="FootnoteText"/>
        <w:spacing w:after="120"/>
      </w:pPr>
      <w:r>
        <w:rPr>
          <w:rStyle w:val="FootnoteReference"/>
        </w:rPr>
        <w:footnoteRef/>
      </w:r>
      <w:r>
        <w:t xml:space="preserve"> </w:t>
      </w:r>
      <w:r>
        <w:rPr>
          <w:i/>
        </w:rPr>
        <w:t>Id.</w:t>
      </w:r>
      <w:r>
        <w:t xml:space="preserve">, </w:t>
      </w:r>
      <w:r>
        <w:rPr>
          <w:i/>
        </w:rPr>
        <w:t>see</w:t>
      </w:r>
      <w:r>
        <w:t xml:space="preserve"> </w:t>
      </w:r>
      <w:r w:rsidRPr="002F6CD2">
        <w:rPr>
          <w:u w:color="0020F6"/>
        </w:rPr>
        <w:t>47 C.F.R. § 1.2110(c)(5)(iii)(B)</w:t>
      </w:r>
      <w:r>
        <w:t>.</w:t>
      </w:r>
    </w:p>
  </w:footnote>
  <w:footnote w:id="7">
    <w:p w:rsidR="007A368F" w:rsidRDefault="007A368F" w:rsidP="00A824D1">
      <w:pPr>
        <w:pStyle w:val="FootnoteText"/>
        <w:spacing w:after="120"/>
      </w:pPr>
      <w:r>
        <w:rPr>
          <w:rStyle w:val="FootnoteReference"/>
        </w:rPr>
        <w:footnoteRef/>
      </w:r>
      <w:r>
        <w:t xml:space="preserve"> </w:t>
      </w:r>
      <w:r>
        <w:rPr>
          <w:i/>
        </w:rPr>
        <w:t>See</w:t>
      </w:r>
      <w:r>
        <w:t xml:space="preserve"> Ztark Long Form Application, Exhibit C, July 15, 2010 Supplemental Response.</w:t>
      </w:r>
    </w:p>
  </w:footnote>
  <w:footnote w:id="8">
    <w:p w:rsidR="004B152D" w:rsidRPr="004B152D" w:rsidRDefault="004B152D" w:rsidP="00A824D1">
      <w:pPr>
        <w:pStyle w:val="FootnoteText"/>
        <w:spacing w:after="120"/>
      </w:pPr>
      <w:r>
        <w:rPr>
          <w:rStyle w:val="FootnoteReference"/>
        </w:rPr>
        <w:footnoteRef/>
      </w:r>
      <w:r>
        <w:t xml:space="preserve"> Ztark Communications, LLC, </w:t>
      </w:r>
      <w:r>
        <w:rPr>
          <w:i/>
        </w:rPr>
        <w:t>Memorandum Opinion and Order</w:t>
      </w:r>
      <w:r>
        <w:t>, DA 13-2088 (WTB BD rel. Oct. 29, 2013) (</w:t>
      </w:r>
      <w:r w:rsidR="00D9758F">
        <w:t>“</w:t>
      </w:r>
      <w:r>
        <w:rPr>
          <w:i/>
        </w:rPr>
        <w:t>MO&amp;O</w:t>
      </w:r>
      <w:r w:rsidR="00D9758F">
        <w:t>”</w:t>
      </w:r>
      <w:r>
        <w:t>).</w:t>
      </w:r>
    </w:p>
  </w:footnote>
  <w:footnote w:id="9">
    <w:p w:rsidR="0005273F" w:rsidRPr="0005273F" w:rsidRDefault="0005273F" w:rsidP="00A824D1">
      <w:pPr>
        <w:pStyle w:val="FootnoteText"/>
        <w:spacing w:after="120"/>
      </w:pPr>
      <w:r>
        <w:rPr>
          <w:rStyle w:val="FootnoteReference"/>
        </w:rPr>
        <w:footnoteRef/>
      </w:r>
      <w:r>
        <w:t xml:space="preserve"> </w:t>
      </w:r>
      <w:r>
        <w:rPr>
          <w:i/>
        </w:rPr>
        <w:t>Id.</w:t>
      </w:r>
      <w:r>
        <w:t xml:space="preserve"> at ¶ 8.</w:t>
      </w:r>
    </w:p>
  </w:footnote>
  <w:footnote w:id="10">
    <w:p w:rsidR="0005273F" w:rsidRPr="0005273F" w:rsidRDefault="0005273F" w:rsidP="00A824D1">
      <w:pPr>
        <w:pStyle w:val="FootnoteText"/>
        <w:spacing w:after="120"/>
      </w:pPr>
      <w:r>
        <w:rPr>
          <w:rStyle w:val="FootnoteReference"/>
        </w:rPr>
        <w:footnoteRef/>
      </w:r>
      <w:r>
        <w:t xml:space="preserve"> </w:t>
      </w:r>
      <w:r>
        <w:rPr>
          <w:i/>
        </w:rPr>
        <w:t>Id.</w:t>
      </w:r>
    </w:p>
  </w:footnote>
  <w:footnote w:id="11">
    <w:p w:rsidR="0005273F" w:rsidRPr="007321E9" w:rsidRDefault="0005273F" w:rsidP="00A824D1">
      <w:pPr>
        <w:pStyle w:val="FootnoteText"/>
        <w:spacing w:after="120"/>
      </w:pPr>
      <w:r>
        <w:rPr>
          <w:rStyle w:val="FootnoteReference"/>
        </w:rPr>
        <w:footnoteRef/>
      </w:r>
      <w:r>
        <w:t xml:space="preserve"> </w:t>
      </w:r>
      <w:r>
        <w:rPr>
          <w:i/>
        </w:rPr>
        <w:t>Id.</w:t>
      </w:r>
      <w:r>
        <w:t xml:space="preserve"> at ¶ 16.</w:t>
      </w:r>
      <w:r w:rsidR="007321E9">
        <w:t xml:space="preserve">  Because November 28, 2013 is a holiday, the actual deadline is Friday, November 29, 2013, the next business day.  </w:t>
      </w:r>
      <w:r w:rsidR="007321E9">
        <w:rPr>
          <w:i/>
        </w:rPr>
        <w:t>See</w:t>
      </w:r>
      <w:r w:rsidR="007321E9">
        <w:t xml:space="preserve"> 47 C.F.R. § 1.4(j).</w:t>
      </w:r>
    </w:p>
  </w:footnote>
  <w:footnote w:id="12">
    <w:p w:rsidR="00A34400" w:rsidRDefault="00A34400" w:rsidP="00A824D1">
      <w:pPr>
        <w:pStyle w:val="FootnoteText"/>
        <w:spacing w:after="120"/>
      </w:pPr>
      <w:r>
        <w:rPr>
          <w:rStyle w:val="FootnoteReference"/>
        </w:rPr>
        <w:footnoteRef/>
      </w:r>
      <w:r>
        <w:t xml:space="preserve"> </w:t>
      </w:r>
      <w:r w:rsidR="00D9758F">
        <w:t>Letter from John Beahn, Esq. and Joshua Gruenspecht, Esq., Counsel to Ztark Communications, LLC to John J. Schauble, Deputy Chief, Broadband Division, Wireless Telecommunications Bureau (filed Nov. 13, 2013) (“Extension Request”).</w:t>
      </w:r>
    </w:p>
  </w:footnote>
  <w:footnote w:id="13">
    <w:p w:rsidR="0069754C" w:rsidRPr="0069754C" w:rsidRDefault="0069754C" w:rsidP="00A824D1">
      <w:pPr>
        <w:pStyle w:val="FootnoteText"/>
        <w:spacing w:after="120"/>
      </w:pPr>
      <w:r>
        <w:rPr>
          <w:rStyle w:val="FootnoteReference"/>
        </w:rPr>
        <w:footnoteRef/>
      </w:r>
      <w:r>
        <w:t xml:space="preserve"> </w:t>
      </w:r>
      <w:r>
        <w:rPr>
          <w:i/>
        </w:rPr>
        <w:t>Id</w:t>
      </w:r>
      <w:r>
        <w:t xml:space="preserve">. at 2, </w:t>
      </w:r>
      <w:r>
        <w:rPr>
          <w:i/>
        </w:rPr>
        <w:t xml:space="preserve">citing </w:t>
      </w:r>
      <w:r w:rsidRPr="0069754C">
        <w:rPr>
          <w:iCs/>
        </w:rPr>
        <w:t>Minnesota Christian Broadcasters</w:t>
      </w:r>
      <w:r>
        <w:t xml:space="preserve">, </w:t>
      </w:r>
      <w:r w:rsidRPr="0069754C">
        <w:rPr>
          <w:i/>
        </w:rPr>
        <w:t>Memorandum Opinion and Order</w:t>
      </w:r>
      <w:r>
        <w:t xml:space="preserve">, 18 FCC Rcd 614, 620 ¶ 12 (2003); </w:t>
      </w:r>
      <w:r w:rsidR="009855A7" w:rsidRPr="009855A7">
        <w:rPr>
          <w:iCs/>
        </w:rPr>
        <w:t>FCC Announces it is Prepared to Grant FM Broadcast Construction Permit for Biltmore Forest, North Carolina After Final Payment is Made</w:t>
      </w:r>
      <w:r w:rsidR="009855A7">
        <w:t xml:space="preserve">, Public Notice, 16 FCC Rcd 11184 (MB 2001) (directing </w:t>
      </w:r>
      <w:r w:rsidR="001B0CA8">
        <w:t xml:space="preserve">applicant to make </w:t>
      </w:r>
      <w:r w:rsidR="00826089">
        <w:t>additional payment by June 15, 2001  in an order adopted April 12, 2001 and release</w:t>
      </w:r>
      <w:r w:rsidR="001B37AF">
        <w:t>d</w:t>
      </w:r>
      <w:r w:rsidR="00826089">
        <w:t xml:space="preserve"> May 25, 2001)</w:t>
      </w:r>
      <w:r w:rsidR="009855A7">
        <w:t xml:space="preserve">.  </w:t>
      </w:r>
      <w:r w:rsidR="00826089">
        <w:rPr>
          <w:i/>
        </w:rPr>
        <w:t>See</w:t>
      </w:r>
      <w:r w:rsidR="00826089">
        <w:t xml:space="preserve"> Liberty Productions, a Limited Partnership, </w:t>
      </w:r>
      <w:r w:rsidR="00826089">
        <w:rPr>
          <w:i/>
        </w:rPr>
        <w:t>Memorandum Opinion and Order</w:t>
      </w:r>
      <w:r w:rsidR="00826089">
        <w:t>, MM Docket No. 88-577, 16 FCC Rcd 12061, 12095 ¶ 77 (2001)</w:t>
      </w:r>
      <w:r>
        <w:t xml:space="preserve">.  </w:t>
      </w:r>
    </w:p>
  </w:footnote>
  <w:footnote w:id="14">
    <w:p w:rsidR="002A4B74" w:rsidRPr="002A4B74" w:rsidRDefault="002A4B74" w:rsidP="00A96CC0">
      <w:pPr>
        <w:pStyle w:val="FootnoteText"/>
        <w:spacing w:after="120"/>
      </w:pPr>
      <w:r>
        <w:rPr>
          <w:rStyle w:val="FootnoteReference"/>
        </w:rPr>
        <w:footnoteRef/>
      </w:r>
      <w:r w:rsidR="00573FB6">
        <w:t xml:space="preserve"> Extension Request at 2, </w:t>
      </w:r>
      <w:r w:rsidR="00573FB6">
        <w:rPr>
          <w:i/>
        </w:rPr>
        <w:t xml:space="preserve">citing </w:t>
      </w:r>
      <w:r>
        <w:t xml:space="preserve">Baker Creek Communications,  L.P., </w:t>
      </w:r>
      <w:r>
        <w:rPr>
          <w:i/>
        </w:rPr>
        <w:t>Order</w:t>
      </w:r>
      <w:r>
        <w:t xml:space="preserve">, 14 FCC Rcd 11529, 11530 ¶ 2 (WTB PS&amp;PWD 1999), </w:t>
      </w:r>
      <w:r>
        <w:rPr>
          <w:i/>
        </w:rPr>
        <w:t xml:space="preserve">citing </w:t>
      </w:r>
      <w:r>
        <w:t>Letter from Kathleen O’Brien Ham, Deputy Chief, WTB, to James F. Ireland, Esq., Cole Raywid &amp; Braverman, L.L.P. (dated Sept. 30, 1998).</w:t>
      </w:r>
    </w:p>
  </w:footnote>
  <w:footnote w:id="15">
    <w:p w:rsidR="00EE34A9" w:rsidRDefault="00EE34A9" w:rsidP="00A96CC0">
      <w:pPr>
        <w:pStyle w:val="FootnoteText"/>
        <w:spacing w:after="120"/>
      </w:pPr>
      <w:r>
        <w:rPr>
          <w:rStyle w:val="FootnoteReference"/>
        </w:rPr>
        <w:footnoteRef/>
      </w:r>
      <w:r>
        <w:t xml:space="preserve"> Extension Request at 3.</w:t>
      </w:r>
    </w:p>
  </w:footnote>
  <w:footnote w:id="16">
    <w:p w:rsidR="00EE34A9" w:rsidRPr="00EE34A9" w:rsidRDefault="00EE34A9" w:rsidP="00A96CC0">
      <w:pPr>
        <w:pStyle w:val="FootnoteText"/>
        <w:spacing w:after="120"/>
      </w:pPr>
      <w:r>
        <w:rPr>
          <w:rStyle w:val="FootnoteReference"/>
        </w:rPr>
        <w:footnoteRef/>
      </w:r>
      <w:r>
        <w:t xml:space="preserve"> </w:t>
      </w:r>
      <w:r>
        <w:rPr>
          <w:i/>
        </w:rPr>
        <w:t>Id.</w:t>
      </w:r>
    </w:p>
  </w:footnote>
  <w:footnote w:id="17">
    <w:p w:rsidR="00723964" w:rsidRPr="00723964" w:rsidRDefault="00723964" w:rsidP="00A96CC0">
      <w:pPr>
        <w:pStyle w:val="FootnoteText"/>
        <w:spacing w:after="120"/>
      </w:pPr>
      <w:r>
        <w:rPr>
          <w:rStyle w:val="FootnoteReference"/>
        </w:rPr>
        <w:footnoteRef/>
      </w:r>
      <w:r>
        <w:t xml:space="preserve"> </w:t>
      </w:r>
      <w:r>
        <w:rPr>
          <w:i/>
        </w:rPr>
        <w:t>Id.</w:t>
      </w:r>
    </w:p>
  </w:footnote>
  <w:footnote w:id="18">
    <w:p w:rsidR="00573FB6" w:rsidRPr="00573FB6" w:rsidRDefault="00573FB6" w:rsidP="00A96CC0">
      <w:pPr>
        <w:pStyle w:val="FootnoteText"/>
        <w:spacing w:after="120"/>
      </w:pPr>
      <w:r>
        <w:rPr>
          <w:rStyle w:val="FootnoteReference"/>
        </w:rPr>
        <w:footnoteRef/>
      </w:r>
      <w:r>
        <w:t xml:space="preserve"> </w:t>
      </w:r>
      <w:r>
        <w:rPr>
          <w:i/>
        </w:rPr>
        <w:t>Id.</w:t>
      </w:r>
    </w:p>
  </w:footnote>
  <w:footnote w:id="19">
    <w:p w:rsidR="00573FB6" w:rsidRDefault="00573FB6" w:rsidP="00A96CC0">
      <w:pPr>
        <w:pStyle w:val="FootnoteText"/>
        <w:spacing w:after="120"/>
      </w:pPr>
      <w:r>
        <w:rPr>
          <w:rStyle w:val="FootnoteReference"/>
        </w:rPr>
        <w:footnoteRef/>
      </w:r>
      <w:r>
        <w:t xml:space="preserve"> 47 C.F.R. § 1.46(a).</w:t>
      </w:r>
    </w:p>
  </w:footnote>
  <w:footnote w:id="20">
    <w:p w:rsidR="007E72B8" w:rsidRDefault="007E72B8" w:rsidP="00A96CC0">
      <w:pPr>
        <w:pStyle w:val="FootnoteText"/>
        <w:spacing w:after="120"/>
      </w:pPr>
      <w:r>
        <w:rPr>
          <w:rStyle w:val="FootnoteReference"/>
        </w:rPr>
        <w:footnoteRef/>
      </w:r>
      <w:r>
        <w:t xml:space="preserve"> 47 C.F.R. § 1.2109(a)</w:t>
      </w:r>
      <w:r w:rsidR="00BC75BB">
        <w:t xml:space="preserve">; </w:t>
      </w:r>
      <w:r w:rsidR="00BC75BB" w:rsidRPr="00496B51">
        <w:rPr>
          <w:color w:val="000000"/>
        </w:rPr>
        <w:t>A</w:t>
      </w:r>
      <w:r w:rsidR="00BC75BB">
        <w:rPr>
          <w:color w:val="000000"/>
        </w:rPr>
        <w:t xml:space="preserve">uction of Broadband Radio Service Licenses Closes, Winning Bidders Announced For Auction </w:t>
      </w:r>
      <w:r w:rsidR="00BC75BB" w:rsidRPr="00496B51">
        <w:rPr>
          <w:color w:val="000000"/>
        </w:rPr>
        <w:t xml:space="preserve">86, </w:t>
      </w:r>
      <w:r w:rsidR="00BC75BB" w:rsidRPr="00496B51">
        <w:rPr>
          <w:i/>
          <w:color w:val="000000"/>
        </w:rPr>
        <w:t>Public Notice</w:t>
      </w:r>
      <w:r w:rsidR="00BC75BB" w:rsidRPr="00496B51">
        <w:rPr>
          <w:color w:val="000000"/>
        </w:rPr>
        <w:t>, 24 FCC Rcd 13572</w:t>
      </w:r>
      <w:r w:rsidR="00BC75BB">
        <w:rPr>
          <w:color w:val="000000"/>
        </w:rPr>
        <w:t xml:space="preserve">, </w:t>
      </w:r>
      <w:r w:rsidR="005675AC">
        <w:rPr>
          <w:color w:val="000000"/>
        </w:rPr>
        <w:t xml:space="preserve">13573-13574 </w:t>
      </w:r>
      <w:r w:rsidR="00BC75BB" w:rsidRPr="00496B51">
        <w:rPr>
          <w:color w:val="000000"/>
        </w:rPr>
        <w:t>(WTB 2009)</w:t>
      </w:r>
      <w:r w:rsidR="004D7ED9">
        <w:rPr>
          <w:color w:val="000000"/>
        </w:rPr>
        <w:t>.</w:t>
      </w:r>
    </w:p>
  </w:footnote>
  <w:footnote w:id="21">
    <w:p w:rsidR="007E72B8" w:rsidRPr="007E72B8" w:rsidRDefault="007E72B8" w:rsidP="00A96CC0">
      <w:pPr>
        <w:pStyle w:val="FootnoteText"/>
        <w:spacing w:after="120"/>
      </w:pPr>
      <w:r>
        <w:rPr>
          <w:rStyle w:val="FootnoteReference"/>
        </w:rPr>
        <w:footnoteRef/>
      </w:r>
      <w:r>
        <w:t xml:space="preserve"> </w:t>
      </w:r>
      <w:r>
        <w:rPr>
          <w:i/>
        </w:rPr>
        <w:t>See</w:t>
      </w:r>
      <w:r>
        <w:t xml:space="preserve">, </w:t>
      </w:r>
      <w:r>
        <w:rPr>
          <w:i/>
        </w:rPr>
        <w:t>e.g.</w:t>
      </w:r>
      <w:r>
        <w:t>, Letter from John J. Schauble, Deputy Chief, Broadband Division, Wireless Telecommunications Bureau to Mr. Tyler Kratz, Ztark Communications, LLC (Apr. 23, 2012).</w:t>
      </w:r>
    </w:p>
  </w:footnote>
  <w:footnote w:id="22">
    <w:p w:rsidR="00EF212B" w:rsidRDefault="00EF212B">
      <w:pPr>
        <w:pStyle w:val="FootnoteText"/>
      </w:pPr>
      <w:r>
        <w:rPr>
          <w:rStyle w:val="FootnoteReference"/>
        </w:rPr>
        <w:footnoteRef/>
      </w:r>
      <w:r>
        <w:t xml:space="preserve"> </w:t>
      </w:r>
      <w:r w:rsidRPr="00EF212B">
        <w:t>“</w:t>
      </w:r>
      <w:r>
        <w:t>A</w:t>
      </w:r>
      <w:r w:rsidRPr="00EF212B">
        <w:t xml:space="preserve"> bidder assumes a binding obligation to pay its full bid amount upon acceptance of the high bid at the close of an auction.” </w:t>
      </w:r>
      <w:r>
        <w:t xml:space="preserve">47 C.F.R. </w:t>
      </w:r>
      <w:r w:rsidRPr="00EF212B">
        <w:t>§</w:t>
      </w:r>
      <w:r>
        <w:t xml:space="preserve"> </w:t>
      </w:r>
      <w:r w:rsidRPr="00EF212B">
        <w:t>1.2104(g)(2).</w:t>
      </w:r>
    </w:p>
    <w:p w:rsidR="00EF212B" w:rsidRDefault="00EF212B">
      <w:pPr>
        <w:pStyle w:val="FootnoteText"/>
      </w:pPr>
    </w:p>
  </w:footnote>
  <w:footnote w:id="23">
    <w:p w:rsidR="00227E1F" w:rsidRDefault="00227E1F" w:rsidP="00A96CC0">
      <w:pPr>
        <w:pStyle w:val="FootnoteText"/>
        <w:spacing w:after="120"/>
      </w:pPr>
      <w:r>
        <w:rPr>
          <w:rStyle w:val="FootnoteReference"/>
        </w:rPr>
        <w:footnoteRef/>
      </w:r>
      <w:r>
        <w:t xml:space="preserve"> We believe the applicable period in Liberty Productions</w:t>
      </w:r>
      <w:r w:rsidR="00537DAB">
        <w:t xml:space="preserve"> should be measured from the release date of the Commission order because the applicant would not have received notice of the requirement to make an additional payment until the order was released.</w:t>
      </w:r>
    </w:p>
  </w:footnote>
  <w:footnote w:id="24">
    <w:p w:rsidR="002563FE" w:rsidRDefault="002563FE" w:rsidP="00A96CC0">
      <w:pPr>
        <w:pStyle w:val="FootnoteText"/>
        <w:spacing w:after="120"/>
      </w:pPr>
      <w:r>
        <w:rPr>
          <w:rStyle w:val="FootnoteReference"/>
        </w:rPr>
        <w:footnoteRef/>
      </w:r>
      <w:r>
        <w:t xml:space="preserve"> Extension Request at 2-3.</w:t>
      </w:r>
    </w:p>
  </w:footnote>
  <w:footnote w:id="25">
    <w:p w:rsidR="002563FE" w:rsidRDefault="002563FE" w:rsidP="00B13F8D">
      <w:pPr>
        <w:pStyle w:val="FootnoteText"/>
        <w:spacing w:after="120"/>
      </w:pPr>
      <w:r>
        <w:rPr>
          <w:rStyle w:val="FootnoteReference"/>
        </w:rPr>
        <w:footnoteRef/>
      </w:r>
      <w:r>
        <w:t xml:space="preserve"> 47 C.F.R. § 1.925(b)(3).</w:t>
      </w:r>
    </w:p>
  </w:footnote>
  <w:footnote w:id="26">
    <w:p w:rsidR="00A96CC0" w:rsidRDefault="00A96CC0" w:rsidP="00B13F8D">
      <w:pPr>
        <w:pStyle w:val="FootnoteText"/>
        <w:spacing w:after="120"/>
      </w:pPr>
      <w:r>
        <w:rPr>
          <w:rStyle w:val="FootnoteReference"/>
        </w:rPr>
        <w:footnoteRef/>
      </w:r>
      <w:r>
        <w:t xml:space="preserve"> </w:t>
      </w:r>
      <w:r>
        <w:rPr>
          <w:i/>
        </w:rPr>
        <w:t>See</w:t>
      </w:r>
      <w:r>
        <w:t xml:space="preserve"> 47 C.F.R. § 1.925(b)(3)</w:t>
      </w:r>
      <w:r>
        <w:rPr>
          <w:i/>
        </w:rPr>
        <w:t>; see also Northeast Cellular Telephone Co. v. FCC</w:t>
      </w:r>
      <w:r>
        <w:t xml:space="preserve">, 897 F.2d 1164, 1166 (D.C. Cir. 1990); </w:t>
      </w:r>
      <w:r>
        <w:rPr>
          <w:i/>
        </w:rPr>
        <w:t>WAIT Radio v. FCC</w:t>
      </w:r>
      <w:r>
        <w:t xml:space="preserve">, 418 F.2d 1153 (D.C. Cir. 1969), </w:t>
      </w:r>
      <w:r>
        <w:rPr>
          <w:i/>
        </w:rPr>
        <w:t>aff'd</w:t>
      </w:r>
      <w:r>
        <w:t xml:space="preserve">, 459 F.2d 1203 (1972), </w:t>
      </w:r>
      <w:r>
        <w:rPr>
          <w:i/>
        </w:rPr>
        <w:t>cert. denied</w:t>
      </w:r>
      <w:r>
        <w:t xml:space="preserve">, 409 </w:t>
      </w:r>
      <w:smartTag w:uri="urn:schemas-microsoft-com:office:smarttags" w:element="place">
        <w:smartTag w:uri="urn:schemas-microsoft-com:office:smarttags" w:element="country-region">
          <w:r>
            <w:t>U.S.</w:t>
          </w:r>
        </w:smartTag>
      </w:smartTag>
      <w:r>
        <w:t xml:space="preserve"> 1027 (1972); 47 C.F.R. § 1.3.  </w:t>
      </w:r>
    </w:p>
  </w:footnote>
  <w:footnote w:id="27">
    <w:p w:rsidR="00B13F8D" w:rsidRPr="00B13F8D" w:rsidRDefault="00B13F8D" w:rsidP="00B13F8D">
      <w:pPr>
        <w:pStyle w:val="FootnoteText"/>
        <w:spacing w:after="120"/>
      </w:pPr>
      <w:r>
        <w:rPr>
          <w:rStyle w:val="FootnoteReference"/>
        </w:rPr>
        <w:footnoteRef/>
      </w:r>
      <w:r>
        <w:t xml:space="preserve"> </w:t>
      </w:r>
      <w:r>
        <w:rPr>
          <w:i/>
        </w:rPr>
        <w:t>See</w:t>
      </w:r>
      <w:r>
        <w:t xml:space="preserve"> PCS Partners, L.P., Petition for Waiver and Refund, </w:t>
      </w:r>
      <w:r>
        <w:rPr>
          <w:i/>
        </w:rPr>
        <w:t>Order</w:t>
      </w:r>
      <w:r>
        <w:t>, 22 FCC Rcd 4143, 4147 ¶ 11 (WTB 2007).</w:t>
      </w:r>
    </w:p>
  </w:footnote>
  <w:footnote w:id="28">
    <w:p w:rsidR="00B13F8D" w:rsidRPr="00B13F8D" w:rsidRDefault="00B13F8D" w:rsidP="00B13F8D">
      <w:pPr>
        <w:pStyle w:val="FootnoteText"/>
        <w:spacing w:after="120"/>
      </w:pPr>
      <w:r>
        <w:rPr>
          <w:rStyle w:val="FootnoteReference"/>
        </w:rPr>
        <w:footnoteRef/>
      </w:r>
      <w:r>
        <w:t xml:space="preserve"> </w:t>
      </w:r>
      <w:r>
        <w:rPr>
          <w:i/>
        </w:rPr>
        <w:t>Id.</w:t>
      </w:r>
    </w:p>
  </w:footnote>
  <w:footnote w:id="29">
    <w:p w:rsidR="00F63EF5" w:rsidRPr="00F63EF5" w:rsidRDefault="00F63EF5">
      <w:pPr>
        <w:pStyle w:val="FootnoteText"/>
      </w:pPr>
      <w:r>
        <w:rPr>
          <w:rStyle w:val="FootnoteReference"/>
        </w:rPr>
        <w:footnoteRef/>
      </w:r>
      <w:r>
        <w:t xml:space="preserve"> FiberTower Spectrum Holdings, LLC, </w:t>
      </w:r>
      <w:r>
        <w:rPr>
          <w:i/>
        </w:rPr>
        <w:t>Memorandum Opinion and Order</w:t>
      </w:r>
      <w:r>
        <w:t xml:space="preserve">, 28 FCC Rcd 6822, 6838 ¶ 34 (2013), </w:t>
      </w:r>
      <w:r>
        <w:rPr>
          <w:i/>
        </w:rPr>
        <w:t>recon. pending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7A" w:rsidRDefault="004E65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07" w:rsidRPr="000C4007" w:rsidRDefault="000C4007" w:rsidP="000C4007">
    <w:pPr>
      <w:rPr>
        <w:sz w:val="22"/>
        <w:szCs w:val="22"/>
      </w:rPr>
    </w:pPr>
    <w:r>
      <w:rPr>
        <w:sz w:val="22"/>
        <w:szCs w:val="22"/>
        <w:lang w:val="de-DE"/>
      </w:rPr>
      <w:t xml:space="preserve">John M. Beahn, Esq. and </w:t>
    </w:r>
    <w:r w:rsidRPr="007321E9">
      <w:rPr>
        <w:sz w:val="22"/>
        <w:szCs w:val="22"/>
        <w:lang w:val="de-DE"/>
      </w:rPr>
      <w:t xml:space="preserve">Joshua </w:t>
    </w:r>
    <w:r>
      <w:rPr>
        <w:sz w:val="22"/>
        <w:szCs w:val="22"/>
        <w:lang w:val="de-DE"/>
      </w:rPr>
      <w:t xml:space="preserve">F. </w:t>
    </w:r>
    <w:r w:rsidRPr="007321E9">
      <w:rPr>
        <w:sz w:val="22"/>
        <w:szCs w:val="22"/>
        <w:lang w:val="de-DE"/>
      </w:rPr>
      <w:t>Gruenspecht</w:t>
    </w:r>
    <w:r>
      <w:rPr>
        <w:sz w:val="22"/>
        <w:szCs w:val="22"/>
        <w:lang w:val="de-DE"/>
      </w:rPr>
      <w:t>, Esq.</w:t>
    </w:r>
    <w:r>
      <w:rPr>
        <w:sz w:val="22"/>
        <w:szCs w:val="22"/>
        <w:lang w:val="de-DE"/>
      </w:rPr>
      <w:tab/>
    </w:r>
    <w:r>
      <w:rPr>
        <w:sz w:val="22"/>
        <w:szCs w:val="22"/>
        <w:lang w:val="de-DE"/>
      </w:rPr>
      <w:tab/>
    </w:r>
    <w:r>
      <w:rPr>
        <w:sz w:val="22"/>
        <w:szCs w:val="22"/>
        <w:lang w:val="de-DE"/>
      </w:rPr>
      <w:tab/>
    </w:r>
    <w:r>
      <w:rPr>
        <w:sz w:val="22"/>
        <w:szCs w:val="22"/>
        <w:lang w:val="de-DE"/>
      </w:rPr>
      <w:tab/>
    </w:r>
    <w:r>
      <w:rPr>
        <w:sz w:val="22"/>
        <w:szCs w:val="22"/>
      </w:rPr>
      <w:tab/>
    </w:r>
    <w:r>
      <w:rPr>
        <w:sz w:val="22"/>
        <w:szCs w:val="22"/>
      </w:rPr>
      <w:tab/>
    </w:r>
    <w:r w:rsidRPr="000C4007">
      <w:rPr>
        <w:sz w:val="22"/>
        <w:szCs w:val="22"/>
      </w:rPr>
      <w:fldChar w:fldCharType="begin"/>
    </w:r>
    <w:r w:rsidRPr="000C4007">
      <w:rPr>
        <w:sz w:val="22"/>
        <w:szCs w:val="22"/>
      </w:rPr>
      <w:instrText xml:space="preserve"> PAGE   \* MERGEFORMAT </w:instrText>
    </w:r>
    <w:r w:rsidRPr="000C4007">
      <w:rPr>
        <w:sz w:val="22"/>
        <w:szCs w:val="22"/>
      </w:rPr>
      <w:fldChar w:fldCharType="separate"/>
    </w:r>
    <w:r w:rsidR="002C1A1E">
      <w:rPr>
        <w:noProof/>
        <w:sz w:val="22"/>
        <w:szCs w:val="22"/>
      </w:rPr>
      <w:t>5</w:t>
    </w:r>
    <w:r w:rsidRPr="000C4007">
      <w:rPr>
        <w:noProof/>
        <w:sz w:val="22"/>
        <w:szCs w:val="22"/>
      </w:rPr>
      <w:fldChar w:fldCharType="end"/>
    </w:r>
  </w:p>
  <w:p w:rsidR="001C26ED" w:rsidRDefault="001C26ED">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E13" w:rsidRDefault="00F545C3" w:rsidP="00560E13">
    <w:pPr>
      <w:pStyle w:val="Header"/>
      <w:tabs>
        <w:tab w:val="clear" w:pos="4320"/>
        <w:tab w:val="clear" w:pos="8640"/>
      </w:tabs>
      <w:spacing w:before="360" w:line="228" w:lineRule="auto"/>
      <w:jc w:val="center"/>
    </w:pPr>
    <w:r>
      <w:rPr>
        <w:noProof/>
      </w:rPr>
      <w:drawing>
        <wp:anchor distT="0" distB="0" distL="114300" distR="114300" simplePos="0" relativeHeight="251659264" behindDoc="0" locked="0" layoutInCell="0" allowOverlap="1" wp14:anchorId="3E175036" wp14:editId="1F6CF0AD">
          <wp:simplePos x="0" y="0"/>
          <wp:positionH relativeFrom="column">
            <wp:posOffset>-233680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560E13">
      <w:rPr>
        <w:rFonts w:ascii="CG Times (W1)" w:hAnsi="CG Times (W1)"/>
        <w:sz w:val="28"/>
      </w:rPr>
      <w:t>Federal Communications Commission</w:t>
    </w:r>
  </w:p>
  <w:p w:rsidR="00560E13" w:rsidRDefault="00560E13" w:rsidP="00560E13">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ersonNam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560E13" w:rsidRDefault="00560E13" w:rsidP="00560E13">
    <w:pPr>
      <w:pStyle w:val="Header"/>
      <w:tabs>
        <w:tab w:val="clear" w:pos="4320"/>
      </w:tabs>
      <w:jc w:val="center"/>
      <w:rPr>
        <w:sz w:val="22"/>
      </w:rPr>
    </w:pPr>
  </w:p>
  <w:p w:rsidR="00560E13" w:rsidRDefault="00560E13" w:rsidP="00560E13">
    <w:pPr>
      <w:pStyle w:val="Header"/>
      <w:tabs>
        <w:tab w:val="clear" w:pos="4320"/>
      </w:tabs>
      <w:jc w:val="center"/>
      <w:rPr>
        <w:sz w:val="22"/>
      </w:rPr>
    </w:pPr>
    <w:r>
      <w:rPr>
        <w:sz w:val="22"/>
      </w:rPr>
      <w:t xml:space="preserve">November </w:t>
    </w:r>
    <w:r w:rsidR="00C9779E">
      <w:rPr>
        <w:sz w:val="22"/>
      </w:rPr>
      <w:t>26</w:t>
    </w:r>
    <w:r>
      <w:rPr>
        <w:sz w:val="22"/>
      </w:rPr>
      <w:t>, 2013</w:t>
    </w:r>
  </w:p>
  <w:p w:rsidR="00560E13" w:rsidRDefault="00560E13">
    <w:pPr>
      <w:pStyle w:val="Header"/>
    </w:pPr>
  </w:p>
  <w:p w:rsidR="00560E13" w:rsidRDefault="00560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7CC"/>
    <w:multiLevelType w:val="hybridMultilevel"/>
    <w:tmpl w:val="4DBC7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227089"/>
    <w:multiLevelType w:val="hybridMultilevel"/>
    <w:tmpl w:val="97FABE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A3628B"/>
    <w:multiLevelType w:val="multilevel"/>
    <w:tmpl w:val="4DBC7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67"/>
    <w:rsid w:val="00013809"/>
    <w:rsid w:val="00014667"/>
    <w:rsid w:val="000178FD"/>
    <w:rsid w:val="000330A0"/>
    <w:rsid w:val="00034145"/>
    <w:rsid w:val="00041604"/>
    <w:rsid w:val="0005273F"/>
    <w:rsid w:val="00080686"/>
    <w:rsid w:val="000C4007"/>
    <w:rsid w:val="000F029C"/>
    <w:rsid w:val="000F09F0"/>
    <w:rsid w:val="0012661C"/>
    <w:rsid w:val="001502C1"/>
    <w:rsid w:val="0016051F"/>
    <w:rsid w:val="001B0CA8"/>
    <w:rsid w:val="001B12D8"/>
    <w:rsid w:val="001B37AF"/>
    <w:rsid w:val="001C26ED"/>
    <w:rsid w:val="001C46BF"/>
    <w:rsid w:val="0020296E"/>
    <w:rsid w:val="00211706"/>
    <w:rsid w:val="00216FA0"/>
    <w:rsid w:val="00227E1F"/>
    <w:rsid w:val="002342F0"/>
    <w:rsid w:val="002563FE"/>
    <w:rsid w:val="002667A5"/>
    <w:rsid w:val="00282944"/>
    <w:rsid w:val="002A4B74"/>
    <w:rsid w:val="002B1FE7"/>
    <w:rsid w:val="002C1A1E"/>
    <w:rsid w:val="0030629E"/>
    <w:rsid w:val="00311582"/>
    <w:rsid w:val="0032074F"/>
    <w:rsid w:val="003246D7"/>
    <w:rsid w:val="00335792"/>
    <w:rsid w:val="00345AB3"/>
    <w:rsid w:val="003523DD"/>
    <w:rsid w:val="003639D4"/>
    <w:rsid w:val="00370E56"/>
    <w:rsid w:val="00383431"/>
    <w:rsid w:val="003D1BC8"/>
    <w:rsid w:val="00472AD1"/>
    <w:rsid w:val="00492104"/>
    <w:rsid w:val="00493042"/>
    <w:rsid w:val="004935E1"/>
    <w:rsid w:val="004A3455"/>
    <w:rsid w:val="004B152D"/>
    <w:rsid w:val="004B33F1"/>
    <w:rsid w:val="004C21FC"/>
    <w:rsid w:val="004D7ED9"/>
    <w:rsid w:val="004E3891"/>
    <w:rsid w:val="004E657A"/>
    <w:rsid w:val="004E6A91"/>
    <w:rsid w:val="004F2CBE"/>
    <w:rsid w:val="00525FC4"/>
    <w:rsid w:val="00534E8F"/>
    <w:rsid w:val="00535DDF"/>
    <w:rsid w:val="00537DAB"/>
    <w:rsid w:val="00553AB1"/>
    <w:rsid w:val="00560E13"/>
    <w:rsid w:val="005675AC"/>
    <w:rsid w:val="00573FB6"/>
    <w:rsid w:val="00574673"/>
    <w:rsid w:val="00587D17"/>
    <w:rsid w:val="00592EC7"/>
    <w:rsid w:val="005C3172"/>
    <w:rsid w:val="005D4606"/>
    <w:rsid w:val="005E52FC"/>
    <w:rsid w:val="005E7C63"/>
    <w:rsid w:val="00671E3F"/>
    <w:rsid w:val="0069754C"/>
    <w:rsid w:val="006A6DC4"/>
    <w:rsid w:val="006D3D4D"/>
    <w:rsid w:val="006F46CE"/>
    <w:rsid w:val="006F57A6"/>
    <w:rsid w:val="00722FFC"/>
    <w:rsid w:val="00723964"/>
    <w:rsid w:val="007321E9"/>
    <w:rsid w:val="00736C15"/>
    <w:rsid w:val="00740505"/>
    <w:rsid w:val="00744045"/>
    <w:rsid w:val="007A368F"/>
    <w:rsid w:val="007C3156"/>
    <w:rsid w:val="007E72B8"/>
    <w:rsid w:val="00803AEA"/>
    <w:rsid w:val="0082466F"/>
    <w:rsid w:val="00826089"/>
    <w:rsid w:val="00847BBC"/>
    <w:rsid w:val="00851904"/>
    <w:rsid w:val="00857E3F"/>
    <w:rsid w:val="008853D9"/>
    <w:rsid w:val="00887FB1"/>
    <w:rsid w:val="008D2D43"/>
    <w:rsid w:val="008E197F"/>
    <w:rsid w:val="009042AD"/>
    <w:rsid w:val="00965C8D"/>
    <w:rsid w:val="00966077"/>
    <w:rsid w:val="009855A7"/>
    <w:rsid w:val="00986AD0"/>
    <w:rsid w:val="00987A7B"/>
    <w:rsid w:val="009A1200"/>
    <w:rsid w:val="009C622A"/>
    <w:rsid w:val="009E19B7"/>
    <w:rsid w:val="00A14636"/>
    <w:rsid w:val="00A259E5"/>
    <w:rsid w:val="00A308CD"/>
    <w:rsid w:val="00A34400"/>
    <w:rsid w:val="00A37244"/>
    <w:rsid w:val="00A5152E"/>
    <w:rsid w:val="00A546DF"/>
    <w:rsid w:val="00A55989"/>
    <w:rsid w:val="00A56C53"/>
    <w:rsid w:val="00A824D1"/>
    <w:rsid w:val="00A858B2"/>
    <w:rsid w:val="00A90AD7"/>
    <w:rsid w:val="00A96CC0"/>
    <w:rsid w:val="00AD49BC"/>
    <w:rsid w:val="00AE5D96"/>
    <w:rsid w:val="00B02E71"/>
    <w:rsid w:val="00B13F8D"/>
    <w:rsid w:val="00B436C5"/>
    <w:rsid w:val="00B43DB7"/>
    <w:rsid w:val="00BA720F"/>
    <w:rsid w:val="00BB5600"/>
    <w:rsid w:val="00BC5C18"/>
    <w:rsid w:val="00BC75BB"/>
    <w:rsid w:val="00BE501E"/>
    <w:rsid w:val="00C46443"/>
    <w:rsid w:val="00C549C2"/>
    <w:rsid w:val="00C70009"/>
    <w:rsid w:val="00C9779E"/>
    <w:rsid w:val="00C97E2B"/>
    <w:rsid w:val="00CD7062"/>
    <w:rsid w:val="00CF57CB"/>
    <w:rsid w:val="00D14DD6"/>
    <w:rsid w:val="00D476E1"/>
    <w:rsid w:val="00D9758F"/>
    <w:rsid w:val="00DA619C"/>
    <w:rsid w:val="00DD04BE"/>
    <w:rsid w:val="00DE1C88"/>
    <w:rsid w:val="00E122E1"/>
    <w:rsid w:val="00E127B8"/>
    <w:rsid w:val="00E24BDE"/>
    <w:rsid w:val="00E327E7"/>
    <w:rsid w:val="00E61518"/>
    <w:rsid w:val="00E64012"/>
    <w:rsid w:val="00E66592"/>
    <w:rsid w:val="00E725E6"/>
    <w:rsid w:val="00EA3CC4"/>
    <w:rsid w:val="00EA4A39"/>
    <w:rsid w:val="00ED3BF2"/>
    <w:rsid w:val="00EE1E53"/>
    <w:rsid w:val="00EE34A9"/>
    <w:rsid w:val="00EF212B"/>
    <w:rsid w:val="00EF6E56"/>
    <w:rsid w:val="00F06E9A"/>
    <w:rsid w:val="00F1465B"/>
    <w:rsid w:val="00F545C3"/>
    <w:rsid w:val="00F63EF5"/>
    <w:rsid w:val="00F77371"/>
    <w:rsid w:val="00F92DDF"/>
    <w:rsid w:val="00F94B66"/>
    <w:rsid w:val="00FB0852"/>
    <w:rsid w:val="00FC3ECD"/>
    <w:rsid w:val="00FD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PersonNam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rPr>
      <w:sz w:val="20"/>
    </w:rPr>
  </w:style>
  <w:style w:type="character" w:styleId="FootnoteReference">
    <w:name w:val="footnote reference"/>
    <w:aliases w:val="Appel note de bas de p,Style 12,(NECG) Footnote Reference,Style 13,Style 124,fr,o,Style 3,FR,Style 17,Style 6,Footnote Reference/"/>
    <w:semiHidden/>
    <w:rPr>
      <w:vertAlign w:val="superscript"/>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A308CD"/>
    <w:rPr>
      <w:color w:val="0000FF"/>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semiHidden/>
    <w:locked/>
    <w:rsid w:val="007A368F"/>
  </w:style>
  <w:style w:type="character" w:customStyle="1" w:styleId="HeaderChar">
    <w:name w:val="Header Char"/>
    <w:link w:val="Header"/>
    <w:rsid w:val="000C400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semiHidden/>
    <w:rPr>
      <w:sz w:val="20"/>
    </w:rPr>
  </w:style>
  <w:style w:type="character" w:styleId="FootnoteReference">
    <w:name w:val="footnote reference"/>
    <w:aliases w:val="Appel note de bas de p,Style 12,(NECG) Footnote Reference,Style 13,Style 124,fr,o,Style 3,FR,Style 17,Style 6,Footnote Reference/"/>
    <w:semiHidden/>
    <w:rPr>
      <w:vertAlign w:val="superscript"/>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A308CD"/>
    <w:rPr>
      <w:color w:val="0000FF"/>
      <w:u w:val="single"/>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semiHidden/>
    <w:locked/>
    <w:rsid w:val="007A368F"/>
  </w:style>
  <w:style w:type="character" w:customStyle="1" w:styleId="HeaderChar">
    <w:name w:val="Header Char"/>
    <w:link w:val="Header"/>
    <w:rsid w:val="000C400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74534">
      <w:bodyDiv w:val="1"/>
      <w:marLeft w:val="0"/>
      <w:marRight w:val="0"/>
      <w:marTop w:val="0"/>
      <w:marBottom w:val="0"/>
      <w:divBdr>
        <w:top w:val="none" w:sz="0" w:space="0" w:color="auto"/>
        <w:left w:val="none" w:sz="0" w:space="0" w:color="auto"/>
        <w:bottom w:val="none" w:sz="0" w:space="0" w:color="auto"/>
        <w:right w:val="none" w:sz="0" w:space="0" w:color="auto"/>
      </w:divBdr>
      <w:divsChild>
        <w:div w:id="1003701150">
          <w:marLeft w:val="0"/>
          <w:marRight w:val="0"/>
          <w:marTop w:val="0"/>
          <w:marBottom w:val="79"/>
          <w:divBdr>
            <w:top w:val="none" w:sz="0" w:space="0" w:color="auto"/>
            <w:left w:val="none" w:sz="0" w:space="0" w:color="auto"/>
            <w:bottom w:val="none" w:sz="0" w:space="0" w:color="auto"/>
            <w:right w:val="none" w:sz="0" w:space="0" w:color="auto"/>
          </w:divBdr>
        </w:div>
      </w:divsChild>
    </w:div>
    <w:div w:id="1477645533">
      <w:bodyDiv w:val="1"/>
      <w:marLeft w:val="0"/>
      <w:marRight w:val="0"/>
      <w:marTop w:val="0"/>
      <w:marBottom w:val="0"/>
      <w:divBdr>
        <w:top w:val="none" w:sz="0" w:space="0" w:color="auto"/>
        <w:left w:val="none" w:sz="0" w:space="0" w:color="auto"/>
        <w:bottom w:val="none" w:sz="0" w:space="0" w:color="auto"/>
        <w:right w:val="none" w:sz="0" w:space="0" w:color="auto"/>
      </w:divBdr>
    </w:div>
    <w:div w:id="1680353172">
      <w:bodyDiv w:val="1"/>
      <w:marLeft w:val="0"/>
      <w:marRight w:val="0"/>
      <w:marTop w:val="0"/>
      <w:marBottom w:val="0"/>
      <w:divBdr>
        <w:top w:val="none" w:sz="0" w:space="0" w:color="auto"/>
        <w:left w:val="none" w:sz="0" w:space="0" w:color="auto"/>
        <w:bottom w:val="none" w:sz="0" w:space="0" w:color="auto"/>
        <w:right w:val="none" w:sz="0" w:space="0" w:color="auto"/>
      </w:divBdr>
      <w:divsChild>
        <w:div w:id="28411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26&amp;db=1000547&amp;docname=47CFRS1.2104&amp;rp=%2ffind%2fdefault.wl&amp;findtype=L&amp;ordoc=2020339202&amp;tc=-1&amp;vr=2.0&amp;fn=_top&amp;sv=Split&amp;tf=-1&amp;referencepositiontype=T&amp;pbc=B071E4B3&amp;referenceposition=SP%3b4d690000c9482&amp;rs=WLW13.0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1624</Words>
  <Characters>8490</Characters>
  <Application>Microsoft Office Word</Application>
  <DocSecurity>0</DocSecurity>
  <Lines>139</Lines>
  <Paragraphs>25</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Manager/>
  <Company/>
  <LinksUpToDate>false</LinksUpToDate>
  <CharactersWithSpaces>10148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2012-04-23T18:04:00Z</cp:lastPrinted>
  <dcterms:created xsi:type="dcterms:W3CDTF">2013-11-26T16:31:00Z</dcterms:created>
  <dcterms:modified xsi:type="dcterms:W3CDTF">2013-11-26T16:31:00Z</dcterms:modified>
  <cp:category> </cp:category>
  <cp:contentStatus> </cp:contentStatus>
</cp:coreProperties>
</file>