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60" w:rsidRDefault="004717BD" w:rsidP="00423C33">
      <w:pPr>
        <w:suppressAutoHyphens/>
        <w:jc w:val="right"/>
        <w:rPr>
          <w:b/>
        </w:rPr>
      </w:pPr>
      <w:bookmarkStart w:id="0" w:name="_GoBack"/>
      <w:bookmarkEnd w:id="0"/>
      <w:r w:rsidRPr="00423C33">
        <w:rPr>
          <w:b/>
        </w:rPr>
        <w:t xml:space="preserve">DA </w:t>
      </w:r>
      <w:r w:rsidR="0007129A" w:rsidRPr="00423C33">
        <w:rPr>
          <w:b/>
        </w:rPr>
        <w:t>13</w:t>
      </w:r>
      <w:r w:rsidRPr="00423C33">
        <w:rPr>
          <w:b/>
        </w:rPr>
        <w:t>-</w:t>
      </w:r>
      <w:r w:rsidR="00423C33" w:rsidRPr="00423C33">
        <w:rPr>
          <w:b/>
        </w:rPr>
        <w:t>2274</w:t>
      </w:r>
      <w:r w:rsidR="00423C33">
        <w:rPr>
          <w:b/>
          <w:u w:val="single"/>
        </w:rPr>
        <w:br/>
      </w:r>
      <w:r w:rsidR="00DA013F">
        <w:rPr>
          <w:b/>
        </w:rPr>
        <w:t xml:space="preserve">Released: </w:t>
      </w:r>
      <w:r w:rsidR="00060215">
        <w:rPr>
          <w:b/>
        </w:rPr>
        <w:t>November 27</w:t>
      </w:r>
      <w:r w:rsidR="00DA013F">
        <w:rPr>
          <w:b/>
        </w:rPr>
        <w:t>, 2013</w:t>
      </w:r>
    </w:p>
    <w:p w:rsidR="00423C33" w:rsidRPr="00423C33" w:rsidRDefault="00423C33" w:rsidP="00423C33">
      <w:pPr>
        <w:suppressAutoHyphens/>
        <w:jc w:val="right"/>
        <w:rPr>
          <w:b/>
          <w:u w:val="single"/>
        </w:rPr>
      </w:pPr>
    </w:p>
    <w:p w:rsidR="00A17398" w:rsidRDefault="0023736F" w:rsidP="00A17398">
      <w:pPr>
        <w:suppressAutoHyphens/>
        <w:jc w:val="center"/>
        <w:rPr>
          <w:b/>
          <w:caps/>
        </w:rPr>
      </w:pPr>
      <w:r w:rsidRPr="00A40D1C">
        <w:rPr>
          <w:b/>
          <w:caps/>
        </w:rPr>
        <w:t>Wireless</w:t>
      </w:r>
      <w:r w:rsidR="00D15778">
        <w:rPr>
          <w:b/>
          <w:caps/>
        </w:rPr>
        <w:t xml:space="preserve"> </w:t>
      </w:r>
      <w:r w:rsidRPr="00A40D1C">
        <w:rPr>
          <w:b/>
          <w:caps/>
        </w:rPr>
        <w:t>Telecommunications</w:t>
      </w:r>
      <w:r w:rsidR="00D15778">
        <w:rPr>
          <w:b/>
          <w:caps/>
        </w:rPr>
        <w:t xml:space="preserve"> </w:t>
      </w:r>
      <w:r w:rsidRPr="00A40D1C">
        <w:rPr>
          <w:b/>
          <w:caps/>
        </w:rPr>
        <w:t>Bureau</w:t>
      </w:r>
      <w:r w:rsidR="00D15778">
        <w:rPr>
          <w:b/>
          <w:caps/>
        </w:rPr>
        <w:t xml:space="preserve"> </w:t>
      </w:r>
      <w:r w:rsidR="00835260" w:rsidRPr="00A40D1C">
        <w:rPr>
          <w:b/>
          <w:caps/>
        </w:rPr>
        <w:t xml:space="preserve">Seeks </w:t>
      </w:r>
      <w:r w:rsidRPr="00A40D1C">
        <w:rPr>
          <w:b/>
          <w:caps/>
        </w:rPr>
        <w:t>Comment on</w:t>
      </w:r>
    </w:p>
    <w:p w:rsidR="00A17398" w:rsidRDefault="0023736F">
      <w:pPr>
        <w:suppressAutoHyphens/>
        <w:jc w:val="center"/>
        <w:rPr>
          <w:b/>
          <w:caps/>
        </w:rPr>
      </w:pPr>
      <w:r w:rsidRPr="00A40D1C">
        <w:rPr>
          <w:b/>
          <w:caps/>
        </w:rPr>
        <w:t>Key Bridge Global LLC</w:t>
      </w:r>
      <w:r w:rsidR="00835260" w:rsidRPr="00A40D1C">
        <w:rPr>
          <w:b/>
          <w:caps/>
        </w:rPr>
        <w:t xml:space="preserve"> Proposal</w:t>
      </w:r>
      <w:r w:rsidR="00350421">
        <w:rPr>
          <w:b/>
          <w:caps/>
        </w:rPr>
        <w:t xml:space="preserve"> </w:t>
      </w:r>
      <w:r w:rsidR="00835260" w:rsidRPr="00A40D1C">
        <w:rPr>
          <w:b/>
          <w:caps/>
        </w:rPr>
        <w:t>to be Designated as a</w:t>
      </w:r>
    </w:p>
    <w:p w:rsidR="00835260" w:rsidRDefault="00A17398">
      <w:pPr>
        <w:suppressAutoHyphens/>
        <w:jc w:val="center"/>
        <w:rPr>
          <w:b/>
        </w:rPr>
      </w:pPr>
      <w:r w:rsidRPr="00A17398">
        <w:rPr>
          <w:b/>
          <w:caps/>
        </w:rPr>
        <w:t>71-76 GHz, 81-86 GHz and 92-95 GHz Bands</w:t>
      </w:r>
      <w:r w:rsidRPr="00727AB4" w:rsidDel="00A17398">
        <w:rPr>
          <w:b/>
          <w:caps/>
        </w:rPr>
        <w:t xml:space="preserve"> </w:t>
      </w:r>
      <w:r w:rsidR="00835260" w:rsidRPr="00A40D1C">
        <w:rPr>
          <w:b/>
          <w:caps/>
        </w:rPr>
        <w:t xml:space="preserve">Database </w:t>
      </w:r>
      <w:r>
        <w:rPr>
          <w:b/>
          <w:caps/>
        </w:rPr>
        <w:t>Manager</w:t>
      </w:r>
    </w:p>
    <w:p w:rsidR="00835260" w:rsidRDefault="00835260">
      <w:pPr>
        <w:suppressAutoHyphens/>
        <w:jc w:val="center"/>
        <w:rPr>
          <w:b/>
        </w:rPr>
      </w:pPr>
    </w:p>
    <w:p w:rsidR="00835260" w:rsidRDefault="0007129A">
      <w:pPr>
        <w:suppressAutoHyphens/>
        <w:jc w:val="center"/>
        <w:rPr>
          <w:b/>
        </w:rPr>
      </w:pPr>
      <w:r>
        <w:rPr>
          <w:b/>
        </w:rPr>
        <w:t>WT</w:t>
      </w:r>
      <w:r w:rsidR="0067519F">
        <w:rPr>
          <w:b/>
        </w:rPr>
        <w:t xml:space="preserve"> Docket No. </w:t>
      </w:r>
      <w:r>
        <w:rPr>
          <w:b/>
        </w:rPr>
        <w:t>13</w:t>
      </w:r>
      <w:r w:rsidR="0067519F">
        <w:rPr>
          <w:b/>
        </w:rPr>
        <w:t>-</w:t>
      </w:r>
      <w:r w:rsidR="00060215">
        <w:rPr>
          <w:b/>
        </w:rPr>
        <w:t>291</w:t>
      </w:r>
    </w:p>
    <w:p w:rsidR="00835260" w:rsidRDefault="00835260">
      <w:pPr>
        <w:suppressAutoHyphens/>
        <w:rPr>
          <w:b/>
        </w:rPr>
      </w:pPr>
    </w:p>
    <w:p w:rsidR="00835260" w:rsidRDefault="009E1814" w:rsidP="00BD3CA2">
      <w:pPr>
        <w:suppressAutoHyphens/>
        <w:rPr>
          <w:b/>
        </w:rPr>
      </w:pPr>
      <w:r>
        <w:rPr>
          <w:b/>
        </w:rPr>
        <w:t xml:space="preserve">Comment Date:  </w:t>
      </w:r>
      <w:r w:rsidR="00060215">
        <w:rPr>
          <w:b/>
        </w:rPr>
        <w:t>December</w:t>
      </w:r>
      <w:r w:rsidR="00CC35B6">
        <w:rPr>
          <w:b/>
        </w:rPr>
        <w:t xml:space="preserve"> </w:t>
      </w:r>
      <w:r w:rsidR="00060215">
        <w:rPr>
          <w:b/>
        </w:rPr>
        <w:t>12</w:t>
      </w:r>
      <w:r w:rsidR="00AE2EFA">
        <w:rPr>
          <w:b/>
        </w:rPr>
        <w:t>, 2013</w:t>
      </w:r>
      <w:r w:rsidR="00AE2EFA">
        <w:rPr>
          <w:b/>
        </w:rPr>
        <w:tab/>
      </w:r>
      <w:r w:rsidR="00AE2EFA">
        <w:rPr>
          <w:b/>
        </w:rPr>
        <w:tab/>
      </w:r>
      <w:r w:rsidR="00AE2EFA">
        <w:rPr>
          <w:b/>
        </w:rPr>
        <w:tab/>
      </w:r>
      <w:r>
        <w:rPr>
          <w:b/>
        </w:rPr>
        <w:t xml:space="preserve">Reply Date:  </w:t>
      </w:r>
      <w:r w:rsidR="00060215">
        <w:rPr>
          <w:b/>
        </w:rPr>
        <w:t>December 23</w:t>
      </w:r>
      <w:r w:rsidR="00AE2EFA">
        <w:rPr>
          <w:b/>
        </w:rPr>
        <w:t xml:space="preserve">, </w:t>
      </w:r>
      <w:r w:rsidR="00835260">
        <w:rPr>
          <w:b/>
        </w:rPr>
        <w:t>2</w:t>
      </w:r>
      <w:r>
        <w:rPr>
          <w:b/>
        </w:rPr>
        <w:t>013</w:t>
      </w:r>
    </w:p>
    <w:p w:rsidR="008D0FAF" w:rsidRDefault="008D0FAF" w:rsidP="008D0FAF"/>
    <w:p w:rsidR="00682C1B" w:rsidRDefault="009C6EDC" w:rsidP="00C25780">
      <w:pPr>
        <w:spacing w:after="220"/>
        <w:ind w:firstLine="720"/>
      </w:pPr>
      <w:r>
        <w:t>T</w:t>
      </w:r>
      <w:r w:rsidR="0007129A">
        <w:t xml:space="preserve">he Wireless Telecommunications Bureau (WTB) </w:t>
      </w:r>
      <w:r w:rsidR="004342AC">
        <w:t xml:space="preserve">invites comment </w:t>
      </w:r>
      <w:r w:rsidR="0007129A">
        <w:t xml:space="preserve">on </w:t>
      </w:r>
      <w:r w:rsidR="006E0D61">
        <w:t>Key Bridge Global LLC</w:t>
      </w:r>
      <w:r w:rsidR="0007129A">
        <w:t>’s</w:t>
      </w:r>
      <w:r w:rsidR="006E0D61">
        <w:t xml:space="preserve"> (Key</w:t>
      </w:r>
      <w:r>
        <w:t> </w:t>
      </w:r>
      <w:r w:rsidR="006E0D61">
        <w:t>Bridge</w:t>
      </w:r>
      <w:r w:rsidR="0007129A">
        <w:t>’s</w:t>
      </w:r>
      <w:r w:rsidR="006E0D61">
        <w:t xml:space="preserve">) proposal </w:t>
      </w:r>
      <w:r w:rsidR="0007129A">
        <w:t xml:space="preserve">to be </w:t>
      </w:r>
      <w:r w:rsidR="006E0D61">
        <w:t>designat</w:t>
      </w:r>
      <w:r w:rsidR="004342AC">
        <w:t>ed</w:t>
      </w:r>
      <w:r w:rsidR="006E0D61">
        <w:t xml:space="preserve"> as a </w:t>
      </w:r>
      <w:r w:rsidR="0087118C">
        <w:t xml:space="preserve">database manager for </w:t>
      </w:r>
      <w:r w:rsidR="00786C56">
        <w:t>link registration</w:t>
      </w:r>
      <w:r w:rsidR="0087118C">
        <w:t>s</w:t>
      </w:r>
      <w:r w:rsidR="00AD7227">
        <w:t xml:space="preserve"> </w:t>
      </w:r>
      <w:r w:rsidR="0087118C">
        <w:t xml:space="preserve">by licensees in the </w:t>
      </w:r>
      <w:r w:rsidR="00E242CE">
        <w:t>71-76 GHz, 81-86 GHz, and 92-95 GHz bands</w:t>
      </w:r>
      <w:r w:rsidR="00701E3A">
        <w:t>.</w:t>
      </w:r>
      <w:r w:rsidR="00682C1B">
        <w:rPr>
          <w:rStyle w:val="FootnoteReference"/>
        </w:rPr>
        <w:footnoteReference w:id="1"/>
      </w:r>
      <w:r w:rsidR="005B1A6B">
        <w:t xml:space="preserve">  </w:t>
      </w:r>
    </w:p>
    <w:p w:rsidR="00497FAF" w:rsidRDefault="00682C1B" w:rsidP="00C25780">
      <w:pPr>
        <w:spacing w:after="220"/>
        <w:ind w:firstLine="720"/>
      </w:pPr>
      <w:r w:rsidRPr="00A40D1C">
        <w:rPr>
          <w:i/>
        </w:rPr>
        <w:t>Background</w:t>
      </w:r>
      <w:r>
        <w:t xml:space="preserve">.  </w:t>
      </w:r>
      <w:r w:rsidR="00497FAF" w:rsidRPr="00497FAF">
        <w:t xml:space="preserve">The </w:t>
      </w:r>
      <w:r w:rsidR="00497FAF">
        <w:t xml:space="preserve">71-76 GHz, 81-86 GHz, and 92-95 GHz (71-95 GHz) </w:t>
      </w:r>
      <w:r w:rsidR="00497FAF" w:rsidRPr="00497FAF">
        <w:t>bands are allocated to both Federal Government and non-Federal Government users on a co-primary basis, except the 94.0-94.1 GHz portion, which is allocated for Federal Government use on a primary basis.</w:t>
      </w:r>
      <w:r w:rsidR="00497FAF">
        <w:rPr>
          <w:rStyle w:val="FootnoteReference"/>
        </w:rPr>
        <w:footnoteReference w:id="2"/>
      </w:r>
      <w:r w:rsidR="00497FAF" w:rsidRPr="00497FAF">
        <w:t xml:space="preserve">  </w:t>
      </w:r>
      <w:r w:rsidR="000A2B80">
        <w:t>T</w:t>
      </w:r>
      <w:r w:rsidR="00A45274">
        <w:t xml:space="preserve">he Commission issues non-exclusive, nationwide licenses </w:t>
      </w:r>
      <w:r w:rsidR="000A2B80">
        <w:t xml:space="preserve">for the 71-76 GHz, 81-86 GHz, and 92-95 GHz bands </w:t>
      </w:r>
      <w:r w:rsidR="00A45274">
        <w:t xml:space="preserve">that serve as </w:t>
      </w:r>
      <w:r w:rsidR="005B1A6B">
        <w:t xml:space="preserve">a </w:t>
      </w:r>
      <w:r w:rsidR="00A45274">
        <w:t xml:space="preserve">prerequisite for registering </w:t>
      </w:r>
      <w:r w:rsidR="0021576E">
        <w:t xml:space="preserve">point-to-point </w:t>
      </w:r>
      <w:r w:rsidR="00E16EB7">
        <w:t>links</w:t>
      </w:r>
      <w:r w:rsidR="000A2B80">
        <w:t xml:space="preserve"> </w:t>
      </w:r>
      <w:r w:rsidR="00E16EB7">
        <w:t xml:space="preserve">in </w:t>
      </w:r>
      <w:r w:rsidR="000A2B80">
        <w:t xml:space="preserve">private databases </w:t>
      </w:r>
      <w:r w:rsidR="00E16EB7">
        <w:t xml:space="preserve">developed and managed by </w:t>
      </w:r>
      <w:r w:rsidR="000A2B80">
        <w:t>WTB-designated d</w:t>
      </w:r>
      <w:r w:rsidR="00E16EB7">
        <w:t xml:space="preserve">atabase </w:t>
      </w:r>
      <w:r w:rsidR="000A2B80">
        <w:t>m</w:t>
      </w:r>
      <w:r w:rsidR="00E16EB7">
        <w:t>anagers</w:t>
      </w:r>
      <w:r w:rsidR="000A2B80">
        <w:t xml:space="preserve"> (</w:t>
      </w:r>
      <w:r w:rsidR="00E16EB7">
        <w:t>DMs</w:t>
      </w:r>
      <w:r w:rsidR="00B21170">
        <w:t>)</w:t>
      </w:r>
      <w:r w:rsidR="000A2B80">
        <w:t>.</w:t>
      </w:r>
      <w:bookmarkStart w:id="1" w:name="_Ref366662000"/>
      <w:r w:rsidR="000A2B80">
        <w:rPr>
          <w:rStyle w:val="FootnoteReference"/>
        </w:rPr>
        <w:footnoteReference w:id="3"/>
      </w:r>
      <w:bookmarkEnd w:id="1"/>
      <w:r w:rsidR="002670B9">
        <w:t xml:space="preserve">  </w:t>
      </w:r>
    </w:p>
    <w:p w:rsidR="00C942CC" w:rsidRDefault="00E6089C" w:rsidP="00C25780">
      <w:pPr>
        <w:spacing w:after="220"/>
        <w:ind w:firstLine="720"/>
      </w:pPr>
      <w:r>
        <w:t>A licensee is not authorized to operate a link under its nationwide lic</w:t>
      </w:r>
      <w:r w:rsidR="00AE6D6F">
        <w:t>ense until the link is both (1) </w:t>
      </w:r>
      <w:r>
        <w:t>coordinated with the National Telecommunications and Information Administration (NTIA) with respect to</w:t>
      </w:r>
      <w:r w:rsidR="0087118C">
        <w:t xml:space="preserve"> </w:t>
      </w:r>
      <w:r>
        <w:t>Federal Government operations</w:t>
      </w:r>
      <w:bookmarkStart w:id="2" w:name="_Ref65565015"/>
      <w:r>
        <w:rPr>
          <w:rStyle w:val="FootnoteReference"/>
        </w:rPr>
        <w:footnoteReference w:id="4"/>
      </w:r>
      <w:bookmarkEnd w:id="2"/>
      <w:r>
        <w:t xml:space="preserve"> and (2) registered as an approved link.</w:t>
      </w:r>
      <w:r w:rsidR="001B2AEA">
        <w:t xml:space="preserve">  </w:t>
      </w:r>
      <w:r w:rsidR="005B1C4B">
        <w:t xml:space="preserve">Interference protection </w:t>
      </w:r>
      <w:r w:rsidR="005B1C4B">
        <w:lastRenderedPageBreak/>
        <w:t>among non-Federal Government links is determined by the date/time of individual link registration in the database.</w:t>
      </w:r>
      <w:r w:rsidR="00F32C7D">
        <w:rPr>
          <w:rStyle w:val="FootnoteReference"/>
        </w:rPr>
        <w:footnoteReference w:id="5"/>
      </w:r>
      <w:r w:rsidR="005B1C4B">
        <w:t xml:space="preserve">  </w:t>
      </w:r>
    </w:p>
    <w:p w:rsidR="005D15DD" w:rsidRDefault="00E16EB7" w:rsidP="00C25780">
      <w:pPr>
        <w:spacing w:after="220"/>
        <w:ind w:firstLine="720"/>
      </w:pPr>
      <w:r>
        <w:t xml:space="preserve">When the Commission adopted this </w:t>
      </w:r>
      <w:r w:rsidR="0041656F">
        <w:t xml:space="preserve">hybrid </w:t>
      </w:r>
      <w:r>
        <w:t>licensing approach</w:t>
      </w:r>
      <w:r w:rsidR="00B21170">
        <w:t xml:space="preserve"> in 2003</w:t>
      </w:r>
      <w:r>
        <w:t xml:space="preserve">, it </w:t>
      </w:r>
      <w:r w:rsidR="00193850">
        <w:t>“</w:t>
      </w:r>
      <w:r w:rsidR="00193850" w:rsidRPr="00193850">
        <w:t>reserve</w:t>
      </w:r>
      <w:r w:rsidR="00193850">
        <w:t>[d]</w:t>
      </w:r>
      <w:r w:rsidR="00193850" w:rsidRPr="00193850">
        <w:t xml:space="preserve"> the discretion to designate one or more third-party database managers to maintain a repository for the non-Federal Government links</w:t>
      </w:r>
      <w:r w:rsidR="00193850">
        <w:t>.”</w:t>
      </w:r>
      <w:r w:rsidR="00193850">
        <w:rPr>
          <w:rStyle w:val="FootnoteReference"/>
        </w:rPr>
        <w:footnoteReference w:id="6"/>
      </w:r>
      <w:r w:rsidR="00193850">
        <w:t xml:space="preserve">  </w:t>
      </w:r>
      <w:r w:rsidR="00BD3CA2">
        <w:t>I</w:t>
      </w:r>
      <w:r w:rsidR="00C5360D">
        <w:t xml:space="preserve">n </w:t>
      </w:r>
      <w:r w:rsidR="00222A6B">
        <w:t xml:space="preserve">March </w:t>
      </w:r>
      <w:r w:rsidR="00C5360D">
        <w:t>2004</w:t>
      </w:r>
      <w:r w:rsidR="00324DB2">
        <w:t>,</w:t>
      </w:r>
      <w:r w:rsidR="00C5360D">
        <w:t xml:space="preserve"> </w:t>
      </w:r>
      <w:r w:rsidR="00B21170">
        <w:t xml:space="preserve">WTB </w:t>
      </w:r>
      <w:r w:rsidR="00EE331A">
        <w:t xml:space="preserve">issued a public notice listing the </w:t>
      </w:r>
      <w:r w:rsidR="00BC74A2">
        <w:t xml:space="preserve">Commission’s </w:t>
      </w:r>
      <w:r w:rsidR="00EE331A">
        <w:t xml:space="preserve">requirements, soliciting </w:t>
      </w:r>
      <w:r w:rsidR="00B21170">
        <w:t>DM proposals</w:t>
      </w:r>
      <w:r w:rsidR="00EE331A">
        <w:t>,</w:t>
      </w:r>
      <w:r w:rsidR="00B21170">
        <w:t xml:space="preserve"> and invit</w:t>
      </w:r>
      <w:r w:rsidR="00EE331A">
        <w:t xml:space="preserve">ing </w:t>
      </w:r>
      <w:r w:rsidR="00B21170">
        <w:t xml:space="preserve">public comment on </w:t>
      </w:r>
      <w:r w:rsidR="00C5360D">
        <w:t xml:space="preserve">any </w:t>
      </w:r>
      <w:r w:rsidR="00B21170">
        <w:t>proposals</w:t>
      </w:r>
      <w:r w:rsidR="00C5360D">
        <w:t xml:space="preserve"> filed</w:t>
      </w:r>
      <w:r w:rsidR="00B21170">
        <w:t>.</w:t>
      </w:r>
      <w:r w:rsidR="00B21170">
        <w:rPr>
          <w:rStyle w:val="FootnoteReference"/>
        </w:rPr>
        <w:footnoteReference w:id="7"/>
      </w:r>
      <w:r w:rsidR="00B21170">
        <w:t xml:space="preserve">  </w:t>
      </w:r>
      <w:r w:rsidR="00EE331A">
        <w:t xml:space="preserve">In September 2004, WTB designated </w:t>
      </w:r>
      <w:r w:rsidR="002D373A">
        <w:t xml:space="preserve">three DMs to </w:t>
      </w:r>
      <w:r w:rsidR="00EE331A">
        <w:t xml:space="preserve">jointly develop and </w:t>
      </w:r>
      <w:r w:rsidR="002D373A">
        <w:t>manage 71-95 GHz link registration databases</w:t>
      </w:r>
      <w:r w:rsidR="00EE331A">
        <w:t>.</w:t>
      </w:r>
      <w:r w:rsidR="00EE331A">
        <w:rPr>
          <w:rStyle w:val="FootnoteReference"/>
        </w:rPr>
        <w:footnoteReference w:id="8"/>
      </w:r>
      <w:r w:rsidR="00EE331A">
        <w:t xml:space="preserve">  WTB reserved the right to designate new database managers or change the current designations.</w:t>
      </w:r>
      <w:r w:rsidR="00EE331A">
        <w:rPr>
          <w:rStyle w:val="FootnoteReference"/>
        </w:rPr>
        <w:footnoteReference w:id="9"/>
      </w:r>
      <w:r w:rsidR="00EE331A">
        <w:t xml:space="preserve">  In December 2004, each DM and WTB executed a Memorandum of Understanding (MoU) </w:t>
      </w:r>
      <w:r w:rsidR="00EE331A" w:rsidRPr="00F961FC">
        <w:t>setting forth its duties and the limits on its authority</w:t>
      </w:r>
      <w:r w:rsidR="00EE331A">
        <w:t xml:space="preserve"> and renewal MoUs were executed in 2009.</w:t>
      </w:r>
      <w:r w:rsidR="00EE331A">
        <w:rPr>
          <w:rStyle w:val="FootnoteReference"/>
        </w:rPr>
        <w:footnoteReference w:id="10"/>
      </w:r>
      <w:r w:rsidR="00EE331A">
        <w:t xml:space="preserve">  </w:t>
      </w:r>
    </w:p>
    <w:p w:rsidR="000A3F51" w:rsidRPr="00C54122" w:rsidRDefault="00174758" w:rsidP="00C25780">
      <w:pPr>
        <w:spacing w:after="220"/>
        <w:ind w:firstLine="720"/>
        <w:rPr>
          <w:szCs w:val="22"/>
        </w:rPr>
      </w:pPr>
      <w:r w:rsidRPr="00FF4872">
        <w:rPr>
          <w:i/>
          <w:szCs w:val="22"/>
        </w:rPr>
        <w:t>Key Bridge P</w:t>
      </w:r>
      <w:r w:rsidR="00C54122">
        <w:rPr>
          <w:i/>
          <w:szCs w:val="22"/>
        </w:rPr>
        <w:t>roposal</w:t>
      </w:r>
      <w:r>
        <w:rPr>
          <w:szCs w:val="22"/>
        </w:rPr>
        <w:t>.  Key Bridge seeks to be designated as a 7</w:t>
      </w:r>
      <w:r w:rsidR="004B652B">
        <w:rPr>
          <w:szCs w:val="22"/>
        </w:rPr>
        <w:t xml:space="preserve">1-95 GHz band </w:t>
      </w:r>
      <w:r>
        <w:rPr>
          <w:szCs w:val="22"/>
        </w:rPr>
        <w:t>database manager.</w:t>
      </w:r>
      <w:r>
        <w:rPr>
          <w:rStyle w:val="FootnoteReference"/>
          <w:szCs w:val="22"/>
        </w:rPr>
        <w:footnoteReference w:id="11"/>
      </w:r>
      <w:r>
        <w:rPr>
          <w:szCs w:val="22"/>
        </w:rPr>
        <w:t xml:space="preserve"> </w:t>
      </w:r>
      <w:r w:rsidR="00BF13AB">
        <w:rPr>
          <w:szCs w:val="22"/>
        </w:rPr>
        <w:t xml:space="preserve"> </w:t>
      </w:r>
      <w:r w:rsidR="004B652B">
        <w:rPr>
          <w:szCs w:val="22"/>
        </w:rPr>
        <w:t xml:space="preserve">Recognizing that the original filing deadline for </w:t>
      </w:r>
      <w:r w:rsidR="00BF13AB">
        <w:rPr>
          <w:szCs w:val="22"/>
        </w:rPr>
        <w:t xml:space="preserve">DM </w:t>
      </w:r>
      <w:r w:rsidR="004B652B">
        <w:rPr>
          <w:szCs w:val="22"/>
        </w:rPr>
        <w:t>proposals was in 2004</w:t>
      </w:r>
      <w:r w:rsidR="004102DF">
        <w:rPr>
          <w:szCs w:val="22"/>
        </w:rPr>
        <w:t xml:space="preserve">, </w:t>
      </w:r>
      <w:r w:rsidR="00C271E3">
        <w:rPr>
          <w:szCs w:val="22"/>
        </w:rPr>
        <w:t>Key Bridge note</w:t>
      </w:r>
      <w:r w:rsidR="00CA0834">
        <w:rPr>
          <w:szCs w:val="22"/>
        </w:rPr>
        <w:t>s</w:t>
      </w:r>
      <w:r w:rsidR="00C271E3">
        <w:rPr>
          <w:szCs w:val="22"/>
        </w:rPr>
        <w:t xml:space="preserve"> that </w:t>
      </w:r>
      <w:r w:rsidR="007C1843">
        <w:rPr>
          <w:szCs w:val="22"/>
        </w:rPr>
        <w:t xml:space="preserve">WTB </w:t>
      </w:r>
      <w:r w:rsidR="0056555D">
        <w:rPr>
          <w:szCs w:val="22"/>
        </w:rPr>
        <w:t xml:space="preserve">decided to designate more than one DM and </w:t>
      </w:r>
      <w:r w:rsidR="00C271E3">
        <w:rPr>
          <w:szCs w:val="22"/>
        </w:rPr>
        <w:t>“reserve[d] the discretion to designate additional managers.”</w:t>
      </w:r>
      <w:r w:rsidR="00C271E3">
        <w:rPr>
          <w:rStyle w:val="FootnoteReference"/>
          <w:szCs w:val="22"/>
        </w:rPr>
        <w:footnoteReference w:id="12"/>
      </w:r>
      <w:r w:rsidR="00C271E3">
        <w:rPr>
          <w:szCs w:val="22"/>
        </w:rPr>
        <w:t xml:space="preserve">  </w:t>
      </w:r>
      <w:r w:rsidR="0089473A">
        <w:rPr>
          <w:szCs w:val="22"/>
        </w:rPr>
        <w:t xml:space="preserve">Alternatively, </w:t>
      </w:r>
      <w:r w:rsidR="0089473A" w:rsidRPr="0089473A">
        <w:rPr>
          <w:szCs w:val="22"/>
        </w:rPr>
        <w:t xml:space="preserve">Key Bridge </w:t>
      </w:r>
      <w:r w:rsidR="0089473A">
        <w:rPr>
          <w:szCs w:val="22"/>
        </w:rPr>
        <w:t>requests a waiver of the 2004 deadline.</w:t>
      </w:r>
      <w:r w:rsidR="0089473A">
        <w:rPr>
          <w:rStyle w:val="FootnoteReference"/>
          <w:szCs w:val="22"/>
        </w:rPr>
        <w:footnoteReference w:id="13"/>
      </w:r>
      <w:r w:rsidR="0089473A">
        <w:rPr>
          <w:szCs w:val="22"/>
        </w:rPr>
        <w:t xml:space="preserve">  </w:t>
      </w:r>
      <w:r w:rsidR="00C66969">
        <w:rPr>
          <w:szCs w:val="22"/>
        </w:rPr>
        <w:t xml:space="preserve">Key Bridge provides information on its </w:t>
      </w:r>
      <w:r w:rsidR="00C66969" w:rsidRPr="000A3F51">
        <w:t>background</w:t>
      </w:r>
      <w:r w:rsidR="00C66969">
        <w:rPr>
          <w:szCs w:val="22"/>
        </w:rPr>
        <w:t>, so</w:t>
      </w:r>
      <w:r w:rsidR="00847EBE">
        <w:rPr>
          <w:szCs w:val="22"/>
        </w:rPr>
        <w:t xml:space="preserve">ftware and database experience (in particular, </w:t>
      </w:r>
      <w:r w:rsidR="00847EBE">
        <w:t xml:space="preserve">its experience developing databases, particularly its </w:t>
      </w:r>
      <w:r w:rsidR="00350421">
        <w:t xml:space="preserve">TV </w:t>
      </w:r>
      <w:r w:rsidR="00847EBE">
        <w:t xml:space="preserve">White Space System), and other experience </w:t>
      </w:r>
      <w:r w:rsidR="00226A8F">
        <w:t xml:space="preserve">as evidence of its capacity to operate a registration system and database in </w:t>
      </w:r>
      <w:r w:rsidR="00BF13AB">
        <w:t xml:space="preserve">the </w:t>
      </w:r>
      <w:r w:rsidR="00226A8F">
        <w:t>7</w:t>
      </w:r>
      <w:r w:rsidR="00BF13AB">
        <w:t xml:space="preserve">1-95 </w:t>
      </w:r>
      <w:r w:rsidR="00226A8F">
        <w:t>GHz</w:t>
      </w:r>
      <w:r w:rsidR="00BF13AB">
        <w:t xml:space="preserve"> bands</w:t>
      </w:r>
      <w:r w:rsidR="00226A8F">
        <w:t>.</w:t>
      </w:r>
      <w:r w:rsidR="00226A8F">
        <w:rPr>
          <w:rStyle w:val="FootnoteReference"/>
        </w:rPr>
        <w:footnoteReference w:id="14"/>
      </w:r>
      <w:r w:rsidR="00226A8F">
        <w:t xml:space="preserve">  More specifically, </w:t>
      </w:r>
      <w:r w:rsidR="00BF13AB">
        <w:t xml:space="preserve">Key Bridge avers that its Petition addresses each of the </w:t>
      </w:r>
      <w:r w:rsidR="00E67CF7">
        <w:t xml:space="preserve">requirements for DM proposals </w:t>
      </w:r>
      <w:r w:rsidR="00BF13AB">
        <w:t xml:space="preserve">listed in the </w:t>
      </w:r>
      <w:r w:rsidR="00460671">
        <w:rPr>
          <w:i/>
        </w:rPr>
        <w:t xml:space="preserve">2004 Public </w:t>
      </w:r>
      <w:r w:rsidR="00460671">
        <w:rPr>
          <w:i/>
        </w:rPr>
        <w:lastRenderedPageBreak/>
        <w:t>Notice</w:t>
      </w:r>
      <w:r w:rsidR="00E67CF7">
        <w:rPr>
          <w:rStyle w:val="FootnoteReference"/>
        </w:rPr>
        <w:footnoteReference w:id="15"/>
      </w:r>
      <w:r w:rsidR="00460671">
        <w:rPr>
          <w:i/>
        </w:rPr>
        <w:t xml:space="preserve"> </w:t>
      </w:r>
      <w:r w:rsidR="00460671" w:rsidRPr="00460671">
        <w:t>and</w:t>
      </w:r>
      <w:r w:rsidR="00460671">
        <w:rPr>
          <w:i/>
        </w:rPr>
        <w:t xml:space="preserve"> </w:t>
      </w:r>
      <w:r w:rsidR="00BF13AB">
        <w:t xml:space="preserve">in turn and </w:t>
      </w:r>
      <w:r w:rsidR="00BF13AB" w:rsidRPr="00080324">
        <w:t>states</w:t>
      </w:r>
      <w:r w:rsidR="00BF13AB">
        <w:t xml:space="preserve"> that it will comply with </w:t>
      </w:r>
      <w:r w:rsidR="00E67CF7">
        <w:t xml:space="preserve">the duties and responsibilities listed in the </w:t>
      </w:r>
      <w:r w:rsidR="00E67CF7" w:rsidRPr="00E67CF7">
        <w:rPr>
          <w:i/>
        </w:rPr>
        <w:t>2004 Order</w:t>
      </w:r>
      <w:r w:rsidR="00E67CF7">
        <w:t>.</w:t>
      </w:r>
      <w:r w:rsidR="00BF13AB">
        <w:rPr>
          <w:rStyle w:val="FootnoteReference"/>
        </w:rPr>
        <w:footnoteReference w:id="16"/>
      </w:r>
      <w:r w:rsidR="00BF13AB">
        <w:t xml:space="preserve">  </w:t>
      </w:r>
      <w:r w:rsidR="0031561F">
        <w:t>Key Bridge</w:t>
      </w:r>
      <w:r w:rsidR="00BF13AB">
        <w:t xml:space="preserve"> also </w:t>
      </w:r>
      <w:r w:rsidR="0031561F">
        <w:t>acknowledges that the current database managers already have a scheme for synchronizing their databases and states that it “is able to support the existing peering scheme between the current database managers.”</w:t>
      </w:r>
      <w:r w:rsidR="0031561F">
        <w:rPr>
          <w:rStyle w:val="FootnoteReference"/>
        </w:rPr>
        <w:footnoteReference w:id="17"/>
      </w:r>
      <w:r w:rsidR="0031561F">
        <w:t xml:space="preserve">  </w:t>
      </w:r>
      <w:r w:rsidR="001D1A7A">
        <w:t xml:space="preserve">We seek comment on the Key Bridge Proposal.  </w:t>
      </w:r>
    </w:p>
    <w:p w:rsidR="000A3F51" w:rsidRPr="000A3F51" w:rsidRDefault="00C41BFB" w:rsidP="00C25780">
      <w:pPr>
        <w:spacing w:after="220"/>
        <w:ind w:firstLine="720"/>
        <w:rPr>
          <w:b/>
          <w:szCs w:val="22"/>
        </w:rPr>
      </w:pPr>
      <w:r w:rsidRPr="00FF4872">
        <w:rPr>
          <w:i/>
        </w:rPr>
        <w:t>Procedural Matters</w:t>
      </w:r>
      <w:r>
        <w:t xml:space="preserve">.  </w:t>
      </w:r>
      <w:r w:rsidR="00863FD7" w:rsidRPr="000A3F51">
        <w:rPr>
          <w:b/>
          <w:spacing w:val="-2"/>
          <w:szCs w:val="22"/>
        </w:rPr>
        <w:t xml:space="preserve">To allow the Commission to consider fully all substantive issues regarding the Key Bridge Petition in as timely and efficient a manner as possible, </w:t>
      </w:r>
      <w:r w:rsidR="00863FD7" w:rsidRPr="000A3F51">
        <w:rPr>
          <w:b/>
          <w:szCs w:val="22"/>
        </w:rPr>
        <w:t>commenters should raise all issues in their initial filings.  New issues may not be raised in responses or replies.</w:t>
      </w:r>
      <w:r w:rsidR="00863FD7" w:rsidRPr="000A3F51">
        <w:rPr>
          <w:rStyle w:val="FootnoteReference"/>
          <w:b/>
          <w:szCs w:val="22"/>
        </w:rPr>
        <w:footnoteReference w:id="18"/>
      </w:r>
      <w:r w:rsidR="00863FD7" w:rsidRPr="000A3F51">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654D5E" w:rsidRPr="000A3F51">
        <w:rPr>
          <w:b/>
          <w:szCs w:val="22"/>
        </w:rPr>
        <w:t xml:space="preserve">  </w:t>
      </w:r>
    </w:p>
    <w:p w:rsidR="00BB0FF6" w:rsidRDefault="00BB0FF6" w:rsidP="00C25780">
      <w:pPr>
        <w:spacing w:after="220"/>
        <w:ind w:firstLine="720"/>
        <w:rPr>
          <w:szCs w:val="22"/>
        </w:rPr>
      </w:pPr>
      <w:r>
        <w:t xml:space="preserve">This matter shall be treated as a “permit-but-disclose” proceeding in accordance with the </w:t>
      </w:r>
      <w:r>
        <w:rPr>
          <w:i/>
        </w:rPr>
        <w:t>ex parte</w:t>
      </w:r>
      <w:r>
        <w:t xml:space="preserve"> rules.</w:t>
      </w:r>
      <w:r>
        <w:rPr>
          <w:vertAlign w:val="superscript"/>
        </w:rPr>
        <w:footnoteReference w:id="19"/>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sidR="00C25780">
        <w:t xml:space="preserve">  </w:t>
      </w:r>
    </w:p>
    <w:p w:rsidR="0089473A" w:rsidRDefault="00BB0FF6" w:rsidP="00C25780">
      <w:pPr>
        <w:spacing w:after="220"/>
        <w:ind w:firstLine="720"/>
        <w:rPr>
          <w:szCs w:val="22"/>
        </w:rPr>
      </w:pPr>
      <w:r>
        <w:rPr>
          <w:szCs w:val="22"/>
        </w:rPr>
        <w:t xml:space="preserve">Comments are due no later than the Comment Date listed on the first page and reply comments are due no later than the Reply Date listed on the first page of this public notice.  All filings should reference the </w:t>
      </w:r>
      <w:r w:rsidRPr="000A3F51">
        <w:t>docket</w:t>
      </w:r>
      <w:r>
        <w:rPr>
          <w:szCs w:val="22"/>
        </w:rPr>
        <w:t xml:space="preserve"> number of this proceeding, which is listed on the first page of this public notice.  </w:t>
      </w:r>
      <w:r w:rsidR="0089473A">
        <w:rPr>
          <w:szCs w:val="22"/>
        </w:rPr>
        <w:t>Under the Commission’s current procedures for the submission of filings and other documents,</w:t>
      </w:r>
      <w:r w:rsidR="0089473A">
        <w:rPr>
          <w:szCs w:val="22"/>
          <w:vertAlign w:val="superscript"/>
        </w:rPr>
        <w:footnoteReference w:id="20"/>
      </w:r>
      <w:r w:rsidR="0089473A">
        <w:rPr>
          <w:szCs w:val="22"/>
        </w:rPr>
        <w:t xml:space="preserve"> submissions in this matter may be filed electronically (</w:t>
      </w:r>
      <w:r w:rsidR="0089473A">
        <w:rPr>
          <w:i/>
          <w:szCs w:val="22"/>
        </w:rPr>
        <w:t>i.e.</w:t>
      </w:r>
      <w:r w:rsidR="0089473A">
        <w:rPr>
          <w:szCs w:val="22"/>
        </w:rPr>
        <w:t xml:space="preserve">, through ECFS) or by hand delivery to the Commission. </w:t>
      </w:r>
    </w:p>
    <w:p w:rsidR="000A3F51" w:rsidRPr="00C25780" w:rsidRDefault="0089473A" w:rsidP="00C25780">
      <w:pPr>
        <w:pStyle w:val="ListParagraph"/>
        <w:numPr>
          <w:ilvl w:val="0"/>
          <w:numId w:val="63"/>
        </w:numPr>
        <w:spacing w:after="220"/>
        <w:rPr>
          <w:szCs w:val="22"/>
        </w:rPr>
      </w:pPr>
      <w:r w:rsidRPr="00C25780">
        <w:rPr>
          <w:b/>
          <w:szCs w:val="22"/>
        </w:rPr>
        <w:t>If filed by ECFS</w:t>
      </w:r>
      <w:r w:rsidRPr="00C25780">
        <w:rPr>
          <w:szCs w:val="22"/>
        </w:rPr>
        <w:t>,</w:t>
      </w:r>
      <w:r>
        <w:rPr>
          <w:vertAlign w:val="superscript"/>
        </w:rPr>
        <w:footnoteReference w:id="21"/>
      </w:r>
      <w:r w:rsidRPr="00C25780">
        <w:rPr>
          <w:szCs w:val="22"/>
        </w:rPr>
        <w:t xml:space="preserve"> comments </w:t>
      </w:r>
      <w:r w:rsidRPr="000A3F51">
        <w:t>shall</w:t>
      </w:r>
      <w:r w:rsidRPr="00C25780">
        <w:rPr>
          <w:szCs w:val="22"/>
        </w:rPr>
        <w:t xml:space="preserve"> be sent as an electronic file via the Internet to </w:t>
      </w:r>
      <w:hyperlink r:id="rId8" w:history="1">
        <w:r w:rsidR="00486F8C">
          <w:rPr>
            <w:rStyle w:val="Hyperlink"/>
          </w:rPr>
          <w:t>http://www.fcc.gov/cgb/ecfs/</w:t>
        </w:r>
      </w:hyperlink>
      <w:r w:rsidRPr="00C25780">
        <w:rPr>
          <w:szCs w:val="22"/>
        </w:rPr>
        <w:t>.  In completing the transmittal screen, commenters should include their full name, U.S. Postal Service mailing address, and the applicable docket number.  Parties may also submit an electronic comment by Internet e-mail.</w:t>
      </w:r>
      <w:r w:rsidR="006E1C7A" w:rsidRPr="00C25780">
        <w:rPr>
          <w:szCs w:val="22"/>
        </w:rPr>
        <w:t xml:space="preserve">  </w:t>
      </w:r>
      <w:r w:rsidR="006E1C7A">
        <w:t xml:space="preserve">To get filing instructions for e-mail comments, commenters should send an e-mail to </w:t>
      </w:r>
      <w:hyperlink r:id="rId9" w:history="1">
        <w:r w:rsidR="006E1C7A">
          <w:rPr>
            <w:rStyle w:val="Hyperlink"/>
          </w:rPr>
          <w:t>ecfs@fcc.gov</w:t>
        </w:r>
      </w:hyperlink>
      <w:r w:rsidR="006E1C7A">
        <w:t xml:space="preserve">, and should include the following words in the body of the message, “get form.”  A sample form and directions will be sent in reply.  </w:t>
      </w:r>
    </w:p>
    <w:p w:rsidR="000A3F51" w:rsidRPr="00C25780" w:rsidRDefault="0089473A" w:rsidP="00C25780">
      <w:pPr>
        <w:pStyle w:val="ListParagraph"/>
        <w:numPr>
          <w:ilvl w:val="0"/>
          <w:numId w:val="63"/>
        </w:numPr>
        <w:spacing w:after="220"/>
        <w:rPr>
          <w:szCs w:val="22"/>
        </w:rPr>
      </w:pPr>
      <w:r w:rsidRPr="00C25780">
        <w:rPr>
          <w:b/>
          <w:szCs w:val="22"/>
        </w:rPr>
        <w:t>If filed by paper</w:t>
      </w:r>
      <w:r w:rsidRPr="00C25780">
        <w:rPr>
          <w:szCs w:val="22"/>
        </w:rPr>
        <w:t xml:space="preserve">, the original and </w:t>
      </w:r>
      <w:r w:rsidR="006E1C7A" w:rsidRPr="00C25780">
        <w:rPr>
          <w:szCs w:val="22"/>
        </w:rPr>
        <w:t>one copy</w:t>
      </w:r>
      <w:r w:rsidR="006E1C7A">
        <w:rPr>
          <w:rStyle w:val="FootnoteReference"/>
          <w:szCs w:val="22"/>
        </w:rPr>
        <w:footnoteReference w:id="22"/>
      </w:r>
      <w:r w:rsidR="006E1C7A" w:rsidRPr="00C25780">
        <w:rPr>
          <w:szCs w:val="22"/>
        </w:rPr>
        <w:t xml:space="preserve"> </w:t>
      </w:r>
      <w:r w:rsidRPr="00C25780">
        <w:rPr>
          <w:szCs w:val="22"/>
        </w:rPr>
        <w:t>of each filing must be filed by hand or messenger delivery, by commercial overnight courier, or by first-class or overnight U.S. Postal Service mail.  All hand-delivered or messenger-delivered paper filings for the Commission’s Secretary must be delivered to FCC Headquarters at 445 12</w:t>
      </w:r>
      <w:r w:rsidRPr="00C25780">
        <w:rPr>
          <w:szCs w:val="22"/>
          <w:vertAlign w:val="superscript"/>
        </w:rPr>
        <w:t>th</w:t>
      </w:r>
      <w:r w:rsidRPr="00C25780">
        <w:rPr>
          <w:szCs w:val="22"/>
        </w:rPr>
        <w:t xml:space="preserve"> Street, S.W., Room TW-A325, Washington, D.C. 20554.  The filing hours at this location are 8:00 a.m. to 7:00 p.m.  All hand deliveries must be held together with rubber bands or fasteners.  Any envelopes must be disposed of </w:t>
      </w:r>
      <w:r w:rsidRPr="00C25780">
        <w:rPr>
          <w:szCs w:val="22"/>
          <w:u w:val="single"/>
        </w:rPr>
        <w:t>before</w:t>
      </w:r>
      <w:r w:rsidRPr="00C25780">
        <w:rPr>
          <w:szCs w:val="22"/>
        </w:rPr>
        <w:t xml:space="preserve"> entering the building.  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r w:rsidR="00C25780" w:rsidRPr="00C25780">
        <w:rPr>
          <w:szCs w:val="22"/>
        </w:rPr>
        <w:t xml:space="preserve">  </w:t>
      </w:r>
    </w:p>
    <w:p w:rsidR="000A3F51" w:rsidRDefault="0089473A" w:rsidP="00C25780">
      <w:pPr>
        <w:spacing w:after="220"/>
        <w:ind w:firstLine="720"/>
        <w:rPr>
          <w:szCs w:val="22"/>
        </w:rPr>
      </w:pPr>
      <w:r>
        <w:rPr>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w:t>
      </w:r>
      <w:r w:rsidR="00486F8C">
        <w:rPr>
          <w:szCs w:val="22"/>
        </w:rPr>
        <w:t xml:space="preserve"> above for paper filings), to:  </w:t>
      </w:r>
      <w:r>
        <w:rPr>
          <w:szCs w:val="22"/>
        </w:rPr>
        <w:t>the Commission’s duplicating contractor, Best Copy and Printing, Inc., at FCC@BCPIWEB.COM or (202) 488-5563 (facsimile)</w:t>
      </w:r>
      <w:r w:rsidR="00486F8C">
        <w:rPr>
          <w:szCs w:val="22"/>
        </w:rPr>
        <w:t xml:space="preserve">.  </w:t>
      </w:r>
      <w:r>
        <w:rPr>
          <w:spacing w:val="-2"/>
          <w:szCs w:val="22"/>
        </w:rPr>
        <w:t>Any submission that is e-mailed to Best Copy and Printing</w:t>
      </w:r>
      <w:r w:rsidR="00486F8C">
        <w:rPr>
          <w:spacing w:val="-2"/>
          <w:szCs w:val="22"/>
        </w:rPr>
        <w:t xml:space="preserve"> </w:t>
      </w:r>
      <w:r>
        <w:rPr>
          <w:spacing w:val="-2"/>
          <w:szCs w:val="22"/>
        </w:rPr>
        <w:t xml:space="preserve">should include in the subject line of the e-mail:  (1) </w:t>
      </w:r>
      <w:r w:rsidR="00486F8C">
        <w:rPr>
          <w:szCs w:val="22"/>
        </w:rPr>
        <w:t>the docket number of this proceeding, which is listed on the first page of this public notice</w:t>
      </w:r>
      <w:r>
        <w:rPr>
          <w:szCs w:val="22"/>
        </w:rPr>
        <w:t>; (2) the name of the submitting party; and (3) a brief description or title identifying the type of document being submitted (</w:t>
      </w:r>
      <w:r>
        <w:rPr>
          <w:i/>
          <w:szCs w:val="22"/>
        </w:rPr>
        <w:t>e.g</w:t>
      </w:r>
      <w:r>
        <w:rPr>
          <w:szCs w:val="22"/>
        </w:rPr>
        <w:t>., WT Docket No. 13-</w:t>
      </w:r>
      <w:r w:rsidR="006E1C7A">
        <w:rPr>
          <w:szCs w:val="22"/>
        </w:rPr>
        <w:t>__</w:t>
      </w:r>
      <w:r>
        <w:rPr>
          <w:szCs w:val="22"/>
        </w:rPr>
        <w:t xml:space="preserve">, [name of submitting party], Notice of </w:t>
      </w:r>
      <w:r>
        <w:rPr>
          <w:i/>
          <w:szCs w:val="22"/>
        </w:rPr>
        <w:t xml:space="preserve">Ex Parte </w:t>
      </w:r>
      <w:r>
        <w:rPr>
          <w:szCs w:val="22"/>
        </w:rPr>
        <w:t>Communication).</w:t>
      </w:r>
      <w:r w:rsidR="00C25780">
        <w:rPr>
          <w:szCs w:val="22"/>
        </w:rPr>
        <w:t xml:space="preserve">  </w:t>
      </w:r>
    </w:p>
    <w:p w:rsidR="000A3F51" w:rsidRDefault="0089473A" w:rsidP="00C25780">
      <w:pPr>
        <w:spacing w:after="220"/>
        <w:ind w:firstLine="720"/>
        <w:rPr>
          <w:sz w:val="20"/>
        </w:rPr>
      </w:pPr>
      <w:r>
        <w:rPr>
          <w:szCs w:val="22"/>
        </w:rPr>
        <w:t xml:space="preserve">Copies of the </w:t>
      </w:r>
      <w:r w:rsidR="00486F8C" w:rsidRPr="00350421">
        <w:rPr>
          <w:szCs w:val="22"/>
        </w:rPr>
        <w:t>Key Bridge P</w:t>
      </w:r>
      <w:r w:rsidR="00C54122" w:rsidRPr="00350421">
        <w:rPr>
          <w:szCs w:val="22"/>
        </w:rPr>
        <w:t>roposal</w:t>
      </w:r>
      <w:r w:rsidR="00C54122">
        <w:rPr>
          <w:i/>
          <w:szCs w:val="22"/>
        </w:rPr>
        <w:t xml:space="preserve"> </w:t>
      </w:r>
      <w:r>
        <w:rPr>
          <w:szCs w:val="22"/>
        </w:rPr>
        <w:t xml:space="preserve">and any subsequently-filed documents in this matter may be obtained from Best </w:t>
      </w:r>
      <w:r w:rsidRPr="000A3F51">
        <w:t>Copy</w:t>
      </w:r>
      <w:r>
        <w:rPr>
          <w:szCs w:val="22"/>
        </w:rPr>
        <w:t xml:space="preserve"> and Printing, Inc., in person at 445 12th Street, S.W., Room CY-B402, Washington, D.C. 20554, via telephone at (202) 488-5300, via facsimile at (202) 488-5563, or via e-mail at FCC@BCPIWEB.COM.  The </w:t>
      </w:r>
      <w:r w:rsidR="00486F8C" w:rsidRPr="00350421">
        <w:rPr>
          <w:szCs w:val="22"/>
        </w:rPr>
        <w:t>Key Bridge P</w:t>
      </w:r>
      <w:r w:rsidR="00C54122" w:rsidRPr="00350421">
        <w:rPr>
          <w:szCs w:val="22"/>
        </w:rPr>
        <w:t>roposal</w:t>
      </w:r>
      <w:r w:rsidR="00C54122">
        <w:rPr>
          <w:i/>
          <w:szCs w:val="22"/>
        </w:rPr>
        <w:t xml:space="preserve"> </w:t>
      </w:r>
      <w:r w:rsidR="00486F8C">
        <w:rPr>
          <w:szCs w:val="22"/>
        </w:rPr>
        <w:t xml:space="preserve">and </w:t>
      </w:r>
      <w:r>
        <w:rPr>
          <w:szCs w:val="22"/>
        </w:rPr>
        <w:t xml:space="preserve">any associated documents are also available for public inspection and copying during normal reference room hours at the following Commission office:  FCC Reference Information Center, 445 12th Street, S.W., Room CY-A257, Washington, D.C. 20554.  The </w:t>
      </w:r>
      <w:r w:rsidR="00486F8C" w:rsidRPr="00350421">
        <w:rPr>
          <w:szCs w:val="22"/>
        </w:rPr>
        <w:t>Key Bridge P</w:t>
      </w:r>
      <w:r w:rsidR="00C54122" w:rsidRPr="00350421">
        <w:rPr>
          <w:szCs w:val="22"/>
        </w:rPr>
        <w:t>roposal</w:t>
      </w:r>
      <w:r w:rsidR="00C54122">
        <w:rPr>
          <w:i/>
          <w:szCs w:val="22"/>
        </w:rPr>
        <w:t xml:space="preserve"> </w:t>
      </w:r>
      <w:r w:rsidR="00486F8C">
        <w:rPr>
          <w:szCs w:val="22"/>
        </w:rPr>
        <w:t xml:space="preserve">is </w:t>
      </w:r>
      <w:r>
        <w:rPr>
          <w:szCs w:val="22"/>
        </w:rPr>
        <w:t xml:space="preserve">also available electronically through ECFS, which may be accessed on the Commission’s Internet website at </w:t>
      </w:r>
      <w:hyperlink r:id="rId10" w:history="1">
        <w:r w:rsidR="00486F8C" w:rsidRPr="000250FA">
          <w:rPr>
            <w:rStyle w:val="Hyperlink"/>
            <w:szCs w:val="22"/>
          </w:rPr>
          <w:t>http://www.fcc.gov</w:t>
        </w:r>
      </w:hyperlink>
      <w:r w:rsidR="00486F8C">
        <w:rPr>
          <w:szCs w:val="22"/>
        </w:rPr>
        <w:t>.</w:t>
      </w:r>
      <w:r>
        <w:rPr>
          <w:szCs w:val="22"/>
        </w:rPr>
        <w:t xml:space="preserve">  </w:t>
      </w:r>
      <w:r w:rsidR="00C25780">
        <w:rPr>
          <w:szCs w:val="22"/>
        </w:rPr>
        <w:t xml:space="preserve"> </w:t>
      </w:r>
    </w:p>
    <w:p w:rsidR="000A3F51" w:rsidRDefault="0089473A" w:rsidP="00C25780">
      <w:pPr>
        <w:spacing w:after="220"/>
        <w:ind w:firstLine="720"/>
        <w:rPr>
          <w:sz w:val="20"/>
        </w:rPr>
      </w:pPr>
      <w:r>
        <w:rPr>
          <w:szCs w:val="22"/>
        </w:rPr>
        <w:t xml:space="preserve">To request materials in accessible formats for people with disabilities (Braille, large print, electronic files, audio </w:t>
      </w:r>
      <w:r w:rsidRPr="000A3F51">
        <w:t>format</w:t>
      </w:r>
      <w:r>
        <w:rPr>
          <w:szCs w:val="22"/>
        </w:rPr>
        <w:t xml:space="preserve">), send an e-mail to </w:t>
      </w:r>
      <w:hyperlink r:id="rId11" w:history="1">
        <w:r w:rsidR="00486F8C" w:rsidRPr="000250FA">
          <w:rPr>
            <w:rStyle w:val="Hyperlink"/>
            <w:szCs w:val="22"/>
          </w:rPr>
          <w:t>fcc504@fcc.gov</w:t>
        </w:r>
      </w:hyperlink>
      <w:r w:rsidR="00486F8C">
        <w:rPr>
          <w:szCs w:val="22"/>
        </w:rPr>
        <w:t xml:space="preserve"> </w:t>
      </w:r>
      <w:r>
        <w:rPr>
          <w:szCs w:val="22"/>
        </w:rPr>
        <w:t xml:space="preserve">or call the Consumer and Governmental Affairs Bureau at (202) 418-0530 (voice) or (202) 418-0432 (TTY).  Contact the FCC to request reasonable accommodations for filing comments (accessible format documents, sign language interpreters, CART, etc.) by e-mail:  </w:t>
      </w:r>
      <w:hyperlink r:id="rId12" w:history="1">
        <w:r w:rsidR="00AD7227" w:rsidRPr="000250FA">
          <w:rPr>
            <w:rStyle w:val="Hyperlink"/>
            <w:szCs w:val="22"/>
          </w:rPr>
          <w:t>fcc504@fcc.gov</w:t>
        </w:r>
      </w:hyperlink>
      <w:r>
        <w:rPr>
          <w:szCs w:val="22"/>
        </w:rPr>
        <w:t>; phone:  (202) 418-0530; or TTY:  (202) 418-0432.</w:t>
      </w:r>
      <w:r w:rsidR="00AD7227" w:rsidRPr="00AD7227">
        <w:rPr>
          <w:sz w:val="20"/>
        </w:rPr>
        <w:t xml:space="preserve"> </w:t>
      </w:r>
      <w:bookmarkStart w:id="3" w:name="SR;2708"/>
      <w:bookmarkStart w:id="4" w:name="SR;2709"/>
      <w:bookmarkStart w:id="5" w:name="SR;2711"/>
      <w:bookmarkStart w:id="6" w:name="SR;2714"/>
      <w:bookmarkStart w:id="7" w:name="SR;2715"/>
      <w:bookmarkStart w:id="8" w:name="SR;2716"/>
      <w:bookmarkStart w:id="9" w:name="FN[FN33]"/>
      <w:bookmarkStart w:id="10" w:name="FN[FN34]"/>
      <w:bookmarkStart w:id="11" w:name="FN[FN35]"/>
      <w:bookmarkEnd w:id="3"/>
      <w:bookmarkEnd w:id="4"/>
      <w:bookmarkEnd w:id="5"/>
      <w:bookmarkEnd w:id="6"/>
      <w:bookmarkEnd w:id="7"/>
      <w:bookmarkEnd w:id="8"/>
      <w:bookmarkEnd w:id="9"/>
      <w:bookmarkEnd w:id="10"/>
      <w:bookmarkEnd w:id="11"/>
      <w:r w:rsidR="00C25780">
        <w:rPr>
          <w:sz w:val="20"/>
        </w:rPr>
        <w:t xml:space="preserve"> </w:t>
      </w:r>
    </w:p>
    <w:p w:rsidR="00C25780" w:rsidRDefault="00C25780" w:rsidP="00060215">
      <w:pPr>
        <w:spacing w:after="220"/>
        <w:ind w:right="-90" w:firstLine="720"/>
        <w:jc w:val="both"/>
        <w:rPr>
          <w:szCs w:val="22"/>
        </w:rPr>
      </w:pPr>
      <w:r>
        <w:t xml:space="preserve">For further information, contact </w:t>
      </w:r>
      <w:r w:rsidR="00372409">
        <w:t xml:space="preserve">Charles Oliver, </w:t>
      </w:r>
      <w:r>
        <w:t>Broadband Divisi</w:t>
      </w:r>
      <w:r w:rsidR="00372409">
        <w:t xml:space="preserve">on, Wireless Telecommunications </w:t>
      </w:r>
      <w:r>
        <w:t xml:space="preserve">Bureau, </w:t>
      </w:r>
      <w:r w:rsidR="00372409" w:rsidRPr="00692EED">
        <w:t xml:space="preserve">at (202) 418-1325, email: </w:t>
      </w:r>
      <w:hyperlink r:id="rId13" w:history="1">
        <w:r w:rsidR="00372409" w:rsidRPr="00103F70">
          <w:rPr>
            <w:rStyle w:val="Hyperlink"/>
          </w:rPr>
          <w:t>Charles.Oliver@fcc.gov</w:t>
        </w:r>
      </w:hyperlink>
      <w:r w:rsidR="00372409">
        <w:t xml:space="preserve">.  </w:t>
      </w:r>
    </w:p>
    <w:p w:rsidR="00835260" w:rsidRDefault="00902372" w:rsidP="00C25780">
      <w:pPr>
        <w:spacing w:after="220"/>
        <w:ind w:firstLine="720"/>
      </w:pPr>
      <w:r>
        <w:t xml:space="preserve">By the Chief, </w:t>
      </w:r>
      <w:r w:rsidR="00D15778">
        <w:t xml:space="preserve">Broadband Division, </w:t>
      </w:r>
      <w:r>
        <w:t>Wireless Telecommunications Bureau</w:t>
      </w:r>
      <w:r w:rsidR="00835260">
        <w:t>.</w:t>
      </w:r>
      <w:r w:rsidR="00AD7227" w:rsidRPr="00AD7227">
        <w:rPr>
          <w:sz w:val="20"/>
        </w:rPr>
        <w:t xml:space="preserve"> </w:t>
      </w:r>
    </w:p>
    <w:p w:rsidR="00835260" w:rsidRPr="00C337F9" w:rsidRDefault="00D15778" w:rsidP="00C25780">
      <w:pPr>
        <w:spacing w:after="220"/>
        <w:jc w:val="center"/>
      </w:pPr>
      <w:r w:rsidRPr="00FF4872">
        <w:rPr>
          <w:szCs w:val="22"/>
        </w:rPr>
        <w:t>-</w:t>
      </w:r>
      <w:r w:rsidR="00835260" w:rsidRPr="00C337F9">
        <w:t>FCC</w:t>
      </w:r>
      <w:r w:rsidRPr="00FF4872">
        <w:rPr>
          <w:szCs w:val="22"/>
        </w:rPr>
        <w:t>-</w:t>
      </w:r>
    </w:p>
    <w:sectPr w:rsidR="00835260" w:rsidRPr="00C337F9" w:rsidSect="00A703F2">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0D" w:rsidRDefault="00B8750D">
      <w:pPr>
        <w:spacing w:line="20" w:lineRule="exact"/>
      </w:pPr>
    </w:p>
  </w:endnote>
  <w:endnote w:type="continuationSeparator" w:id="0">
    <w:p w:rsidR="00B8750D" w:rsidRDefault="00B8750D">
      <w:r>
        <w:t xml:space="preserve"> </w:t>
      </w:r>
    </w:p>
  </w:endnote>
  <w:endnote w:type="continuationNotice" w:id="1">
    <w:p w:rsidR="00B8750D" w:rsidRDefault="00B875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9" w:rsidRDefault="00E71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587980"/>
      <w:docPartObj>
        <w:docPartGallery w:val="Page Numbers (Bottom of Page)"/>
        <w:docPartUnique/>
      </w:docPartObj>
    </w:sdtPr>
    <w:sdtEndPr>
      <w:rPr>
        <w:noProof/>
      </w:rPr>
    </w:sdtEndPr>
    <w:sdtContent>
      <w:p w:rsidR="00466A5E" w:rsidRDefault="00466A5E" w:rsidP="00FF4872">
        <w:pPr>
          <w:pStyle w:val="Footer"/>
          <w:jc w:val="center"/>
        </w:pPr>
        <w:r>
          <w:fldChar w:fldCharType="begin"/>
        </w:r>
        <w:r>
          <w:instrText xml:space="preserve"> PAGE   \* MERGEFORMAT </w:instrText>
        </w:r>
        <w:r>
          <w:fldChar w:fldCharType="separate"/>
        </w:r>
        <w:r w:rsidR="0022449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9" w:rsidRDefault="00E7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0D" w:rsidRDefault="00B8750D">
      <w:r>
        <w:separator/>
      </w:r>
    </w:p>
  </w:footnote>
  <w:footnote w:type="continuationSeparator" w:id="0">
    <w:p w:rsidR="00B8750D" w:rsidRDefault="00B8750D">
      <w:r>
        <w:continuationSeparator/>
      </w:r>
    </w:p>
  </w:footnote>
  <w:footnote w:id="1">
    <w:p w:rsidR="00682C1B" w:rsidRPr="00BD3CA2" w:rsidRDefault="00682C1B" w:rsidP="00C54122">
      <w:pPr>
        <w:pStyle w:val="FootnoteText"/>
        <w:spacing w:before="120" w:after="0"/>
        <w:rPr>
          <w:sz w:val="20"/>
        </w:rPr>
      </w:pPr>
      <w:r w:rsidRPr="00C54122">
        <w:rPr>
          <w:rStyle w:val="FootnoteReference"/>
          <w:sz w:val="20"/>
        </w:rPr>
        <w:footnoteRef/>
      </w:r>
      <w:r w:rsidRPr="00C54122">
        <w:rPr>
          <w:sz w:val="20"/>
        </w:rPr>
        <w:t xml:space="preserve"> Key Bridge Global LLC Proposal to Develop and Manage an Independent Database of Site Registrations by Licensees in the 71-76 GHz, 81-86 GHz and 92-95 GHz Bands</w:t>
      </w:r>
      <w:r w:rsidR="005B1A6B" w:rsidRPr="00C54122">
        <w:rPr>
          <w:sz w:val="20"/>
        </w:rPr>
        <w:t xml:space="preserve"> </w:t>
      </w:r>
      <w:r w:rsidRPr="00C54122">
        <w:rPr>
          <w:sz w:val="20"/>
        </w:rPr>
        <w:t>(filed May 20, 2013) (</w:t>
      </w:r>
      <w:r w:rsidRPr="00350421">
        <w:rPr>
          <w:sz w:val="20"/>
        </w:rPr>
        <w:t>Key Bridge P</w:t>
      </w:r>
      <w:r w:rsidR="000A2B80" w:rsidRPr="00350421">
        <w:rPr>
          <w:sz w:val="20"/>
        </w:rPr>
        <w:t>roposal</w:t>
      </w:r>
      <w:r w:rsidRPr="00C54122">
        <w:rPr>
          <w:sz w:val="20"/>
        </w:rPr>
        <w:t>)</w:t>
      </w:r>
      <w:r w:rsidR="005B1A6B" w:rsidRPr="00C54122">
        <w:rPr>
          <w:sz w:val="20"/>
        </w:rPr>
        <w:t>.  Although captioned under WT Docket No. 02-146</w:t>
      </w:r>
      <w:r w:rsidR="00C774F4">
        <w:rPr>
          <w:sz w:val="20"/>
        </w:rPr>
        <w:t xml:space="preserve">, </w:t>
      </w:r>
      <w:r w:rsidR="00C774F4" w:rsidRPr="00C774F4">
        <w:rPr>
          <w:i/>
          <w:sz w:val="20"/>
        </w:rPr>
        <w:t>see infra</w:t>
      </w:r>
      <w:r w:rsidR="00C774F4">
        <w:rPr>
          <w:sz w:val="20"/>
        </w:rPr>
        <w:t xml:space="preserve"> note </w:t>
      </w:r>
      <w:r w:rsidR="00C774F4">
        <w:rPr>
          <w:sz w:val="20"/>
        </w:rPr>
        <w:fldChar w:fldCharType="begin"/>
      </w:r>
      <w:r w:rsidR="00C774F4">
        <w:rPr>
          <w:sz w:val="20"/>
        </w:rPr>
        <w:instrText xml:space="preserve"> NOTEREF _Ref366662000 </w:instrText>
      </w:r>
      <w:r w:rsidR="00C774F4">
        <w:rPr>
          <w:sz w:val="20"/>
        </w:rPr>
        <w:fldChar w:fldCharType="separate"/>
      </w:r>
      <w:r w:rsidR="00C774F4">
        <w:rPr>
          <w:sz w:val="20"/>
        </w:rPr>
        <w:t>3</w:t>
      </w:r>
      <w:r w:rsidR="00C774F4">
        <w:rPr>
          <w:sz w:val="20"/>
        </w:rPr>
        <w:fldChar w:fldCharType="end"/>
      </w:r>
      <w:r w:rsidR="00C774F4">
        <w:rPr>
          <w:sz w:val="20"/>
        </w:rPr>
        <w:t xml:space="preserve">, </w:t>
      </w:r>
      <w:r w:rsidR="005B1A6B" w:rsidRPr="00BD3CA2">
        <w:rPr>
          <w:sz w:val="20"/>
        </w:rPr>
        <w:t xml:space="preserve">we are </w:t>
      </w:r>
      <w:r w:rsidR="00C337F9" w:rsidRPr="00BD3CA2">
        <w:rPr>
          <w:sz w:val="20"/>
        </w:rPr>
        <w:t>opening a new docket</w:t>
      </w:r>
      <w:r w:rsidR="00C774F4">
        <w:rPr>
          <w:sz w:val="20"/>
        </w:rPr>
        <w:t xml:space="preserve">.  </w:t>
      </w:r>
    </w:p>
  </w:footnote>
  <w:footnote w:id="2">
    <w:p w:rsidR="00497FAF" w:rsidRPr="00BD3CA2" w:rsidRDefault="00497FAF" w:rsidP="00C54122">
      <w:pPr>
        <w:pStyle w:val="FootnoteText"/>
        <w:spacing w:before="120" w:after="0"/>
        <w:rPr>
          <w:sz w:val="20"/>
        </w:rPr>
      </w:pPr>
      <w:r w:rsidRPr="00BD3CA2">
        <w:rPr>
          <w:rStyle w:val="FootnoteReference"/>
          <w:sz w:val="20"/>
        </w:rPr>
        <w:footnoteRef/>
      </w:r>
      <w:r w:rsidRPr="00BD3CA2">
        <w:rPr>
          <w:sz w:val="20"/>
        </w:rPr>
        <w:t xml:space="preserve"> </w:t>
      </w:r>
      <w:r w:rsidRPr="00C54122">
        <w:rPr>
          <w:i/>
          <w:sz w:val="20"/>
        </w:rPr>
        <w:t xml:space="preserve">See </w:t>
      </w:r>
      <w:r w:rsidRPr="00C54122">
        <w:rPr>
          <w:sz w:val="20"/>
        </w:rPr>
        <w:t>47 C.F.R. §</w:t>
      </w:r>
      <w:r w:rsidRPr="0087118C">
        <w:rPr>
          <w:sz w:val="20"/>
        </w:rPr>
        <w:t xml:space="preserve"> </w:t>
      </w:r>
      <w:r w:rsidRPr="00BD3CA2">
        <w:rPr>
          <w:sz w:val="20"/>
        </w:rPr>
        <w:t xml:space="preserve">2.106.  </w:t>
      </w:r>
    </w:p>
  </w:footnote>
  <w:footnote w:id="3">
    <w:p w:rsidR="000A2B80" w:rsidRPr="00BD3CA2" w:rsidRDefault="000A2B80" w:rsidP="00C54122">
      <w:pPr>
        <w:pStyle w:val="FootnoteText"/>
        <w:spacing w:before="120" w:after="0"/>
        <w:rPr>
          <w:sz w:val="20"/>
        </w:rPr>
      </w:pPr>
      <w:r w:rsidRPr="00C54122">
        <w:rPr>
          <w:rStyle w:val="FootnoteReference"/>
          <w:sz w:val="20"/>
        </w:rPr>
        <w:footnoteRef/>
      </w:r>
      <w:r w:rsidRPr="00C54122">
        <w:rPr>
          <w:sz w:val="20"/>
        </w:rPr>
        <w:t xml:space="preserve"> </w:t>
      </w:r>
      <w:r w:rsidRPr="00C54122">
        <w:rPr>
          <w:i/>
          <w:sz w:val="20"/>
        </w:rPr>
        <w:t>See</w:t>
      </w:r>
      <w:r w:rsidRPr="00C54122">
        <w:rPr>
          <w:sz w:val="20"/>
        </w:rPr>
        <w:t xml:space="preserve"> 47 C.F.R. §§ 101.1501-1527 (subpart Q - Service and Technical Rules for the 70/80/90 GHz Bands).  </w:t>
      </w:r>
      <w:r w:rsidRPr="0087118C">
        <w:rPr>
          <w:i/>
          <w:sz w:val="20"/>
        </w:rPr>
        <w:t xml:space="preserve">See also </w:t>
      </w:r>
      <w:r w:rsidRPr="00BD3CA2">
        <w:rPr>
          <w:sz w:val="20"/>
        </w:rPr>
        <w:t xml:space="preserve">Allocations and Service Rules for the 71-76 GHz, 81-86 GHz and 92-95 GHz Bands, WT Docket No. 02-146, </w:t>
      </w:r>
      <w:r w:rsidRPr="00BD3CA2">
        <w:rPr>
          <w:i/>
          <w:sz w:val="20"/>
        </w:rPr>
        <w:t>Report and Order</w:t>
      </w:r>
      <w:r w:rsidRPr="00BD3CA2">
        <w:rPr>
          <w:sz w:val="20"/>
        </w:rPr>
        <w:t>, 18 FCC Rcd 23318 (2003) (</w:t>
      </w:r>
      <w:r w:rsidRPr="00BD3CA2">
        <w:rPr>
          <w:i/>
          <w:sz w:val="20"/>
        </w:rPr>
        <w:t>Report and Order</w:t>
      </w:r>
      <w:r w:rsidRPr="00BD3CA2">
        <w:rPr>
          <w:sz w:val="20"/>
        </w:rPr>
        <w:t>), recon.</w:t>
      </w:r>
      <w:r w:rsidRPr="00BD3CA2">
        <w:rPr>
          <w:i/>
          <w:sz w:val="20"/>
        </w:rPr>
        <w:t xml:space="preserve"> granted in part </w:t>
      </w:r>
      <w:r w:rsidRPr="00BD3CA2">
        <w:rPr>
          <w:sz w:val="20"/>
        </w:rPr>
        <w:t>in</w:t>
      </w:r>
      <w:r w:rsidRPr="00BD3CA2">
        <w:rPr>
          <w:i/>
          <w:sz w:val="20"/>
        </w:rPr>
        <w:t xml:space="preserve"> </w:t>
      </w:r>
      <w:r w:rsidRPr="00BD3CA2">
        <w:rPr>
          <w:i/>
          <w:color w:val="000000"/>
          <w:sz w:val="20"/>
          <w:shd w:val="clear" w:color="auto" w:fill="FFFFFF"/>
        </w:rPr>
        <w:t>Memorandum Opinion and Order</w:t>
      </w:r>
      <w:r w:rsidRPr="00BD3CA2">
        <w:rPr>
          <w:color w:val="000000"/>
          <w:sz w:val="20"/>
          <w:shd w:val="clear" w:color="auto" w:fill="FFFFFF"/>
        </w:rPr>
        <w:t>, 20 FCC Rcd 4889 (2005) (</w:t>
      </w:r>
      <w:r w:rsidRPr="00BD3CA2">
        <w:rPr>
          <w:i/>
          <w:color w:val="000000"/>
          <w:sz w:val="20"/>
          <w:shd w:val="clear" w:color="auto" w:fill="FFFFFF"/>
        </w:rPr>
        <w:t>MO&amp;O</w:t>
      </w:r>
      <w:r w:rsidRPr="00BD3CA2">
        <w:rPr>
          <w:color w:val="000000"/>
          <w:sz w:val="20"/>
          <w:shd w:val="clear" w:color="auto" w:fill="FFFFFF"/>
        </w:rPr>
        <w:t xml:space="preserve">).  </w:t>
      </w:r>
      <w:r w:rsidR="002D373A" w:rsidRPr="00BD3CA2">
        <w:rPr>
          <w:color w:val="000000"/>
          <w:sz w:val="20"/>
          <w:shd w:val="clear" w:color="auto" w:fill="FFFFFF"/>
        </w:rPr>
        <w:t xml:space="preserve">In the </w:t>
      </w:r>
      <w:r w:rsidR="002D373A" w:rsidRPr="00BD3CA2">
        <w:rPr>
          <w:i/>
          <w:color w:val="000000"/>
          <w:sz w:val="20"/>
          <w:shd w:val="clear" w:color="auto" w:fill="FFFFFF"/>
        </w:rPr>
        <w:t>Report and Order</w:t>
      </w:r>
      <w:r w:rsidR="002D373A" w:rsidRPr="00BD3CA2">
        <w:rPr>
          <w:color w:val="000000"/>
          <w:sz w:val="20"/>
          <w:shd w:val="clear" w:color="auto" w:fill="FFFFFF"/>
        </w:rPr>
        <w:t xml:space="preserve">, the Commission adopted rules for both unlicensed (Part 15) and licensed (Part 101) use of portions of these bands; this public notice concerns licensed use of the bands, which involves all of the bands except for 100 megahertz of spectrum at 94.0-94.1 GHz.  For convenience only, we refer to the licensed spectrum herein as “the bands” or “the 71-95 GHz bands”; such references do not include 94.0-94.1 GHz.  </w:t>
      </w:r>
    </w:p>
  </w:footnote>
  <w:footnote w:id="4">
    <w:p w:rsidR="00E6089C" w:rsidRPr="00BD3CA2" w:rsidRDefault="00E6089C" w:rsidP="0087118C">
      <w:pPr>
        <w:suppressAutoHyphens/>
        <w:spacing w:before="120"/>
        <w:rPr>
          <w:sz w:val="20"/>
        </w:rPr>
      </w:pPr>
      <w:r w:rsidRPr="00C54122">
        <w:rPr>
          <w:rStyle w:val="FootnoteReference"/>
          <w:sz w:val="20"/>
        </w:rPr>
        <w:footnoteRef/>
      </w:r>
      <w:r w:rsidRPr="00C54122">
        <w:rPr>
          <w:sz w:val="20"/>
        </w:rPr>
        <w:t xml:space="preserve"> </w:t>
      </w:r>
      <w:r w:rsidR="00D264C0" w:rsidRPr="00C54122">
        <w:rPr>
          <w:sz w:val="20"/>
        </w:rPr>
        <w:t>47 C.F.R. § 101.</w:t>
      </w:r>
      <w:r w:rsidR="00E426D0" w:rsidRPr="00C54122">
        <w:rPr>
          <w:sz w:val="20"/>
        </w:rPr>
        <w:t xml:space="preserve">1523(b)(1).  </w:t>
      </w:r>
      <w:r w:rsidR="002D373A" w:rsidRPr="00C54122">
        <w:rPr>
          <w:sz w:val="20"/>
        </w:rPr>
        <w:t>NTIA developed an automated coordination mechanism that allow</w:t>
      </w:r>
      <w:r w:rsidR="002D373A" w:rsidRPr="0087118C">
        <w:rPr>
          <w:sz w:val="20"/>
        </w:rPr>
        <w:t xml:space="preserve">s non-Federal users and </w:t>
      </w:r>
      <w:r w:rsidR="002D373A" w:rsidRPr="00BD3CA2">
        <w:rPr>
          <w:sz w:val="20"/>
        </w:rPr>
        <w:t xml:space="preserve">DMs to use an Internet site to determine whether a given non-Federal link has any potential conflict with Federal Government users.  </w:t>
      </w:r>
      <w:r w:rsidR="002D373A" w:rsidRPr="00BD3CA2">
        <w:rPr>
          <w:i/>
          <w:sz w:val="20"/>
        </w:rPr>
        <w:t xml:space="preserve">See </w:t>
      </w:r>
      <w:r w:rsidR="00BC74A2">
        <w:rPr>
          <w:i/>
          <w:sz w:val="20"/>
        </w:rPr>
        <w:t>generally Report and Order</w:t>
      </w:r>
      <w:r w:rsidR="00BC74A2" w:rsidRPr="00C942CC">
        <w:rPr>
          <w:sz w:val="20"/>
        </w:rPr>
        <w:t xml:space="preserve">, 18 FCC Rcd </w:t>
      </w:r>
      <w:r w:rsidR="00C942CC" w:rsidRPr="00C942CC">
        <w:rPr>
          <w:sz w:val="20"/>
        </w:rPr>
        <w:t xml:space="preserve">23342-43 ¶ 57-60.  </w:t>
      </w:r>
    </w:p>
  </w:footnote>
  <w:footnote w:id="5">
    <w:p w:rsidR="00F32C7D" w:rsidRPr="00BD3CA2" w:rsidRDefault="00F32C7D" w:rsidP="00BD3CA2">
      <w:pPr>
        <w:pStyle w:val="FootnoteText"/>
        <w:spacing w:before="120" w:after="0"/>
        <w:rPr>
          <w:sz w:val="20"/>
        </w:rPr>
      </w:pPr>
      <w:r w:rsidRPr="00C54122">
        <w:rPr>
          <w:rStyle w:val="FootnoteReference"/>
          <w:sz w:val="20"/>
        </w:rPr>
        <w:footnoteRef/>
      </w:r>
      <w:r w:rsidRPr="00C54122">
        <w:rPr>
          <w:sz w:val="20"/>
        </w:rPr>
        <w:t xml:space="preserve"> As part of registering a link, licensees must provide an electronic copy of an interference analysis to the database manager</w:t>
      </w:r>
      <w:r w:rsidRPr="00BD3CA2">
        <w:rPr>
          <w:sz w:val="20"/>
        </w:rPr>
        <w:t xml:space="preserve">.  </w:t>
      </w:r>
      <w:r w:rsidRPr="00BD3CA2">
        <w:rPr>
          <w:i/>
          <w:sz w:val="20"/>
        </w:rPr>
        <w:t>See</w:t>
      </w:r>
      <w:r w:rsidRPr="00BD3CA2">
        <w:rPr>
          <w:sz w:val="20"/>
        </w:rPr>
        <w:t xml:space="preserve"> 47 C.F.R. § 101.1523</w:t>
      </w:r>
      <w:r w:rsidR="00B62E4B" w:rsidRPr="00BD3CA2">
        <w:rPr>
          <w:sz w:val="20"/>
        </w:rPr>
        <w:t>(b)</w:t>
      </w:r>
      <w:r w:rsidRPr="00BD3CA2">
        <w:rPr>
          <w:sz w:val="20"/>
        </w:rPr>
        <w:t xml:space="preserve">(2).  </w:t>
      </w:r>
    </w:p>
  </w:footnote>
  <w:footnote w:id="6">
    <w:p w:rsidR="00193850" w:rsidRDefault="00193850" w:rsidP="00193850">
      <w:pPr>
        <w:pStyle w:val="FootnoteText"/>
        <w:spacing w:before="120" w:after="0"/>
      </w:pPr>
      <w:r>
        <w:rPr>
          <w:rStyle w:val="FootnoteReference"/>
        </w:rPr>
        <w:footnoteRef/>
      </w:r>
      <w:r>
        <w:t xml:space="preserve"> </w:t>
      </w:r>
      <w:r w:rsidRPr="00C54122">
        <w:rPr>
          <w:i/>
          <w:sz w:val="20"/>
        </w:rPr>
        <w:t>Report and Order</w:t>
      </w:r>
      <w:r w:rsidRPr="005B4F1C">
        <w:rPr>
          <w:sz w:val="20"/>
        </w:rPr>
        <w:t>, 18 FCC Rcd at 233</w:t>
      </w:r>
      <w:r>
        <w:rPr>
          <w:sz w:val="20"/>
        </w:rPr>
        <w:t xml:space="preserve">39-40 </w:t>
      </w:r>
      <w:r w:rsidRPr="005B4F1C">
        <w:rPr>
          <w:sz w:val="20"/>
        </w:rPr>
        <w:t xml:space="preserve">¶ </w:t>
      </w:r>
      <w:r>
        <w:rPr>
          <w:sz w:val="20"/>
        </w:rPr>
        <w:t xml:space="preserve">49.  </w:t>
      </w:r>
      <w:r w:rsidRPr="00BD3CA2">
        <w:rPr>
          <w:sz w:val="20"/>
        </w:rPr>
        <w:t>As to whether to designate more than one DM, the Commission expected WTB, under delegated authority, to consider the benefits of competition during the selection process</w:t>
      </w:r>
      <w:r>
        <w:rPr>
          <w:sz w:val="20"/>
        </w:rPr>
        <w:t xml:space="preserve">, </w:t>
      </w:r>
      <w:r>
        <w:rPr>
          <w:i/>
          <w:sz w:val="20"/>
        </w:rPr>
        <w:t>id.</w:t>
      </w:r>
      <w:r w:rsidRPr="006C6FFF">
        <w:rPr>
          <w:sz w:val="20"/>
        </w:rPr>
        <w:t xml:space="preserve"> at 23340</w:t>
      </w:r>
      <w:r>
        <w:rPr>
          <w:sz w:val="20"/>
        </w:rPr>
        <w:t>-41</w:t>
      </w:r>
      <w:r w:rsidRPr="006C6FFF">
        <w:rPr>
          <w:sz w:val="20"/>
        </w:rPr>
        <w:t xml:space="preserve"> ¶ 51</w:t>
      </w:r>
      <w:r>
        <w:rPr>
          <w:sz w:val="20"/>
        </w:rPr>
        <w:t xml:space="preserve">, and to </w:t>
      </w:r>
      <w:r w:rsidRPr="00BD3CA2">
        <w:rPr>
          <w:sz w:val="20"/>
        </w:rPr>
        <w:t>issue public notices implementing the details of licensing and registration</w:t>
      </w:r>
      <w:r>
        <w:rPr>
          <w:sz w:val="20"/>
        </w:rPr>
        <w:t xml:space="preserve">, </w:t>
      </w:r>
      <w:r>
        <w:rPr>
          <w:i/>
          <w:sz w:val="20"/>
        </w:rPr>
        <w:t>i</w:t>
      </w:r>
      <w:r w:rsidRPr="00BD3CA2">
        <w:rPr>
          <w:i/>
          <w:sz w:val="20"/>
        </w:rPr>
        <w:t>d</w:t>
      </w:r>
      <w:r>
        <w:rPr>
          <w:sz w:val="20"/>
        </w:rPr>
        <w:t xml:space="preserve">. at </w:t>
      </w:r>
      <w:r w:rsidR="00BC74A2">
        <w:rPr>
          <w:sz w:val="20"/>
        </w:rPr>
        <w:t xml:space="preserve">23340-41, </w:t>
      </w:r>
      <w:r w:rsidRPr="00C54122">
        <w:rPr>
          <w:sz w:val="20"/>
        </w:rPr>
        <w:t>23343 ¶</w:t>
      </w:r>
      <w:r w:rsidR="00BC74A2">
        <w:rPr>
          <w:sz w:val="20"/>
        </w:rPr>
        <w:t>¶ 51,</w:t>
      </w:r>
      <w:r w:rsidRPr="00C54122">
        <w:rPr>
          <w:sz w:val="20"/>
        </w:rPr>
        <w:t xml:space="preserve"> 59; </w:t>
      </w:r>
      <w:r w:rsidRPr="00C54122">
        <w:rPr>
          <w:i/>
          <w:sz w:val="20"/>
        </w:rPr>
        <w:t>s</w:t>
      </w:r>
      <w:r w:rsidRPr="0087118C">
        <w:rPr>
          <w:i/>
          <w:sz w:val="20"/>
        </w:rPr>
        <w:t>ee also</w:t>
      </w:r>
      <w:r w:rsidRPr="0087118C">
        <w:rPr>
          <w:sz w:val="20"/>
        </w:rPr>
        <w:t xml:space="preserve"> 47 C.F.R. § 101.1523(b).</w:t>
      </w:r>
      <w:r w:rsidR="00BC74A2">
        <w:rPr>
          <w:sz w:val="20"/>
        </w:rPr>
        <w:t xml:space="preserve">  </w:t>
      </w:r>
    </w:p>
  </w:footnote>
  <w:footnote w:id="7">
    <w:p w:rsidR="00B21170" w:rsidRPr="00BD3CA2" w:rsidRDefault="00B21170" w:rsidP="00BD3CA2">
      <w:pPr>
        <w:pStyle w:val="FootnoteText"/>
        <w:spacing w:before="120" w:after="0"/>
        <w:rPr>
          <w:sz w:val="20"/>
        </w:rPr>
      </w:pPr>
      <w:r w:rsidRPr="00C54122">
        <w:rPr>
          <w:rStyle w:val="FootnoteReference"/>
          <w:sz w:val="20"/>
        </w:rPr>
        <w:footnoteRef/>
      </w:r>
      <w:r w:rsidRPr="00C54122">
        <w:rPr>
          <w:sz w:val="20"/>
        </w:rPr>
        <w:t xml:space="preserve"> </w:t>
      </w:r>
      <w:r w:rsidR="00C54122">
        <w:rPr>
          <w:i/>
          <w:sz w:val="20"/>
        </w:rPr>
        <w:t xml:space="preserve">See </w:t>
      </w:r>
      <w:r w:rsidR="00141239" w:rsidRPr="001858F6">
        <w:rPr>
          <w:sz w:val="20"/>
        </w:rPr>
        <w:t xml:space="preserve">Allocations and Service Rules for the 71-76 GHz, 81-86 GHz and 92-95 GHz Bands, WT Docket No. 02-146, </w:t>
      </w:r>
      <w:r w:rsidRPr="00C54122">
        <w:rPr>
          <w:sz w:val="20"/>
        </w:rPr>
        <w:t xml:space="preserve">Wireless Telecommunications Bureau Opens Filing Window for Proposals to Develop and Manage Independent Database of Site Registrations by Licensees in the 71-76 GHz, 81-86 GHz and 92-95 GHz Bands, </w:t>
      </w:r>
      <w:r w:rsidRPr="0087118C">
        <w:rPr>
          <w:i/>
          <w:sz w:val="20"/>
        </w:rPr>
        <w:t>Public Notice</w:t>
      </w:r>
      <w:r w:rsidR="00C942CC">
        <w:rPr>
          <w:sz w:val="20"/>
        </w:rPr>
        <w:t>, 19 </w:t>
      </w:r>
      <w:r w:rsidRPr="0087118C">
        <w:rPr>
          <w:sz w:val="20"/>
        </w:rPr>
        <w:t>FCC Rcd</w:t>
      </w:r>
      <w:r w:rsidRPr="00BD3CA2">
        <w:rPr>
          <w:sz w:val="20"/>
        </w:rPr>
        <w:t xml:space="preserve"> 4597, 4598 (</w:t>
      </w:r>
      <w:r w:rsidR="00C942CC">
        <w:rPr>
          <w:sz w:val="20"/>
        </w:rPr>
        <w:t>WTB</w:t>
      </w:r>
      <w:r w:rsidR="00141239">
        <w:rPr>
          <w:sz w:val="20"/>
        </w:rPr>
        <w:t xml:space="preserve"> BD </w:t>
      </w:r>
      <w:r w:rsidRPr="0087118C">
        <w:rPr>
          <w:sz w:val="20"/>
        </w:rPr>
        <w:t>2004) (</w:t>
      </w:r>
      <w:r w:rsidRPr="0087118C">
        <w:rPr>
          <w:i/>
          <w:sz w:val="20"/>
        </w:rPr>
        <w:t>2004</w:t>
      </w:r>
      <w:r w:rsidRPr="00BD3CA2">
        <w:rPr>
          <w:sz w:val="20"/>
        </w:rPr>
        <w:t xml:space="preserve"> </w:t>
      </w:r>
      <w:r w:rsidR="004A7A0E" w:rsidRPr="00BD3CA2">
        <w:rPr>
          <w:i/>
          <w:sz w:val="20"/>
        </w:rPr>
        <w:t>Public Notice</w:t>
      </w:r>
      <w:r w:rsidRPr="00BD3CA2">
        <w:rPr>
          <w:sz w:val="20"/>
        </w:rPr>
        <w:t xml:space="preserve">).  </w:t>
      </w:r>
    </w:p>
  </w:footnote>
  <w:footnote w:id="8">
    <w:p w:rsidR="00EE331A" w:rsidRPr="0087118C" w:rsidRDefault="00EE331A" w:rsidP="00BD3CA2">
      <w:pPr>
        <w:pStyle w:val="FootnoteText"/>
        <w:spacing w:before="120" w:after="0"/>
        <w:rPr>
          <w:sz w:val="20"/>
        </w:rPr>
      </w:pPr>
      <w:r w:rsidRPr="00C54122">
        <w:rPr>
          <w:rStyle w:val="FootnoteReference"/>
          <w:sz w:val="20"/>
        </w:rPr>
        <w:footnoteRef/>
      </w:r>
      <w:r w:rsidRPr="00C54122">
        <w:rPr>
          <w:sz w:val="20"/>
        </w:rPr>
        <w:t xml:space="preserve"> </w:t>
      </w:r>
      <w:r w:rsidR="00C54122">
        <w:rPr>
          <w:i/>
          <w:sz w:val="20"/>
        </w:rPr>
        <w:t xml:space="preserve">See </w:t>
      </w:r>
      <w:r w:rsidR="00141239" w:rsidRPr="001858F6">
        <w:rPr>
          <w:sz w:val="20"/>
        </w:rPr>
        <w:t xml:space="preserve">Allocations and Service Rules for the 71-76 GHz, 81-86 GHz and 92-95 GHz Bands, WT Docket No. 02-146, </w:t>
      </w:r>
      <w:r w:rsidR="00C54122" w:rsidRPr="00C54122">
        <w:rPr>
          <w:i/>
          <w:sz w:val="20"/>
        </w:rPr>
        <w:t>Order</w:t>
      </w:r>
      <w:r w:rsidR="00C54122" w:rsidRPr="00C54122">
        <w:rPr>
          <w:sz w:val="20"/>
        </w:rPr>
        <w:t>, 19 FCC Rcd 20524</w:t>
      </w:r>
      <w:r w:rsidR="00C942CC">
        <w:rPr>
          <w:sz w:val="20"/>
        </w:rPr>
        <w:t xml:space="preserve"> (WTB</w:t>
      </w:r>
      <w:r w:rsidR="00C54122" w:rsidRPr="00C54122">
        <w:rPr>
          <w:sz w:val="20"/>
        </w:rPr>
        <w:t xml:space="preserve"> BD 2004) (</w:t>
      </w:r>
      <w:r w:rsidR="00C54122" w:rsidRPr="00C54122">
        <w:rPr>
          <w:i/>
          <w:sz w:val="20"/>
        </w:rPr>
        <w:t>2004 Order</w:t>
      </w:r>
      <w:r w:rsidR="00C54122" w:rsidRPr="00C54122">
        <w:rPr>
          <w:sz w:val="20"/>
        </w:rPr>
        <w:t xml:space="preserve">).  </w:t>
      </w:r>
      <w:r w:rsidRPr="0087118C">
        <w:rPr>
          <w:sz w:val="20"/>
        </w:rPr>
        <w:t xml:space="preserve">The Commission </w:t>
      </w:r>
      <w:r w:rsidRPr="00BD3CA2">
        <w:rPr>
          <w:sz w:val="20"/>
        </w:rPr>
        <w:t xml:space="preserve">had envisioned a “single, shared database” if more than one database manager is selected but the three entities </w:t>
      </w:r>
      <w:r w:rsidR="00007851">
        <w:rPr>
          <w:sz w:val="20"/>
        </w:rPr>
        <w:t xml:space="preserve">that submitted proposals </w:t>
      </w:r>
      <w:r w:rsidRPr="00BD3CA2">
        <w:rPr>
          <w:sz w:val="20"/>
        </w:rPr>
        <w:t xml:space="preserve">jointly indicated that their separate databases would be linked through coordinated communications to form a unified link registration system.  After setting certain requirements, WTB concluded that a unified link registration system serves the same purpose as a single, shared database.  </w:t>
      </w:r>
      <w:r w:rsidRPr="00BD3CA2">
        <w:rPr>
          <w:i/>
          <w:sz w:val="20"/>
        </w:rPr>
        <w:t>See id</w:t>
      </w:r>
      <w:r w:rsidRPr="00BD3CA2">
        <w:rPr>
          <w:sz w:val="20"/>
        </w:rPr>
        <w:t xml:space="preserve">. at </w:t>
      </w:r>
      <w:r w:rsidR="009D292C">
        <w:rPr>
          <w:sz w:val="20"/>
        </w:rPr>
        <w:t xml:space="preserve">20526-27 ¶¶ 7-9.  </w:t>
      </w:r>
    </w:p>
  </w:footnote>
  <w:footnote w:id="9">
    <w:p w:rsidR="00EE331A" w:rsidRPr="0087118C" w:rsidRDefault="00EE331A" w:rsidP="00BD3CA2">
      <w:pPr>
        <w:pStyle w:val="FootnoteText"/>
        <w:spacing w:before="120" w:after="0"/>
        <w:rPr>
          <w:sz w:val="20"/>
        </w:rPr>
      </w:pPr>
      <w:r w:rsidRPr="00C54122">
        <w:rPr>
          <w:rStyle w:val="FootnoteReference"/>
          <w:sz w:val="20"/>
        </w:rPr>
        <w:footnoteRef/>
      </w:r>
      <w:r w:rsidRPr="00C54122">
        <w:rPr>
          <w:sz w:val="20"/>
        </w:rPr>
        <w:t xml:space="preserve"> </w:t>
      </w:r>
      <w:r w:rsidRPr="00C54122">
        <w:rPr>
          <w:i/>
          <w:sz w:val="20"/>
        </w:rPr>
        <w:t>See 2004 Order</w:t>
      </w:r>
      <w:r w:rsidRPr="00C54122">
        <w:rPr>
          <w:sz w:val="20"/>
        </w:rPr>
        <w:t xml:space="preserve">, 19 FCC Rcd at </w:t>
      </w:r>
      <w:r w:rsidR="009D292C">
        <w:rPr>
          <w:sz w:val="20"/>
        </w:rPr>
        <w:t>20524 ¶ 1 (“[a]</w:t>
      </w:r>
      <w:r w:rsidR="009D292C" w:rsidRPr="009D292C">
        <w:rPr>
          <w:sz w:val="20"/>
        </w:rPr>
        <w:t>lthough we are designating three database managers at this time, we reserve the discretion to designate additional managers or change the current designations at a later date if circumstances indicate that such action is warranted.</w:t>
      </w:r>
      <w:r w:rsidR="009D292C">
        <w:rPr>
          <w:sz w:val="20"/>
        </w:rPr>
        <w:t xml:space="preserve">”), </w:t>
      </w:r>
      <w:r w:rsidRPr="00C54122">
        <w:rPr>
          <w:sz w:val="20"/>
        </w:rPr>
        <w:t>2052</w:t>
      </w:r>
      <w:r w:rsidR="009D292C">
        <w:rPr>
          <w:sz w:val="20"/>
        </w:rPr>
        <w:t xml:space="preserve">6-27 </w:t>
      </w:r>
      <w:r w:rsidRPr="0087118C">
        <w:rPr>
          <w:sz w:val="20"/>
        </w:rPr>
        <w:t xml:space="preserve">¶ </w:t>
      </w:r>
      <w:r w:rsidR="009D292C">
        <w:rPr>
          <w:sz w:val="20"/>
        </w:rPr>
        <w:t>7 (“w</w:t>
      </w:r>
      <w:r w:rsidR="009D292C" w:rsidRPr="009D292C">
        <w:rPr>
          <w:sz w:val="20"/>
        </w:rPr>
        <w:t xml:space="preserve">e conclude that it is appropriate to designate more than one database manager, at least initially. </w:t>
      </w:r>
      <w:r w:rsidR="009D292C">
        <w:rPr>
          <w:sz w:val="20"/>
        </w:rPr>
        <w:t xml:space="preserve"> </w:t>
      </w:r>
      <w:r w:rsidR="009D292C" w:rsidRPr="009D292C">
        <w:rPr>
          <w:sz w:val="20"/>
        </w:rPr>
        <w:t>We will continue to have the discretion to revisit this issue in the future if experience suggests such a course is prudent.</w:t>
      </w:r>
      <w:r w:rsidR="009D292C">
        <w:rPr>
          <w:sz w:val="20"/>
        </w:rPr>
        <w:t xml:space="preserve">”).  </w:t>
      </w:r>
    </w:p>
  </w:footnote>
  <w:footnote w:id="10">
    <w:p w:rsidR="00EE331A" w:rsidRPr="00C942CC" w:rsidRDefault="00EE331A" w:rsidP="00845B33">
      <w:pPr>
        <w:spacing w:before="120"/>
        <w:rPr>
          <w:sz w:val="20"/>
        </w:rPr>
      </w:pPr>
      <w:r w:rsidRPr="00C54122">
        <w:rPr>
          <w:rStyle w:val="FootnoteReference"/>
          <w:sz w:val="20"/>
        </w:rPr>
        <w:footnoteRef/>
      </w:r>
      <w:r w:rsidR="00460671">
        <w:rPr>
          <w:sz w:val="20"/>
        </w:rPr>
        <w:t xml:space="preserve"> </w:t>
      </w:r>
      <w:r w:rsidR="00BC74A2">
        <w:rPr>
          <w:sz w:val="20"/>
        </w:rPr>
        <w:t xml:space="preserve">The Commission </w:t>
      </w:r>
      <w:r w:rsidR="00BC74A2" w:rsidRPr="00BC74A2">
        <w:rPr>
          <w:sz w:val="20"/>
        </w:rPr>
        <w:t>anticipate</w:t>
      </w:r>
      <w:r w:rsidR="00BC74A2">
        <w:rPr>
          <w:sz w:val="20"/>
        </w:rPr>
        <w:t>d</w:t>
      </w:r>
      <w:r w:rsidR="00BC74A2" w:rsidRPr="00BC74A2">
        <w:rPr>
          <w:sz w:val="20"/>
        </w:rPr>
        <w:t xml:space="preserve"> written agreements between the Commission and database managers</w:t>
      </w:r>
      <w:r w:rsidR="00BC74A2">
        <w:rPr>
          <w:sz w:val="20"/>
        </w:rPr>
        <w:t xml:space="preserve">.  </w:t>
      </w:r>
      <w:r w:rsidR="00BC74A2">
        <w:rPr>
          <w:i/>
          <w:sz w:val="20"/>
        </w:rPr>
        <w:t>See Report and Order</w:t>
      </w:r>
      <w:r w:rsidR="00BC74A2">
        <w:rPr>
          <w:sz w:val="20"/>
        </w:rPr>
        <w:t xml:space="preserve">, 18 FCC Rcd 23340-41 ¶ 51.  </w:t>
      </w:r>
      <w:r w:rsidR="00C942CC">
        <w:rPr>
          <w:i/>
          <w:sz w:val="20"/>
        </w:rPr>
        <w:t xml:space="preserve">See also </w:t>
      </w:r>
      <w:r w:rsidR="00C942CC" w:rsidRPr="00C942CC">
        <w:rPr>
          <w:sz w:val="20"/>
        </w:rPr>
        <w:t xml:space="preserve">Wireless </w:t>
      </w:r>
      <w:r w:rsidR="00C942CC">
        <w:rPr>
          <w:sz w:val="20"/>
        </w:rPr>
        <w:t>T</w:t>
      </w:r>
      <w:r w:rsidR="00C942CC" w:rsidRPr="00C942CC">
        <w:rPr>
          <w:sz w:val="20"/>
        </w:rPr>
        <w:t xml:space="preserve">elecommunications </w:t>
      </w:r>
      <w:r w:rsidR="00C942CC">
        <w:rPr>
          <w:sz w:val="20"/>
        </w:rPr>
        <w:t>B</w:t>
      </w:r>
      <w:r w:rsidR="00C942CC" w:rsidRPr="00C942CC">
        <w:rPr>
          <w:sz w:val="20"/>
        </w:rPr>
        <w:t xml:space="preserve">ureau's </w:t>
      </w:r>
      <w:r w:rsidR="00C942CC">
        <w:rPr>
          <w:sz w:val="20"/>
        </w:rPr>
        <w:t>B</w:t>
      </w:r>
      <w:r w:rsidR="00C942CC" w:rsidRPr="00C942CC">
        <w:rPr>
          <w:sz w:val="20"/>
        </w:rPr>
        <w:t xml:space="preserve">roadband </w:t>
      </w:r>
      <w:r w:rsidR="00C942CC">
        <w:rPr>
          <w:sz w:val="20"/>
        </w:rPr>
        <w:t>D</w:t>
      </w:r>
      <w:r w:rsidR="00C942CC" w:rsidRPr="00C942CC">
        <w:rPr>
          <w:sz w:val="20"/>
        </w:rPr>
        <w:t xml:space="preserve">ivision </w:t>
      </w:r>
      <w:r w:rsidR="00C942CC">
        <w:rPr>
          <w:sz w:val="20"/>
        </w:rPr>
        <w:t>A</w:t>
      </w:r>
      <w:r w:rsidR="00C942CC" w:rsidRPr="00C942CC">
        <w:rPr>
          <w:sz w:val="20"/>
        </w:rPr>
        <w:t xml:space="preserve">nnounces </w:t>
      </w:r>
      <w:r w:rsidR="00C942CC">
        <w:rPr>
          <w:sz w:val="20"/>
        </w:rPr>
        <w:t>R</w:t>
      </w:r>
      <w:r w:rsidR="00C942CC" w:rsidRPr="00C942CC">
        <w:rPr>
          <w:sz w:val="20"/>
        </w:rPr>
        <w:t xml:space="preserve">enewal of </w:t>
      </w:r>
      <w:r w:rsidR="00C942CC">
        <w:rPr>
          <w:sz w:val="20"/>
        </w:rPr>
        <w:t>D</w:t>
      </w:r>
      <w:r w:rsidR="00C942CC" w:rsidRPr="00C942CC">
        <w:rPr>
          <w:sz w:val="20"/>
        </w:rPr>
        <w:t xml:space="preserve">atabase </w:t>
      </w:r>
      <w:r w:rsidR="00C942CC">
        <w:rPr>
          <w:sz w:val="20"/>
        </w:rPr>
        <w:t>M</w:t>
      </w:r>
      <w:r w:rsidR="00C942CC" w:rsidRPr="00C942CC">
        <w:rPr>
          <w:sz w:val="20"/>
        </w:rPr>
        <w:t xml:space="preserve">anagers for </w:t>
      </w:r>
      <w:r w:rsidR="00C942CC">
        <w:rPr>
          <w:sz w:val="20"/>
        </w:rPr>
        <w:t>M</w:t>
      </w:r>
      <w:r w:rsidR="00C942CC" w:rsidRPr="00C942CC">
        <w:rPr>
          <w:sz w:val="20"/>
        </w:rPr>
        <w:t xml:space="preserve">anagement of the 71-76 </w:t>
      </w:r>
      <w:r w:rsidR="00C942CC">
        <w:rPr>
          <w:sz w:val="20"/>
        </w:rPr>
        <w:t>GH</w:t>
      </w:r>
      <w:r w:rsidR="00C942CC" w:rsidRPr="00C942CC">
        <w:rPr>
          <w:sz w:val="20"/>
        </w:rPr>
        <w:t xml:space="preserve">z, 81-86 </w:t>
      </w:r>
      <w:r w:rsidR="00C942CC">
        <w:rPr>
          <w:sz w:val="20"/>
        </w:rPr>
        <w:t>GH</w:t>
      </w:r>
      <w:r w:rsidR="00C942CC" w:rsidRPr="00C942CC">
        <w:rPr>
          <w:sz w:val="20"/>
        </w:rPr>
        <w:t xml:space="preserve">z and 92-95 </w:t>
      </w:r>
      <w:r w:rsidR="00C942CC">
        <w:rPr>
          <w:sz w:val="20"/>
        </w:rPr>
        <w:t>GH</w:t>
      </w:r>
      <w:r w:rsidR="00C942CC" w:rsidRPr="00C942CC">
        <w:rPr>
          <w:sz w:val="20"/>
        </w:rPr>
        <w:t xml:space="preserve">z </w:t>
      </w:r>
      <w:r w:rsidR="00C942CC">
        <w:rPr>
          <w:sz w:val="20"/>
        </w:rPr>
        <w:t>B</w:t>
      </w:r>
      <w:r w:rsidR="00C942CC" w:rsidRPr="00C942CC">
        <w:rPr>
          <w:sz w:val="20"/>
        </w:rPr>
        <w:t>ands</w:t>
      </w:r>
      <w:r w:rsidR="00C942CC">
        <w:rPr>
          <w:sz w:val="20"/>
        </w:rPr>
        <w:t xml:space="preserve">, </w:t>
      </w:r>
      <w:r w:rsidR="00C942CC" w:rsidRPr="00845B33">
        <w:rPr>
          <w:i/>
          <w:sz w:val="20"/>
        </w:rPr>
        <w:t>Public Notice</w:t>
      </w:r>
      <w:r w:rsidR="00C942CC">
        <w:rPr>
          <w:sz w:val="20"/>
        </w:rPr>
        <w:t xml:space="preserve">, 24 FCC Rcd 14433 (WTB BD 2009).  </w:t>
      </w:r>
    </w:p>
  </w:footnote>
  <w:footnote w:id="11">
    <w:p w:rsidR="00174758" w:rsidRPr="00C54122" w:rsidRDefault="00174758" w:rsidP="00BD3CA2">
      <w:pPr>
        <w:pStyle w:val="FootnoteText"/>
        <w:spacing w:before="120" w:after="0"/>
        <w:rPr>
          <w:sz w:val="20"/>
        </w:rPr>
      </w:pPr>
      <w:r w:rsidRPr="00C54122">
        <w:rPr>
          <w:rStyle w:val="FootnoteReference"/>
          <w:sz w:val="20"/>
        </w:rPr>
        <w:footnoteRef/>
      </w:r>
      <w:r w:rsidRPr="00C54122">
        <w:rPr>
          <w:sz w:val="20"/>
        </w:rPr>
        <w:t xml:space="preserve"> </w:t>
      </w:r>
      <w:r w:rsidR="0041656F">
        <w:rPr>
          <w:i/>
          <w:sz w:val="20"/>
        </w:rPr>
        <w:t xml:space="preserve">See, e.g., </w:t>
      </w:r>
      <w:r w:rsidRPr="00350421">
        <w:rPr>
          <w:sz w:val="20"/>
        </w:rPr>
        <w:t>Key Bridge P</w:t>
      </w:r>
      <w:r w:rsidR="00C54122" w:rsidRPr="00350421">
        <w:rPr>
          <w:sz w:val="20"/>
        </w:rPr>
        <w:t>roposal</w:t>
      </w:r>
      <w:r w:rsidRPr="00C54122">
        <w:rPr>
          <w:i/>
          <w:sz w:val="20"/>
        </w:rPr>
        <w:t xml:space="preserve"> </w:t>
      </w:r>
      <w:r w:rsidRPr="00C54122">
        <w:rPr>
          <w:sz w:val="20"/>
        </w:rPr>
        <w:t>at 1, 18-19.</w:t>
      </w:r>
    </w:p>
  </w:footnote>
  <w:footnote w:id="12">
    <w:p w:rsidR="00C271E3" w:rsidRPr="00BD3CA2" w:rsidRDefault="00C271E3" w:rsidP="00BD3CA2">
      <w:pPr>
        <w:pStyle w:val="FootnoteText"/>
        <w:spacing w:before="120" w:after="0"/>
        <w:rPr>
          <w:sz w:val="20"/>
        </w:rPr>
      </w:pPr>
      <w:r w:rsidRPr="00C54122">
        <w:rPr>
          <w:rStyle w:val="FootnoteReference"/>
          <w:sz w:val="20"/>
        </w:rPr>
        <w:footnoteRef/>
      </w:r>
      <w:r w:rsidRPr="00C54122">
        <w:rPr>
          <w:sz w:val="20"/>
        </w:rPr>
        <w:t xml:space="preserve"> </w:t>
      </w:r>
      <w:r w:rsidRPr="00350421">
        <w:rPr>
          <w:sz w:val="20"/>
        </w:rPr>
        <w:t>Key Bridge P</w:t>
      </w:r>
      <w:r w:rsidR="00C54122" w:rsidRPr="00350421">
        <w:rPr>
          <w:sz w:val="20"/>
        </w:rPr>
        <w:t>roposal</w:t>
      </w:r>
      <w:r w:rsidR="00C54122" w:rsidRPr="00C54122">
        <w:rPr>
          <w:i/>
          <w:sz w:val="20"/>
        </w:rPr>
        <w:t xml:space="preserve"> </w:t>
      </w:r>
      <w:r w:rsidRPr="00C54122">
        <w:rPr>
          <w:sz w:val="20"/>
        </w:rPr>
        <w:t>at 15 (</w:t>
      </w:r>
      <w:r w:rsidRPr="00C54122">
        <w:rPr>
          <w:i/>
          <w:sz w:val="20"/>
        </w:rPr>
        <w:t>quoting</w:t>
      </w:r>
      <w:r w:rsidRPr="00C54122">
        <w:rPr>
          <w:sz w:val="20"/>
        </w:rPr>
        <w:t xml:space="preserve"> </w:t>
      </w:r>
      <w:r w:rsidR="00460671" w:rsidRPr="00460671">
        <w:rPr>
          <w:i/>
          <w:sz w:val="20"/>
        </w:rPr>
        <w:t xml:space="preserve">2004 </w:t>
      </w:r>
      <w:r w:rsidRPr="00460671">
        <w:rPr>
          <w:i/>
          <w:sz w:val="20"/>
        </w:rPr>
        <w:t>Order</w:t>
      </w:r>
      <w:r w:rsidRPr="0087118C">
        <w:rPr>
          <w:sz w:val="20"/>
        </w:rPr>
        <w:t>, 19 FCC Rcd at 20524</w:t>
      </w:r>
      <w:r w:rsidR="0041656F">
        <w:rPr>
          <w:sz w:val="20"/>
        </w:rPr>
        <w:t xml:space="preserve"> ¶ 1).  </w:t>
      </w:r>
    </w:p>
  </w:footnote>
  <w:footnote w:id="13">
    <w:p w:rsidR="0089473A" w:rsidRPr="00BD3CA2" w:rsidRDefault="0089473A" w:rsidP="00BD3CA2">
      <w:pPr>
        <w:pStyle w:val="FootnoteText"/>
        <w:spacing w:before="120" w:after="0"/>
        <w:rPr>
          <w:sz w:val="20"/>
        </w:rPr>
      </w:pPr>
      <w:r w:rsidRPr="00BD3CA2">
        <w:rPr>
          <w:rStyle w:val="FootnoteReference"/>
          <w:sz w:val="20"/>
        </w:rPr>
        <w:footnoteRef/>
      </w:r>
      <w:r w:rsidRPr="00C54122">
        <w:rPr>
          <w:sz w:val="20"/>
        </w:rPr>
        <w:t xml:space="preserve"> </w:t>
      </w:r>
      <w:r w:rsidR="00007851" w:rsidRPr="00350421">
        <w:rPr>
          <w:sz w:val="20"/>
        </w:rPr>
        <w:t>Key Bridge Proposal</w:t>
      </w:r>
      <w:r w:rsidR="00007851" w:rsidRPr="00C54122">
        <w:rPr>
          <w:i/>
          <w:sz w:val="20"/>
        </w:rPr>
        <w:t xml:space="preserve"> </w:t>
      </w:r>
      <w:r w:rsidRPr="00C54122">
        <w:rPr>
          <w:sz w:val="20"/>
        </w:rPr>
        <w:t>at 16-18.</w:t>
      </w:r>
      <w:r w:rsidR="00322E39">
        <w:rPr>
          <w:sz w:val="20"/>
        </w:rPr>
        <w:t xml:space="preserve">  </w:t>
      </w:r>
    </w:p>
  </w:footnote>
  <w:footnote w:id="14">
    <w:p w:rsidR="00226A8F" w:rsidRPr="00C54122" w:rsidRDefault="00226A8F" w:rsidP="00C54122">
      <w:pPr>
        <w:pStyle w:val="FootnoteText"/>
        <w:spacing w:before="120" w:after="0"/>
        <w:rPr>
          <w:sz w:val="20"/>
        </w:rPr>
      </w:pPr>
      <w:r w:rsidRPr="00C54122">
        <w:rPr>
          <w:rStyle w:val="FootnoteReference"/>
          <w:sz w:val="20"/>
        </w:rPr>
        <w:footnoteRef/>
      </w:r>
      <w:r w:rsidRPr="00C54122">
        <w:rPr>
          <w:sz w:val="20"/>
        </w:rPr>
        <w:t xml:space="preserve"> </w:t>
      </w:r>
      <w:r w:rsidRPr="00C54122">
        <w:rPr>
          <w:i/>
          <w:sz w:val="20"/>
        </w:rPr>
        <w:t xml:space="preserve">See </w:t>
      </w:r>
      <w:r w:rsidR="00322E39">
        <w:rPr>
          <w:i/>
          <w:sz w:val="20"/>
        </w:rPr>
        <w:t xml:space="preserve">id. </w:t>
      </w:r>
      <w:r w:rsidRPr="00C54122">
        <w:rPr>
          <w:sz w:val="20"/>
        </w:rPr>
        <w:t>at 1-6.</w:t>
      </w:r>
      <w:r w:rsidR="00E67CF7">
        <w:rPr>
          <w:sz w:val="20"/>
        </w:rPr>
        <w:t xml:space="preserve">  </w:t>
      </w:r>
    </w:p>
  </w:footnote>
  <w:footnote w:id="15">
    <w:p w:rsidR="00E67CF7" w:rsidRPr="00C54122" w:rsidRDefault="00E67CF7" w:rsidP="00E67CF7">
      <w:pPr>
        <w:pStyle w:val="FootnoteText"/>
        <w:spacing w:before="120" w:after="0"/>
        <w:rPr>
          <w:sz w:val="20"/>
        </w:rPr>
      </w:pPr>
      <w:r w:rsidRPr="00C54122">
        <w:rPr>
          <w:rStyle w:val="FootnoteReference"/>
          <w:sz w:val="20"/>
        </w:rPr>
        <w:footnoteRef/>
      </w:r>
      <w:r w:rsidRPr="00C54122">
        <w:rPr>
          <w:sz w:val="20"/>
        </w:rPr>
        <w:t xml:space="preserve"> </w:t>
      </w:r>
      <w:r w:rsidRPr="00C54122">
        <w:rPr>
          <w:i/>
          <w:sz w:val="20"/>
        </w:rPr>
        <w:t xml:space="preserve">See </w:t>
      </w:r>
      <w:r w:rsidR="00322E39">
        <w:rPr>
          <w:i/>
          <w:sz w:val="20"/>
        </w:rPr>
        <w:t xml:space="preserve">id. </w:t>
      </w:r>
      <w:r w:rsidRPr="00C54122">
        <w:rPr>
          <w:sz w:val="20"/>
        </w:rPr>
        <w:t xml:space="preserve">at 1-14; </w:t>
      </w:r>
      <w:r w:rsidRPr="00C54122">
        <w:rPr>
          <w:i/>
          <w:sz w:val="20"/>
        </w:rPr>
        <w:t xml:space="preserve">see also </w:t>
      </w:r>
      <w:r>
        <w:rPr>
          <w:i/>
          <w:sz w:val="20"/>
        </w:rPr>
        <w:t xml:space="preserve">2004 </w:t>
      </w:r>
      <w:r w:rsidRPr="00C54122">
        <w:rPr>
          <w:i/>
          <w:sz w:val="20"/>
        </w:rPr>
        <w:t>Public Notice</w:t>
      </w:r>
      <w:r w:rsidRPr="00C54122">
        <w:rPr>
          <w:sz w:val="20"/>
        </w:rPr>
        <w:t xml:space="preserve">, 19 FCC </w:t>
      </w:r>
      <w:r w:rsidRPr="0087118C">
        <w:rPr>
          <w:sz w:val="20"/>
        </w:rPr>
        <w:t>Rcd at 4600-01.</w:t>
      </w:r>
      <w:r>
        <w:rPr>
          <w:sz w:val="20"/>
        </w:rPr>
        <w:t xml:space="preserve">  </w:t>
      </w:r>
    </w:p>
  </w:footnote>
  <w:footnote w:id="16">
    <w:p w:rsidR="00BF13AB" w:rsidRPr="0087118C" w:rsidRDefault="00BF13AB" w:rsidP="00C54122">
      <w:pPr>
        <w:pStyle w:val="FootnoteText"/>
        <w:spacing w:before="120" w:after="0"/>
        <w:rPr>
          <w:i/>
          <w:sz w:val="20"/>
        </w:rPr>
      </w:pPr>
      <w:r w:rsidRPr="00C54122">
        <w:rPr>
          <w:rStyle w:val="FootnoteReference"/>
          <w:sz w:val="20"/>
        </w:rPr>
        <w:footnoteRef/>
      </w:r>
      <w:r w:rsidRPr="00C54122">
        <w:rPr>
          <w:sz w:val="20"/>
        </w:rPr>
        <w:t xml:space="preserve"> </w:t>
      </w:r>
      <w:r w:rsidR="00E67CF7" w:rsidRPr="00C54122">
        <w:rPr>
          <w:i/>
          <w:sz w:val="20"/>
        </w:rPr>
        <w:t xml:space="preserve">See </w:t>
      </w:r>
      <w:r w:rsidR="00E67CF7" w:rsidRPr="00350421">
        <w:rPr>
          <w:sz w:val="20"/>
        </w:rPr>
        <w:t>Key Bridge Proposal</w:t>
      </w:r>
      <w:r w:rsidR="00E67CF7" w:rsidRPr="00C54122">
        <w:rPr>
          <w:i/>
          <w:sz w:val="20"/>
        </w:rPr>
        <w:t xml:space="preserve"> </w:t>
      </w:r>
      <w:r w:rsidR="00E67CF7" w:rsidRPr="00C54122">
        <w:rPr>
          <w:sz w:val="20"/>
        </w:rPr>
        <w:t>at 6-11.</w:t>
      </w:r>
      <w:r w:rsidR="00E67CF7">
        <w:rPr>
          <w:sz w:val="20"/>
        </w:rPr>
        <w:t xml:space="preserve">  </w:t>
      </w:r>
    </w:p>
  </w:footnote>
  <w:footnote w:id="17">
    <w:p w:rsidR="0031561F" w:rsidRPr="00C54122" w:rsidRDefault="0031561F" w:rsidP="00C54122">
      <w:pPr>
        <w:pStyle w:val="FootnoteText"/>
        <w:spacing w:before="120" w:after="0"/>
        <w:rPr>
          <w:sz w:val="20"/>
        </w:rPr>
      </w:pPr>
      <w:r w:rsidRPr="00C54122">
        <w:rPr>
          <w:rStyle w:val="FootnoteReference"/>
          <w:sz w:val="20"/>
        </w:rPr>
        <w:footnoteRef/>
      </w:r>
      <w:r w:rsidRPr="00C54122">
        <w:rPr>
          <w:sz w:val="20"/>
        </w:rPr>
        <w:t xml:space="preserve"> </w:t>
      </w:r>
      <w:r w:rsidR="00322E39">
        <w:rPr>
          <w:i/>
          <w:sz w:val="20"/>
        </w:rPr>
        <w:t xml:space="preserve">Id. </w:t>
      </w:r>
      <w:r w:rsidRPr="00C54122">
        <w:rPr>
          <w:sz w:val="20"/>
        </w:rPr>
        <w:t>at 6.</w:t>
      </w:r>
    </w:p>
  </w:footnote>
  <w:footnote w:id="18">
    <w:p w:rsidR="00863FD7" w:rsidRPr="00BD3CA2" w:rsidRDefault="00863FD7" w:rsidP="00BD3CA2">
      <w:pPr>
        <w:pStyle w:val="FootnoteText"/>
        <w:spacing w:before="120" w:after="0"/>
        <w:rPr>
          <w:i/>
          <w:sz w:val="20"/>
        </w:rPr>
      </w:pPr>
      <w:r w:rsidRPr="00C54122">
        <w:rPr>
          <w:rStyle w:val="FootnoteReference"/>
          <w:sz w:val="20"/>
        </w:rPr>
        <w:footnoteRef/>
      </w:r>
      <w:r w:rsidRPr="00BD3CA2">
        <w:rPr>
          <w:sz w:val="20"/>
        </w:rPr>
        <w:t xml:space="preserve"> </w:t>
      </w:r>
      <w:r w:rsidRPr="00BD3CA2">
        <w:rPr>
          <w:i/>
          <w:sz w:val="20"/>
        </w:rPr>
        <w:t xml:space="preserve">See </w:t>
      </w:r>
      <w:r w:rsidRPr="00BD3CA2">
        <w:rPr>
          <w:sz w:val="20"/>
        </w:rPr>
        <w:t>47 C.F.R. §1.45(c).</w:t>
      </w:r>
    </w:p>
  </w:footnote>
  <w:footnote w:id="19">
    <w:p w:rsidR="00BB0FF6" w:rsidRPr="00C54122" w:rsidRDefault="00BB0FF6" w:rsidP="00BD3CA2">
      <w:pPr>
        <w:pStyle w:val="FootnoteText"/>
        <w:spacing w:before="120" w:after="0"/>
        <w:rPr>
          <w:sz w:val="20"/>
        </w:rPr>
      </w:pPr>
      <w:r w:rsidRPr="00C54122">
        <w:rPr>
          <w:rStyle w:val="FootnoteReference"/>
          <w:sz w:val="20"/>
        </w:rPr>
        <w:footnoteRef/>
      </w:r>
      <w:r w:rsidRPr="00C54122">
        <w:rPr>
          <w:sz w:val="20"/>
        </w:rPr>
        <w:t xml:space="preserve"> 47 C.F.R. § 1.1200 </w:t>
      </w:r>
      <w:r w:rsidRPr="00C54122">
        <w:rPr>
          <w:i/>
          <w:sz w:val="20"/>
        </w:rPr>
        <w:t>et seq</w:t>
      </w:r>
      <w:r w:rsidRPr="00C54122">
        <w:rPr>
          <w:sz w:val="20"/>
        </w:rPr>
        <w:t>.</w:t>
      </w:r>
    </w:p>
  </w:footnote>
  <w:footnote w:id="20">
    <w:p w:rsidR="0089473A" w:rsidRPr="00BD3CA2" w:rsidRDefault="0089473A" w:rsidP="00BD3CA2">
      <w:pPr>
        <w:pStyle w:val="FootnoteText"/>
        <w:spacing w:before="120" w:after="0"/>
        <w:rPr>
          <w:sz w:val="20"/>
        </w:rPr>
      </w:pPr>
      <w:r w:rsidRPr="00C54122">
        <w:rPr>
          <w:rStyle w:val="FootnoteReference"/>
          <w:sz w:val="20"/>
        </w:rPr>
        <w:footnoteRef/>
      </w:r>
      <w:r w:rsidRPr="00BD3CA2">
        <w:rPr>
          <w:sz w:val="20"/>
        </w:rPr>
        <w:t xml:space="preserve"> </w:t>
      </w:r>
      <w:r w:rsidRPr="00BD3CA2">
        <w:rPr>
          <w:i/>
          <w:sz w:val="20"/>
        </w:rPr>
        <w:t xml:space="preserve">See </w:t>
      </w:r>
      <w:r w:rsidRPr="00BD3CA2">
        <w:rPr>
          <w:sz w:val="20"/>
        </w:rPr>
        <w:t xml:space="preserve">FCC Announces Change in Filing Location for Paper Documents, </w:t>
      </w:r>
      <w:r w:rsidRPr="00BD3CA2">
        <w:rPr>
          <w:i/>
          <w:sz w:val="20"/>
        </w:rPr>
        <w:t>Public Notice</w:t>
      </w:r>
      <w:r w:rsidRPr="00BD3CA2">
        <w:rPr>
          <w:sz w:val="20"/>
        </w:rPr>
        <w:t>, 24 FCC Rcd 14312 (2009).</w:t>
      </w:r>
    </w:p>
  </w:footnote>
  <w:footnote w:id="21">
    <w:p w:rsidR="0089473A" w:rsidRPr="00BD3CA2" w:rsidRDefault="0089473A" w:rsidP="00BD3CA2">
      <w:pPr>
        <w:pStyle w:val="FootnoteText"/>
        <w:spacing w:before="120" w:after="0"/>
        <w:rPr>
          <w:sz w:val="20"/>
        </w:rPr>
      </w:pPr>
      <w:r w:rsidRPr="00C54122">
        <w:rPr>
          <w:rStyle w:val="FootnoteReference"/>
          <w:sz w:val="20"/>
        </w:rPr>
        <w:footnoteRef/>
      </w:r>
      <w:r w:rsidRPr="00BD3CA2">
        <w:rPr>
          <w:sz w:val="20"/>
        </w:rPr>
        <w:t xml:space="preserve"> </w:t>
      </w:r>
      <w:r w:rsidRPr="00BD3CA2">
        <w:rPr>
          <w:i/>
          <w:sz w:val="20"/>
        </w:rPr>
        <w:t>See</w:t>
      </w:r>
      <w:r w:rsidRPr="00BD3CA2">
        <w:rPr>
          <w:sz w:val="20"/>
        </w:rPr>
        <w:t xml:space="preserve"> Electronic Filing of Documents in Rulemaking Proceedings, GC Docket No. 97-113, </w:t>
      </w:r>
      <w:r w:rsidRPr="00BD3CA2">
        <w:rPr>
          <w:i/>
          <w:sz w:val="20"/>
        </w:rPr>
        <w:t>Report and Order</w:t>
      </w:r>
      <w:r w:rsidR="00007851">
        <w:rPr>
          <w:sz w:val="20"/>
        </w:rPr>
        <w:t>, 13 </w:t>
      </w:r>
      <w:r w:rsidRPr="00BD3CA2">
        <w:rPr>
          <w:sz w:val="20"/>
        </w:rPr>
        <w:t>FCC Rcd 11322 (1998).</w:t>
      </w:r>
    </w:p>
  </w:footnote>
  <w:footnote w:id="22">
    <w:p w:rsidR="006E1C7A" w:rsidRPr="00BD3CA2" w:rsidRDefault="006E1C7A" w:rsidP="00BD3CA2">
      <w:pPr>
        <w:pStyle w:val="FootnoteText"/>
        <w:spacing w:before="120" w:after="0"/>
        <w:rPr>
          <w:sz w:val="20"/>
        </w:rPr>
      </w:pPr>
      <w:r w:rsidRPr="00BD3CA2">
        <w:rPr>
          <w:rStyle w:val="FootnoteReference"/>
          <w:sz w:val="20"/>
        </w:rPr>
        <w:footnoteRef/>
      </w:r>
      <w:r w:rsidRPr="00BD3CA2">
        <w:rPr>
          <w:sz w:val="20"/>
        </w:rPr>
        <w:t xml:space="preserve"> </w:t>
      </w:r>
      <w:r w:rsidRPr="00BD3CA2">
        <w:rPr>
          <w:i/>
          <w:sz w:val="20"/>
        </w:rPr>
        <w:t>See</w:t>
      </w:r>
      <w:r w:rsidRPr="00BD3CA2">
        <w:rPr>
          <w:sz w:val="20"/>
        </w:rPr>
        <w:t xml:space="preserve"> 47 C.F.R. § 1.51(c).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9" w:rsidRDefault="00E71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9" w:rsidRDefault="00E71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78" w:rsidRPr="006370DD" w:rsidRDefault="00D15778" w:rsidP="00D15778">
    <w:pPr>
      <w:pStyle w:val="Header"/>
      <w:tabs>
        <w:tab w:val="clear" w:pos="4320"/>
        <w:tab w:val="clear" w:pos="8640"/>
      </w:tabs>
      <w:spacing w:before="40"/>
      <w:ind w:firstLine="1080"/>
      <w:rPr>
        <w:b/>
        <w:kern w:val="28"/>
        <w:sz w:val="96"/>
      </w:rPr>
    </w:pPr>
    <w:r w:rsidRPr="00FF4872">
      <w:rPr>
        <w:b/>
        <w:noProof/>
        <w:kern w:val="28"/>
        <w:sz w:val="96"/>
      </w:rPr>
      <w:drawing>
        <wp:anchor distT="0" distB="0" distL="114300" distR="114300" simplePos="0" relativeHeight="251668480" behindDoc="0" locked="0" layoutInCell="0" allowOverlap="1" wp14:anchorId="6153C309" wp14:editId="656E1DBD">
          <wp:simplePos x="0" y="0"/>
          <wp:positionH relativeFrom="column">
            <wp:posOffset>30480</wp:posOffset>
          </wp:positionH>
          <wp:positionV relativeFrom="paragraph">
            <wp:posOffset>107950</wp:posOffset>
          </wp:positionV>
          <wp:extent cx="530225" cy="530225"/>
          <wp:effectExtent l="0" t="0" r="317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217EF7">
      <w:rPr>
        <w:b/>
        <w:kern w:val="28"/>
        <w:sz w:val="96"/>
      </w:rPr>
      <w:t>PUBLIC</w:t>
    </w:r>
    <w:r w:rsidRPr="006370DD">
      <w:rPr>
        <w:b/>
        <w:kern w:val="28"/>
        <w:sz w:val="96"/>
      </w:rPr>
      <w:t xml:space="preserve"> NOTICE</w:t>
    </w:r>
  </w:p>
  <w:p w:rsidR="00D15778" w:rsidRDefault="00D15778" w:rsidP="00D15778">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67456" behindDoc="0" locked="0" layoutInCell="0" allowOverlap="1" wp14:anchorId="4C77C3F6" wp14:editId="29A58837">
              <wp:simplePos x="0" y="0"/>
              <wp:positionH relativeFrom="column">
                <wp:posOffset>3733165</wp:posOffset>
              </wp:positionH>
              <wp:positionV relativeFrom="paragraph">
                <wp:posOffset>96520</wp:posOffset>
              </wp:positionV>
              <wp:extent cx="2640965" cy="548640"/>
              <wp:effectExtent l="0" t="0"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78" w:rsidRPr="00217EF7" w:rsidRDefault="00D15778" w:rsidP="00D15778">
                          <w:pPr>
                            <w:spacing w:before="40"/>
                            <w:jc w:val="right"/>
                            <w:rPr>
                              <w:rFonts w:ascii="Arial" w:hAnsi="Arial" w:cs="Arial"/>
                              <w:b/>
                              <w:sz w:val="16"/>
                            </w:rPr>
                          </w:pPr>
                          <w:r w:rsidRPr="00217EF7">
                            <w:rPr>
                              <w:rFonts w:ascii="Arial" w:hAnsi="Arial" w:cs="Arial"/>
                              <w:b/>
                              <w:sz w:val="16"/>
                            </w:rPr>
                            <w:t>News Media Information 202 / 418-0500</w:t>
                          </w:r>
                        </w:p>
                        <w:p w:rsidR="00D15778" w:rsidRPr="00217EF7" w:rsidRDefault="00D15778" w:rsidP="00D15778">
                          <w:pPr>
                            <w:jc w:val="right"/>
                            <w:rPr>
                              <w:rFonts w:ascii="Arial" w:hAnsi="Arial" w:cs="Arial"/>
                              <w:b/>
                              <w:sz w:val="16"/>
                            </w:rPr>
                          </w:pPr>
                          <w:r w:rsidRPr="00217EF7">
                            <w:rPr>
                              <w:rFonts w:ascii="Arial" w:hAnsi="Arial" w:cs="Arial"/>
                              <w:b/>
                              <w:sz w:val="16"/>
                            </w:rPr>
                            <w:tab/>
                            <w:t>Internet: http://www.fcc.gov</w:t>
                          </w:r>
                        </w:p>
                        <w:p w:rsidR="00D15778" w:rsidRPr="00217EF7" w:rsidRDefault="00D15778" w:rsidP="00D15778">
                          <w:pPr>
                            <w:jc w:val="right"/>
                            <w:rPr>
                              <w:rFonts w:ascii="Arial" w:hAnsi="Arial" w:cs="Arial"/>
                              <w:b/>
                              <w:sz w:val="16"/>
                            </w:rPr>
                          </w:pPr>
                          <w:r w:rsidRPr="00217EF7">
                            <w:rPr>
                              <w:rFonts w:ascii="Arial" w:hAnsi="Arial" w:cs="Arial"/>
                              <w:b/>
                              <w:sz w:val="16"/>
                            </w:rPr>
                            <w:t>TTY: 1-888-835-5322</w:t>
                          </w:r>
                        </w:p>
                        <w:p w:rsidR="00D15778" w:rsidRDefault="00D15778" w:rsidP="00D1577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igfQIAAAc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nNK&#10;NOuRonsxenIFI8lDdQbjKjS6M2jmR9xGlmOmztxC89kRDdcd01txaS0MnWAco8vCzeTJ1QnHBZDN&#10;8A44umE7DxFobG0fSofFIIiOLD2cmAmhNLiZL4q0XGCIDZ7NiyUuowtWHW8b6/wbAT0Jk5paZD6i&#10;s/2t8yEaVh1NgjMHSvK1VCou7HZzrSzZM1TJOn4H9GdmSgdjDeHahDjtYJDoI5yFcCPr38osL9Kr&#10;vJytF8tXs2JdzGflq3Q5S7PyqlykRVncrL+HALOi6iTnQt9KLY4KzIq/Y/jQC5N2ogbJUNNyns8n&#10;iv6YZBq/3yXZS48NqWRf0+XJiFWB2NeaY9qs8kyqaZ48Dz9WGWtw/MeqRBkE5icN+HEzIkrQxgb4&#10;AwrCAvKFrOMrgpMO7FdKBuzImrovO2YFJeqtRlGVWYGsEx8XOLFPdzfHXaYbhKipp2SaXvup3XfG&#10;ym2HHib5arhEAbYyauMxmoNssdtiEoeXIbTz03W0eny/Vj8AAAD//wMAUEsDBBQABgAIAAAAIQDS&#10;jQF73wAAAAsBAAAPAAAAZHJzL2Rvd25yZXYueG1sTI/BTsMwEETvSPyDtUjcqN1AS0njVKiCAyfU&#10;lktvTrxNQuN1FLtt6NezOcFtR/M0O5OtBteKM/ah8aRhOlEgkEpvG6o0fO3eHxYgQjRkTesJNfxg&#10;gFV+e5OZ1PoLbfC8jZXgEAqp0VDH2KVShrJGZ8LEd0jsHXzvTGTZV9L25sLhrpWJUnPpTEP8oTYd&#10;rmssj9uT0/Cx7z/f9kFdfVLE9Xd59LurfNL6/m54XYKIOMQ/GMb6XB1y7lT4E9kgWg2zxfMLo2zM&#10;EhAjoNQjjynGazoHmWfy/4b8FwAA//8DAFBLAQItABQABgAIAAAAIQC2gziS/gAAAOEBAAATAAAA&#10;AAAAAAAAAAAAAAAAAABbQ29udGVudF9UeXBlc10ueG1sUEsBAi0AFAAGAAgAAAAhADj9If/WAAAA&#10;lAEAAAsAAAAAAAAAAAAAAAAALwEAAF9yZWxzLy5yZWxzUEsBAi0AFAAGAAgAAAAhABApyKB9AgAA&#10;BwUAAA4AAAAAAAAAAAAAAAAALgIAAGRycy9lMm9Eb2MueG1sUEsBAi0AFAAGAAgAAAAhANKNAXvf&#10;AAAACwEAAA8AAAAAAAAAAAAAAAAA1wQAAGRycy9kb3ducmV2LnhtbFBLBQYAAAAABAAEAPMAAADj&#10;BQAAAAA=&#10;" o:allowincell="f" stroked="f">
              <v:textbox inset=",0,,0">
                <w:txbxContent>
                  <w:p w:rsidR="00D15778" w:rsidRPr="00217EF7" w:rsidRDefault="00D15778" w:rsidP="00D15778">
                    <w:pPr>
                      <w:spacing w:before="40"/>
                      <w:jc w:val="right"/>
                      <w:rPr>
                        <w:rFonts w:ascii="Arial" w:hAnsi="Arial" w:cs="Arial"/>
                        <w:b/>
                        <w:sz w:val="16"/>
                      </w:rPr>
                    </w:pPr>
                    <w:r w:rsidRPr="00217EF7">
                      <w:rPr>
                        <w:rFonts w:ascii="Arial" w:hAnsi="Arial" w:cs="Arial"/>
                        <w:b/>
                        <w:sz w:val="16"/>
                      </w:rPr>
                      <w:t>News Media Information 202 / 418-0500</w:t>
                    </w:r>
                  </w:p>
                  <w:p w:rsidR="00D15778" w:rsidRPr="00217EF7" w:rsidRDefault="00D15778" w:rsidP="00D15778">
                    <w:pPr>
                      <w:jc w:val="right"/>
                      <w:rPr>
                        <w:rFonts w:ascii="Arial" w:hAnsi="Arial" w:cs="Arial"/>
                        <w:b/>
                        <w:sz w:val="16"/>
                      </w:rPr>
                    </w:pPr>
                    <w:r w:rsidRPr="00217EF7">
                      <w:rPr>
                        <w:rFonts w:ascii="Arial" w:hAnsi="Arial" w:cs="Arial"/>
                        <w:b/>
                        <w:sz w:val="16"/>
                      </w:rPr>
                      <w:tab/>
                      <w:t>Internet: http://www.fcc.gov</w:t>
                    </w:r>
                  </w:p>
                  <w:p w:rsidR="00D15778" w:rsidRPr="00217EF7" w:rsidRDefault="00D15778" w:rsidP="00D15778">
                    <w:pPr>
                      <w:jc w:val="right"/>
                      <w:rPr>
                        <w:rFonts w:ascii="Arial" w:hAnsi="Arial" w:cs="Arial"/>
                        <w:b/>
                        <w:sz w:val="16"/>
                      </w:rPr>
                    </w:pPr>
                    <w:r w:rsidRPr="00217EF7">
                      <w:rPr>
                        <w:rFonts w:ascii="Arial" w:hAnsi="Arial" w:cs="Arial"/>
                        <w:b/>
                        <w:sz w:val="16"/>
                      </w:rPr>
                      <w:t>TTY: 1-888-835-5322</w:t>
                    </w:r>
                  </w:p>
                  <w:p w:rsidR="00D15778" w:rsidRDefault="00D15778" w:rsidP="00D15778">
                    <w:pPr>
                      <w:jc w:val="right"/>
                    </w:pPr>
                  </w:p>
                </w:txbxContent>
              </v:textbox>
            </v:shape>
          </w:pict>
        </mc:Fallback>
      </mc:AlternateContent>
    </w:r>
    <w:r>
      <w:rPr>
        <w:noProof/>
      </w:rPr>
      <mc:AlternateContent>
        <mc:Choice Requires="wps">
          <w:drawing>
            <wp:anchor distT="0" distB="0" distL="114300" distR="114300" simplePos="0" relativeHeight="251665408" behindDoc="0" locked="0" layoutInCell="0" allowOverlap="1" wp14:anchorId="4E676345" wp14:editId="6F583E3B">
              <wp:simplePos x="0" y="0"/>
              <wp:positionH relativeFrom="column">
                <wp:posOffset>0</wp:posOffset>
              </wp:positionH>
              <wp:positionV relativeFrom="paragraph">
                <wp:posOffset>5080</wp:posOffset>
              </wp:positionV>
              <wp:extent cx="3108960" cy="640080"/>
              <wp:effectExtent l="0" t="0" r="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78" w:rsidRPr="00217EF7" w:rsidRDefault="00D15778" w:rsidP="00D15778">
                          <w:pPr>
                            <w:jc w:val="both"/>
                            <w:rPr>
                              <w:rFonts w:ascii="Arial" w:hAnsi="Arial" w:cs="Arial"/>
                              <w:b/>
                              <w:sz w:val="24"/>
                              <w:szCs w:val="24"/>
                            </w:rPr>
                          </w:pPr>
                          <w:r w:rsidRPr="00217EF7">
                            <w:rPr>
                              <w:rFonts w:ascii="Arial" w:hAnsi="Arial" w:cs="Arial"/>
                              <w:b/>
                              <w:sz w:val="24"/>
                              <w:szCs w:val="24"/>
                            </w:rPr>
                            <w:t>Federal Communications Commission</w:t>
                          </w:r>
                        </w:p>
                        <w:p w:rsidR="00D15778" w:rsidRPr="00217EF7" w:rsidRDefault="00D15778" w:rsidP="00D15778">
                          <w:pPr>
                            <w:rPr>
                              <w:rFonts w:ascii="Arial" w:hAnsi="Arial" w:cs="Arial"/>
                              <w:b/>
                              <w:sz w:val="24"/>
                              <w:szCs w:val="24"/>
                            </w:rPr>
                          </w:pPr>
                          <w:r w:rsidRPr="00217EF7">
                            <w:rPr>
                              <w:rFonts w:ascii="Arial" w:hAnsi="Arial" w:cs="Arial"/>
                              <w:b/>
                              <w:sz w:val="24"/>
                              <w:szCs w:val="24"/>
                            </w:rPr>
                            <w:t>445 12</w:t>
                          </w:r>
                          <w:r w:rsidRPr="00217EF7">
                            <w:rPr>
                              <w:rFonts w:ascii="Arial" w:hAnsi="Arial" w:cs="Arial"/>
                              <w:b/>
                              <w:sz w:val="24"/>
                              <w:szCs w:val="24"/>
                              <w:vertAlign w:val="superscript"/>
                            </w:rPr>
                            <w:t>th</w:t>
                          </w:r>
                          <w:r w:rsidRPr="00217EF7">
                            <w:rPr>
                              <w:rFonts w:ascii="Arial" w:hAnsi="Arial" w:cs="Arial"/>
                              <w:b/>
                              <w:sz w:val="24"/>
                              <w:szCs w:val="24"/>
                            </w:rPr>
                            <w:t xml:space="preserve"> St., S.W.</w:t>
                          </w:r>
                        </w:p>
                        <w:p w:rsidR="00D15778" w:rsidRPr="00217EF7" w:rsidRDefault="00D15778" w:rsidP="00D15778">
                          <w:pPr>
                            <w:rPr>
                              <w:rFonts w:ascii="Arial" w:hAnsi="Arial" w:cs="Arial"/>
                              <w:sz w:val="24"/>
                              <w:szCs w:val="24"/>
                            </w:rPr>
                          </w:pPr>
                          <w:r w:rsidRPr="00217EF7">
                            <w:rPr>
                              <w:rFonts w:ascii="Arial" w:hAnsi="Arial" w:cs="Arial"/>
                              <w:b/>
                              <w:sz w:val="24"/>
                              <w:szCs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3vhQ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c&#10;Es06pOhBDp5cw0Be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UQ9RY1&#10;EiSyBvGIurCAtCHD+JjgpAH7lZIeG7Oi7suWWUlJ+1ajtoosz0Mnx0U+O5/iwp5a1qcWpjlCVdRT&#10;Mk5v/Nj9W2PVpsGbRjVruEI91ipK5SmqvYqx+WJO+4cidPfpOno9PWfLHwAAAP//AwBQSwMEFAAG&#10;AAgAAAAhAGjIg/7aAAAABQEAAA8AAABkcnMvZG93bnJldi54bWxMj81OwzAQhO9IvIO1lbgg6hSV&#10;tA1xKkACce3PA2zibRI1Xkex26Rvz3KC42hGM9/k28l16kpDaD0bWMwTUMSVty3XBo6Hz6c1qBCR&#10;LXaeycCNAmyL+7scM+tH3tF1H2slJRwyNNDE2Gdah6ohh2Hue2LxTn5wGEUOtbYDjlLuOv2cJKl2&#10;2LIsNNjTR0PVeX9xBk7f4+PLZiy/4nG1W6bv2K5KfzPmYTa9vYKKNMW/MPziCzoUwlT6C9ugOgNy&#10;JBoQevGW600KqpRQskhBF7n+T1/8AAAA//8DAFBLAQItABQABgAIAAAAIQC2gziS/gAAAOEBAAAT&#10;AAAAAAAAAAAAAAAAAAAAAABbQ29udGVudF9UeXBlc10ueG1sUEsBAi0AFAAGAAgAAAAhADj9If/W&#10;AAAAlAEAAAsAAAAAAAAAAAAAAAAALwEAAF9yZWxzLy5yZWxzUEsBAi0AFAAGAAgAAAAhACGUze+F&#10;AgAAFgUAAA4AAAAAAAAAAAAAAAAALgIAAGRycy9lMm9Eb2MueG1sUEsBAi0AFAAGAAgAAAAhAGjI&#10;g/7aAAAABQEAAA8AAAAAAAAAAAAAAAAA3wQAAGRycy9kb3ducmV2LnhtbFBLBQYAAAAABAAEAPMA&#10;AADmBQAAAAA=&#10;" o:allowincell="f" stroked="f">
              <v:textbox>
                <w:txbxContent>
                  <w:p w:rsidR="00D15778" w:rsidRPr="00217EF7" w:rsidRDefault="00D15778" w:rsidP="00D15778">
                    <w:pPr>
                      <w:jc w:val="both"/>
                      <w:rPr>
                        <w:rFonts w:ascii="Arial" w:hAnsi="Arial" w:cs="Arial"/>
                        <w:b/>
                        <w:sz w:val="24"/>
                        <w:szCs w:val="24"/>
                      </w:rPr>
                    </w:pPr>
                    <w:r w:rsidRPr="00217EF7">
                      <w:rPr>
                        <w:rFonts w:ascii="Arial" w:hAnsi="Arial" w:cs="Arial"/>
                        <w:b/>
                        <w:sz w:val="24"/>
                        <w:szCs w:val="24"/>
                      </w:rPr>
                      <w:t>Federal Communications Commission</w:t>
                    </w:r>
                  </w:p>
                  <w:p w:rsidR="00D15778" w:rsidRPr="00217EF7" w:rsidRDefault="00D15778" w:rsidP="00D15778">
                    <w:pPr>
                      <w:rPr>
                        <w:rFonts w:ascii="Arial" w:hAnsi="Arial" w:cs="Arial"/>
                        <w:b/>
                        <w:sz w:val="24"/>
                        <w:szCs w:val="24"/>
                      </w:rPr>
                    </w:pPr>
                    <w:r w:rsidRPr="00217EF7">
                      <w:rPr>
                        <w:rFonts w:ascii="Arial" w:hAnsi="Arial" w:cs="Arial"/>
                        <w:b/>
                        <w:sz w:val="24"/>
                        <w:szCs w:val="24"/>
                      </w:rPr>
                      <w:t>445 12</w:t>
                    </w:r>
                    <w:r w:rsidRPr="00217EF7">
                      <w:rPr>
                        <w:rFonts w:ascii="Arial" w:hAnsi="Arial" w:cs="Arial"/>
                        <w:b/>
                        <w:sz w:val="24"/>
                        <w:szCs w:val="24"/>
                        <w:vertAlign w:val="superscript"/>
                      </w:rPr>
                      <w:t>th</w:t>
                    </w:r>
                    <w:r w:rsidRPr="00217EF7">
                      <w:rPr>
                        <w:rFonts w:ascii="Arial" w:hAnsi="Arial" w:cs="Arial"/>
                        <w:b/>
                        <w:sz w:val="24"/>
                        <w:szCs w:val="24"/>
                      </w:rPr>
                      <w:t xml:space="preserve"> St., S.W.</w:t>
                    </w:r>
                  </w:p>
                  <w:p w:rsidR="00D15778" w:rsidRPr="00217EF7" w:rsidRDefault="00D15778" w:rsidP="00D15778">
                    <w:pPr>
                      <w:rPr>
                        <w:rFonts w:ascii="Arial" w:hAnsi="Arial" w:cs="Arial"/>
                        <w:sz w:val="24"/>
                        <w:szCs w:val="24"/>
                      </w:rPr>
                    </w:pPr>
                    <w:r w:rsidRPr="00217EF7">
                      <w:rPr>
                        <w:rFonts w:ascii="Arial" w:hAnsi="Arial" w:cs="Arial"/>
                        <w:b/>
                        <w:sz w:val="24"/>
                        <w:szCs w:val="24"/>
                      </w:rPr>
                      <w:t>Washington, D.C. 20554</w:t>
                    </w:r>
                  </w:p>
                </w:txbxContent>
              </v:textbox>
            </v:shape>
          </w:pict>
        </mc:Fallback>
      </mc:AlternateContent>
    </w:r>
    <w:r>
      <w:rPr>
        <w:noProof/>
      </w:rPr>
      <mc:AlternateContent>
        <mc:Choice Requires="wps">
          <w:drawing>
            <wp:anchor distT="0" distB="0" distL="114300" distR="114300" simplePos="0" relativeHeight="251666432" behindDoc="0" locked="0" layoutInCell="0" allowOverlap="1" wp14:anchorId="27585A6A" wp14:editId="03916D74">
              <wp:simplePos x="0" y="0"/>
              <wp:positionH relativeFrom="column">
                <wp:posOffset>0</wp:posOffset>
              </wp:positionH>
              <wp:positionV relativeFrom="paragraph">
                <wp:posOffset>697865</wp:posOffset>
              </wp:positionV>
              <wp:extent cx="6858000" cy="2540"/>
              <wp:effectExtent l="0" t="0" r="19050" b="355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p>
  <w:p w:rsidR="00D15778" w:rsidRDefault="00D15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1A3"/>
    <w:multiLevelType w:val="hybridMultilevel"/>
    <w:tmpl w:val="FC9C8F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85905"/>
    <w:multiLevelType w:val="hybridMultilevel"/>
    <w:tmpl w:val="016E53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FF76E0"/>
    <w:multiLevelType w:val="hybridMultilevel"/>
    <w:tmpl w:val="016E53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F40A0F"/>
    <w:multiLevelType w:val="singleLevel"/>
    <w:tmpl w:val="08143C50"/>
    <w:lvl w:ilvl="0">
      <w:start w:val="1"/>
      <w:numFmt w:val="bullet"/>
      <w:lvlText w:val=""/>
      <w:lvlJc w:val="left"/>
      <w:pPr>
        <w:tabs>
          <w:tab w:val="num" w:pos="360"/>
        </w:tabs>
        <w:ind w:left="360" w:hanging="360"/>
      </w:pPr>
      <w:rPr>
        <w:rFonts w:ascii="Symbol" w:hAnsi="Symbol" w:hint="default"/>
      </w:rPr>
    </w:lvl>
  </w:abstractNum>
  <w:abstractNum w:abstractNumId="7">
    <w:nsid w:val="27E06CBB"/>
    <w:multiLevelType w:val="multilevel"/>
    <w:tmpl w:val="8D96592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3164795C"/>
    <w:multiLevelType w:val="hybridMultilevel"/>
    <w:tmpl w:val="573E6E52"/>
    <w:lvl w:ilvl="0" w:tplc="9BB8893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DE31FD3"/>
    <w:multiLevelType w:val="hybridMultilevel"/>
    <w:tmpl w:val="EB96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D180CED0"/>
    <w:lvl w:ilvl="0">
      <w:start w:val="1"/>
      <w:numFmt w:val="decimal"/>
      <w:lvlText w:val="%1."/>
      <w:lvlJc w:val="left"/>
      <w:pPr>
        <w:tabs>
          <w:tab w:val="num" w:pos="1080"/>
        </w:tabs>
        <w:ind w:left="0" w:firstLine="720"/>
      </w:pPr>
    </w:lvl>
  </w:abstractNum>
  <w:abstractNum w:abstractNumId="1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
  </w:num>
  <w:num w:numId="12">
    <w:abstractNumId w:val="2"/>
  </w:num>
  <w:num w:numId="13">
    <w:abstractNumId w:val="18"/>
  </w:num>
  <w:num w:numId="14">
    <w:abstractNumId w:val="10"/>
  </w:num>
  <w:num w:numId="15">
    <w:abstractNumId w:val="17"/>
  </w:num>
  <w:num w:numId="16">
    <w:abstractNumId w:val="0"/>
  </w:num>
  <w:num w:numId="17">
    <w:abstractNumId w:val="4"/>
  </w:num>
  <w:num w:numId="18">
    <w:abstractNumId w:val="5"/>
  </w:num>
  <w:num w:numId="19">
    <w:abstractNumId w:val="9"/>
  </w:num>
  <w:num w:numId="20">
    <w:abstractNumId w:val="14"/>
  </w:num>
  <w:num w:numId="21">
    <w:abstractNumId w:val="13"/>
  </w:num>
  <w:num w:numId="22">
    <w:abstractNumId w:val="15"/>
  </w:num>
  <w:num w:numId="23">
    <w:abstractNumId w:val="8"/>
  </w:num>
  <w:num w:numId="24">
    <w:abstractNumId w:val="12"/>
  </w:num>
  <w:num w:numId="25">
    <w:abstractNumId w:val="11"/>
  </w:num>
  <w:num w:numId="26">
    <w:abstractNumId w:val="14"/>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5"/>
  </w:num>
  <w:num w:numId="35">
    <w:abstractNumId w:val="13"/>
  </w:num>
  <w:num w:numId="36">
    <w:abstractNumId w:val="12"/>
  </w:num>
  <w:num w:numId="37">
    <w:abstractNumId w:val="11"/>
  </w:num>
  <w:num w:numId="38">
    <w:abstractNumId w:val="14"/>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5"/>
  </w:num>
  <w:num w:numId="47">
    <w:abstractNumId w:val="13"/>
  </w:num>
  <w:num w:numId="48">
    <w:abstractNumId w:val="12"/>
  </w:num>
  <w:num w:numId="49">
    <w:abstractNumId w:val="11"/>
  </w:num>
  <w:num w:numId="50">
    <w:abstractNumId w:val="14"/>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5"/>
  </w:num>
  <w:num w:numId="59">
    <w:abstractNumId w:val="13"/>
  </w:num>
  <w:num w:numId="60">
    <w:abstractNumId w:val="12"/>
  </w:num>
  <w:num w:numId="61">
    <w:abstractNumId w:val="11"/>
  </w:num>
  <w:num w:numId="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72"/>
    <w:rsid w:val="00007851"/>
    <w:rsid w:val="000117BA"/>
    <w:rsid w:val="0001693A"/>
    <w:rsid w:val="000235DF"/>
    <w:rsid w:val="00035846"/>
    <w:rsid w:val="00041482"/>
    <w:rsid w:val="000418D5"/>
    <w:rsid w:val="00045C1C"/>
    <w:rsid w:val="000511F0"/>
    <w:rsid w:val="00055677"/>
    <w:rsid w:val="00060215"/>
    <w:rsid w:val="00060C13"/>
    <w:rsid w:val="000612DF"/>
    <w:rsid w:val="00062525"/>
    <w:rsid w:val="00063970"/>
    <w:rsid w:val="00064062"/>
    <w:rsid w:val="00066780"/>
    <w:rsid w:val="0007129A"/>
    <w:rsid w:val="00073329"/>
    <w:rsid w:val="000777E4"/>
    <w:rsid w:val="00080324"/>
    <w:rsid w:val="00093508"/>
    <w:rsid w:val="00096AEC"/>
    <w:rsid w:val="00097A85"/>
    <w:rsid w:val="000A08AA"/>
    <w:rsid w:val="000A2274"/>
    <w:rsid w:val="000A2B80"/>
    <w:rsid w:val="000A3F51"/>
    <w:rsid w:val="000A50C4"/>
    <w:rsid w:val="000A6B53"/>
    <w:rsid w:val="000B31BC"/>
    <w:rsid w:val="000B49F6"/>
    <w:rsid w:val="000C2359"/>
    <w:rsid w:val="000C7279"/>
    <w:rsid w:val="000D17FE"/>
    <w:rsid w:val="000D6F87"/>
    <w:rsid w:val="000E0A2D"/>
    <w:rsid w:val="000E0A52"/>
    <w:rsid w:val="000E2FFA"/>
    <w:rsid w:val="000F03AD"/>
    <w:rsid w:val="000F3C22"/>
    <w:rsid w:val="000F416E"/>
    <w:rsid w:val="000F76E1"/>
    <w:rsid w:val="001010E6"/>
    <w:rsid w:val="0010213F"/>
    <w:rsid w:val="00102264"/>
    <w:rsid w:val="00110318"/>
    <w:rsid w:val="00113076"/>
    <w:rsid w:val="00116333"/>
    <w:rsid w:val="00123273"/>
    <w:rsid w:val="00123C47"/>
    <w:rsid w:val="00127A8C"/>
    <w:rsid w:val="00130BF4"/>
    <w:rsid w:val="00133528"/>
    <w:rsid w:val="00141239"/>
    <w:rsid w:val="001507FD"/>
    <w:rsid w:val="001557BC"/>
    <w:rsid w:val="00171DCA"/>
    <w:rsid w:val="00172928"/>
    <w:rsid w:val="00172C6C"/>
    <w:rsid w:val="00174758"/>
    <w:rsid w:val="001766DE"/>
    <w:rsid w:val="001834BB"/>
    <w:rsid w:val="0018463C"/>
    <w:rsid w:val="0018769B"/>
    <w:rsid w:val="001924B7"/>
    <w:rsid w:val="00193850"/>
    <w:rsid w:val="00194267"/>
    <w:rsid w:val="00195E4A"/>
    <w:rsid w:val="001A6D88"/>
    <w:rsid w:val="001B2AEA"/>
    <w:rsid w:val="001C05D5"/>
    <w:rsid w:val="001C71A3"/>
    <w:rsid w:val="001D0C69"/>
    <w:rsid w:val="001D1A7A"/>
    <w:rsid w:val="001D5458"/>
    <w:rsid w:val="001D5FCF"/>
    <w:rsid w:val="001E0864"/>
    <w:rsid w:val="001E70E1"/>
    <w:rsid w:val="001F0C64"/>
    <w:rsid w:val="001F1085"/>
    <w:rsid w:val="001F33F7"/>
    <w:rsid w:val="001F56FD"/>
    <w:rsid w:val="001F7586"/>
    <w:rsid w:val="00204460"/>
    <w:rsid w:val="00210236"/>
    <w:rsid w:val="00214FE2"/>
    <w:rsid w:val="0021576E"/>
    <w:rsid w:val="00215FBB"/>
    <w:rsid w:val="00220BAB"/>
    <w:rsid w:val="0022221C"/>
    <w:rsid w:val="002223B1"/>
    <w:rsid w:val="00222A6B"/>
    <w:rsid w:val="0022449E"/>
    <w:rsid w:val="0022656C"/>
    <w:rsid w:val="002269C7"/>
    <w:rsid w:val="00226A8F"/>
    <w:rsid w:val="00227717"/>
    <w:rsid w:val="0023072B"/>
    <w:rsid w:val="00233588"/>
    <w:rsid w:val="00234541"/>
    <w:rsid w:val="002371F2"/>
    <w:rsid w:val="0023736F"/>
    <w:rsid w:val="0024208E"/>
    <w:rsid w:val="0024669A"/>
    <w:rsid w:val="002521D0"/>
    <w:rsid w:val="00256AFB"/>
    <w:rsid w:val="00260CEF"/>
    <w:rsid w:val="002626ED"/>
    <w:rsid w:val="002670B9"/>
    <w:rsid w:val="00267A49"/>
    <w:rsid w:val="00272595"/>
    <w:rsid w:val="002745E8"/>
    <w:rsid w:val="00282142"/>
    <w:rsid w:val="00283960"/>
    <w:rsid w:val="002854EA"/>
    <w:rsid w:val="00286972"/>
    <w:rsid w:val="002A2E89"/>
    <w:rsid w:val="002A5513"/>
    <w:rsid w:val="002B2C73"/>
    <w:rsid w:val="002C0D3D"/>
    <w:rsid w:val="002C1E85"/>
    <w:rsid w:val="002C2E17"/>
    <w:rsid w:val="002C4731"/>
    <w:rsid w:val="002D33B0"/>
    <w:rsid w:val="002D373A"/>
    <w:rsid w:val="002D4B02"/>
    <w:rsid w:val="002D57F9"/>
    <w:rsid w:val="002D6214"/>
    <w:rsid w:val="002D6526"/>
    <w:rsid w:val="002E1578"/>
    <w:rsid w:val="002E278A"/>
    <w:rsid w:val="0030338E"/>
    <w:rsid w:val="00303CF7"/>
    <w:rsid w:val="00305909"/>
    <w:rsid w:val="003103D6"/>
    <w:rsid w:val="003112DA"/>
    <w:rsid w:val="0031561F"/>
    <w:rsid w:val="00321708"/>
    <w:rsid w:val="00322E39"/>
    <w:rsid w:val="00323316"/>
    <w:rsid w:val="00324DB2"/>
    <w:rsid w:val="003275D4"/>
    <w:rsid w:val="003306DA"/>
    <w:rsid w:val="00337EAE"/>
    <w:rsid w:val="00350421"/>
    <w:rsid w:val="00352BE0"/>
    <w:rsid w:val="00361DAF"/>
    <w:rsid w:val="00366D3F"/>
    <w:rsid w:val="00370888"/>
    <w:rsid w:val="00372409"/>
    <w:rsid w:val="003726DF"/>
    <w:rsid w:val="00373AC8"/>
    <w:rsid w:val="00374501"/>
    <w:rsid w:val="003813F7"/>
    <w:rsid w:val="00384B2E"/>
    <w:rsid w:val="00384C4B"/>
    <w:rsid w:val="00386BF2"/>
    <w:rsid w:val="0039337A"/>
    <w:rsid w:val="00393C93"/>
    <w:rsid w:val="00395C33"/>
    <w:rsid w:val="003A5E15"/>
    <w:rsid w:val="003B12E7"/>
    <w:rsid w:val="003B2DCE"/>
    <w:rsid w:val="003B59FA"/>
    <w:rsid w:val="003C118F"/>
    <w:rsid w:val="003C40BD"/>
    <w:rsid w:val="003C4D47"/>
    <w:rsid w:val="003C7264"/>
    <w:rsid w:val="003C7F88"/>
    <w:rsid w:val="003D1790"/>
    <w:rsid w:val="003D4B5C"/>
    <w:rsid w:val="003D5259"/>
    <w:rsid w:val="003D665B"/>
    <w:rsid w:val="003E5F32"/>
    <w:rsid w:val="003E74E4"/>
    <w:rsid w:val="004102DF"/>
    <w:rsid w:val="00414D0C"/>
    <w:rsid w:val="0041656F"/>
    <w:rsid w:val="00416B1C"/>
    <w:rsid w:val="00417B8F"/>
    <w:rsid w:val="00417E25"/>
    <w:rsid w:val="00421A20"/>
    <w:rsid w:val="00421AA2"/>
    <w:rsid w:val="00421D33"/>
    <w:rsid w:val="00423C33"/>
    <w:rsid w:val="004315BA"/>
    <w:rsid w:val="004342AC"/>
    <w:rsid w:val="00434529"/>
    <w:rsid w:val="00437835"/>
    <w:rsid w:val="004409D1"/>
    <w:rsid w:val="00447401"/>
    <w:rsid w:val="00452D16"/>
    <w:rsid w:val="0045310C"/>
    <w:rsid w:val="00457AF9"/>
    <w:rsid w:val="00460671"/>
    <w:rsid w:val="00466A5E"/>
    <w:rsid w:val="00470043"/>
    <w:rsid w:val="00471143"/>
    <w:rsid w:val="004717BD"/>
    <w:rsid w:val="004733E4"/>
    <w:rsid w:val="004743BA"/>
    <w:rsid w:val="00476379"/>
    <w:rsid w:val="004773D6"/>
    <w:rsid w:val="004778CB"/>
    <w:rsid w:val="00481153"/>
    <w:rsid w:val="004825EA"/>
    <w:rsid w:val="0048408E"/>
    <w:rsid w:val="00486F8C"/>
    <w:rsid w:val="00493508"/>
    <w:rsid w:val="004936E6"/>
    <w:rsid w:val="004952A6"/>
    <w:rsid w:val="00496033"/>
    <w:rsid w:val="00496EBD"/>
    <w:rsid w:val="00497FAF"/>
    <w:rsid w:val="00497FB1"/>
    <w:rsid w:val="004A7A0E"/>
    <w:rsid w:val="004B652B"/>
    <w:rsid w:val="004C52F1"/>
    <w:rsid w:val="004C57FC"/>
    <w:rsid w:val="004D0216"/>
    <w:rsid w:val="004D3140"/>
    <w:rsid w:val="004D4E66"/>
    <w:rsid w:val="004E0FB0"/>
    <w:rsid w:val="004E257D"/>
    <w:rsid w:val="004E26EB"/>
    <w:rsid w:val="004F412B"/>
    <w:rsid w:val="004F4AF7"/>
    <w:rsid w:val="00521BBA"/>
    <w:rsid w:val="00523924"/>
    <w:rsid w:val="0052454B"/>
    <w:rsid w:val="00546C79"/>
    <w:rsid w:val="005513AD"/>
    <w:rsid w:val="005521DC"/>
    <w:rsid w:val="00553C6C"/>
    <w:rsid w:val="0056267E"/>
    <w:rsid w:val="0056555D"/>
    <w:rsid w:val="00570A0A"/>
    <w:rsid w:val="00572B28"/>
    <w:rsid w:val="00573F25"/>
    <w:rsid w:val="005808C8"/>
    <w:rsid w:val="00581B24"/>
    <w:rsid w:val="00582267"/>
    <w:rsid w:val="00582A8C"/>
    <w:rsid w:val="005838C1"/>
    <w:rsid w:val="00584EE4"/>
    <w:rsid w:val="00594024"/>
    <w:rsid w:val="00596E4D"/>
    <w:rsid w:val="005A4B42"/>
    <w:rsid w:val="005A5CAC"/>
    <w:rsid w:val="005A623F"/>
    <w:rsid w:val="005B14BB"/>
    <w:rsid w:val="005B1A6B"/>
    <w:rsid w:val="005B1C4B"/>
    <w:rsid w:val="005B7362"/>
    <w:rsid w:val="005C58CA"/>
    <w:rsid w:val="005C5D30"/>
    <w:rsid w:val="005C6A3A"/>
    <w:rsid w:val="005D15DD"/>
    <w:rsid w:val="005D3C73"/>
    <w:rsid w:val="005D5579"/>
    <w:rsid w:val="005E4118"/>
    <w:rsid w:val="005F04B9"/>
    <w:rsid w:val="005F26D1"/>
    <w:rsid w:val="005F6DB3"/>
    <w:rsid w:val="0060760F"/>
    <w:rsid w:val="0061236E"/>
    <w:rsid w:val="0061244A"/>
    <w:rsid w:val="00614B5B"/>
    <w:rsid w:val="00632906"/>
    <w:rsid w:val="0063531C"/>
    <w:rsid w:val="00645955"/>
    <w:rsid w:val="006474DD"/>
    <w:rsid w:val="006534EB"/>
    <w:rsid w:val="00654D5E"/>
    <w:rsid w:val="006562B2"/>
    <w:rsid w:val="00665D16"/>
    <w:rsid w:val="00665E85"/>
    <w:rsid w:val="00671173"/>
    <w:rsid w:val="0067519F"/>
    <w:rsid w:val="006756F4"/>
    <w:rsid w:val="00680863"/>
    <w:rsid w:val="00682C1B"/>
    <w:rsid w:val="00692EED"/>
    <w:rsid w:val="00695E32"/>
    <w:rsid w:val="006A14A5"/>
    <w:rsid w:val="006A14CE"/>
    <w:rsid w:val="006A21C5"/>
    <w:rsid w:val="006A5794"/>
    <w:rsid w:val="006B045C"/>
    <w:rsid w:val="006B7320"/>
    <w:rsid w:val="006C0D3D"/>
    <w:rsid w:val="006C5226"/>
    <w:rsid w:val="006C534A"/>
    <w:rsid w:val="006D096D"/>
    <w:rsid w:val="006D380F"/>
    <w:rsid w:val="006D5BC0"/>
    <w:rsid w:val="006D7B96"/>
    <w:rsid w:val="006E0565"/>
    <w:rsid w:val="006E0D61"/>
    <w:rsid w:val="006E1641"/>
    <w:rsid w:val="006E1C7A"/>
    <w:rsid w:val="006F056E"/>
    <w:rsid w:val="006F0AE2"/>
    <w:rsid w:val="006F21D7"/>
    <w:rsid w:val="00701186"/>
    <w:rsid w:val="00701E3A"/>
    <w:rsid w:val="007020C9"/>
    <w:rsid w:val="00702EA7"/>
    <w:rsid w:val="007054DA"/>
    <w:rsid w:val="00713A63"/>
    <w:rsid w:val="00715D13"/>
    <w:rsid w:val="00724A4A"/>
    <w:rsid w:val="007262DE"/>
    <w:rsid w:val="00727AB4"/>
    <w:rsid w:val="00730083"/>
    <w:rsid w:val="007368B9"/>
    <w:rsid w:val="0073774F"/>
    <w:rsid w:val="007403E3"/>
    <w:rsid w:val="00740EB0"/>
    <w:rsid w:val="00757075"/>
    <w:rsid w:val="00760889"/>
    <w:rsid w:val="00762AB3"/>
    <w:rsid w:val="00762B8E"/>
    <w:rsid w:val="007631C7"/>
    <w:rsid w:val="00763B39"/>
    <w:rsid w:val="00763EDA"/>
    <w:rsid w:val="00766C18"/>
    <w:rsid w:val="00772F98"/>
    <w:rsid w:val="0077543A"/>
    <w:rsid w:val="00780295"/>
    <w:rsid w:val="00786C56"/>
    <w:rsid w:val="007A6DAB"/>
    <w:rsid w:val="007B6133"/>
    <w:rsid w:val="007C021C"/>
    <w:rsid w:val="007C07F0"/>
    <w:rsid w:val="007C1843"/>
    <w:rsid w:val="007D2572"/>
    <w:rsid w:val="007D2824"/>
    <w:rsid w:val="007D5E06"/>
    <w:rsid w:val="007D6075"/>
    <w:rsid w:val="007D6475"/>
    <w:rsid w:val="007E1093"/>
    <w:rsid w:val="007F260F"/>
    <w:rsid w:val="007F3A9E"/>
    <w:rsid w:val="007F5216"/>
    <w:rsid w:val="007F5C06"/>
    <w:rsid w:val="00800EA4"/>
    <w:rsid w:val="00804B7D"/>
    <w:rsid w:val="0081006B"/>
    <w:rsid w:val="00814792"/>
    <w:rsid w:val="00815937"/>
    <w:rsid w:val="00816634"/>
    <w:rsid w:val="00816979"/>
    <w:rsid w:val="008174D7"/>
    <w:rsid w:val="00825221"/>
    <w:rsid w:val="0082785C"/>
    <w:rsid w:val="00833378"/>
    <w:rsid w:val="00834276"/>
    <w:rsid w:val="00835260"/>
    <w:rsid w:val="008354B9"/>
    <w:rsid w:val="00835DDA"/>
    <w:rsid w:val="00836F96"/>
    <w:rsid w:val="00840AFB"/>
    <w:rsid w:val="00840D6D"/>
    <w:rsid w:val="00845B33"/>
    <w:rsid w:val="008472AC"/>
    <w:rsid w:val="008473A3"/>
    <w:rsid w:val="00847EBE"/>
    <w:rsid w:val="008541C4"/>
    <w:rsid w:val="0085687E"/>
    <w:rsid w:val="00857F9C"/>
    <w:rsid w:val="00860212"/>
    <w:rsid w:val="00863FD7"/>
    <w:rsid w:val="00865F6F"/>
    <w:rsid w:val="00871164"/>
    <w:rsid w:val="0087118C"/>
    <w:rsid w:val="0087700D"/>
    <w:rsid w:val="00880687"/>
    <w:rsid w:val="0088267E"/>
    <w:rsid w:val="0089234D"/>
    <w:rsid w:val="00893739"/>
    <w:rsid w:val="0089473A"/>
    <w:rsid w:val="00897167"/>
    <w:rsid w:val="008A444D"/>
    <w:rsid w:val="008C5ED0"/>
    <w:rsid w:val="008C6A01"/>
    <w:rsid w:val="008D0FAF"/>
    <w:rsid w:val="008E2AC0"/>
    <w:rsid w:val="008E3845"/>
    <w:rsid w:val="008E4E3E"/>
    <w:rsid w:val="008E5905"/>
    <w:rsid w:val="008E5F2C"/>
    <w:rsid w:val="008F16EF"/>
    <w:rsid w:val="008F4433"/>
    <w:rsid w:val="008F4987"/>
    <w:rsid w:val="00900CD8"/>
    <w:rsid w:val="00902372"/>
    <w:rsid w:val="00910B16"/>
    <w:rsid w:val="0091316C"/>
    <w:rsid w:val="009137E0"/>
    <w:rsid w:val="0091387B"/>
    <w:rsid w:val="00914883"/>
    <w:rsid w:val="00920F4A"/>
    <w:rsid w:val="00927055"/>
    <w:rsid w:val="0092718D"/>
    <w:rsid w:val="0093766C"/>
    <w:rsid w:val="00950C27"/>
    <w:rsid w:val="00952420"/>
    <w:rsid w:val="009531A5"/>
    <w:rsid w:val="00954411"/>
    <w:rsid w:val="009559D0"/>
    <w:rsid w:val="009565D3"/>
    <w:rsid w:val="00956890"/>
    <w:rsid w:val="00961DF5"/>
    <w:rsid w:val="00974140"/>
    <w:rsid w:val="00980627"/>
    <w:rsid w:val="009846A0"/>
    <w:rsid w:val="00985E42"/>
    <w:rsid w:val="00992B8A"/>
    <w:rsid w:val="009945A5"/>
    <w:rsid w:val="00995CD0"/>
    <w:rsid w:val="009A41F9"/>
    <w:rsid w:val="009B633C"/>
    <w:rsid w:val="009C6EDC"/>
    <w:rsid w:val="009C7814"/>
    <w:rsid w:val="009C7881"/>
    <w:rsid w:val="009D292C"/>
    <w:rsid w:val="009D4162"/>
    <w:rsid w:val="009E1814"/>
    <w:rsid w:val="009E22DA"/>
    <w:rsid w:val="009E67F4"/>
    <w:rsid w:val="009F3588"/>
    <w:rsid w:val="009F6E69"/>
    <w:rsid w:val="00A01061"/>
    <w:rsid w:val="00A05C6D"/>
    <w:rsid w:val="00A10193"/>
    <w:rsid w:val="00A12337"/>
    <w:rsid w:val="00A139DC"/>
    <w:rsid w:val="00A17398"/>
    <w:rsid w:val="00A22177"/>
    <w:rsid w:val="00A24917"/>
    <w:rsid w:val="00A24B89"/>
    <w:rsid w:val="00A255C3"/>
    <w:rsid w:val="00A30440"/>
    <w:rsid w:val="00A36831"/>
    <w:rsid w:val="00A40D1C"/>
    <w:rsid w:val="00A43776"/>
    <w:rsid w:val="00A45274"/>
    <w:rsid w:val="00A519F8"/>
    <w:rsid w:val="00A53B06"/>
    <w:rsid w:val="00A540F9"/>
    <w:rsid w:val="00A5653C"/>
    <w:rsid w:val="00A566FB"/>
    <w:rsid w:val="00A61407"/>
    <w:rsid w:val="00A63A8D"/>
    <w:rsid w:val="00A703F2"/>
    <w:rsid w:val="00A756FE"/>
    <w:rsid w:val="00A77F3A"/>
    <w:rsid w:val="00A85957"/>
    <w:rsid w:val="00A86CE0"/>
    <w:rsid w:val="00A87152"/>
    <w:rsid w:val="00A94683"/>
    <w:rsid w:val="00A950EF"/>
    <w:rsid w:val="00A951EA"/>
    <w:rsid w:val="00AA08CA"/>
    <w:rsid w:val="00AA42E6"/>
    <w:rsid w:val="00AA515B"/>
    <w:rsid w:val="00AB28C2"/>
    <w:rsid w:val="00AB3893"/>
    <w:rsid w:val="00AB5939"/>
    <w:rsid w:val="00AC116A"/>
    <w:rsid w:val="00AC5914"/>
    <w:rsid w:val="00AD6A5A"/>
    <w:rsid w:val="00AD7227"/>
    <w:rsid w:val="00AE2B54"/>
    <w:rsid w:val="00AE2EFA"/>
    <w:rsid w:val="00AE4E12"/>
    <w:rsid w:val="00AE5388"/>
    <w:rsid w:val="00AE622A"/>
    <w:rsid w:val="00AE6D6F"/>
    <w:rsid w:val="00AE7110"/>
    <w:rsid w:val="00AE765B"/>
    <w:rsid w:val="00AF3A7E"/>
    <w:rsid w:val="00AF53CC"/>
    <w:rsid w:val="00AF7F5B"/>
    <w:rsid w:val="00B00AB1"/>
    <w:rsid w:val="00B06EA7"/>
    <w:rsid w:val="00B0705A"/>
    <w:rsid w:val="00B143B0"/>
    <w:rsid w:val="00B21170"/>
    <w:rsid w:val="00B2248F"/>
    <w:rsid w:val="00B24C74"/>
    <w:rsid w:val="00B42E1C"/>
    <w:rsid w:val="00B44D60"/>
    <w:rsid w:val="00B623D8"/>
    <w:rsid w:val="00B629B0"/>
    <w:rsid w:val="00B62E4B"/>
    <w:rsid w:val="00B64C4B"/>
    <w:rsid w:val="00B7230F"/>
    <w:rsid w:val="00B768A5"/>
    <w:rsid w:val="00B818DD"/>
    <w:rsid w:val="00B8543B"/>
    <w:rsid w:val="00B8750D"/>
    <w:rsid w:val="00B91671"/>
    <w:rsid w:val="00B92673"/>
    <w:rsid w:val="00B93D83"/>
    <w:rsid w:val="00BA1DD2"/>
    <w:rsid w:val="00BA417E"/>
    <w:rsid w:val="00BA5439"/>
    <w:rsid w:val="00BA5937"/>
    <w:rsid w:val="00BA7FB6"/>
    <w:rsid w:val="00BB0FF6"/>
    <w:rsid w:val="00BB368C"/>
    <w:rsid w:val="00BC5C10"/>
    <w:rsid w:val="00BC66AA"/>
    <w:rsid w:val="00BC74A2"/>
    <w:rsid w:val="00BD3CA2"/>
    <w:rsid w:val="00BD569B"/>
    <w:rsid w:val="00BE082E"/>
    <w:rsid w:val="00BE1DCC"/>
    <w:rsid w:val="00BE408A"/>
    <w:rsid w:val="00BF13AB"/>
    <w:rsid w:val="00BF46A7"/>
    <w:rsid w:val="00BF74D0"/>
    <w:rsid w:val="00C00CEC"/>
    <w:rsid w:val="00C0341F"/>
    <w:rsid w:val="00C034B1"/>
    <w:rsid w:val="00C04B95"/>
    <w:rsid w:val="00C07D9C"/>
    <w:rsid w:val="00C10FC2"/>
    <w:rsid w:val="00C12002"/>
    <w:rsid w:val="00C13F6D"/>
    <w:rsid w:val="00C14A40"/>
    <w:rsid w:val="00C15D6B"/>
    <w:rsid w:val="00C21122"/>
    <w:rsid w:val="00C21DE0"/>
    <w:rsid w:val="00C23645"/>
    <w:rsid w:val="00C25780"/>
    <w:rsid w:val="00C271E3"/>
    <w:rsid w:val="00C315B6"/>
    <w:rsid w:val="00C32014"/>
    <w:rsid w:val="00C330D6"/>
    <w:rsid w:val="00C337F9"/>
    <w:rsid w:val="00C41BFB"/>
    <w:rsid w:val="00C46D49"/>
    <w:rsid w:val="00C513C5"/>
    <w:rsid w:val="00C5360D"/>
    <w:rsid w:val="00C54122"/>
    <w:rsid w:val="00C564B8"/>
    <w:rsid w:val="00C57046"/>
    <w:rsid w:val="00C63453"/>
    <w:rsid w:val="00C64FEE"/>
    <w:rsid w:val="00C65605"/>
    <w:rsid w:val="00C66969"/>
    <w:rsid w:val="00C66B3F"/>
    <w:rsid w:val="00C72337"/>
    <w:rsid w:val="00C74204"/>
    <w:rsid w:val="00C774F4"/>
    <w:rsid w:val="00C83291"/>
    <w:rsid w:val="00C8365F"/>
    <w:rsid w:val="00C92475"/>
    <w:rsid w:val="00C92A9F"/>
    <w:rsid w:val="00C942CC"/>
    <w:rsid w:val="00C97AC4"/>
    <w:rsid w:val="00CA0834"/>
    <w:rsid w:val="00CA1475"/>
    <w:rsid w:val="00CA1D2E"/>
    <w:rsid w:val="00CA3B6F"/>
    <w:rsid w:val="00CA5CFE"/>
    <w:rsid w:val="00CA79E7"/>
    <w:rsid w:val="00CB2A2C"/>
    <w:rsid w:val="00CB47F4"/>
    <w:rsid w:val="00CC1C28"/>
    <w:rsid w:val="00CC35B6"/>
    <w:rsid w:val="00CC7304"/>
    <w:rsid w:val="00CD36FB"/>
    <w:rsid w:val="00CD5AA6"/>
    <w:rsid w:val="00CD5B58"/>
    <w:rsid w:val="00CE0C55"/>
    <w:rsid w:val="00CE454F"/>
    <w:rsid w:val="00CE6A5C"/>
    <w:rsid w:val="00CE7597"/>
    <w:rsid w:val="00CF4CC2"/>
    <w:rsid w:val="00CF60A2"/>
    <w:rsid w:val="00D04162"/>
    <w:rsid w:val="00D12C83"/>
    <w:rsid w:val="00D1304A"/>
    <w:rsid w:val="00D15778"/>
    <w:rsid w:val="00D22F7B"/>
    <w:rsid w:val="00D2321C"/>
    <w:rsid w:val="00D264C0"/>
    <w:rsid w:val="00D30B78"/>
    <w:rsid w:val="00D427C8"/>
    <w:rsid w:val="00D47D5B"/>
    <w:rsid w:val="00D52C28"/>
    <w:rsid w:val="00D536DD"/>
    <w:rsid w:val="00D53A44"/>
    <w:rsid w:val="00D5509F"/>
    <w:rsid w:val="00D67384"/>
    <w:rsid w:val="00D74DEA"/>
    <w:rsid w:val="00D77728"/>
    <w:rsid w:val="00D80636"/>
    <w:rsid w:val="00D837CC"/>
    <w:rsid w:val="00D83E22"/>
    <w:rsid w:val="00D85660"/>
    <w:rsid w:val="00D87AE9"/>
    <w:rsid w:val="00D91E2D"/>
    <w:rsid w:val="00D961B8"/>
    <w:rsid w:val="00DA013F"/>
    <w:rsid w:val="00DA22A2"/>
    <w:rsid w:val="00DA43ED"/>
    <w:rsid w:val="00DA619E"/>
    <w:rsid w:val="00DB7C3D"/>
    <w:rsid w:val="00DD1A24"/>
    <w:rsid w:val="00DD3CB5"/>
    <w:rsid w:val="00DD5E2D"/>
    <w:rsid w:val="00DD7F8F"/>
    <w:rsid w:val="00DE0ED0"/>
    <w:rsid w:val="00DE16FE"/>
    <w:rsid w:val="00DE5A43"/>
    <w:rsid w:val="00DF121C"/>
    <w:rsid w:val="00DF3962"/>
    <w:rsid w:val="00DF7D65"/>
    <w:rsid w:val="00E00284"/>
    <w:rsid w:val="00E020E0"/>
    <w:rsid w:val="00E07310"/>
    <w:rsid w:val="00E12A5C"/>
    <w:rsid w:val="00E16260"/>
    <w:rsid w:val="00E16EB7"/>
    <w:rsid w:val="00E242CE"/>
    <w:rsid w:val="00E26039"/>
    <w:rsid w:val="00E2731A"/>
    <w:rsid w:val="00E312AE"/>
    <w:rsid w:val="00E362D2"/>
    <w:rsid w:val="00E426D0"/>
    <w:rsid w:val="00E460A1"/>
    <w:rsid w:val="00E51040"/>
    <w:rsid w:val="00E5241E"/>
    <w:rsid w:val="00E6089C"/>
    <w:rsid w:val="00E60ED0"/>
    <w:rsid w:val="00E649A2"/>
    <w:rsid w:val="00E6748F"/>
    <w:rsid w:val="00E67CF7"/>
    <w:rsid w:val="00E71EF9"/>
    <w:rsid w:val="00E72990"/>
    <w:rsid w:val="00E72F8D"/>
    <w:rsid w:val="00E730EB"/>
    <w:rsid w:val="00E745F3"/>
    <w:rsid w:val="00E823EF"/>
    <w:rsid w:val="00E85433"/>
    <w:rsid w:val="00E8737F"/>
    <w:rsid w:val="00E87C6F"/>
    <w:rsid w:val="00E90808"/>
    <w:rsid w:val="00E94EDB"/>
    <w:rsid w:val="00E96949"/>
    <w:rsid w:val="00EA5E2D"/>
    <w:rsid w:val="00EB5E99"/>
    <w:rsid w:val="00EB6A78"/>
    <w:rsid w:val="00EC1199"/>
    <w:rsid w:val="00EC3136"/>
    <w:rsid w:val="00EC36F2"/>
    <w:rsid w:val="00EC59D6"/>
    <w:rsid w:val="00ED0576"/>
    <w:rsid w:val="00ED4696"/>
    <w:rsid w:val="00ED66C1"/>
    <w:rsid w:val="00ED73EC"/>
    <w:rsid w:val="00EE331A"/>
    <w:rsid w:val="00EF2052"/>
    <w:rsid w:val="00EF651E"/>
    <w:rsid w:val="00F023D6"/>
    <w:rsid w:val="00F2142F"/>
    <w:rsid w:val="00F227DD"/>
    <w:rsid w:val="00F23902"/>
    <w:rsid w:val="00F32C7D"/>
    <w:rsid w:val="00F47D72"/>
    <w:rsid w:val="00F55F9B"/>
    <w:rsid w:val="00F60BCF"/>
    <w:rsid w:val="00F64016"/>
    <w:rsid w:val="00F67774"/>
    <w:rsid w:val="00F818E2"/>
    <w:rsid w:val="00F83059"/>
    <w:rsid w:val="00F83FAA"/>
    <w:rsid w:val="00F92E3C"/>
    <w:rsid w:val="00F96D4D"/>
    <w:rsid w:val="00F97C04"/>
    <w:rsid w:val="00FA1F7D"/>
    <w:rsid w:val="00FA362C"/>
    <w:rsid w:val="00FC0FA2"/>
    <w:rsid w:val="00FD02BD"/>
    <w:rsid w:val="00FE24EC"/>
    <w:rsid w:val="00FE55A7"/>
    <w:rsid w:val="00FE6E60"/>
    <w:rsid w:val="00FE78D8"/>
    <w:rsid w:val="00FE7C8F"/>
    <w:rsid w:val="00FF47C3"/>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49E"/>
    <w:rPr>
      <w:sz w:val="22"/>
    </w:rPr>
  </w:style>
  <w:style w:type="paragraph" w:styleId="Heading1">
    <w:name w:val="heading 1"/>
    <w:basedOn w:val="Normal"/>
    <w:next w:val="Normal"/>
    <w:qFormat/>
    <w:rsid w:val="0022449E"/>
    <w:pPr>
      <w:keepNext/>
      <w:widowControl w:val="0"/>
      <w:numPr>
        <w:numId w:val="21"/>
      </w:numPr>
      <w:suppressAutoHyphens/>
      <w:spacing w:after="220"/>
      <w:jc w:val="both"/>
      <w:outlineLvl w:val="0"/>
    </w:pPr>
    <w:rPr>
      <w:b/>
      <w:caps/>
    </w:rPr>
  </w:style>
  <w:style w:type="paragraph" w:styleId="Heading2">
    <w:name w:val="heading 2"/>
    <w:basedOn w:val="Normal"/>
    <w:next w:val="Normal"/>
    <w:qFormat/>
    <w:rsid w:val="0022449E"/>
    <w:pPr>
      <w:keepNext/>
      <w:widowControl w:val="0"/>
      <w:numPr>
        <w:ilvl w:val="1"/>
        <w:numId w:val="21"/>
      </w:numPr>
      <w:spacing w:after="220"/>
      <w:jc w:val="both"/>
      <w:outlineLvl w:val="1"/>
    </w:pPr>
    <w:rPr>
      <w:b/>
    </w:rPr>
  </w:style>
  <w:style w:type="paragraph" w:styleId="Heading3">
    <w:name w:val="heading 3"/>
    <w:basedOn w:val="Normal"/>
    <w:next w:val="Normal"/>
    <w:qFormat/>
    <w:rsid w:val="0022449E"/>
    <w:pPr>
      <w:keepNext/>
      <w:widowControl w:val="0"/>
      <w:numPr>
        <w:ilvl w:val="2"/>
        <w:numId w:val="21"/>
      </w:numPr>
      <w:spacing w:after="220"/>
      <w:jc w:val="both"/>
      <w:outlineLvl w:val="2"/>
    </w:pPr>
    <w:rPr>
      <w:b/>
    </w:rPr>
  </w:style>
  <w:style w:type="paragraph" w:styleId="Heading4">
    <w:name w:val="heading 4"/>
    <w:basedOn w:val="Normal"/>
    <w:next w:val="Normal"/>
    <w:qFormat/>
    <w:rsid w:val="0022449E"/>
    <w:pPr>
      <w:keepNext/>
      <w:widowControl w:val="0"/>
      <w:numPr>
        <w:ilvl w:val="3"/>
        <w:numId w:val="21"/>
      </w:numPr>
      <w:spacing w:after="220"/>
      <w:jc w:val="both"/>
      <w:outlineLvl w:val="3"/>
    </w:pPr>
    <w:rPr>
      <w:b/>
    </w:rPr>
  </w:style>
  <w:style w:type="paragraph" w:styleId="Heading5">
    <w:name w:val="heading 5"/>
    <w:basedOn w:val="Normal"/>
    <w:next w:val="Normal"/>
    <w:qFormat/>
    <w:rsid w:val="0022449E"/>
    <w:pPr>
      <w:keepNext/>
      <w:widowControl w:val="0"/>
      <w:numPr>
        <w:ilvl w:val="4"/>
        <w:numId w:val="21"/>
      </w:numPr>
      <w:suppressAutoHyphens/>
      <w:spacing w:after="220"/>
      <w:jc w:val="both"/>
      <w:outlineLvl w:val="4"/>
    </w:pPr>
    <w:rPr>
      <w:b/>
    </w:rPr>
  </w:style>
  <w:style w:type="paragraph" w:styleId="Heading6">
    <w:name w:val="heading 6"/>
    <w:basedOn w:val="Normal"/>
    <w:next w:val="Normal"/>
    <w:qFormat/>
    <w:rsid w:val="0022449E"/>
    <w:pPr>
      <w:widowControl w:val="0"/>
      <w:numPr>
        <w:ilvl w:val="5"/>
        <w:numId w:val="21"/>
      </w:numPr>
      <w:spacing w:after="220"/>
      <w:jc w:val="both"/>
      <w:outlineLvl w:val="5"/>
    </w:pPr>
    <w:rPr>
      <w:b/>
    </w:rPr>
  </w:style>
  <w:style w:type="paragraph" w:styleId="Heading7">
    <w:name w:val="heading 7"/>
    <w:basedOn w:val="Normal"/>
    <w:next w:val="Normal"/>
    <w:qFormat/>
    <w:rsid w:val="0022449E"/>
    <w:pPr>
      <w:widowControl w:val="0"/>
      <w:numPr>
        <w:ilvl w:val="7"/>
        <w:numId w:val="21"/>
      </w:numPr>
      <w:spacing w:after="220"/>
      <w:jc w:val="both"/>
      <w:outlineLvl w:val="6"/>
    </w:pPr>
    <w:rPr>
      <w:b/>
    </w:rPr>
  </w:style>
  <w:style w:type="paragraph" w:styleId="Heading8">
    <w:name w:val="heading 8"/>
    <w:basedOn w:val="Normal"/>
    <w:next w:val="Normal"/>
    <w:qFormat/>
    <w:rsid w:val="0022449E"/>
    <w:pPr>
      <w:widowControl w:val="0"/>
      <w:numPr>
        <w:ilvl w:val="7"/>
        <w:numId w:val="22"/>
      </w:numPr>
      <w:tabs>
        <w:tab w:val="clear" w:pos="5400"/>
      </w:tabs>
      <w:spacing w:after="220"/>
      <w:ind w:left="5760" w:hanging="720"/>
      <w:jc w:val="both"/>
      <w:outlineLvl w:val="7"/>
    </w:pPr>
    <w:rPr>
      <w:b/>
    </w:rPr>
  </w:style>
  <w:style w:type="paragraph" w:styleId="Heading9">
    <w:name w:val="heading 9"/>
    <w:basedOn w:val="Normal"/>
    <w:next w:val="Normal"/>
    <w:qFormat/>
    <w:rsid w:val="0022449E"/>
    <w:pPr>
      <w:widowControl w:val="0"/>
      <w:numPr>
        <w:ilvl w:val="8"/>
        <w:numId w:val="21"/>
      </w:numPr>
      <w:spacing w:after="220"/>
      <w:jc w:val="both"/>
      <w:outlineLvl w:val="8"/>
    </w:pPr>
    <w:rPr>
      <w:b/>
    </w:rPr>
  </w:style>
  <w:style w:type="character" w:default="1" w:styleId="DefaultParagraphFont">
    <w:name w:val="Default Paragraph Font"/>
    <w:semiHidden/>
    <w:rsid w:val="002244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449E"/>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22449E"/>
    <w:pPr>
      <w:tabs>
        <w:tab w:val="left" w:pos="720"/>
      </w:tabs>
      <w:spacing w:after="200"/>
    </w:pPr>
  </w:style>
  <w:style w:type="character" w:styleId="FootnoteReference">
    <w:name w:val="footnote reference"/>
    <w:aliases w:val="o,fr,Style 3,Appel note de bas de p,(NECG) Footnote Reference,Style 17,FR,Style 12,Style 124,Style 13,Style 6,Footnote Reference/"/>
    <w:rsid w:val="0022449E"/>
    <w:rPr>
      <w:vertAlign w:val="superscript"/>
    </w:rPr>
  </w:style>
  <w:style w:type="paragraph" w:styleId="TOC1">
    <w:name w:val="toc 1"/>
    <w:basedOn w:val="Normal"/>
    <w:next w:val="Normal"/>
    <w:autoRedefine/>
    <w:semiHidden/>
    <w:rsid w:val="0022449E"/>
    <w:rPr>
      <w:caps/>
    </w:r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sid w:val="0022449E"/>
    <w:pPr>
      <w:spacing w:before="120" w:after="120"/>
    </w:pPr>
    <w:rPr>
      <w:b/>
    </w:rPr>
  </w:style>
  <w:style w:type="character" w:customStyle="1" w:styleId="EquationCaption">
    <w:name w:val="_Equation Caption"/>
  </w:style>
  <w:style w:type="character" w:styleId="Strong">
    <w:name w:val="Strong"/>
    <w:qFormat/>
    <w:rPr>
      <w:b/>
    </w:rPr>
  </w:style>
  <w:style w:type="paragraph" w:styleId="Header">
    <w:name w:val="header"/>
    <w:basedOn w:val="Normal"/>
    <w:link w:val="HeaderChar"/>
    <w:rsid w:val="0022449E"/>
    <w:pPr>
      <w:tabs>
        <w:tab w:val="center" w:pos="4320"/>
        <w:tab w:val="right" w:pos="8640"/>
      </w:tabs>
    </w:pPr>
  </w:style>
  <w:style w:type="paragraph" w:styleId="Footer">
    <w:name w:val="footer"/>
    <w:basedOn w:val="Normal"/>
    <w:link w:val="FooterChar"/>
    <w:rsid w:val="0022449E"/>
    <w:pPr>
      <w:tabs>
        <w:tab w:val="center" w:pos="4320"/>
        <w:tab w:val="right" w:pos="8640"/>
      </w:tabs>
    </w:pPr>
  </w:style>
  <w:style w:type="paragraph" w:styleId="BlockText">
    <w:name w:val="Block Text"/>
    <w:basedOn w:val="Normal"/>
    <w:rsid w:val="0022449E"/>
    <w:pPr>
      <w:widowControl w:val="0"/>
      <w:spacing w:after="220"/>
      <w:ind w:left="1440" w:right="1440"/>
      <w:jc w:val="both"/>
    </w:pPr>
  </w:style>
  <w:style w:type="paragraph" w:customStyle="1" w:styleId="Bullet">
    <w:name w:val="Bullet"/>
    <w:basedOn w:val="Normal"/>
    <w:rsid w:val="0022449E"/>
    <w:pPr>
      <w:widowControl w:val="0"/>
      <w:numPr>
        <w:numId w:val="20"/>
      </w:numPr>
      <w:tabs>
        <w:tab w:val="clear" w:pos="2520"/>
      </w:tabs>
      <w:spacing w:after="220"/>
      <w:ind w:left="2160" w:hanging="720"/>
      <w:jc w:val="both"/>
    </w:pPr>
  </w:style>
  <w:style w:type="character" w:styleId="PageNumber">
    <w:name w:val="page number"/>
    <w:basedOn w:val="DefaultParagraphFont"/>
  </w:style>
  <w:style w:type="paragraph" w:customStyle="1" w:styleId="ParaNum">
    <w:name w:val="ParaNum"/>
    <w:basedOn w:val="Normal"/>
    <w:link w:val="ParaNumChar"/>
    <w:pPr>
      <w:numPr>
        <w:numId w:val="11"/>
      </w:numPr>
      <w:tabs>
        <w:tab w:val="clear" w:pos="1080"/>
      </w:tabs>
      <w:spacing w:after="220"/>
    </w:pPr>
  </w:style>
  <w:style w:type="paragraph" w:customStyle="1" w:styleId="TableFormat">
    <w:name w:val="TableFormat"/>
    <w:basedOn w:val="Bullet"/>
    <w:pPr>
      <w:numPr>
        <w:numId w:val="0"/>
      </w:numPr>
      <w:tabs>
        <w:tab w:val="left" w:pos="5040"/>
      </w:tabs>
      <w:ind w:left="5040" w:hanging="3600"/>
    </w:pPr>
  </w:style>
  <w:style w:type="character" w:styleId="Hyperlink">
    <w:name w:val="Hyperlink"/>
    <w:rsid w:val="0022449E"/>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Footnote Text Char2 Char Char1,Footnote Text Char3 Char Char Char1,Footnote Text Char2 Char Char Char Char1,Footnote Text Char Char Char1 Char Char Char Char,Footnote Text Char1 Char1 Char Char Char Char,fn Char,f Char1"/>
    <w:link w:val="FootnoteText"/>
    <w:rPr>
      <w:sz w:val="22"/>
    </w:rPr>
  </w:style>
  <w:style w:type="character" w:customStyle="1" w:styleId="ParaNumChar">
    <w:name w:val="ParaNum Char"/>
    <w:link w:val="ParaNum"/>
    <w:rPr>
      <w:snapToGrid w:val="0"/>
      <w:kern w:val="28"/>
      <w:sz w:val="22"/>
    </w:rPr>
  </w:style>
  <w:style w:type="character" w:customStyle="1" w:styleId="FootnoteTextChar1">
    <w:name w:val="Footnote Text Char1"/>
    <w:aliases w:val="Footnote Text Char1 Char2 Char,Footnote Text Char Char Char1 Char,Footnote Text Char1 Char1 Char Char,Footnote Text Char2 Char Char,Footnote Text Char Char,Footnote Text Char3 Char Char Char,Footnote Text Char2 Char Char Char Char"/>
    <w:rsid w:val="00172928"/>
    <w:rPr>
      <w:lang w:val="en-US" w:eastAsia="en-US" w:bidi="ar-SA"/>
    </w:rPr>
  </w:style>
  <w:style w:type="paragraph" w:styleId="HTMLPreformatted">
    <w:name w:val="HTML Preformatted"/>
    <w:basedOn w:val="Normal"/>
    <w:link w:val="HTMLPreformattedChar"/>
    <w:uiPriority w:val="99"/>
    <w:unhideWhenUsed/>
    <w:rsid w:val="008A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val="0"/>
      <w:sz w:val="20"/>
    </w:rPr>
  </w:style>
  <w:style w:type="character" w:customStyle="1" w:styleId="HTMLPreformattedChar">
    <w:name w:val="HTML Preformatted Char"/>
    <w:link w:val="HTMLPreformatted"/>
    <w:uiPriority w:val="99"/>
    <w:rsid w:val="008A444D"/>
    <w:rPr>
      <w:rFonts w:ascii="Courier New" w:hAnsi="Courier New" w:cs="Courier New"/>
    </w:rPr>
  </w:style>
  <w:style w:type="paragraph" w:styleId="ListParagraph">
    <w:name w:val="List Paragraph"/>
    <w:basedOn w:val="Normal"/>
    <w:uiPriority w:val="34"/>
    <w:qFormat/>
    <w:rsid w:val="00267A49"/>
    <w:pPr>
      <w:ind w:left="720"/>
    </w:pPr>
  </w:style>
  <w:style w:type="character" w:customStyle="1" w:styleId="FooterChar">
    <w:name w:val="Footer Char"/>
    <w:link w:val="Footer"/>
    <w:rsid w:val="00CA1D2E"/>
    <w:rPr>
      <w:sz w:val="22"/>
    </w:rPr>
  </w:style>
  <w:style w:type="character" w:customStyle="1" w:styleId="apple-converted-space">
    <w:name w:val="apple-converted-space"/>
    <w:rsid w:val="00F47D72"/>
  </w:style>
  <w:style w:type="character" w:customStyle="1" w:styleId="searchterm">
    <w:name w:val="searchterm"/>
    <w:rsid w:val="00321708"/>
  </w:style>
  <w:style w:type="paragraph" w:customStyle="1" w:styleId="NumberedList">
    <w:name w:val="Numbered List"/>
    <w:basedOn w:val="Normal"/>
    <w:rsid w:val="0022449E"/>
    <w:pPr>
      <w:numPr>
        <w:numId w:val="24"/>
      </w:numPr>
      <w:tabs>
        <w:tab w:val="clear" w:pos="1080"/>
      </w:tabs>
      <w:spacing w:after="220"/>
      <w:ind w:firstLine="0"/>
    </w:pPr>
  </w:style>
  <w:style w:type="paragraph" w:customStyle="1" w:styleId="Paranum0">
    <w:name w:val="Paranum"/>
    <w:basedOn w:val="Normal"/>
    <w:rsid w:val="0022449E"/>
    <w:pPr>
      <w:widowControl w:val="0"/>
      <w:numPr>
        <w:numId w:val="25"/>
      </w:numPr>
      <w:tabs>
        <w:tab w:val="clear" w:pos="1080"/>
      </w:tabs>
      <w:spacing w:after="220"/>
      <w:jc w:val="both"/>
    </w:pPr>
  </w:style>
  <w:style w:type="paragraph" w:customStyle="1" w:styleId="TableFormat0">
    <w:name w:val="Table Format"/>
    <w:basedOn w:val="Normal"/>
    <w:rsid w:val="0022449E"/>
    <w:pPr>
      <w:widowControl w:val="0"/>
      <w:tabs>
        <w:tab w:val="left" w:pos="5040"/>
      </w:tabs>
      <w:spacing w:after="220"/>
      <w:ind w:left="5040" w:hanging="3600"/>
      <w:jc w:val="both"/>
    </w:pPr>
  </w:style>
  <w:style w:type="character" w:styleId="FollowedHyperlink">
    <w:name w:val="FollowedHyperlink"/>
    <w:rsid w:val="0022449E"/>
    <w:rPr>
      <w:color w:val="800080"/>
      <w:u w:val="single"/>
    </w:rPr>
  </w:style>
  <w:style w:type="character" w:customStyle="1" w:styleId="HeaderChar">
    <w:name w:val="Header Char"/>
    <w:basedOn w:val="DefaultParagraphFont"/>
    <w:link w:val="Header"/>
    <w:locked/>
    <w:rsid w:val="00E312AE"/>
    <w:rPr>
      <w:sz w:val="22"/>
    </w:rPr>
  </w:style>
  <w:style w:type="character" w:customStyle="1" w:styleId="FootnoteTextChar3">
    <w:name w:val="Footnote Text Char3"/>
    <w:aliases w:val="Footnote Text Char1 Char,Footnote Text Char Char Char,Footnote Text Char1 Char Char Char,Footnote Text Char Char Char Char Char,Footnote Text Char Char2 Char,f Char"/>
    <w:semiHidden/>
    <w:locked/>
    <w:rsid w:val="00BB0FF6"/>
    <w:rPr>
      <w:sz w:val="22"/>
      <w:lang w:val="en-US" w:eastAsia="en-US" w:bidi="ar-SA"/>
    </w:rPr>
  </w:style>
  <w:style w:type="paragraph" w:styleId="BodyText">
    <w:name w:val="Body Text"/>
    <w:aliases w:val="b"/>
    <w:basedOn w:val="Normal"/>
    <w:link w:val="BodyTextChar"/>
    <w:rsid w:val="0089473A"/>
    <w:pPr>
      <w:widowControl w:val="0"/>
      <w:spacing w:after="240"/>
      <w:ind w:firstLine="720"/>
    </w:pPr>
    <w:rPr>
      <w:snapToGrid w:val="0"/>
      <w:lang w:val="x-none" w:eastAsia="x-none"/>
    </w:rPr>
  </w:style>
  <w:style w:type="character" w:customStyle="1" w:styleId="BodyTextChar">
    <w:name w:val="Body Text Char"/>
    <w:aliases w:val="b Char"/>
    <w:basedOn w:val="DefaultParagraphFont"/>
    <w:link w:val="BodyText"/>
    <w:rsid w:val="0089473A"/>
    <w:rPr>
      <w:snapToGrid w:val="0"/>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49E"/>
    <w:rPr>
      <w:sz w:val="22"/>
    </w:rPr>
  </w:style>
  <w:style w:type="paragraph" w:styleId="Heading1">
    <w:name w:val="heading 1"/>
    <w:basedOn w:val="Normal"/>
    <w:next w:val="Normal"/>
    <w:qFormat/>
    <w:rsid w:val="0022449E"/>
    <w:pPr>
      <w:keepNext/>
      <w:widowControl w:val="0"/>
      <w:numPr>
        <w:numId w:val="21"/>
      </w:numPr>
      <w:suppressAutoHyphens/>
      <w:spacing w:after="220"/>
      <w:jc w:val="both"/>
      <w:outlineLvl w:val="0"/>
    </w:pPr>
    <w:rPr>
      <w:b/>
      <w:caps/>
    </w:rPr>
  </w:style>
  <w:style w:type="paragraph" w:styleId="Heading2">
    <w:name w:val="heading 2"/>
    <w:basedOn w:val="Normal"/>
    <w:next w:val="Normal"/>
    <w:qFormat/>
    <w:rsid w:val="0022449E"/>
    <w:pPr>
      <w:keepNext/>
      <w:widowControl w:val="0"/>
      <w:numPr>
        <w:ilvl w:val="1"/>
        <w:numId w:val="21"/>
      </w:numPr>
      <w:spacing w:after="220"/>
      <w:jc w:val="both"/>
      <w:outlineLvl w:val="1"/>
    </w:pPr>
    <w:rPr>
      <w:b/>
    </w:rPr>
  </w:style>
  <w:style w:type="paragraph" w:styleId="Heading3">
    <w:name w:val="heading 3"/>
    <w:basedOn w:val="Normal"/>
    <w:next w:val="Normal"/>
    <w:qFormat/>
    <w:rsid w:val="0022449E"/>
    <w:pPr>
      <w:keepNext/>
      <w:widowControl w:val="0"/>
      <w:numPr>
        <w:ilvl w:val="2"/>
        <w:numId w:val="21"/>
      </w:numPr>
      <w:spacing w:after="220"/>
      <w:jc w:val="both"/>
      <w:outlineLvl w:val="2"/>
    </w:pPr>
    <w:rPr>
      <w:b/>
    </w:rPr>
  </w:style>
  <w:style w:type="paragraph" w:styleId="Heading4">
    <w:name w:val="heading 4"/>
    <w:basedOn w:val="Normal"/>
    <w:next w:val="Normal"/>
    <w:qFormat/>
    <w:rsid w:val="0022449E"/>
    <w:pPr>
      <w:keepNext/>
      <w:widowControl w:val="0"/>
      <w:numPr>
        <w:ilvl w:val="3"/>
        <w:numId w:val="21"/>
      </w:numPr>
      <w:spacing w:after="220"/>
      <w:jc w:val="both"/>
      <w:outlineLvl w:val="3"/>
    </w:pPr>
    <w:rPr>
      <w:b/>
    </w:rPr>
  </w:style>
  <w:style w:type="paragraph" w:styleId="Heading5">
    <w:name w:val="heading 5"/>
    <w:basedOn w:val="Normal"/>
    <w:next w:val="Normal"/>
    <w:qFormat/>
    <w:rsid w:val="0022449E"/>
    <w:pPr>
      <w:keepNext/>
      <w:widowControl w:val="0"/>
      <w:numPr>
        <w:ilvl w:val="4"/>
        <w:numId w:val="21"/>
      </w:numPr>
      <w:suppressAutoHyphens/>
      <w:spacing w:after="220"/>
      <w:jc w:val="both"/>
      <w:outlineLvl w:val="4"/>
    </w:pPr>
    <w:rPr>
      <w:b/>
    </w:rPr>
  </w:style>
  <w:style w:type="paragraph" w:styleId="Heading6">
    <w:name w:val="heading 6"/>
    <w:basedOn w:val="Normal"/>
    <w:next w:val="Normal"/>
    <w:qFormat/>
    <w:rsid w:val="0022449E"/>
    <w:pPr>
      <w:widowControl w:val="0"/>
      <w:numPr>
        <w:ilvl w:val="5"/>
        <w:numId w:val="21"/>
      </w:numPr>
      <w:spacing w:after="220"/>
      <w:jc w:val="both"/>
      <w:outlineLvl w:val="5"/>
    </w:pPr>
    <w:rPr>
      <w:b/>
    </w:rPr>
  </w:style>
  <w:style w:type="paragraph" w:styleId="Heading7">
    <w:name w:val="heading 7"/>
    <w:basedOn w:val="Normal"/>
    <w:next w:val="Normal"/>
    <w:qFormat/>
    <w:rsid w:val="0022449E"/>
    <w:pPr>
      <w:widowControl w:val="0"/>
      <w:numPr>
        <w:ilvl w:val="7"/>
        <w:numId w:val="21"/>
      </w:numPr>
      <w:spacing w:after="220"/>
      <w:jc w:val="both"/>
      <w:outlineLvl w:val="6"/>
    </w:pPr>
    <w:rPr>
      <w:b/>
    </w:rPr>
  </w:style>
  <w:style w:type="paragraph" w:styleId="Heading8">
    <w:name w:val="heading 8"/>
    <w:basedOn w:val="Normal"/>
    <w:next w:val="Normal"/>
    <w:qFormat/>
    <w:rsid w:val="0022449E"/>
    <w:pPr>
      <w:widowControl w:val="0"/>
      <w:numPr>
        <w:ilvl w:val="7"/>
        <w:numId w:val="22"/>
      </w:numPr>
      <w:tabs>
        <w:tab w:val="clear" w:pos="5400"/>
      </w:tabs>
      <w:spacing w:after="220"/>
      <w:ind w:left="5760" w:hanging="720"/>
      <w:jc w:val="both"/>
      <w:outlineLvl w:val="7"/>
    </w:pPr>
    <w:rPr>
      <w:b/>
    </w:rPr>
  </w:style>
  <w:style w:type="paragraph" w:styleId="Heading9">
    <w:name w:val="heading 9"/>
    <w:basedOn w:val="Normal"/>
    <w:next w:val="Normal"/>
    <w:qFormat/>
    <w:rsid w:val="0022449E"/>
    <w:pPr>
      <w:widowControl w:val="0"/>
      <w:numPr>
        <w:ilvl w:val="8"/>
        <w:numId w:val="21"/>
      </w:numPr>
      <w:spacing w:after="220"/>
      <w:jc w:val="both"/>
      <w:outlineLvl w:val="8"/>
    </w:pPr>
    <w:rPr>
      <w:b/>
    </w:rPr>
  </w:style>
  <w:style w:type="character" w:default="1" w:styleId="DefaultParagraphFont">
    <w:name w:val="Default Paragraph Font"/>
    <w:semiHidden/>
    <w:rsid w:val="002244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449E"/>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22449E"/>
    <w:pPr>
      <w:tabs>
        <w:tab w:val="left" w:pos="720"/>
      </w:tabs>
      <w:spacing w:after="200"/>
    </w:pPr>
  </w:style>
  <w:style w:type="character" w:styleId="FootnoteReference">
    <w:name w:val="footnote reference"/>
    <w:aliases w:val="o,fr,Style 3,Appel note de bas de p,(NECG) Footnote Reference,Style 17,FR,Style 12,Style 124,Style 13,Style 6,Footnote Reference/"/>
    <w:rsid w:val="0022449E"/>
    <w:rPr>
      <w:vertAlign w:val="superscript"/>
    </w:rPr>
  </w:style>
  <w:style w:type="paragraph" w:styleId="TOC1">
    <w:name w:val="toc 1"/>
    <w:basedOn w:val="Normal"/>
    <w:next w:val="Normal"/>
    <w:autoRedefine/>
    <w:semiHidden/>
    <w:rsid w:val="0022449E"/>
    <w:rPr>
      <w:caps/>
    </w:r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sid w:val="0022449E"/>
    <w:pPr>
      <w:spacing w:before="120" w:after="120"/>
    </w:pPr>
    <w:rPr>
      <w:b/>
    </w:rPr>
  </w:style>
  <w:style w:type="character" w:customStyle="1" w:styleId="EquationCaption">
    <w:name w:val="_Equation Caption"/>
  </w:style>
  <w:style w:type="character" w:styleId="Strong">
    <w:name w:val="Strong"/>
    <w:qFormat/>
    <w:rPr>
      <w:b/>
    </w:rPr>
  </w:style>
  <w:style w:type="paragraph" w:styleId="Header">
    <w:name w:val="header"/>
    <w:basedOn w:val="Normal"/>
    <w:link w:val="HeaderChar"/>
    <w:rsid w:val="0022449E"/>
    <w:pPr>
      <w:tabs>
        <w:tab w:val="center" w:pos="4320"/>
        <w:tab w:val="right" w:pos="8640"/>
      </w:tabs>
    </w:pPr>
  </w:style>
  <w:style w:type="paragraph" w:styleId="Footer">
    <w:name w:val="footer"/>
    <w:basedOn w:val="Normal"/>
    <w:link w:val="FooterChar"/>
    <w:rsid w:val="0022449E"/>
    <w:pPr>
      <w:tabs>
        <w:tab w:val="center" w:pos="4320"/>
        <w:tab w:val="right" w:pos="8640"/>
      </w:tabs>
    </w:pPr>
  </w:style>
  <w:style w:type="paragraph" w:styleId="BlockText">
    <w:name w:val="Block Text"/>
    <w:basedOn w:val="Normal"/>
    <w:rsid w:val="0022449E"/>
    <w:pPr>
      <w:widowControl w:val="0"/>
      <w:spacing w:after="220"/>
      <w:ind w:left="1440" w:right="1440"/>
      <w:jc w:val="both"/>
    </w:pPr>
  </w:style>
  <w:style w:type="paragraph" w:customStyle="1" w:styleId="Bullet">
    <w:name w:val="Bullet"/>
    <w:basedOn w:val="Normal"/>
    <w:rsid w:val="0022449E"/>
    <w:pPr>
      <w:widowControl w:val="0"/>
      <w:numPr>
        <w:numId w:val="20"/>
      </w:numPr>
      <w:tabs>
        <w:tab w:val="clear" w:pos="2520"/>
      </w:tabs>
      <w:spacing w:after="220"/>
      <w:ind w:left="2160" w:hanging="720"/>
      <w:jc w:val="both"/>
    </w:pPr>
  </w:style>
  <w:style w:type="character" w:styleId="PageNumber">
    <w:name w:val="page number"/>
    <w:basedOn w:val="DefaultParagraphFont"/>
  </w:style>
  <w:style w:type="paragraph" w:customStyle="1" w:styleId="ParaNum">
    <w:name w:val="ParaNum"/>
    <w:basedOn w:val="Normal"/>
    <w:link w:val="ParaNumChar"/>
    <w:pPr>
      <w:numPr>
        <w:numId w:val="11"/>
      </w:numPr>
      <w:tabs>
        <w:tab w:val="clear" w:pos="1080"/>
      </w:tabs>
      <w:spacing w:after="220"/>
    </w:pPr>
  </w:style>
  <w:style w:type="paragraph" w:customStyle="1" w:styleId="TableFormat">
    <w:name w:val="TableFormat"/>
    <w:basedOn w:val="Bullet"/>
    <w:pPr>
      <w:numPr>
        <w:numId w:val="0"/>
      </w:numPr>
      <w:tabs>
        <w:tab w:val="left" w:pos="5040"/>
      </w:tabs>
      <w:ind w:left="5040" w:hanging="3600"/>
    </w:pPr>
  </w:style>
  <w:style w:type="character" w:styleId="Hyperlink">
    <w:name w:val="Hyperlink"/>
    <w:rsid w:val="0022449E"/>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Footnote Text Char2 Char Char1,Footnote Text Char3 Char Char Char1,Footnote Text Char2 Char Char Char Char1,Footnote Text Char Char Char1 Char Char Char Char,Footnote Text Char1 Char1 Char Char Char Char,fn Char,f Char1"/>
    <w:link w:val="FootnoteText"/>
    <w:rPr>
      <w:sz w:val="22"/>
    </w:rPr>
  </w:style>
  <w:style w:type="character" w:customStyle="1" w:styleId="ParaNumChar">
    <w:name w:val="ParaNum Char"/>
    <w:link w:val="ParaNum"/>
    <w:rPr>
      <w:snapToGrid w:val="0"/>
      <w:kern w:val="28"/>
      <w:sz w:val="22"/>
    </w:rPr>
  </w:style>
  <w:style w:type="character" w:customStyle="1" w:styleId="FootnoteTextChar1">
    <w:name w:val="Footnote Text Char1"/>
    <w:aliases w:val="Footnote Text Char1 Char2 Char,Footnote Text Char Char Char1 Char,Footnote Text Char1 Char1 Char Char,Footnote Text Char2 Char Char,Footnote Text Char Char,Footnote Text Char3 Char Char Char,Footnote Text Char2 Char Char Char Char"/>
    <w:rsid w:val="00172928"/>
    <w:rPr>
      <w:lang w:val="en-US" w:eastAsia="en-US" w:bidi="ar-SA"/>
    </w:rPr>
  </w:style>
  <w:style w:type="paragraph" w:styleId="HTMLPreformatted">
    <w:name w:val="HTML Preformatted"/>
    <w:basedOn w:val="Normal"/>
    <w:link w:val="HTMLPreformattedChar"/>
    <w:uiPriority w:val="99"/>
    <w:unhideWhenUsed/>
    <w:rsid w:val="008A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val="0"/>
      <w:sz w:val="20"/>
    </w:rPr>
  </w:style>
  <w:style w:type="character" w:customStyle="1" w:styleId="HTMLPreformattedChar">
    <w:name w:val="HTML Preformatted Char"/>
    <w:link w:val="HTMLPreformatted"/>
    <w:uiPriority w:val="99"/>
    <w:rsid w:val="008A444D"/>
    <w:rPr>
      <w:rFonts w:ascii="Courier New" w:hAnsi="Courier New" w:cs="Courier New"/>
    </w:rPr>
  </w:style>
  <w:style w:type="paragraph" w:styleId="ListParagraph">
    <w:name w:val="List Paragraph"/>
    <w:basedOn w:val="Normal"/>
    <w:uiPriority w:val="34"/>
    <w:qFormat/>
    <w:rsid w:val="00267A49"/>
    <w:pPr>
      <w:ind w:left="720"/>
    </w:pPr>
  </w:style>
  <w:style w:type="character" w:customStyle="1" w:styleId="FooterChar">
    <w:name w:val="Footer Char"/>
    <w:link w:val="Footer"/>
    <w:rsid w:val="00CA1D2E"/>
    <w:rPr>
      <w:sz w:val="22"/>
    </w:rPr>
  </w:style>
  <w:style w:type="character" w:customStyle="1" w:styleId="apple-converted-space">
    <w:name w:val="apple-converted-space"/>
    <w:rsid w:val="00F47D72"/>
  </w:style>
  <w:style w:type="character" w:customStyle="1" w:styleId="searchterm">
    <w:name w:val="searchterm"/>
    <w:rsid w:val="00321708"/>
  </w:style>
  <w:style w:type="paragraph" w:customStyle="1" w:styleId="NumberedList">
    <w:name w:val="Numbered List"/>
    <w:basedOn w:val="Normal"/>
    <w:rsid w:val="0022449E"/>
    <w:pPr>
      <w:numPr>
        <w:numId w:val="24"/>
      </w:numPr>
      <w:tabs>
        <w:tab w:val="clear" w:pos="1080"/>
      </w:tabs>
      <w:spacing w:after="220"/>
      <w:ind w:firstLine="0"/>
    </w:pPr>
  </w:style>
  <w:style w:type="paragraph" w:customStyle="1" w:styleId="Paranum0">
    <w:name w:val="Paranum"/>
    <w:basedOn w:val="Normal"/>
    <w:rsid w:val="0022449E"/>
    <w:pPr>
      <w:widowControl w:val="0"/>
      <w:numPr>
        <w:numId w:val="25"/>
      </w:numPr>
      <w:tabs>
        <w:tab w:val="clear" w:pos="1080"/>
      </w:tabs>
      <w:spacing w:after="220"/>
      <w:jc w:val="both"/>
    </w:pPr>
  </w:style>
  <w:style w:type="paragraph" w:customStyle="1" w:styleId="TableFormat0">
    <w:name w:val="Table Format"/>
    <w:basedOn w:val="Normal"/>
    <w:rsid w:val="0022449E"/>
    <w:pPr>
      <w:widowControl w:val="0"/>
      <w:tabs>
        <w:tab w:val="left" w:pos="5040"/>
      </w:tabs>
      <w:spacing w:after="220"/>
      <w:ind w:left="5040" w:hanging="3600"/>
      <w:jc w:val="both"/>
    </w:pPr>
  </w:style>
  <w:style w:type="character" w:styleId="FollowedHyperlink">
    <w:name w:val="FollowedHyperlink"/>
    <w:rsid w:val="0022449E"/>
    <w:rPr>
      <w:color w:val="800080"/>
      <w:u w:val="single"/>
    </w:rPr>
  </w:style>
  <w:style w:type="character" w:customStyle="1" w:styleId="HeaderChar">
    <w:name w:val="Header Char"/>
    <w:basedOn w:val="DefaultParagraphFont"/>
    <w:link w:val="Header"/>
    <w:locked/>
    <w:rsid w:val="00E312AE"/>
    <w:rPr>
      <w:sz w:val="22"/>
    </w:rPr>
  </w:style>
  <w:style w:type="character" w:customStyle="1" w:styleId="FootnoteTextChar3">
    <w:name w:val="Footnote Text Char3"/>
    <w:aliases w:val="Footnote Text Char1 Char,Footnote Text Char Char Char,Footnote Text Char1 Char Char Char,Footnote Text Char Char Char Char Char,Footnote Text Char Char2 Char,f Char"/>
    <w:semiHidden/>
    <w:locked/>
    <w:rsid w:val="00BB0FF6"/>
    <w:rPr>
      <w:sz w:val="22"/>
      <w:lang w:val="en-US" w:eastAsia="en-US" w:bidi="ar-SA"/>
    </w:rPr>
  </w:style>
  <w:style w:type="paragraph" w:styleId="BodyText">
    <w:name w:val="Body Text"/>
    <w:aliases w:val="b"/>
    <w:basedOn w:val="Normal"/>
    <w:link w:val="BodyTextChar"/>
    <w:rsid w:val="0089473A"/>
    <w:pPr>
      <w:widowControl w:val="0"/>
      <w:spacing w:after="240"/>
      <w:ind w:firstLine="720"/>
    </w:pPr>
    <w:rPr>
      <w:snapToGrid w:val="0"/>
      <w:lang w:val="x-none" w:eastAsia="x-none"/>
    </w:rPr>
  </w:style>
  <w:style w:type="character" w:customStyle="1" w:styleId="BodyTextChar">
    <w:name w:val="Body Text Char"/>
    <w:aliases w:val="b Char"/>
    <w:basedOn w:val="DefaultParagraphFont"/>
    <w:link w:val="BodyText"/>
    <w:rsid w:val="0089473A"/>
    <w:rPr>
      <w:snapToGrid w:val="0"/>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73317">
      <w:bodyDiv w:val="1"/>
      <w:marLeft w:val="30"/>
      <w:marRight w:val="30"/>
      <w:marTop w:val="30"/>
      <w:marBottom w:val="30"/>
      <w:divBdr>
        <w:top w:val="none" w:sz="0" w:space="0" w:color="auto"/>
        <w:left w:val="none" w:sz="0" w:space="0" w:color="auto"/>
        <w:bottom w:val="none" w:sz="0" w:space="0" w:color="auto"/>
        <w:right w:val="none" w:sz="0" w:space="0" w:color="auto"/>
      </w:divBdr>
      <w:divsChild>
        <w:div w:id="1013192613">
          <w:marLeft w:val="0"/>
          <w:marRight w:val="0"/>
          <w:marTop w:val="0"/>
          <w:marBottom w:val="0"/>
          <w:divBdr>
            <w:top w:val="none" w:sz="0" w:space="0" w:color="auto"/>
            <w:left w:val="none" w:sz="0" w:space="0" w:color="auto"/>
            <w:bottom w:val="none" w:sz="0" w:space="0" w:color="auto"/>
            <w:right w:val="none" w:sz="0" w:space="0" w:color="auto"/>
          </w:divBdr>
          <w:divsChild>
            <w:div w:id="1112482653">
              <w:marLeft w:val="45"/>
              <w:marRight w:val="45"/>
              <w:marTop w:val="45"/>
              <w:marBottom w:val="45"/>
              <w:divBdr>
                <w:top w:val="none" w:sz="0" w:space="0" w:color="auto"/>
                <w:left w:val="none" w:sz="0" w:space="0" w:color="auto"/>
                <w:bottom w:val="none" w:sz="0" w:space="0" w:color="auto"/>
                <w:right w:val="none" w:sz="0" w:space="0" w:color="auto"/>
              </w:divBdr>
              <w:divsChild>
                <w:div w:id="1447652228">
                  <w:marLeft w:val="0"/>
                  <w:marRight w:val="0"/>
                  <w:marTop w:val="0"/>
                  <w:marBottom w:val="0"/>
                  <w:divBdr>
                    <w:top w:val="none" w:sz="0" w:space="0" w:color="auto"/>
                    <w:left w:val="none" w:sz="0" w:space="0" w:color="auto"/>
                    <w:bottom w:val="none" w:sz="0" w:space="0" w:color="auto"/>
                    <w:right w:val="none" w:sz="0" w:space="0" w:color="auto"/>
                  </w:divBdr>
                  <w:divsChild>
                    <w:div w:id="8406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45695">
      <w:bodyDiv w:val="1"/>
      <w:marLeft w:val="0"/>
      <w:marRight w:val="0"/>
      <w:marTop w:val="45"/>
      <w:marBottom w:val="45"/>
      <w:divBdr>
        <w:top w:val="none" w:sz="0" w:space="0" w:color="auto"/>
        <w:left w:val="none" w:sz="0" w:space="0" w:color="auto"/>
        <w:bottom w:val="none" w:sz="0" w:space="0" w:color="auto"/>
        <w:right w:val="none" w:sz="0" w:space="0" w:color="auto"/>
      </w:divBdr>
      <w:divsChild>
        <w:div w:id="1534462769">
          <w:marLeft w:val="0"/>
          <w:marRight w:val="0"/>
          <w:marTop w:val="0"/>
          <w:marBottom w:val="0"/>
          <w:divBdr>
            <w:top w:val="none" w:sz="0" w:space="0" w:color="auto"/>
            <w:left w:val="none" w:sz="0" w:space="0" w:color="auto"/>
            <w:bottom w:val="none" w:sz="0" w:space="0" w:color="auto"/>
            <w:right w:val="none" w:sz="0" w:space="0" w:color="auto"/>
          </w:divBdr>
          <w:divsChild>
            <w:div w:id="485325124">
              <w:marLeft w:val="0"/>
              <w:marRight w:val="0"/>
              <w:marTop w:val="0"/>
              <w:marBottom w:val="0"/>
              <w:divBdr>
                <w:top w:val="none" w:sz="0" w:space="0" w:color="auto"/>
                <w:left w:val="none" w:sz="0" w:space="0" w:color="auto"/>
                <w:bottom w:val="none" w:sz="0" w:space="0" w:color="auto"/>
                <w:right w:val="none" w:sz="0" w:space="0" w:color="auto"/>
              </w:divBdr>
              <w:divsChild>
                <w:div w:id="752511568">
                  <w:marLeft w:val="0"/>
                  <w:marRight w:val="0"/>
                  <w:marTop w:val="0"/>
                  <w:marBottom w:val="0"/>
                  <w:divBdr>
                    <w:top w:val="none" w:sz="0" w:space="0" w:color="auto"/>
                    <w:left w:val="none" w:sz="0" w:space="0" w:color="auto"/>
                    <w:bottom w:val="none" w:sz="0" w:space="0" w:color="auto"/>
                    <w:right w:val="none" w:sz="0" w:space="0" w:color="auto"/>
                  </w:divBdr>
                  <w:divsChild>
                    <w:div w:id="933394665">
                      <w:marLeft w:val="0"/>
                      <w:marRight w:val="0"/>
                      <w:marTop w:val="0"/>
                      <w:marBottom w:val="0"/>
                      <w:divBdr>
                        <w:top w:val="none" w:sz="0" w:space="0" w:color="auto"/>
                        <w:left w:val="none" w:sz="0" w:space="0" w:color="auto"/>
                        <w:bottom w:val="none" w:sz="0" w:space="0" w:color="auto"/>
                        <w:right w:val="none" w:sz="0" w:space="0" w:color="auto"/>
                      </w:divBdr>
                      <w:divsChild>
                        <w:div w:id="1766607495">
                          <w:marLeft w:val="0"/>
                          <w:marRight w:val="0"/>
                          <w:marTop w:val="45"/>
                          <w:marBottom w:val="0"/>
                          <w:divBdr>
                            <w:top w:val="none" w:sz="0" w:space="0" w:color="auto"/>
                            <w:left w:val="none" w:sz="0" w:space="0" w:color="auto"/>
                            <w:bottom w:val="none" w:sz="0" w:space="0" w:color="auto"/>
                            <w:right w:val="none" w:sz="0" w:space="0" w:color="auto"/>
                          </w:divBdr>
                          <w:divsChild>
                            <w:div w:id="599685541">
                              <w:marLeft w:val="0"/>
                              <w:marRight w:val="0"/>
                              <w:marTop w:val="0"/>
                              <w:marBottom w:val="0"/>
                              <w:divBdr>
                                <w:top w:val="none" w:sz="0" w:space="0" w:color="auto"/>
                                <w:left w:val="none" w:sz="0" w:space="0" w:color="auto"/>
                                <w:bottom w:val="none" w:sz="0" w:space="0" w:color="auto"/>
                                <w:right w:val="none" w:sz="0" w:space="0" w:color="auto"/>
                              </w:divBdr>
                              <w:divsChild>
                                <w:div w:id="584999030">
                                  <w:marLeft w:val="2070"/>
                                  <w:marRight w:val="3960"/>
                                  <w:marTop w:val="0"/>
                                  <w:marBottom w:val="0"/>
                                  <w:divBdr>
                                    <w:top w:val="none" w:sz="0" w:space="0" w:color="auto"/>
                                    <w:left w:val="none" w:sz="0" w:space="0" w:color="auto"/>
                                    <w:bottom w:val="none" w:sz="0" w:space="0" w:color="auto"/>
                                    <w:right w:val="none" w:sz="0" w:space="0" w:color="auto"/>
                                  </w:divBdr>
                                  <w:divsChild>
                                    <w:div w:id="722289643">
                                      <w:marLeft w:val="0"/>
                                      <w:marRight w:val="0"/>
                                      <w:marTop w:val="0"/>
                                      <w:marBottom w:val="0"/>
                                      <w:divBdr>
                                        <w:top w:val="none" w:sz="0" w:space="0" w:color="auto"/>
                                        <w:left w:val="none" w:sz="0" w:space="0" w:color="auto"/>
                                        <w:bottom w:val="none" w:sz="0" w:space="0" w:color="auto"/>
                                        <w:right w:val="none" w:sz="0" w:space="0" w:color="auto"/>
                                      </w:divBdr>
                                      <w:divsChild>
                                        <w:div w:id="139277757">
                                          <w:marLeft w:val="0"/>
                                          <w:marRight w:val="0"/>
                                          <w:marTop w:val="0"/>
                                          <w:marBottom w:val="0"/>
                                          <w:divBdr>
                                            <w:top w:val="none" w:sz="0" w:space="0" w:color="auto"/>
                                            <w:left w:val="none" w:sz="0" w:space="0" w:color="auto"/>
                                            <w:bottom w:val="none" w:sz="0" w:space="0" w:color="auto"/>
                                            <w:right w:val="none" w:sz="0" w:space="0" w:color="auto"/>
                                          </w:divBdr>
                                          <w:divsChild>
                                            <w:div w:id="1722897941">
                                              <w:marLeft w:val="0"/>
                                              <w:marRight w:val="0"/>
                                              <w:marTop w:val="0"/>
                                              <w:marBottom w:val="0"/>
                                              <w:divBdr>
                                                <w:top w:val="none" w:sz="0" w:space="0" w:color="auto"/>
                                                <w:left w:val="none" w:sz="0" w:space="0" w:color="auto"/>
                                                <w:bottom w:val="none" w:sz="0" w:space="0" w:color="auto"/>
                                                <w:right w:val="none" w:sz="0" w:space="0" w:color="auto"/>
                                              </w:divBdr>
                                              <w:divsChild>
                                                <w:div w:id="1270819412">
                                                  <w:marLeft w:val="0"/>
                                                  <w:marRight w:val="0"/>
                                                  <w:marTop w:val="0"/>
                                                  <w:marBottom w:val="0"/>
                                                  <w:divBdr>
                                                    <w:top w:val="none" w:sz="0" w:space="0" w:color="auto"/>
                                                    <w:left w:val="none" w:sz="0" w:space="0" w:color="auto"/>
                                                    <w:bottom w:val="none" w:sz="0" w:space="0" w:color="auto"/>
                                                    <w:right w:val="none" w:sz="0" w:space="0" w:color="auto"/>
                                                  </w:divBdr>
                                                  <w:divsChild>
                                                    <w:div w:id="1751461790">
                                                      <w:marLeft w:val="0"/>
                                                      <w:marRight w:val="0"/>
                                                      <w:marTop w:val="0"/>
                                                      <w:marBottom w:val="0"/>
                                                      <w:divBdr>
                                                        <w:top w:val="none" w:sz="0" w:space="0" w:color="auto"/>
                                                        <w:left w:val="none" w:sz="0" w:space="0" w:color="auto"/>
                                                        <w:bottom w:val="none" w:sz="0" w:space="0" w:color="auto"/>
                                                        <w:right w:val="none" w:sz="0" w:space="0" w:color="auto"/>
                                                      </w:divBdr>
                                                      <w:divsChild>
                                                        <w:div w:id="7819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1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cgb/ecfs/" TargetMode="External"/><Relationship Id="rId13" Type="http://schemas.openxmlformats.org/officeDocument/2006/relationships/hyperlink" Target="mailto:Charles.Oliver@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cfs@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1580</Words>
  <Characters>8753</Characters>
  <Application>Microsoft Office Word</Application>
  <DocSecurity>0</DocSecurity>
  <Lines>120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10394</CharactersWithSpaces>
  <SharedDoc>false</SharedDoc>
  <HyperlinkBase> </HyperlinkBase>
  <HLinks>
    <vt:vector size="12" baseType="variant">
      <vt:variant>
        <vt:i4>7798855</vt:i4>
      </vt:variant>
      <vt:variant>
        <vt:i4>6</vt:i4>
      </vt:variant>
      <vt:variant>
        <vt:i4>0</vt:i4>
      </vt:variant>
      <vt:variant>
        <vt:i4>5</vt:i4>
      </vt:variant>
      <vt:variant>
        <vt:lpwstr>http://fjallfoss.fcc.gov/prod/ecfs/upload_v2.cgi</vt:lpwstr>
      </vt:variant>
      <vt:variant>
        <vt:lpwstr/>
      </vt:variant>
      <vt:variant>
        <vt:i4>6357044</vt:i4>
      </vt:variant>
      <vt:variant>
        <vt:i4>0</vt:i4>
      </vt:variant>
      <vt:variant>
        <vt:i4>0</vt:i4>
      </vt:variant>
      <vt:variant>
        <vt:i4>5</vt:i4>
      </vt:variant>
      <vt:variant>
        <vt:lpwstr>http://appsint.fcc.gov/ecfs/document/view?id=7022419151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2011-04-29T16:00:00Z</cp:lastPrinted>
  <dcterms:created xsi:type="dcterms:W3CDTF">2013-11-27T15:24:00Z</dcterms:created>
  <dcterms:modified xsi:type="dcterms:W3CDTF">2013-11-27T15:24:00Z</dcterms:modified>
  <cp:category> </cp:category>
  <cp:contentStatus> </cp:contentStatus>
</cp:coreProperties>
</file>