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 w:rsidP="00667377">
      <w:pPr>
        <w:widowControl/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667377">
      <w:pPr>
        <w:pStyle w:val="StyleBoldCentered"/>
        <w:widowControl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667377">
      <w:pPr>
        <w:pStyle w:val="StyleBoldCentered"/>
        <w:widowControl/>
      </w:pPr>
      <w:r>
        <w:rPr>
          <w:caps w:val="0"/>
        </w:rPr>
        <w:t>Washington, D.C. 20554</w:t>
      </w:r>
    </w:p>
    <w:p w:rsidR="004C2EE3" w:rsidRDefault="004C2EE3" w:rsidP="00667377">
      <w:pPr>
        <w:widowControl/>
      </w:pPr>
    </w:p>
    <w:p w:rsidR="004C2EE3" w:rsidRDefault="004C2EE3" w:rsidP="00667377">
      <w:pPr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:rsidRPr="00C53A45">
        <w:tc>
          <w:tcPr>
            <w:tcW w:w="4698" w:type="dxa"/>
          </w:tcPr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53A45">
              <w:rPr>
                <w:spacing w:val="-2"/>
                <w:szCs w:val="22"/>
              </w:rPr>
              <w:t>In the Matter of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507308" w:rsidRDefault="00C53A45" w:rsidP="00667377">
            <w:pPr>
              <w:widowControl/>
              <w:autoSpaceDE w:val="0"/>
              <w:autoSpaceDN w:val="0"/>
              <w:adjustRightInd w:val="0"/>
              <w:rPr>
                <w:b/>
                <w:bCs/>
                <w:snapToGrid/>
                <w:kern w:val="0"/>
                <w:szCs w:val="22"/>
              </w:rPr>
            </w:pPr>
            <w:r w:rsidRPr="00C53A45">
              <w:rPr>
                <w:b/>
                <w:bCs/>
                <w:snapToGrid/>
                <w:kern w:val="0"/>
                <w:szCs w:val="22"/>
              </w:rPr>
              <w:t>State of California</w:t>
            </w:r>
          </w:p>
          <w:p w:rsidR="00507308" w:rsidRDefault="00507308" w:rsidP="00667377">
            <w:pPr>
              <w:widowControl/>
              <w:autoSpaceDE w:val="0"/>
              <w:autoSpaceDN w:val="0"/>
              <w:adjustRightInd w:val="0"/>
              <w:rPr>
                <w:b/>
                <w:bCs/>
                <w:snapToGrid/>
                <w:kern w:val="0"/>
                <w:szCs w:val="22"/>
              </w:rPr>
            </w:pPr>
          </w:p>
          <w:p w:rsidR="00C53A45" w:rsidRPr="00C53A45" w:rsidRDefault="00C53A45" w:rsidP="00667377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C53A45">
              <w:rPr>
                <w:b/>
                <w:bCs/>
                <w:snapToGrid/>
                <w:kern w:val="0"/>
                <w:szCs w:val="22"/>
              </w:rPr>
              <w:t>and</w:t>
            </w:r>
          </w:p>
          <w:p w:rsidR="00507308" w:rsidRDefault="00507308" w:rsidP="00667377">
            <w:pPr>
              <w:widowControl/>
              <w:tabs>
                <w:tab w:val="center" w:pos="4680"/>
              </w:tabs>
              <w:suppressAutoHyphens/>
              <w:rPr>
                <w:b/>
                <w:bCs/>
                <w:snapToGrid/>
                <w:kern w:val="0"/>
                <w:szCs w:val="22"/>
              </w:rPr>
            </w:pPr>
          </w:p>
          <w:p w:rsidR="004C2EE3" w:rsidRPr="00C53A45" w:rsidRDefault="00C53A45" w:rsidP="0066737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53A45">
              <w:rPr>
                <w:b/>
                <w:bCs/>
                <w:snapToGrid/>
                <w:kern w:val="0"/>
                <w:szCs w:val="22"/>
              </w:rPr>
              <w:t xml:space="preserve">Nextel Communications, Inc. </w:t>
            </w:r>
          </w:p>
        </w:tc>
        <w:tc>
          <w:tcPr>
            <w:tcW w:w="630" w:type="dxa"/>
          </w:tcPr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53A45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4C2EE3" w:rsidRPr="00C53A45" w:rsidRDefault="004C2EE3" w:rsidP="0066737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C2EE3" w:rsidRPr="00C53A45" w:rsidRDefault="004C2EE3" w:rsidP="00667377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:rsidR="00C53A45" w:rsidRDefault="00C53A45" w:rsidP="00667377">
            <w:pPr>
              <w:pStyle w:val="TOAHeading"/>
              <w:widowControl/>
              <w:tabs>
                <w:tab w:val="center" w:pos="4680"/>
              </w:tabs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 Docket No. 02-55</w:t>
            </w:r>
          </w:p>
          <w:p w:rsidR="00C53A45" w:rsidRPr="00C53A45" w:rsidRDefault="00C53A45" w:rsidP="00667377">
            <w:pPr>
              <w:pStyle w:val="TOAHeading"/>
              <w:widowControl/>
              <w:tabs>
                <w:tab w:val="center" w:pos="4680"/>
              </w:tabs>
              <w:rPr>
                <w:spacing w:val="-2"/>
                <w:szCs w:val="22"/>
              </w:rPr>
            </w:pPr>
            <w:r w:rsidRPr="00C53A45">
              <w:rPr>
                <w:spacing w:val="-2"/>
                <w:szCs w:val="22"/>
              </w:rPr>
              <w:t xml:space="preserve"> Mediation No. TAM-45022</w:t>
            </w:r>
          </w:p>
          <w:p w:rsidR="004C2EE3" w:rsidRPr="00C53A45" w:rsidRDefault="00C53A45" w:rsidP="0066737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53A45">
              <w:rPr>
                <w:spacing w:val="-2"/>
                <w:szCs w:val="22"/>
              </w:rPr>
              <w:t xml:space="preserve"> TA Mediator John C. Henry</w:t>
            </w:r>
          </w:p>
        </w:tc>
      </w:tr>
    </w:tbl>
    <w:p w:rsidR="004C2EE3" w:rsidRDefault="004C2EE3" w:rsidP="00667377">
      <w:pPr>
        <w:widowControl/>
      </w:pPr>
    </w:p>
    <w:p w:rsidR="00841AB1" w:rsidRDefault="00C53A45" w:rsidP="00667377">
      <w:pPr>
        <w:pStyle w:val="StyleBoldCentered"/>
        <w:widowControl/>
      </w:pPr>
      <w:r>
        <w:t>order</w:t>
      </w:r>
    </w:p>
    <w:p w:rsidR="004C2EE3" w:rsidRDefault="004C2EE3" w:rsidP="00667377">
      <w:pPr>
        <w:widowControl/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8C02DA" w:rsidRDefault="004C2EE3" w:rsidP="00667377">
      <w:pPr>
        <w:widowControl/>
        <w:tabs>
          <w:tab w:val="left" w:pos="720"/>
          <w:tab w:val="right" w:pos="9360"/>
        </w:tabs>
        <w:suppressAutoHyphens/>
        <w:spacing w:line="227" w:lineRule="auto"/>
      </w:pPr>
      <w:r>
        <w:rPr>
          <w:b/>
          <w:spacing w:val="-2"/>
        </w:rPr>
        <w:t xml:space="preserve">Adopted:  </w:t>
      </w:r>
      <w:r w:rsidR="008C02DA" w:rsidRPr="008C02DA">
        <w:rPr>
          <w:spacing w:val="-2"/>
        </w:rPr>
        <w:t>November 27, 2013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8C02DA" w:rsidRPr="008C02DA">
        <w:rPr>
          <w:spacing w:val="-2"/>
        </w:rPr>
        <w:t>November 27, 2013</w:t>
      </w:r>
    </w:p>
    <w:p w:rsidR="008C02DA" w:rsidRDefault="004C2EE3" w:rsidP="00667377">
      <w:pPr>
        <w:widowControl/>
      </w:pPr>
      <w:r>
        <w:t xml:space="preserve"> </w:t>
      </w:r>
    </w:p>
    <w:p w:rsidR="004C2EE3" w:rsidRDefault="008C02DA" w:rsidP="00667377">
      <w:pPr>
        <w:widowControl/>
        <w:rPr>
          <w:spacing w:val="-2"/>
        </w:rPr>
      </w:pPr>
      <w:r>
        <w:t xml:space="preserve">By </w:t>
      </w:r>
      <w:r w:rsidR="004E4A22">
        <w:t>the</w:t>
      </w:r>
      <w:r w:rsidR="00C53A45">
        <w:t xml:space="preserve"> Deputy Chief, Policy and Licensing Division, Public Safety and Homeland Security Bureau</w:t>
      </w:r>
      <w:r w:rsidR="00DE514D">
        <w:t>.</w:t>
      </w:r>
      <w:r w:rsidR="00C53A45">
        <w:t xml:space="preserve"> </w:t>
      </w:r>
    </w:p>
    <w:p w:rsidR="00822CE0" w:rsidRDefault="00822CE0" w:rsidP="00667377">
      <w:pPr>
        <w:widowControl/>
        <w:rPr>
          <w:spacing w:val="-2"/>
        </w:rPr>
      </w:pPr>
    </w:p>
    <w:p w:rsidR="00412FC5" w:rsidRDefault="00C53A45" w:rsidP="00667377">
      <w:pPr>
        <w:pStyle w:val="Heading1"/>
        <w:widowControl/>
      </w:pPr>
      <w:r>
        <w:t>introduction</w:t>
      </w:r>
    </w:p>
    <w:p w:rsidR="00C53A45" w:rsidRPr="00C53A45" w:rsidRDefault="009773CB" w:rsidP="00667377">
      <w:pPr>
        <w:pStyle w:val="ParaNum"/>
        <w:widowControl/>
      </w:pPr>
      <w:r>
        <w:tab/>
      </w:r>
      <w:r w:rsidR="00C53A45">
        <w:t>Under consideration is the Recommended Resolution and Request for Waiver</w:t>
      </w:r>
      <w:r w:rsidR="00A013D5">
        <w:t xml:space="preserve"> (RR)</w:t>
      </w:r>
      <w:r w:rsidR="00C53A45">
        <w:t xml:space="preserve">, filed </w:t>
      </w:r>
      <w:r w:rsidR="00507308">
        <w:t>November 14, 2013 by the T</w:t>
      </w:r>
      <w:r w:rsidR="000C4FAE">
        <w:t xml:space="preserve">ransition </w:t>
      </w:r>
      <w:r w:rsidR="00507308">
        <w:t>A</w:t>
      </w:r>
      <w:r w:rsidR="000C4FAE">
        <w:t>dministrator (TA)</w:t>
      </w:r>
      <w:r w:rsidR="00507308">
        <w:t xml:space="preserve"> Mediator on behalf of the State of California </w:t>
      </w:r>
      <w:r w:rsidR="00507308" w:rsidRPr="009773CB">
        <w:rPr>
          <w:snapToGrid/>
          <w:kern w:val="0"/>
          <w:szCs w:val="22"/>
        </w:rPr>
        <w:t>(California) and Nextel Communications, Inc., (Sprint)</w:t>
      </w:r>
      <w:r>
        <w:rPr>
          <w:rStyle w:val="FootnoteReference"/>
          <w:snapToGrid/>
          <w:kern w:val="0"/>
          <w:szCs w:val="22"/>
        </w:rPr>
        <w:footnoteReference w:id="2"/>
      </w:r>
      <w:r w:rsidR="00507308" w:rsidRPr="009773CB">
        <w:rPr>
          <w:snapToGrid/>
          <w:kern w:val="0"/>
          <w:szCs w:val="22"/>
        </w:rPr>
        <w:t xml:space="preserve"> regarding the adoption of an 800 MHz Planning</w:t>
      </w:r>
      <w:r w:rsidR="00507308">
        <w:t xml:space="preserve"> Funding Agreement (PFA) by California and Sprint.  </w:t>
      </w:r>
      <w:r w:rsidR="000C4FAE">
        <w:t xml:space="preserve">California </w:t>
      </w:r>
      <w:r w:rsidR="00696D6A">
        <w:t xml:space="preserve">timely </w:t>
      </w:r>
      <w:r w:rsidR="000C4FAE">
        <w:t xml:space="preserve">submitted a request for planning funding (RFPF) on August 23, 2013 and the TA Mediator, after review of the RFPF, issued a Notice of Commencement of Negotiations between California and Sprint on September 3, 2013.  Mediation was instituted and the mediation period expired on November </w:t>
      </w:r>
      <w:r w:rsidR="00563D6B">
        <w:t>4, 2013.  At the end of the mediation period, the part</w:t>
      </w:r>
      <w:r w:rsidR="00696D6A">
        <w:t>ies had not yet executed a PFA.</w:t>
      </w:r>
    </w:p>
    <w:p w:rsidR="00122BD5" w:rsidRDefault="00696D6A" w:rsidP="00667377">
      <w:pPr>
        <w:pStyle w:val="Heading1"/>
        <w:widowControl/>
      </w:pPr>
      <w:r>
        <w:t>discussion</w:t>
      </w:r>
    </w:p>
    <w:p w:rsidR="00696D6A" w:rsidRDefault="009773CB" w:rsidP="00667377">
      <w:pPr>
        <w:pStyle w:val="ParaNum"/>
        <w:widowControl/>
      </w:pPr>
      <w:r>
        <w:tab/>
      </w:r>
      <w:r w:rsidR="00696D6A">
        <w:t xml:space="preserve">In the normal course, if a dispute has not been resolved by the close of the mediation period, the TA Mediator submits a recommended resolution to the Public Safety and Homeland Security Bureau which conducts a </w:t>
      </w:r>
      <w:r w:rsidR="00696D6A" w:rsidRPr="00A013D5">
        <w:rPr>
          <w:i/>
        </w:rPr>
        <w:t>de novo</w:t>
      </w:r>
      <w:r w:rsidR="00696D6A">
        <w:t xml:space="preserve"> review of the record and decides the disputed issues.</w:t>
      </w:r>
      <w:r w:rsidR="00667377">
        <w:rPr>
          <w:rStyle w:val="FootnoteReference"/>
        </w:rPr>
        <w:footnoteReference w:id="3"/>
      </w:r>
      <w:r w:rsidR="00696D6A">
        <w:t xml:space="preserve">  However, the TA Mediator may instead recommend to the Bureau that parties “be given additional time to allow further negotiations under mediation.”</w:t>
      </w:r>
      <w:r w:rsidR="00696D6A">
        <w:rPr>
          <w:rStyle w:val="FootnoteReference"/>
        </w:rPr>
        <w:footnoteReference w:id="4"/>
      </w:r>
      <w:r w:rsidR="00A013D5">
        <w:t xml:space="preserve">  In the instant case, the TA Mediator recommends that the Commission grant the parties additional time for negotiation under </w:t>
      </w:r>
      <w:r>
        <w:t>the TA Mediator’s auspices</w:t>
      </w:r>
      <w:r w:rsidR="00A013D5">
        <w:t>.</w:t>
      </w:r>
      <w:r w:rsidR="00A013D5">
        <w:rPr>
          <w:rStyle w:val="FootnoteReference"/>
        </w:rPr>
        <w:footnoteReference w:id="5"/>
      </w:r>
      <w:r w:rsidR="00ED1396">
        <w:t xml:space="preserve">  The TA Mediator has attached to the RR, a Schedule to Complete PFA, which schedule calls for Sprint to file a PFA with the TA by December 16, 2013.</w:t>
      </w:r>
    </w:p>
    <w:p w:rsidR="00ED1396" w:rsidRDefault="00ED1396" w:rsidP="00667377">
      <w:pPr>
        <w:pStyle w:val="Heading1"/>
        <w:widowControl/>
      </w:pPr>
      <w:r>
        <w:lastRenderedPageBreak/>
        <w:t>decision</w:t>
      </w:r>
    </w:p>
    <w:p w:rsidR="00ED1396" w:rsidRPr="00ED1396" w:rsidRDefault="00ED1396" w:rsidP="00667377">
      <w:pPr>
        <w:pStyle w:val="ParaNum"/>
        <w:widowControl/>
        <w:tabs>
          <w:tab w:val="clear" w:pos="1080"/>
          <w:tab w:val="num" w:pos="1440"/>
        </w:tabs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>Section 1.46 of the Commission’s rules provides “It is the policy of the Commission that extensions of time shall not be routinely granted.”</w:t>
      </w:r>
      <w:r w:rsidRPr="00ED1396">
        <w:rPr>
          <w:snapToGrid/>
          <w:kern w:val="0"/>
          <w:szCs w:val="22"/>
          <w:vertAlign w:val="superscript"/>
        </w:rPr>
        <w:footnoteReference w:id="6"/>
      </w:r>
      <w:r w:rsidRPr="00ED1396">
        <w:rPr>
          <w:snapToGrid/>
          <w:kern w:val="0"/>
          <w:szCs w:val="22"/>
        </w:rPr>
        <w:t xml:space="preserve">  The import of that rule is especially relevant to 800 MHz rebanding where delay in rebanding by one licensee can cause a “domino effect” delay in the rebanding efforts of other licensees that have met the Commission’s 800 MHz band reconfiguration deadlines, with a consequent delay of the overall program.  We therefore afford a high degree of scrutiny to the reasons licensees advance for extensions of time.</w:t>
      </w:r>
      <w:r w:rsidRPr="00ED1396">
        <w:rPr>
          <w:snapToGrid/>
          <w:kern w:val="0"/>
          <w:szCs w:val="22"/>
          <w:vertAlign w:val="superscript"/>
        </w:rPr>
        <w:footnoteReference w:id="7"/>
      </w:r>
      <w:r w:rsidRPr="00ED1396">
        <w:rPr>
          <w:snapToGrid/>
          <w:kern w:val="0"/>
          <w:szCs w:val="22"/>
        </w:rPr>
        <w:t xml:space="preserve"> </w:t>
      </w:r>
    </w:p>
    <w:p w:rsidR="00ED1396" w:rsidRPr="00ED1396" w:rsidRDefault="00ED1396" w:rsidP="00667377">
      <w:pPr>
        <w:pStyle w:val="ParaNum"/>
        <w:widowControl/>
        <w:tabs>
          <w:tab w:val="clear" w:pos="1080"/>
          <w:tab w:val="num" w:pos="1440"/>
        </w:tabs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 xml:space="preserve">In the instant matter, </w:t>
      </w:r>
      <w:r>
        <w:rPr>
          <w:snapToGrid/>
          <w:kern w:val="0"/>
          <w:szCs w:val="22"/>
        </w:rPr>
        <w:t xml:space="preserve">the TA Mediator requests only a modest extension of time for the </w:t>
      </w:r>
      <w:r w:rsidR="000F7C24">
        <w:rPr>
          <w:snapToGrid/>
          <w:kern w:val="0"/>
          <w:szCs w:val="22"/>
        </w:rPr>
        <w:t>p</w:t>
      </w:r>
      <w:r>
        <w:rPr>
          <w:snapToGrid/>
          <w:kern w:val="0"/>
          <w:szCs w:val="22"/>
        </w:rPr>
        <w:t>arties to conclude and file a PFA for a large and complex 800 MHz system.</w:t>
      </w:r>
      <w:r w:rsidR="000F7C24">
        <w:rPr>
          <w:snapToGrid/>
          <w:kern w:val="0"/>
          <w:szCs w:val="22"/>
        </w:rPr>
        <w:t xml:space="preserve">  It does not appear that granting a brief extension of time will adversely affect the ability of California to timely reconfigure its system.  </w:t>
      </w:r>
      <w:r w:rsidRPr="00ED1396">
        <w:rPr>
          <w:snapToGrid/>
          <w:kern w:val="0"/>
          <w:szCs w:val="22"/>
        </w:rPr>
        <w:t>We</w:t>
      </w:r>
      <w:r w:rsidR="000F7C24">
        <w:rPr>
          <w:snapToGrid/>
          <w:kern w:val="0"/>
          <w:szCs w:val="22"/>
        </w:rPr>
        <w:t xml:space="preserve"> are,</w:t>
      </w:r>
      <w:r w:rsidRPr="00ED1396">
        <w:rPr>
          <w:snapToGrid/>
          <w:kern w:val="0"/>
          <w:szCs w:val="22"/>
        </w:rPr>
        <w:t xml:space="preserve"> therefore</w:t>
      </w:r>
      <w:r w:rsidR="000F7C24">
        <w:rPr>
          <w:snapToGrid/>
          <w:kern w:val="0"/>
          <w:szCs w:val="22"/>
        </w:rPr>
        <w:t xml:space="preserve">, </w:t>
      </w:r>
      <w:r w:rsidRPr="00ED1396">
        <w:rPr>
          <w:snapToGrid/>
          <w:kern w:val="0"/>
          <w:szCs w:val="22"/>
        </w:rPr>
        <w:t>granting the requested extension.</w:t>
      </w:r>
    </w:p>
    <w:p w:rsidR="00ED1396" w:rsidRPr="00ED1396" w:rsidRDefault="00ED1396" w:rsidP="00667377">
      <w:pPr>
        <w:keepNext/>
        <w:widowControl/>
        <w:numPr>
          <w:ilvl w:val="0"/>
          <w:numId w:val="3"/>
        </w:numPr>
        <w:tabs>
          <w:tab w:val="left" w:pos="360"/>
        </w:tabs>
        <w:suppressAutoHyphens/>
        <w:spacing w:after="220"/>
        <w:ind w:left="360" w:hanging="360"/>
        <w:outlineLvl w:val="0"/>
        <w:rPr>
          <w:b/>
          <w:caps/>
          <w:snapToGrid/>
          <w:kern w:val="0"/>
          <w:szCs w:val="22"/>
        </w:rPr>
      </w:pPr>
      <w:r w:rsidRPr="00ED1396">
        <w:rPr>
          <w:b/>
          <w:caps/>
          <w:snapToGrid/>
          <w:kern w:val="0"/>
          <w:szCs w:val="22"/>
        </w:rPr>
        <w:t>ordering clauses</w:t>
      </w:r>
    </w:p>
    <w:p w:rsidR="00ED1396" w:rsidRPr="00ED1396" w:rsidRDefault="00ED1396" w:rsidP="00667377">
      <w:pPr>
        <w:pStyle w:val="ParaNum"/>
        <w:widowControl/>
        <w:tabs>
          <w:tab w:val="clear" w:pos="1080"/>
          <w:tab w:val="num" w:pos="1440"/>
        </w:tabs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 xml:space="preserve">Accordingly </w:t>
      </w:r>
      <w:r w:rsidRPr="00ED1396">
        <w:rPr>
          <w:rFonts w:ascii="Times New Roman Bold" w:hAnsi="Times New Roman Bold"/>
          <w:b/>
          <w:snapToGrid/>
          <w:kern w:val="0"/>
          <w:szCs w:val="22"/>
        </w:rPr>
        <w:t>IT IS ORDERED</w:t>
      </w:r>
      <w:r w:rsidRPr="00ED1396">
        <w:rPr>
          <w:snapToGrid/>
          <w:kern w:val="0"/>
          <w:szCs w:val="22"/>
        </w:rPr>
        <w:t xml:space="preserve"> that </w:t>
      </w:r>
      <w:r w:rsidR="007D7F3F">
        <w:rPr>
          <w:snapToGrid/>
          <w:kern w:val="0"/>
          <w:szCs w:val="22"/>
        </w:rPr>
        <w:t xml:space="preserve">the </w:t>
      </w:r>
      <w:r w:rsidR="007D7F3F">
        <w:t>Recommended Resolution and Request for Waiver</w:t>
      </w:r>
      <w:r w:rsidR="007D7F3F" w:rsidRPr="00ED1396">
        <w:rPr>
          <w:snapToGrid/>
          <w:kern w:val="0"/>
          <w:szCs w:val="22"/>
        </w:rPr>
        <w:t xml:space="preserve"> </w:t>
      </w:r>
      <w:r w:rsidRPr="00ED1396">
        <w:rPr>
          <w:snapToGrid/>
          <w:kern w:val="0"/>
          <w:szCs w:val="22"/>
        </w:rPr>
        <w:t xml:space="preserve">filed by the </w:t>
      </w:r>
      <w:r w:rsidR="007D7F3F">
        <w:rPr>
          <w:snapToGrid/>
          <w:kern w:val="0"/>
          <w:szCs w:val="22"/>
        </w:rPr>
        <w:t xml:space="preserve">800 MHz Transition </w:t>
      </w:r>
      <w:r w:rsidR="009773CB">
        <w:rPr>
          <w:snapToGrid/>
          <w:kern w:val="0"/>
          <w:szCs w:val="22"/>
        </w:rPr>
        <w:t xml:space="preserve">Administrator </w:t>
      </w:r>
      <w:r w:rsidR="007D7F3F">
        <w:rPr>
          <w:snapToGrid/>
          <w:kern w:val="0"/>
          <w:szCs w:val="22"/>
        </w:rPr>
        <w:t>Mediator on November 14, 2013</w:t>
      </w:r>
      <w:r w:rsidRPr="00ED1396">
        <w:rPr>
          <w:snapToGrid/>
          <w:kern w:val="0"/>
          <w:szCs w:val="22"/>
        </w:rPr>
        <w:t xml:space="preserve">, </w:t>
      </w:r>
      <w:r w:rsidRPr="00ED1396">
        <w:rPr>
          <w:rFonts w:ascii="Times New Roman Bold" w:hAnsi="Times New Roman Bold"/>
          <w:b/>
          <w:snapToGrid/>
          <w:kern w:val="0"/>
          <w:szCs w:val="22"/>
        </w:rPr>
        <w:t>IS GRANTED</w:t>
      </w:r>
      <w:r w:rsidRPr="00ED1396">
        <w:rPr>
          <w:snapToGrid/>
          <w:kern w:val="0"/>
          <w:szCs w:val="22"/>
        </w:rPr>
        <w:t>.</w:t>
      </w:r>
    </w:p>
    <w:p w:rsidR="00ED1396" w:rsidRPr="00ED1396" w:rsidRDefault="00ED1396" w:rsidP="00667377">
      <w:pPr>
        <w:pStyle w:val="ParaNum"/>
        <w:widowControl/>
        <w:tabs>
          <w:tab w:val="clear" w:pos="1080"/>
          <w:tab w:val="num" w:pos="1440"/>
        </w:tabs>
        <w:rPr>
          <w:snapToGrid/>
          <w:kern w:val="0"/>
          <w:szCs w:val="22"/>
        </w:rPr>
      </w:pPr>
      <w:r w:rsidRPr="00ED1396">
        <w:rPr>
          <w:rFonts w:ascii="Times New Roman Bold" w:hAnsi="Times New Roman Bold"/>
          <w:b/>
          <w:snapToGrid/>
          <w:kern w:val="0"/>
          <w:szCs w:val="22"/>
        </w:rPr>
        <w:t>IT IS FURTHER ORDERED</w:t>
      </w:r>
      <w:r w:rsidRPr="00ED1396">
        <w:rPr>
          <w:snapToGrid/>
          <w:kern w:val="0"/>
          <w:szCs w:val="22"/>
        </w:rPr>
        <w:t xml:space="preserve"> that </w:t>
      </w:r>
      <w:r w:rsidR="007D7F3F">
        <w:rPr>
          <w:snapToGrid/>
          <w:kern w:val="0"/>
          <w:szCs w:val="22"/>
        </w:rPr>
        <w:t xml:space="preserve">Sprint and the State of California </w:t>
      </w:r>
      <w:r w:rsidRPr="00ED1396">
        <w:rPr>
          <w:rFonts w:ascii="Times New Roman Bold" w:hAnsi="Times New Roman Bold"/>
          <w:b/>
          <w:snapToGrid/>
          <w:kern w:val="0"/>
          <w:szCs w:val="22"/>
        </w:rPr>
        <w:t>SHALL CONCLUDE</w:t>
      </w:r>
      <w:r w:rsidRPr="00ED1396">
        <w:rPr>
          <w:snapToGrid/>
          <w:kern w:val="0"/>
          <w:szCs w:val="22"/>
        </w:rPr>
        <w:t xml:space="preserve"> a </w:t>
      </w:r>
      <w:r w:rsidR="007D7F3F">
        <w:rPr>
          <w:snapToGrid/>
          <w:kern w:val="0"/>
          <w:szCs w:val="22"/>
        </w:rPr>
        <w:t xml:space="preserve">Planning Funding Agreement and submit it to the 800 MHz Transition Administrator no later than December 16, 2013. </w:t>
      </w:r>
    </w:p>
    <w:p w:rsidR="00ED1396" w:rsidRPr="00ED1396" w:rsidRDefault="00ED1396" w:rsidP="00667377">
      <w:pPr>
        <w:pStyle w:val="ParaNum"/>
        <w:widowControl/>
        <w:tabs>
          <w:tab w:val="clear" w:pos="1080"/>
          <w:tab w:val="num" w:pos="1440"/>
        </w:tabs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>This action is taken under delegated authority pursuant to Sections 0.191 and 0.392 of the Commission’s rules, 47 C.F.R. §§ 0.191, 0.392.</w:t>
      </w:r>
    </w:p>
    <w:p w:rsidR="00ED1396" w:rsidRPr="00ED1396" w:rsidRDefault="00ED1396" w:rsidP="00667377">
      <w:pPr>
        <w:widowControl/>
        <w:spacing w:after="220"/>
        <w:ind w:left="720"/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</w:p>
    <w:p w:rsidR="00ED1396" w:rsidRPr="00ED1396" w:rsidRDefault="00ED1396" w:rsidP="00667377">
      <w:pPr>
        <w:widowControl/>
        <w:spacing w:after="220"/>
        <w:ind w:left="2880" w:firstLine="720"/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>FEDERAL COMMUNICATIONS COMMISSION</w:t>
      </w:r>
    </w:p>
    <w:p w:rsidR="00ED1396" w:rsidRPr="00ED1396" w:rsidRDefault="00ED1396" w:rsidP="00667377">
      <w:pPr>
        <w:widowControl/>
        <w:rPr>
          <w:snapToGrid/>
          <w:kern w:val="0"/>
          <w:szCs w:val="22"/>
        </w:rPr>
      </w:pPr>
    </w:p>
    <w:p w:rsidR="00ED1396" w:rsidRPr="00ED1396" w:rsidRDefault="00ED1396" w:rsidP="00667377">
      <w:pPr>
        <w:widowControl/>
        <w:rPr>
          <w:snapToGrid/>
          <w:kern w:val="0"/>
          <w:szCs w:val="22"/>
        </w:rPr>
      </w:pPr>
    </w:p>
    <w:p w:rsidR="00ED1396" w:rsidRPr="00ED1396" w:rsidRDefault="00ED1396" w:rsidP="00667377">
      <w:pPr>
        <w:widowControl/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  <w:t>Michael J. Wilhelm</w:t>
      </w:r>
    </w:p>
    <w:p w:rsidR="00ED1396" w:rsidRPr="00ED1396" w:rsidRDefault="00ED1396" w:rsidP="00667377">
      <w:pPr>
        <w:widowControl/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  <w:t>Deputy Chief, Policy and Licensing Division</w:t>
      </w:r>
    </w:p>
    <w:p w:rsidR="00ED1396" w:rsidRPr="00ED1396" w:rsidRDefault="00ED1396" w:rsidP="00667377">
      <w:pPr>
        <w:widowControl/>
        <w:rPr>
          <w:snapToGrid/>
          <w:kern w:val="0"/>
          <w:szCs w:val="22"/>
        </w:rPr>
      </w:pP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</w:r>
      <w:r w:rsidRPr="00ED1396">
        <w:rPr>
          <w:snapToGrid/>
          <w:kern w:val="0"/>
          <w:szCs w:val="22"/>
        </w:rPr>
        <w:tab/>
        <w:t xml:space="preserve">Public Safety and Homeland Security Bureau </w:t>
      </w:r>
      <w:r w:rsidRPr="00ED1396">
        <w:rPr>
          <w:snapToGrid/>
          <w:kern w:val="0"/>
          <w:szCs w:val="22"/>
        </w:rPr>
        <w:tab/>
      </w:r>
    </w:p>
    <w:p w:rsidR="00ED1396" w:rsidRPr="00ED1396" w:rsidRDefault="00ED1396" w:rsidP="00667377">
      <w:pPr>
        <w:widowControl/>
        <w:rPr>
          <w:snapToGrid/>
          <w:kern w:val="0"/>
          <w:szCs w:val="22"/>
        </w:rPr>
      </w:pPr>
    </w:p>
    <w:p w:rsidR="00ED1396" w:rsidRPr="00ED1396" w:rsidRDefault="00ED1396" w:rsidP="00667377">
      <w:pPr>
        <w:widowControl/>
        <w:rPr>
          <w:snapToGrid/>
          <w:kern w:val="0"/>
          <w:szCs w:val="22"/>
        </w:rPr>
      </w:pPr>
    </w:p>
    <w:p w:rsidR="00ED1396" w:rsidRPr="00ED1396" w:rsidRDefault="00ED1396" w:rsidP="00667377">
      <w:pPr>
        <w:pStyle w:val="ParaNum"/>
        <w:widowControl/>
        <w:numPr>
          <w:ilvl w:val="0"/>
          <w:numId w:val="0"/>
        </w:numPr>
        <w:ind w:left="720"/>
      </w:pPr>
    </w:p>
    <w:sectPr w:rsidR="00ED1396" w:rsidRPr="00ED1396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45" w:rsidRDefault="00C53A45">
      <w:pPr>
        <w:spacing w:line="20" w:lineRule="exact"/>
      </w:pPr>
    </w:p>
  </w:endnote>
  <w:endnote w:type="continuationSeparator" w:id="0">
    <w:p w:rsidR="00C53A45" w:rsidRDefault="00C53A45">
      <w:r>
        <w:t xml:space="preserve"> </w:t>
      </w:r>
    </w:p>
  </w:endnote>
  <w:endnote w:type="continuationNotice" w:id="1">
    <w:p w:rsidR="00C53A45" w:rsidRDefault="00C53A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A7C7D">
      <w:rPr>
        <w:noProof/>
      </w:rPr>
      <w:t>2</w: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F334F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45" w:rsidRDefault="00C53A45">
      <w:r>
        <w:separator/>
      </w:r>
    </w:p>
  </w:footnote>
  <w:footnote w:type="continuationSeparator" w:id="0">
    <w:p w:rsidR="00C53A45" w:rsidRDefault="00C53A45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C53A45" w:rsidRDefault="00C53A45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9773CB" w:rsidRDefault="009773CB">
      <w:pPr>
        <w:pStyle w:val="FootnoteText"/>
      </w:pPr>
      <w:r>
        <w:rPr>
          <w:rStyle w:val="FootnoteReference"/>
        </w:rPr>
        <w:footnoteRef/>
      </w:r>
      <w:r>
        <w:t xml:space="preserve"> For purposes of uniformity in 800 MHz band reconfiguration orders, we refer to Sprint subsidiaries such as Nextel Communications, Inc. as their parent company, Sprint.</w:t>
      </w:r>
    </w:p>
  </w:footnote>
  <w:footnote w:id="3">
    <w:p w:rsidR="00667377" w:rsidRDefault="00667377">
      <w:pPr>
        <w:pStyle w:val="FootnoteText"/>
      </w:pPr>
      <w:r>
        <w:rPr>
          <w:rStyle w:val="FootnoteReference"/>
        </w:rPr>
        <w:footnoteRef/>
      </w:r>
      <w:r>
        <w:t xml:space="preserve"> See 47 C.F.R. § 90.677(d)(2).</w:t>
      </w:r>
    </w:p>
  </w:footnote>
  <w:footnote w:id="4">
    <w:p w:rsidR="00696D6A" w:rsidRDefault="00696D6A" w:rsidP="00696D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6D6A">
        <w:t xml:space="preserve">Wireless Telecommunications Bureau Announces Procedures for </w:t>
      </w:r>
      <w:r w:rsidRPr="00696D6A">
        <w:rPr>
          <w:i/>
          <w:iCs/>
        </w:rPr>
        <w:t xml:space="preserve">De Novo </w:t>
      </w:r>
      <w:r w:rsidRPr="00696D6A">
        <w:t xml:space="preserve">Review in the 800 </w:t>
      </w:r>
      <w:r w:rsidR="00A013D5">
        <w:t xml:space="preserve">MHz </w:t>
      </w:r>
      <w:r w:rsidRPr="00696D6A">
        <w:t>Public Safety Proceeding,</w:t>
      </w:r>
      <w:r w:rsidR="00A013D5">
        <w:t xml:space="preserve"> </w:t>
      </w:r>
      <w:r w:rsidR="00A013D5">
        <w:rPr>
          <w:i/>
        </w:rPr>
        <w:t>Public Notice,</w:t>
      </w:r>
      <w:r w:rsidRPr="00696D6A">
        <w:t xml:space="preserve"> 21 FCC Rcd 758, 759 (2006).</w:t>
      </w:r>
    </w:p>
  </w:footnote>
  <w:footnote w:id="5">
    <w:p w:rsidR="00A013D5" w:rsidRDefault="00A013D5">
      <w:pPr>
        <w:pStyle w:val="FootnoteText"/>
      </w:pPr>
      <w:r>
        <w:rPr>
          <w:rStyle w:val="FootnoteReference"/>
        </w:rPr>
        <w:footnoteRef/>
      </w:r>
      <w:r>
        <w:t xml:space="preserve"> RR at 4.</w:t>
      </w:r>
    </w:p>
  </w:footnote>
  <w:footnote w:id="6">
    <w:p w:rsidR="00ED1396" w:rsidRDefault="00ED1396" w:rsidP="00ED1396">
      <w:pPr>
        <w:pStyle w:val="FootnoteText"/>
      </w:pPr>
      <w:r w:rsidRPr="009549A9">
        <w:rPr>
          <w:rStyle w:val="FootnoteReference"/>
        </w:rPr>
        <w:footnoteRef/>
      </w:r>
      <w:r w:rsidRPr="009549A9">
        <w:t xml:space="preserve"> 47 C.F.R. § 1.46.</w:t>
      </w:r>
    </w:p>
  </w:footnote>
  <w:footnote w:id="7">
    <w:p w:rsidR="00ED1396" w:rsidRDefault="00ED1396" w:rsidP="00ED1396"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rPr>
          <w:i/>
          <w:sz w:val="20"/>
        </w:rPr>
        <w:t>See</w:t>
      </w:r>
      <w:r>
        <w:rPr>
          <w:sz w:val="20"/>
        </w:rPr>
        <w:t xml:space="preserve"> Regents of the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>
                <w:rPr>
                  <w:sz w:val="20"/>
                </w:rPr>
                <w:t>University</w:t>
              </w:r>
            </w:smartTag>
          </w:smartTag>
          <w:r>
            <w:rPr>
              <w:sz w:val="20"/>
            </w:rPr>
            <w:t xml:space="preserve"> of </w:t>
          </w:r>
          <w:smartTag w:uri="urn:schemas-microsoft-com:office:smarttags" w:element="PlaceName">
            <w:r>
              <w:rPr>
                <w:sz w:val="20"/>
              </w:rPr>
              <w:t>California</w:t>
            </w:r>
          </w:smartTag>
        </w:smartTag>
      </w:smartTag>
      <w:r>
        <w:rPr>
          <w:sz w:val="20"/>
        </w:rPr>
        <w:t xml:space="preserve">, WT Docket 02-55, </w:t>
      </w:r>
      <w:r>
        <w:rPr>
          <w:i/>
          <w:sz w:val="20"/>
        </w:rPr>
        <w:t>Order</w:t>
      </w:r>
      <w:r>
        <w:rPr>
          <w:sz w:val="20"/>
        </w:rPr>
        <w:t>, DA 13-2234, (PSHSB rel. Nov. 21,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86" w:rsidRDefault="00477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FF334F">
      <w:t>DA 13-2280</w:t>
    </w:r>
  </w:p>
  <w:p w:rsidR="00D25FB5" w:rsidRDefault="0043727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D35EA89" wp14:editId="487386D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437278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2C50A2">
      <w:t>DA 13-2280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45"/>
    <w:rsid w:val="0001743A"/>
    <w:rsid w:val="00036039"/>
    <w:rsid w:val="00037F90"/>
    <w:rsid w:val="000875BF"/>
    <w:rsid w:val="00096D8C"/>
    <w:rsid w:val="000C0B65"/>
    <w:rsid w:val="000C4FAE"/>
    <w:rsid w:val="000E05FE"/>
    <w:rsid w:val="000E3D42"/>
    <w:rsid w:val="000F7C24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50A2"/>
    <w:rsid w:val="00343749"/>
    <w:rsid w:val="003660ED"/>
    <w:rsid w:val="003B0550"/>
    <w:rsid w:val="003B694F"/>
    <w:rsid w:val="003F171C"/>
    <w:rsid w:val="00412FC5"/>
    <w:rsid w:val="00422276"/>
    <w:rsid w:val="004242F1"/>
    <w:rsid w:val="00437278"/>
    <w:rsid w:val="00445A00"/>
    <w:rsid w:val="00451B0F"/>
    <w:rsid w:val="00477386"/>
    <w:rsid w:val="004B67E9"/>
    <w:rsid w:val="004C2EE3"/>
    <w:rsid w:val="004E4A22"/>
    <w:rsid w:val="00507308"/>
    <w:rsid w:val="00511968"/>
    <w:rsid w:val="0055614C"/>
    <w:rsid w:val="00563D6B"/>
    <w:rsid w:val="005E14C2"/>
    <w:rsid w:val="00607BA5"/>
    <w:rsid w:val="00626EB6"/>
    <w:rsid w:val="00655D03"/>
    <w:rsid w:val="00667377"/>
    <w:rsid w:val="00683388"/>
    <w:rsid w:val="00683F84"/>
    <w:rsid w:val="00696D6A"/>
    <w:rsid w:val="006A6A81"/>
    <w:rsid w:val="006F7393"/>
    <w:rsid w:val="0070224F"/>
    <w:rsid w:val="007115F7"/>
    <w:rsid w:val="00785689"/>
    <w:rsid w:val="0079754B"/>
    <w:rsid w:val="007A1E6D"/>
    <w:rsid w:val="007B0EB2"/>
    <w:rsid w:val="007D7F3F"/>
    <w:rsid w:val="00810B6F"/>
    <w:rsid w:val="00822CE0"/>
    <w:rsid w:val="00841AB1"/>
    <w:rsid w:val="008C02DA"/>
    <w:rsid w:val="008C68F1"/>
    <w:rsid w:val="008D6C75"/>
    <w:rsid w:val="00921803"/>
    <w:rsid w:val="00926503"/>
    <w:rsid w:val="009726D8"/>
    <w:rsid w:val="009773CB"/>
    <w:rsid w:val="009F76DB"/>
    <w:rsid w:val="00A013D5"/>
    <w:rsid w:val="00A32C3B"/>
    <w:rsid w:val="00A45F4F"/>
    <w:rsid w:val="00A600A9"/>
    <w:rsid w:val="00AA55B7"/>
    <w:rsid w:val="00AA5B9E"/>
    <w:rsid w:val="00AA7C7D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53A45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514D"/>
    <w:rsid w:val="00DF62B6"/>
    <w:rsid w:val="00E07225"/>
    <w:rsid w:val="00E5409F"/>
    <w:rsid w:val="00ED1396"/>
    <w:rsid w:val="00EE6488"/>
    <w:rsid w:val="00F021FA"/>
    <w:rsid w:val="00F62E97"/>
    <w:rsid w:val="00F64209"/>
    <w:rsid w:val="00F93BF5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uiPriority w:val="99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uiPriority w:val="99"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uiPriority w:val="99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uiPriority w:val="99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uiPriority w:val="99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uiPriority w:val="99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uiPriority w:val="99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uiPriority w:val="99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uiPriority w:val="99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uiPriority w:val="99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uiPriority w:val="99"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uiPriority w:val="99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uiPriority w:val="99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uiPriority w:val="99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uiPriority w:val="99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uiPriority w:val="99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uiPriority w:val="99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uiPriority w:val="99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561</Words>
  <Characters>2904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3471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2013-11-26T21:17:00Z</cp:lastPrinted>
  <dcterms:created xsi:type="dcterms:W3CDTF">2013-11-26T21:28:00Z</dcterms:created>
  <dcterms:modified xsi:type="dcterms:W3CDTF">2013-11-26T21:28:00Z</dcterms:modified>
  <cp:category> </cp:category>
  <cp:contentStatus> </cp:contentStatus>
</cp:coreProperties>
</file>