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6" w:rsidRPr="00CE559B"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t xml:space="preserve">DA </w:t>
      </w:r>
      <w:r w:rsidR="001C2E33" w:rsidRPr="00CE559B">
        <w:rPr>
          <w:b/>
          <w:szCs w:val="22"/>
        </w:rPr>
        <w:t>13-</w:t>
      </w:r>
      <w:r w:rsidR="005B5A3B">
        <w:rPr>
          <w:b/>
          <w:szCs w:val="22"/>
        </w:rPr>
        <w:t>2308</w:t>
      </w:r>
    </w:p>
    <w:p w:rsidR="006B61F6" w:rsidRPr="00CE559B" w:rsidRDefault="006B61F6" w:rsidP="00CB35C6">
      <w:pPr>
        <w:jc w:val="right"/>
        <w:rPr>
          <w:b/>
          <w:szCs w:val="22"/>
        </w:rPr>
      </w:pP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t xml:space="preserve">Released: </w:t>
      </w:r>
      <w:r w:rsidR="003A6484">
        <w:rPr>
          <w:b/>
          <w:szCs w:val="22"/>
        </w:rPr>
        <w:t>December</w:t>
      </w:r>
      <w:r w:rsidR="00E159BC" w:rsidRPr="00CE559B">
        <w:rPr>
          <w:b/>
          <w:szCs w:val="22"/>
        </w:rPr>
        <w:t xml:space="preserve"> </w:t>
      </w:r>
      <w:r w:rsidR="000A2AB9">
        <w:rPr>
          <w:b/>
          <w:szCs w:val="22"/>
        </w:rPr>
        <w:t>3</w:t>
      </w:r>
      <w:r w:rsidRPr="00CE559B">
        <w:rPr>
          <w:b/>
          <w:szCs w:val="22"/>
        </w:rPr>
        <w:t>, 2013</w:t>
      </w:r>
    </w:p>
    <w:p w:rsidR="00304C68" w:rsidRPr="00CE559B" w:rsidRDefault="00304C68">
      <w:pPr>
        <w:rPr>
          <w:b/>
          <w:szCs w:val="22"/>
        </w:rPr>
      </w:pPr>
    </w:p>
    <w:p w:rsidR="002441AE" w:rsidRPr="00CE559B" w:rsidRDefault="002441AE">
      <w:pPr>
        <w:rPr>
          <w:b/>
          <w:szCs w:val="22"/>
        </w:rPr>
      </w:pPr>
    </w:p>
    <w:p w:rsidR="00CF2582" w:rsidRDefault="007E2582">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sidRPr="00CE559B">
        <w:rPr>
          <w:b/>
          <w:kern w:val="0"/>
          <w:szCs w:val="22"/>
        </w:rPr>
        <w:t xml:space="preserve">MEDIA BUREAU </w:t>
      </w:r>
      <w:r w:rsidR="00CF2582">
        <w:rPr>
          <w:b/>
          <w:kern w:val="0"/>
          <w:szCs w:val="22"/>
        </w:rPr>
        <w:t xml:space="preserve">PROVIDES FURTHER </w:t>
      </w:r>
      <w:r w:rsidR="00D16724">
        <w:rPr>
          <w:b/>
          <w:kern w:val="0"/>
          <w:szCs w:val="22"/>
        </w:rPr>
        <w:t>GUIDANCE</w:t>
      </w:r>
      <w:r w:rsidR="00CF2582">
        <w:rPr>
          <w:b/>
          <w:kern w:val="0"/>
          <w:szCs w:val="22"/>
        </w:rPr>
        <w:t xml:space="preserve"> ON THE </w:t>
      </w:r>
      <w:r w:rsidR="00D16724">
        <w:rPr>
          <w:b/>
          <w:kern w:val="0"/>
          <w:szCs w:val="22"/>
        </w:rPr>
        <w:t>PROCESSING</w:t>
      </w:r>
      <w:r w:rsidR="00CF2582">
        <w:rPr>
          <w:b/>
          <w:kern w:val="0"/>
          <w:szCs w:val="22"/>
        </w:rPr>
        <w:t xml:space="preserve"> </w:t>
      </w:r>
    </w:p>
    <w:p w:rsidR="00FD2319" w:rsidRPr="00CE559B" w:rsidRDefault="00CF2582">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OF FORM 318 APPLICATIONS</w:t>
      </w:r>
      <w:r w:rsidR="00D16724">
        <w:rPr>
          <w:b/>
          <w:kern w:val="0"/>
          <w:szCs w:val="22"/>
        </w:rPr>
        <w:t xml:space="preserve"> FILED IN THE LPFM WINDOW</w:t>
      </w:r>
    </w:p>
    <w:p w:rsidR="006B61F6" w:rsidRPr="00CE559B" w:rsidRDefault="006B61F6">
      <w:pPr>
        <w:pStyle w:val="BlockText"/>
        <w:widowControl/>
        <w:tabs>
          <w:tab w:val="left" w:pos="810"/>
        </w:tabs>
        <w:spacing w:after="0"/>
        <w:ind w:left="720" w:right="0"/>
        <w:jc w:val="center"/>
        <w:rPr>
          <w:b/>
          <w:szCs w:val="22"/>
        </w:rPr>
      </w:pPr>
    </w:p>
    <w:p w:rsidR="003A4E01" w:rsidRPr="00CE559B" w:rsidRDefault="00304C68" w:rsidP="00FD2319">
      <w:pPr>
        <w:tabs>
          <w:tab w:val="left" w:pos="1"/>
          <w:tab w:val="left" w:pos="720"/>
          <w:tab w:val="left" w:pos="1440"/>
          <w:tab w:val="right" w:pos="9360"/>
        </w:tabs>
        <w:rPr>
          <w:szCs w:val="22"/>
        </w:rPr>
      </w:pPr>
      <w:r w:rsidRPr="00CE559B">
        <w:rPr>
          <w:szCs w:val="22"/>
        </w:rPr>
        <w:tab/>
      </w:r>
      <w:r w:rsidR="00D16724">
        <w:rPr>
          <w:szCs w:val="22"/>
        </w:rPr>
        <w:t>This Public Notice responds to many inquiries to the Media Bureau (</w:t>
      </w:r>
      <w:r w:rsidR="00F00C7D">
        <w:rPr>
          <w:szCs w:val="22"/>
        </w:rPr>
        <w:t>Bureau</w:t>
      </w:r>
      <w:r w:rsidR="00D16724">
        <w:rPr>
          <w:szCs w:val="22"/>
        </w:rPr>
        <w:t xml:space="preserve">) regarding the </w:t>
      </w:r>
      <w:r w:rsidR="00D7607A" w:rsidRPr="00CE559B">
        <w:rPr>
          <w:szCs w:val="22"/>
        </w:rPr>
        <w:t>Form 318 applications for new low power FM (LPFM) station</w:t>
      </w:r>
      <w:r w:rsidR="00E657C6">
        <w:rPr>
          <w:szCs w:val="22"/>
        </w:rPr>
        <w:t>s</w:t>
      </w:r>
      <w:r w:rsidR="00D7607A" w:rsidRPr="00CE559B">
        <w:rPr>
          <w:szCs w:val="22"/>
        </w:rPr>
        <w:t xml:space="preserve"> </w:t>
      </w:r>
      <w:r w:rsidR="00D16724">
        <w:rPr>
          <w:szCs w:val="22"/>
        </w:rPr>
        <w:t xml:space="preserve">filed in the recently closed window.  It </w:t>
      </w:r>
      <w:r w:rsidR="0088586E">
        <w:rPr>
          <w:szCs w:val="22"/>
        </w:rPr>
        <w:t>provide</w:t>
      </w:r>
      <w:r w:rsidR="00D16724">
        <w:rPr>
          <w:szCs w:val="22"/>
        </w:rPr>
        <w:t>s</w:t>
      </w:r>
      <w:r w:rsidR="0088586E">
        <w:rPr>
          <w:szCs w:val="22"/>
        </w:rPr>
        <w:t xml:space="preserve"> information </w:t>
      </w:r>
      <w:r w:rsidR="00D16724">
        <w:rPr>
          <w:szCs w:val="22"/>
        </w:rPr>
        <w:t xml:space="preserve">on the processing </w:t>
      </w:r>
      <w:r w:rsidR="00A84005" w:rsidRPr="00CE559B">
        <w:rPr>
          <w:szCs w:val="22"/>
        </w:rPr>
        <w:t>of singleton and mutually exclusive applications; applicants’ ability to file amendments</w:t>
      </w:r>
      <w:r w:rsidR="00D5708B">
        <w:rPr>
          <w:szCs w:val="22"/>
        </w:rPr>
        <w:t>, settlements, and time-share agreements</w:t>
      </w:r>
      <w:r w:rsidR="00A84005" w:rsidRPr="00CE559B">
        <w:rPr>
          <w:szCs w:val="22"/>
        </w:rPr>
        <w:t xml:space="preserve">; </w:t>
      </w:r>
      <w:r w:rsidR="00D5708B">
        <w:rPr>
          <w:szCs w:val="22"/>
        </w:rPr>
        <w:t xml:space="preserve">opportunities to file </w:t>
      </w:r>
      <w:r w:rsidR="00A84005" w:rsidRPr="00CE559B">
        <w:rPr>
          <w:szCs w:val="22"/>
        </w:rPr>
        <w:t xml:space="preserve">petitions to deny; and </w:t>
      </w:r>
      <w:r w:rsidR="00D16724">
        <w:rPr>
          <w:szCs w:val="22"/>
        </w:rPr>
        <w:t xml:space="preserve">options to seek the reinstatement of </w:t>
      </w:r>
      <w:r w:rsidR="00D5708B">
        <w:rPr>
          <w:szCs w:val="22"/>
        </w:rPr>
        <w:t>dismissed applications.</w:t>
      </w:r>
    </w:p>
    <w:p w:rsidR="00F01732" w:rsidRPr="00CE559B" w:rsidRDefault="00F01732" w:rsidP="00FD2319">
      <w:pPr>
        <w:tabs>
          <w:tab w:val="left" w:pos="1"/>
          <w:tab w:val="left" w:pos="720"/>
          <w:tab w:val="left" w:pos="1440"/>
          <w:tab w:val="right" w:pos="9360"/>
        </w:tabs>
        <w:rPr>
          <w:szCs w:val="22"/>
        </w:rPr>
      </w:pPr>
    </w:p>
    <w:p w:rsidR="00C47929" w:rsidRDefault="003A4E01" w:rsidP="00FD2319">
      <w:pPr>
        <w:tabs>
          <w:tab w:val="left" w:pos="1"/>
          <w:tab w:val="left" w:pos="720"/>
          <w:tab w:val="left" w:pos="1440"/>
          <w:tab w:val="right" w:pos="9360"/>
        </w:tabs>
        <w:rPr>
          <w:szCs w:val="22"/>
        </w:rPr>
      </w:pPr>
      <w:r w:rsidRPr="00CE559B">
        <w:rPr>
          <w:szCs w:val="22"/>
        </w:rPr>
        <w:tab/>
      </w:r>
      <w:r w:rsidRPr="00CE559B">
        <w:rPr>
          <w:b/>
          <w:szCs w:val="22"/>
        </w:rPr>
        <w:t xml:space="preserve">Applications filed in the October 15 – November 14, 2013, filing window:  </w:t>
      </w:r>
      <w:r w:rsidRPr="00CE559B">
        <w:rPr>
          <w:szCs w:val="22"/>
        </w:rPr>
        <w:t xml:space="preserve">The Bureau received over 2800 Form 318 applications. </w:t>
      </w:r>
      <w:r w:rsidR="001906B3">
        <w:rPr>
          <w:szCs w:val="22"/>
        </w:rPr>
        <w:t xml:space="preserve"> This includes 2</w:t>
      </w:r>
      <w:r w:rsidR="00340470">
        <w:rPr>
          <w:szCs w:val="22"/>
        </w:rPr>
        <w:t>1</w:t>
      </w:r>
      <w:r w:rsidR="001906B3">
        <w:rPr>
          <w:szCs w:val="22"/>
        </w:rPr>
        <w:t xml:space="preserve"> applications for major modifications of authorized LPFM stations.  The states with the greatest number of filings are: Texas (303); California (283); Florida (276): Oregon (91); Georgia (81)</w:t>
      </w:r>
      <w:r w:rsidR="00D235F3">
        <w:rPr>
          <w:szCs w:val="22"/>
        </w:rPr>
        <w:t>;</w:t>
      </w:r>
      <w:r w:rsidR="001906B3">
        <w:rPr>
          <w:szCs w:val="22"/>
        </w:rPr>
        <w:t xml:space="preserve"> and Washington (81).  Cities in which 10 or more applications were filed include</w:t>
      </w:r>
      <w:r w:rsidR="006D62B2">
        <w:rPr>
          <w:szCs w:val="22"/>
        </w:rPr>
        <w:t xml:space="preserve"> Los Angeles, Chicago, San Francisco, Houston, Miami, Tampa and Portland, Oregon.</w:t>
      </w:r>
      <w:r w:rsidR="001906B3">
        <w:rPr>
          <w:szCs w:val="22"/>
        </w:rPr>
        <w:t xml:space="preserve">  </w:t>
      </w:r>
      <w:r w:rsidRPr="00CE559B">
        <w:rPr>
          <w:szCs w:val="22"/>
        </w:rPr>
        <w:t xml:space="preserve"> </w:t>
      </w:r>
    </w:p>
    <w:p w:rsidR="00C40ED2" w:rsidRDefault="00C40ED2" w:rsidP="00FD2319">
      <w:pPr>
        <w:tabs>
          <w:tab w:val="left" w:pos="1"/>
          <w:tab w:val="left" w:pos="720"/>
          <w:tab w:val="left" w:pos="1440"/>
          <w:tab w:val="right" w:pos="9360"/>
        </w:tabs>
        <w:rPr>
          <w:szCs w:val="22"/>
        </w:rPr>
      </w:pPr>
    </w:p>
    <w:p w:rsidR="00C40ED2" w:rsidRDefault="00C40ED2" w:rsidP="00FD2319">
      <w:pPr>
        <w:tabs>
          <w:tab w:val="left" w:pos="1"/>
          <w:tab w:val="left" w:pos="720"/>
          <w:tab w:val="left" w:pos="1440"/>
          <w:tab w:val="right" w:pos="9360"/>
        </w:tabs>
        <w:rPr>
          <w:szCs w:val="22"/>
        </w:rPr>
      </w:pPr>
      <w:r>
        <w:rPr>
          <w:szCs w:val="22"/>
        </w:rPr>
        <w:t>The processing of the Form 318 applications will occur in the following manner (discussed more fully below):</w:t>
      </w:r>
    </w:p>
    <w:p w:rsidR="00C40ED2" w:rsidRDefault="00C40ED2" w:rsidP="00FD2319">
      <w:pPr>
        <w:tabs>
          <w:tab w:val="left" w:pos="1"/>
          <w:tab w:val="left" w:pos="720"/>
          <w:tab w:val="left" w:pos="1440"/>
          <w:tab w:val="right" w:pos="9360"/>
        </w:tabs>
        <w:rPr>
          <w:szCs w:val="22"/>
        </w:rPr>
      </w:pPr>
    </w:p>
    <w:p w:rsidR="00C40ED2" w:rsidRDefault="00C40ED2" w:rsidP="00C40ED2">
      <w:pPr>
        <w:pStyle w:val="ListParagraph"/>
        <w:numPr>
          <w:ilvl w:val="0"/>
          <w:numId w:val="8"/>
        </w:numPr>
        <w:tabs>
          <w:tab w:val="left" w:pos="1"/>
          <w:tab w:val="left" w:pos="720"/>
          <w:tab w:val="left" w:pos="1440"/>
          <w:tab w:val="right" w:pos="9360"/>
        </w:tabs>
        <w:rPr>
          <w:szCs w:val="22"/>
        </w:rPr>
      </w:pPr>
      <w:r>
        <w:rPr>
          <w:szCs w:val="22"/>
        </w:rPr>
        <w:t xml:space="preserve">The Bureau’s first priority </w:t>
      </w:r>
      <w:r w:rsidR="00B63E8C">
        <w:rPr>
          <w:szCs w:val="22"/>
        </w:rPr>
        <w:t>is the identification of</w:t>
      </w:r>
      <w:r>
        <w:rPr>
          <w:szCs w:val="22"/>
        </w:rPr>
        <w:t xml:space="preserve"> acceptable singleton applications</w:t>
      </w:r>
      <w:r w:rsidR="00E657C6">
        <w:rPr>
          <w:szCs w:val="22"/>
        </w:rPr>
        <w:t>.</w:t>
      </w:r>
    </w:p>
    <w:p w:rsidR="00D51593" w:rsidRDefault="003A6484" w:rsidP="00FD2319">
      <w:pPr>
        <w:pStyle w:val="ListParagraph"/>
        <w:numPr>
          <w:ilvl w:val="0"/>
          <w:numId w:val="8"/>
        </w:numPr>
        <w:tabs>
          <w:tab w:val="left" w:pos="1"/>
          <w:tab w:val="left" w:pos="720"/>
          <w:tab w:val="left" w:pos="1440"/>
          <w:tab w:val="right" w:pos="9360"/>
        </w:tabs>
        <w:rPr>
          <w:szCs w:val="22"/>
        </w:rPr>
      </w:pPr>
      <w:r>
        <w:rPr>
          <w:szCs w:val="22"/>
        </w:rPr>
        <w:t xml:space="preserve">Later this month, </w:t>
      </w:r>
      <w:r w:rsidR="00C40ED2">
        <w:rPr>
          <w:szCs w:val="22"/>
        </w:rPr>
        <w:t xml:space="preserve">the Bureau will </w:t>
      </w:r>
      <w:r w:rsidR="00C75473">
        <w:rPr>
          <w:szCs w:val="22"/>
        </w:rPr>
        <w:t>release a Public Notice identifying</w:t>
      </w:r>
      <w:r w:rsidR="00C40ED2">
        <w:rPr>
          <w:szCs w:val="22"/>
        </w:rPr>
        <w:t xml:space="preserve"> </w:t>
      </w:r>
      <w:r w:rsidR="00E657C6">
        <w:rPr>
          <w:szCs w:val="22"/>
        </w:rPr>
        <w:t xml:space="preserve">the </w:t>
      </w:r>
      <w:r w:rsidR="00C40ED2">
        <w:rPr>
          <w:szCs w:val="22"/>
        </w:rPr>
        <w:t xml:space="preserve">mutually exclusive </w:t>
      </w:r>
      <w:r w:rsidR="00B63E8C">
        <w:rPr>
          <w:szCs w:val="22"/>
        </w:rPr>
        <w:t xml:space="preserve">application </w:t>
      </w:r>
      <w:r w:rsidR="00C40ED2">
        <w:rPr>
          <w:szCs w:val="22"/>
        </w:rPr>
        <w:t>groups</w:t>
      </w:r>
      <w:r w:rsidR="00B63E8C">
        <w:rPr>
          <w:szCs w:val="22"/>
        </w:rPr>
        <w:t xml:space="preserve">.  </w:t>
      </w:r>
    </w:p>
    <w:p w:rsidR="00C47929" w:rsidRDefault="00C75473" w:rsidP="00FD2319">
      <w:pPr>
        <w:pStyle w:val="ListParagraph"/>
        <w:numPr>
          <w:ilvl w:val="0"/>
          <w:numId w:val="8"/>
        </w:numPr>
        <w:tabs>
          <w:tab w:val="left" w:pos="1"/>
          <w:tab w:val="left" w:pos="720"/>
          <w:tab w:val="left" w:pos="1440"/>
          <w:tab w:val="right" w:pos="9360"/>
        </w:tabs>
        <w:rPr>
          <w:szCs w:val="22"/>
        </w:rPr>
      </w:pPr>
      <w:r w:rsidRPr="00D51593">
        <w:rPr>
          <w:szCs w:val="22"/>
        </w:rPr>
        <w:t>Effective with the release of th</w:t>
      </w:r>
      <w:r w:rsidR="002D1BD4">
        <w:rPr>
          <w:szCs w:val="22"/>
        </w:rPr>
        <w:t>e mutually exclusive application groups’</w:t>
      </w:r>
      <w:r w:rsidRPr="00D51593">
        <w:rPr>
          <w:szCs w:val="22"/>
        </w:rPr>
        <w:t xml:space="preserve"> Public Notice, </w:t>
      </w:r>
      <w:r w:rsidR="00B63E8C">
        <w:rPr>
          <w:szCs w:val="22"/>
        </w:rPr>
        <w:t xml:space="preserve">all </w:t>
      </w:r>
      <w:r w:rsidRPr="00D51593">
        <w:rPr>
          <w:szCs w:val="22"/>
        </w:rPr>
        <w:t>applicants will have the abi</w:t>
      </w:r>
      <w:r w:rsidR="00553BB9">
        <w:rPr>
          <w:szCs w:val="22"/>
        </w:rPr>
        <w:t>lity to file certain amendments</w:t>
      </w:r>
      <w:r w:rsidR="00E657C6">
        <w:rPr>
          <w:szCs w:val="22"/>
        </w:rPr>
        <w:t>.</w:t>
      </w:r>
      <w:r w:rsidR="003A6484">
        <w:rPr>
          <w:szCs w:val="22"/>
        </w:rPr>
        <w:t xml:space="preserve">  Mutually exclusive applicants may immediately file technical amendments and/or enter into settlement and time-share agreements to resolve application conflicts.</w:t>
      </w:r>
      <w:r w:rsidR="002A42E0">
        <w:rPr>
          <w:szCs w:val="22"/>
        </w:rPr>
        <w:t xml:space="preserve">  </w:t>
      </w:r>
    </w:p>
    <w:p w:rsidR="00553BB9" w:rsidRPr="00553BB9" w:rsidRDefault="00E657C6" w:rsidP="00553BB9">
      <w:pPr>
        <w:pStyle w:val="ListParagraph"/>
        <w:numPr>
          <w:ilvl w:val="0"/>
          <w:numId w:val="8"/>
        </w:numPr>
        <w:tabs>
          <w:tab w:val="left" w:pos="1"/>
          <w:tab w:val="left" w:pos="720"/>
          <w:tab w:val="left" w:pos="1440"/>
          <w:tab w:val="right" w:pos="9360"/>
        </w:tabs>
        <w:rPr>
          <w:szCs w:val="22"/>
        </w:rPr>
      </w:pPr>
      <w:r>
        <w:rPr>
          <w:szCs w:val="22"/>
        </w:rPr>
        <w:t>Following the Bureau’s review of technical amendments and agreemen</w:t>
      </w:r>
      <w:r w:rsidR="007F10A6">
        <w:rPr>
          <w:szCs w:val="22"/>
        </w:rPr>
        <w:t>t</w:t>
      </w:r>
      <w:r>
        <w:rPr>
          <w:szCs w:val="22"/>
        </w:rPr>
        <w:t>s filed to remove application conflicts, t</w:t>
      </w:r>
      <w:r w:rsidR="00553BB9">
        <w:rPr>
          <w:szCs w:val="22"/>
        </w:rPr>
        <w:t xml:space="preserve">he </w:t>
      </w:r>
      <w:r>
        <w:rPr>
          <w:szCs w:val="22"/>
        </w:rPr>
        <w:t>Commission</w:t>
      </w:r>
      <w:r w:rsidR="00553BB9">
        <w:rPr>
          <w:szCs w:val="22"/>
        </w:rPr>
        <w:t xml:space="preserve"> will identify </w:t>
      </w:r>
      <w:r w:rsidR="00B63E8C">
        <w:rPr>
          <w:szCs w:val="22"/>
        </w:rPr>
        <w:t>one or more t</w:t>
      </w:r>
      <w:r w:rsidR="00553BB9">
        <w:rPr>
          <w:szCs w:val="22"/>
        </w:rPr>
        <w:t>entative selectee</w:t>
      </w:r>
      <w:r w:rsidR="00B63E8C">
        <w:rPr>
          <w:szCs w:val="22"/>
        </w:rPr>
        <w:t>s</w:t>
      </w:r>
      <w:r w:rsidR="00553BB9">
        <w:rPr>
          <w:szCs w:val="22"/>
        </w:rPr>
        <w:t xml:space="preserve"> </w:t>
      </w:r>
      <w:r>
        <w:rPr>
          <w:szCs w:val="22"/>
        </w:rPr>
        <w:t>from</w:t>
      </w:r>
      <w:r w:rsidR="00553BB9">
        <w:rPr>
          <w:szCs w:val="22"/>
        </w:rPr>
        <w:t xml:space="preserve"> each mutually exclusive group</w:t>
      </w:r>
      <w:r>
        <w:rPr>
          <w:szCs w:val="22"/>
        </w:rPr>
        <w:t xml:space="preserve">.  </w:t>
      </w:r>
      <w:r w:rsidR="007F10A6">
        <w:rPr>
          <w:szCs w:val="22"/>
        </w:rPr>
        <w:t xml:space="preserve">The Bureau </w:t>
      </w:r>
      <w:r>
        <w:rPr>
          <w:szCs w:val="22"/>
        </w:rPr>
        <w:t xml:space="preserve">will </w:t>
      </w:r>
      <w:r w:rsidR="00553BB9">
        <w:rPr>
          <w:szCs w:val="22"/>
        </w:rPr>
        <w:t>analyz</w:t>
      </w:r>
      <w:r>
        <w:rPr>
          <w:szCs w:val="22"/>
        </w:rPr>
        <w:t>e</w:t>
      </w:r>
      <w:r w:rsidR="00553BB9">
        <w:rPr>
          <w:szCs w:val="22"/>
        </w:rPr>
        <w:t xml:space="preserve"> petitions to deny filed against each tentative selectee, </w:t>
      </w:r>
      <w:r>
        <w:rPr>
          <w:szCs w:val="22"/>
        </w:rPr>
        <w:t xml:space="preserve">and </w:t>
      </w:r>
      <w:r w:rsidR="00553BB9">
        <w:rPr>
          <w:szCs w:val="22"/>
        </w:rPr>
        <w:t xml:space="preserve">then either grant </w:t>
      </w:r>
      <w:r>
        <w:rPr>
          <w:szCs w:val="22"/>
        </w:rPr>
        <w:t xml:space="preserve">or dismiss </w:t>
      </w:r>
      <w:r w:rsidR="00197869">
        <w:rPr>
          <w:szCs w:val="22"/>
        </w:rPr>
        <w:t>that</w:t>
      </w:r>
      <w:r w:rsidR="00553BB9">
        <w:rPr>
          <w:szCs w:val="22"/>
        </w:rPr>
        <w:t xml:space="preserve"> application</w:t>
      </w:r>
      <w:r>
        <w:rPr>
          <w:szCs w:val="22"/>
        </w:rPr>
        <w:t xml:space="preserve">.  </w:t>
      </w:r>
      <w:r w:rsidR="00553BB9">
        <w:rPr>
          <w:szCs w:val="22"/>
        </w:rPr>
        <w:t xml:space="preserve"> </w:t>
      </w:r>
      <w:r w:rsidR="007F10A6">
        <w:rPr>
          <w:szCs w:val="22"/>
        </w:rPr>
        <w:t xml:space="preserve">In certain cases, the Commission will identify a successor </w:t>
      </w:r>
      <w:r w:rsidR="00553BB9">
        <w:rPr>
          <w:szCs w:val="22"/>
        </w:rPr>
        <w:t>tentative selectee</w:t>
      </w:r>
      <w:r w:rsidR="00B63E8C">
        <w:rPr>
          <w:szCs w:val="22"/>
        </w:rPr>
        <w:t xml:space="preserve"> or selectees</w:t>
      </w:r>
      <w:r w:rsidR="007F10A6">
        <w:rPr>
          <w:szCs w:val="22"/>
        </w:rPr>
        <w:t>.  New tentative selectees also will be subject to petitions to deny.</w:t>
      </w:r>
    </w:p>
    <w:p w:rsidR="00D51593" w:rsidRDefault="00D51593" w:rsidP="00FD2319">
      <w:pPr>
        <w:tabs>
          <w:tab w:val="left" w:pos="1"/>
          <w:tab w:val="left" w:pos="720"/>
          <w:tab w:val="left" w:pos="1440"/>
          <w:tab w:val="right" w:pos="9360"/>
        </w:tabs>
        <w:rPr>
          <w:szCs w:val="22"/>
        </w:rPr>
      </w:pPr>
    </w:p>
    <w:p w:rsidR="001D63A7" w:rsidRDefault="00C47929">
      <w:pPr>
        <w:tabs>
          <w:tab w:val="left" w:pos="1"/>
          <w:tab w:val="left" w:pos="720"/>
          <w:tab w:val="left" w:pos="1440"/>
          <w:tab w:val="right" w:pos="9360"/>
        </w:tabs>
        <w:rPr>
          <w:szCs w:val="22"/>
        </w:rPr>
      </w:pPr>
      <w:r>
        <w:rPr>
          <w:b/>
          <w:szCs w:val="22"/>
        </w:rPr>
        <w:t xml:space="preserve">Singleton Applications:  </w:t>
      </w:r>
      <w:r w:rsidR="003A4E01" w:rsidRPr="00CE559B">
        <w:rPr>
          <w:szCs w:val="22"/>
        </w:rPr>
        <w:t xml:space="preserve">The Bureau </w:t>
      </w:r>
      <w:r>
        <w:rPr>
          <w:szCs w:val="22"/>
        </w:rPr>
        <w:t xml:space="preserve">has identified approximately nine hundred technically acceptable LPFM applications which are not in conflict with any other application, </w:t>
      </w:r>
      <w:r w:rsidRPr="00F00C7D">
        <w:rPr>
          <w:i/>
          <w:szCs w:val="22"/>
        </w:rPr>
        <w:t>i.e.</w:t>
      </w:r>
      <w:r>
        <w:rPr>
          <w:szCs w:val="22"/>
        </w:rPr>
        <w:t>, singleton applications.  The staff has begun to change the status of these applications from “received” to “accepted for filing” in CDBS.  The daily Broadcast Applications Public Notice announces this action and starts the 30-day period for the filing of petitions to deny</w:t>
      </w:r>
      <w:r w:rsidR="00D16724">
        <w:rPr>
          <w:szCs w:val="22"/>
        </w:rPr>
        <w:t xml:space="preserve"> (see below)</w:t>
      </w:r>
      <w:r>
        <w:rPr>
          <w:szCs w:val="22"/>
        </w:rPr>
        <w:t>.</w:t>
      </w:r>
      <w:r w:rsidR="00340470">
        <w:rPr>
          <w:szCs w:val="22"/>
        </w:rPr>
        <w:t xml:space="preserve">  These notices can be found in the Commission’s </w:t>
      </w:r>
      <w:r w:rsidR="00340470">
        <w:rPr>
          <w:i/>
          <w:szCs w:val="22"/>
        </w:rPr>
        <w:t>Daily Digest</w:t>
      </w:r>
      <w:r w:rsidR="00340470">
        <w:rPr>
          <w:szCs w:val="22"/>
        </w:rPr>
        <w:t xml:space="preserve">, available at </w:t>
      </w:r>
      <w:hyperlink r:id="rId8" w:history="1">
        <w:r w:rsidR="00723C7E" w:rsidRPr="003B1832">
          <w:rPr>
            <w:rStyle w:val="Hyperlink"/>
            <w:szCs w:val="22"/>
          </w:rPr>
          <w:t>http://www.fcc.gov/encyclopedia/daily-digest</w:t>
        </w:r>
      </w:hyperlink>
      <w:r w:rsidR="00340470">
        <w:rPr>
          <w:szCs w:val="22"/>
        </w:rPr>
        <w:t>.</w:t>
      </w:r>
      <w:r>
        <w:rPr>
          <w:szCs w:val="22"/>
        </w:rPr>
        <w:t xml:space="preserve">  The Bureau anticipates that it will begin to issue LPFM new station construction permits</w:t>
      </w:r>
      <w:r w:rsidR="009B09BC">
        <w:rPr>
          <w:szCs w:val="22"/>
        </w:rPr>
        <w:t xml:space="preserve"> to singleton applicants</w:t>
      </w:r>
      <w:r>
        <w:rPr>
          <w:szCs w:val="22"/>
        </w:rPr>
        <w:t xml:space="preserve"> in </w:t>
      </w:r>
      <w:r w:rsidRPr="00C47929">
        <w:rPr>
          <w:b/>
          <w:szCs w:val="22"/>
        </w:rPr>
        <w:t>January 2014</w:t>
      </w:r>
      <w:r>
        <w:rPr>
          <w:szCs w:val="22"/>
        </w:rPr>
        <w:t xml:space="preserve">.  </w:t>
      </w:r>
    </w:p>
    <w:p w:rsidR="00D5708B" w:rsidRPr="00CE559B" w:rsidRDefault="00D5708B" w:rsidP="00FD2319">
      <w:pPr>
        <w:tabs>
          <w:tab w:val="left" w:pos="1"/>
          <w:tab w:val="left" w:pos="720"/>
          <w:tab w:val="left" w:pos="1440"/>
          <w:tab w:val="right" w:pos="9360"/>
        </w:tabs>
        <w:rPr>
          <w:b/>
          <w:szCs w:val="22"/>
        </w:rPr>
      </w:pPr>
    </w:p>
    <w:p w:rsidR="00A36450" w:rsidRPr="00CE559B" w:rsidRDefault="003A3BF0" w:rsidP="00FD2319">
      <w:pPr>
        <w:tabs>
          <w:tab w:val="left" w:pos="1"/>
          <w:tab w:val="left" w:pos="720"/>
          <w:tab w:val="left" w:pos="1440"/>
          <w:tab w:val="right" w:pos="9360"/>
        </w:tabs>
        <w:rPr>
          <w:szCs w:val="22"/>
        </w:rPr>
      </w:pPr>
      <w:r w:rsidRPr="00CE559B">
        <w:rPr>
          <w:b/>
          <w:szCs w:val="22"/>
        </w:rPr>
        <w:t>Mutually Exclusive Applications.</w:t>
      </w:r>
      <w:r w:rsidR="004F0C50" w:rsidRPr="00CE559B">
        <w:rPr>
          <w:b/>
          <w:szCs w:val="22"/>
        </w:rPr>
        <w:t xml:space="preserve">  </w:t>
      </w:r>
      <w:r w:rsidR="006D62B2">
        <w:rPr>
          <w:szCs w:val="22"/>
        </w:rPr>
        <w:t xml:space="preserve">When the distance between two window applications does </w:t>
      </w:r>
      <w:r w:rsidR="00D235F3">
        <w:rPr>
          <w:szCs w:val="22"/>
        </w:rPr>
        <w:t xml:space="preserve">not </w:t>
      </w:r>
      <w:r w:rsidR="006D62B2">
        <w:rPr>
          <w:szCs w:val="22"/>
        </w:rPr>
        <w:t xml:space="preserve">meet </w:t>
      </w:r>
      <w:r w:rsidR="00D235F3">
        <w:rPr>
          <w:szCs w:val="22"/>
        </w:rPr>
        <w:t xml:space="preserve">the </w:t>
      </w:r>
      <w:r w:rsidR="006D62B2">
        <w:rPr>
          <w:szCs w:val="22"/>
        </w:rPr>
        <w:t>minimum distance separation requirements</w:t>
      </w:r>
      <w:r w:rsidR="00D51593">
        <w:rPr>
          <w:szCs w:val="22"/>
        </w:rPr>
        <w:t xml:space="preserve"> specified in 47 C.F.R. §</w:t>
      </w:r>
      <w:r w:rsidR="007F10A6">
        <w:rPr>
          <w:szCs w:val="22"/>
        </w:rPr>
        <w:t xml:space="preserve"> </w:t>
      </w:r>
      <w:r w:rsidR="00D16724">
        <w:rPr>
          <w:szCs w:val="22"/>
        </w:rPr>
        <w:t>73.807</w:t>
      </w:r>
      <w:r w:rsidR="006D62B2">
        <w:rPr>
          <w:szCs w:val="22"/>
        </w:rPr>
        <w:t xml:space="preserve">, the applications are treated as mutually exclusive (MX).  An MX group consists of all applications which are MX to at least one other application in the group.  </w:t>
      </w:r>
      <w:r w:rsidR="00A836D7" w:rsidRPr="00CE559B">
        <w:rPr>
          <w:szCs w:val="22"/>
        </w:rPr>
        <w:t xml:space="preserve">MX </w:t>
      </w:r>
      <w:r w:rsidR="006D62B2">
        <w:rPr>
          <w:szCs w:val="22"/>
        </w:rPr>
        <w:t>applications will be identified by MX group in a public notice (MX Group PN) in December</w:t>
      </w:r>
      <w:r w:rsidR="00D16724">
        <w:rPr>
          <w:szCs w:val="22"/>
        </w:rPr>
        <w:t xml:space="preserve"> 2013</w:t>
      </w:r>
      <w:r w:rsidR="006D62B2">
        <w:rPr>
          <w:szCs w:val="22"/>
        </w:rPr>
        <w:t xml:space="preserve">.  </w:t>
      </w:r>
      <w:r w:rsidR="00A836D7" w:rsidRPr="00CE559B">
        <w:rPr>
          <w:szCs w:val="22"/>
        </w:rPr>
        <w:t xml:space="preserve">MX </w:t>
      </w:r>
      <w:r w:rsidR="004F0C50" w:rsidRPr="00CE559B">
        <w:rPr>
          <w:szCs w:val="22"/>
        </w:rPr>
        <w:t>applicants</w:t>
      </w:r>
      <w:r w:rsidR="00902500" w:rsidRPr="00CE559B">
        <w:rPr>
          <w:szCs w:val="22"/>
        </w:rPr>
        <w:t xml:space="preserve"> may communicate with each other</w:t>
      </w:r>
      <w:r w:rsidR="00A836D7" w:rsidRPr="00CE559B">
        <w:rPr>
          <w:szCs w:val="22"/>
        </w:rPr>
        <w:t xml:space="preserve"> at any time</w:t>
      </w:r>
      <w:r w:rsidR="00902500" w:rsidRPr="00CE559B">
        <w:rPr>
          <w:szCs w:val="22"/>
        </w:rPr>
        <w:t xml:space="preserve"> before or after the release of the </w:t>
      </w:r>
      <w:r w:rsidR="006D62B2">
        <w:rPr>
          <w:szCs w:val="22"/>
        </w:rPr>
        <w:t>MX Group PN</w:t>
      </w:r>
      <w:r w:rsidR="00DB43C2">
        <w:rPr>
          <w:szCs w:val="22"/>
        </w:rPr>
        <w:t xml:space="preserve"> to explore options for resolving application conflicts</w:t>
      </w:r>
      <w:r w:rsidR="00D16724">
        <w:rPr>
          <w:szCs w:val="22"/>
        </w:rPr>
        <w:t xml:space="preserve"> </w:t>
      </w:r>
      <w:r w:rsidR="00A36450" w:rsidRPr="00CE559B">
        <w:rPr>
          <w:szCs w:val="22"/>
        </w:rPr>
        <w:t>through settlements</w:t>
      </w:r>
      <w:r w:rsidR="00DB43C2">
        <w:rPr>
          <w:szCs w:val="22"/>
        </w:rPr>
        <w:t xml:space="preserve"> and/or </w:t>
      </w:r>
      <w:r w:rsidR="00A36450" w:rsidRPr="00CE559B">
        <w:rPr>
          <w:szCs w:val="22"/>
        </w:rPr>
        <w:t>technical amendments</w:t>
      </w:r>
      <w:r w:rsidR="00D16724">
        <w:rPr>
          <w:szCs w:val="22"/>
        </w:rPr>
        <w:t xml:space="preserve"> (see below)</w:t>
      </w:r>
      <w:r w:rsidR="00DB43C2">
        <w:rPr>
          <w:szCs w:val="22"/>
        </w:rPr>
        <w:t xml:space="preserve">.  Applicants also have the option of entering into partial or universal </w:t>
      </w:r>
      <w:r w:rsidR="00A36450" w:rsidRPr="00CE559B">
        <w:rPr>
          <w:szCs w:val="22"/>
        </w:rPr>
        <w:t>voluntary time-share agreements</w:t>
      </w:r>
      <w:r w:rsidR="00D16724">
        <w:rPr>
          <w:szCs w:val="22"/>
        </w:rPr>
        <w:t xml:space="preserve"> (see below)</w:t>
      </w:r>
      <w:r w:rsidR="00A36450" w:rsidRPr="00CE559B">
        <w:rPr>
          <w:szCs w:val="22"/>
        </w:rPr>
        <w:t>.</w:t>
      </w:r>
    </w:p>
    <w:p w:rsidR="00277A31" w:rsidRPr="00CE559B" w:rsidRDefault="00277A31" w:rsidP="00FD2319">
      <w:pPr>
        <w:tabs>
          <w:tab w:val="left" w:pos="1"/>
          <w:tab w:val="left" w:pos="720"/>
          <w:tab w:val="left" w:pos="1440"/>
          <w:tab w:val="right" w:pos="9360"/>
        </w:tabs>
        <w:rPr>
          <w:b/>
          <w:szCs w:val="22"/>
        </w:rPr>
      </w:pPr>
    </w:p>
    <w:p w:rsidR="001D63A7" w:rsidRPr="00CE559B" w:rsidRDefault="001D63A7" w:rsidP="00FD2319">
      <w:pPr>
        <w:tabs>
          <w:tab w:val="left" w:pos="1"/>
          <w:tab w:val="left" w:pos="720"/>
          <w:tab w:val="left" w:pos="1440"/>
          <w:tab w:val="right" w:pos="9360"/>
        </w:tabs>
        <w:rPr>
          <w:szCs w:val="22"/>
        </w:rPr>
      </w:pPr>
      <w:r w:rsidRPr="00CE559B">
        <w:rPr>
          <w:b/>
          <w:szCs w:val="22"/>
        </w:rPr>
        <w:t>Amendments:</w:t>
      </w:r>
      <w:r w:rsidR="00CC262D" w:rsidRPr="00CE559B">
        <w:rPr>
          <w:b/>
          <w:szCs w:val="22"/>
        </w:rPr>
        <w:t xml:space="preserve">  </w:t>
      </w:r>
      <w:r w:rsidR="00DB43C2">
        <w:rPr>
          <w:szCs w:val="22"/>
        </w:rPr>
        <w:t xml:space="preserve">Effective with the release of the MX Group PN, all applicants will have </w:t>
      </w:r>
      <w:r w:rsidR="00D422A7">
        <w:rPr>
          <w:szCs w:val="22"/>
        </w:rPr>
        <w:t xml:space="preserve">the ability </w:t>
      </w:r>
      <w:r w:rsidR="000F3D30" w:rsidRPr="00CE559B">
        <w:rPr>
          <w:szCs w:val="22"/>
        </w:rPr>
        <w:t xml:space="preserve">to file certain amendments. </w:t>
      </w:r>
      <w:r w:rsidR="00277A31" w:rsidRPr="00CE559B">
        <w:rPr>
          <w:szCs w:val="22"/>
        </w:rPr>
        <w:t xml:space="preserve">  </w:t>
      </w:r>
      <w:r w:rsidR="00707C73">
        <w:rPr>
          <w:szCs w:val="22"/>
        </w:rPr>
        <w:t>During this initial settlement period, a</w:t>
      </w:r>
      <w:r w:rsidR="00277A31" w:rsidRPr="00CE559B">
        <w:rPr>
          <w:szCs w:val="22"/>
        </w:rPr>
        <w:t>pplicants may</w:t>
      </w:r>
      <w:r w:rsidR="00B004FA" w:rsidRPr="00CE559B">
        <w:rPr>
          <w:szCs w:val="22"/>
        </w:rPr>
        <w:t xml:space="preserve"> </w:t>
      </w:r>
      <w:r w:rsidR="00277A31" w:rsidRPr="00CE559B">
        <w:rPr>
          <w:szCs w:val="22"/>
        </w:rPr>
        <w:t>only file “minor” amendments</w:t>
      </w:r>
      <w:r w:rsidR="00B004FA" w:rsidRPr="00CE559B">
        <w:rPr>
          <w:szCs w:val="22"/>
        </w:rPr>
        <w:t>,</w:t>
      </w:r>
      <w:r w:rsidR="00277A31" w:rsidRPr="00CE559B">
        <w:rPr>
          <w:szCs w:val="22"/>
        </w:rPr>
        <w:t xml:space="preserve"> which include: (1) site relocations of 5.6 kilometers or less; (2) </w:t>
      </w:r>
      <w:r w:rsidR="00DB43C2">
        <w:rPr>
          <w:szCs w:val="22"/>
        </w:rPr>
        <w:t>channel changes of no more than +/- three channels</w:t>
      </w:r>
      <w:r w:rsidR="00B63E8C">
        <w:rPr>
          <w:szCs w:val="22"/>
        </w:rPr>
        <w:t xml:space="preserve"> or </w:t>
      </w:r>
      <w:r w:rsidR="00A77135">
        <w:rPr>
          <w:szCs w:val="22"/>
        </w:rPr>
        <w:t xml:space="preserve">to </w:t>
      </w:r>
      <w:r w:rsidR="00197869">
        <w:rPr>
          <w:szCs w:val="22"/>
        </w:rPr>
        <w:t xml:space="preserve">an </w:t>
      </w:r>
      <w:r w:rsidR="00A77135">
        <w:rPr>
          <w:szCs w:val="22"/>
        </w:rPr>
        <w:t>intermediate frequency (</w:t>
      </w:r>
      <w:r w:rsidR="00B63E8C">
        <w:rPr>
          <w:szCs w:val="22"/>
        </w:rPr>
        <w:t>+/- 53 or 54</w:t>
      </w:r>
      <w:r w:rsidR="00A77135">
        <w:rPr>
          <w:szCs w:val="22"/>
        </w:rPr>
        <w:t>)</w:t>
      </w:r>
      <w:r w:rsidR="00B63E8C">
        <w:rPr>
          <w:szCs w:val="22"/>
        </w:rPr>
        <w:t xml:space="preserve"> </w:t>
      </w:r>
      <w:r w:rsidR="00D7098B">
        <w:rPr>
          <w:szCs w:val="22"/>
        </w:rPr>
        <w:t>channel;</w:t>
      </w:r>
      <w:r w:rsidR="00DB43C2">
        <w:rPr>
          <w:szCs w:val="22"/>
        </w:rPr>
        <w:t xml:space="preserve"> (3) </w:t>
      </w:r>
      <w:r w:rsidR="00F00C7D">
        <w:rPr>
          <w:szCs w:val="22"/>
        </w:rPr>
        <w:t>partial</w:t>
      </w:r>
      <w:r w:rsidR="00DB43C2">
        <w:rPr>
          <w:szCs w:val="22"/>
        </w:rPr>
        <w:t xml:space="preserve"> and </w:t>
      </w:r>
      <w:r w:rsidR="00277A31" w:rsidRPr="00CE559B">
        <w:rPr>
          <w:szCs w:val="22"/>
        </w:rPr>
        <w:t>universal voluntary time-sharing agreements; (</w:t>
      </w:r>
      <w:r w:rsidR="00DB43C2">
        <w:rPr>
          <w:szCs w:val="22"/>
        </w:rPr>
        <w:t>4</w:t>
      </w:r>
      <w:r w:rsidR="00277A31" w:rsidRPr="00CE559B">
        <w:rPr>
          <w:szCs w:val="22"/>
        </w:rPr>
        <w:t>) changes in general or legal information; (</w:t>
      </w:r>
      <w:r w:rsidR="00DB43C2">
        <w:rPr>
          <w:szCs w:val="22"/>
        </w:rPr>
        <w:t>5</w:t>
      </w:r>
      <w:r w:rsidR="00277A31" w:rsidRPr="00CE559B">
        <w:rPr>
          <w:szCs w:val="22"/>
        </w:rPr>
        <w:t>) changes in ownership where the original parties retain more than 50 percent ownership in the application as originally filed</w:t>
      </w:r>
      <w:r w:rsidR="00DB43C2">
        <w:rPr>
          <w:szCs w:val="22"/>
        </w:rPr>
        <w:t xml:space="preserve">.  Site relocation amendments of more than 5.6 kilometers will be permitted </w:t>
      </w:r>
      <w:r w:rsidR="00197869">
        <w:rPr>
          <w:szCs w:val="22"/>
        </w:rPr>
        <w:t xml:space="preserve">to remediate potential third-adjacent channel interference and </w:t>
      </w:r>
      <w:r w:rsidR="00DB43C2">
        <w:rPr>
          <w:szCs w:val="22"/>
        </w:rPr>
        <w:t xml:space="preserve">for </w:t>
      </w:r>
      <w:r w:rsidR="007F10A6">
        <w:rPr>
          <w:szCs w:val="22"/>
        </w:rPr>
        <w:t xml:space="preserve">time-share </w:t>
      </w:r>
      <w:r w:rsidR="00277A31" w:rsidRPr="00CE559B">
        <w:rPr>
          <w:szCs w:val="22"/>
        </w:rPr>
        <w:t>propo</w:t>
      </w:r>
      <w:r w:rsidR="00197869">
        <w:rPr>
          <w:szCs w:val="22"/>
        </w:rPr>
        <w:t>nents</w:t>
      </w:r>
      <w:r w:rsidR="007F10A6">
        <w:rPr>
          <w:rStyle w:val="FootnoteReference"/>
          <w:szCs w:val="22"/>
        </w:rPr>
        <w:footnoteReference w:id="1"/>
      </w:r>
      <w:r w:rsidR="00277A31" w:rsidRPr="00CE559B">
        <w:rPr>
          <w:szCs w:val="22"/>
        </w:rPr>
        <w:t xml:space="preserve"> to relocate to a common </w:t>
      </w:r>
      <w:r w:rsidR="007F10A6">
        <w:rPr>
          <w:szCs w:val="22"/>
        </w:rPr>
        <w:t>transmitter site</w:t>
      </w:r>
      <w:r w:rsidR="00DB43C2">
        <w:rPr>
          <w:szCs w:val="22"/>
        </w:rPr>
        <w:t>.</w:t>
      </w:r>
    </w:p>
    <w:p w:rsidR="00902500" w:rsidRPr="00CE559B" w:rsidRDefault="00902500" w:rsidP="00FD2319">
      <w:pPr>
        <w:tabs>
          <w:tab w:val="left" w:pos="1"/>
          <w:tab w:val="left" w:pos="720"/>
          <w:tab w:val="left" w:pos="1440"/>
          <w:tab w:val="right" w:pos="9360"/>
        </w:tabs>
        <w:rPr>
          <w:szCs w:val="22"/>
        </w:rPr>
      </w:pPr>
    </w:p>
    <w:p w:rsidR="00902500" w:rsidRPr="00CE559B" w:rsidRDefault="00902500" w:rsidP="00FD2319">
      <w:pPr>
        <w:tabs>
          <w:tab w:val="left" w:pos="1"/>
          <w:tab w:val="left" w:pos="720"/>
          <w:tab w:val="left" w:pos="1440"/>
          <w:tab w:val="right" w:pos="9360"/>
        </w:tabs>
        <w:rPr>
          <w:szCs w:val="22"/>
        </w:rPr>
      </w:pPr>
      <w:r w:rsidRPr="00CE559B">
        <w:rPr>
          <w:szCs w:val="22"/>
        </w:rPr>
        <w:t xml:space="preserve">Major amendments, such as </w:t>
      </w:r>
      <w:r w:rsidR="00DB43C2">
        <w:rPr>
          <w:szCs w:val="22"/>
        </w:rPr>
        <w:t xml:space="preserve">non-adjacent </w:t>
      </w:r>
      <w:r w:rsidRPr="00CE559B">
        <w:rPr>
          <w:szCs w:val="22"/>
        </w:rPr>
        <w:t>channel changes</w:t>
      </w:r>
      <w:r w:rsidR="00B004FA" w:rsidRPr="00CE559B">
        <w:rPr>
          <w:szCs w:val="22"/>
        </w:rPr>
        <w:t xml:space="preserve"> and </w:t>
      </w:r>
      <w:r w:rsidR="00DB43C2">
        <w:rPr>
          <w:szCs w:val="22"/>
        </w:rPr>
        <w:t xml:space="preserve">otherwise prohibited </w:t>
      </w:r>
      <w:r w:rsidR="00B004FA" w:rsidRPr="00CE559B">
        <w:rPr>
          <w:szCs w:val="22"/>
        </w:rPr>
        <w:t>site relocations of greater than 5.6 kilometers</w:t>
      </w:r>
      <w:r w:rsidRPr="00CE559B">
        <w:rPr>
          <w:szCs w:val="22"/>
        </w:rPr>
        <w:t>, will</w:t>
      </w:r>
      <w:r w:rsidR="00B004FA" w:rsidRPr="00CE559B">
        <w:rPr>
          <w:szCs w:val="22"/>
        </w:rPr>
        <w:t xml:space="preserve"> only</w:t>
      </w:r>
      <w:r w:rsidRPr="00CE559B">
        <w:rPr>
          <w:szCs w:val="22"/>
        </w:rPr>
        <w:t xml:space="preserve"> be allowed </w:t>
      </w:r>
      <w:r w:rsidR="00B004FA" w:rsidRPr="00CE559B">
        <w:rPr>
          <w:szCs w:val="22"/>
        </w:rPr>
        <w:t>after</w:t>
      </w:r>
      <w:r w:rsidRPr="00CE559B">
        <w:rPr>
          <w:szCs w:val="22"/>
        </w:rPr>
        <w:t xml:space="preserve"> the </w:t>
      </w:r>
      <w:r w:rsidR="00D16724">
        <w:rPr>
          <w:szCs w:val="22"/>
        </w:rPr>
        <w:t>Commission</w:t>
      </w:r>
      <w:r w:rsidRPr="00CE559B">
        <w:rPr>
          <w:szCs w:val="22"/>
        </w:rPr>
        <w:t xml:space="preserve"> identifies tentative selectees among the MX groups.</w:t>
      </w:r>
      <w:r w:rsidR="00B004FA" w:rsidRPr="00CE559B">
        <w:rPr>
          <w:szCs w:val="22"/>
        </w:rPr>
        <w:t xml:space="preserve">  </w:t>
      </w:r>
      <w:r w:rsidR="00D16724">
        <w:rPr>
          <w:szCs w:val="22"/>
        </w:rPr>
        <w:t>Tentative selectees will be announced in a series of tentative selectee public notices (Tentative Selectee PN).  M</w:t>
      </w:r>
      <w:r w:rsidR="00B004FA" w:rsidRPr="00CE559B">
        <w:rPr>
          <w:szCs w:val="22"/>
        </w:rPr>
        <w:t xml:space="preserve">ajor amendments will </w:t>
      </w:r>
      <w:r w:rsidR="00D422A7">
        <w:rPr>
          <w:szCs w:val="22"/>
        </w:rPr>
        <w:t xml:space="preserve">only </w:t>
      </w:r>
      <w:r w:rsidR="00B004FA" w:rsidRPr="00CE559B">
        <w:rPr>
          <w:szCs w:val="22"/>
        </w:rPr>
        <w:t xml:space="preserve">be allowed within 90 days of the </w:t>
      </w:r>
      <w:r w:rsidR="00D16724">
        <w:rPr>
          <w:szCs w:val="22"/>
        </w:rPr>
        <w:t>release of a Tentative Selectee PN and only with respect to the applications listed in the particular Tentative Selectee PN</w:t>
      </w:r>
      <w:r w:rsidR="00B004FA" w:rsidRPr="00CE559B">
        <w:rPr>
          <w:szCs w:val="22"/>
        </w:rPr>
        <w:t>.</w:t>
      </w:r>
    </w:p>
    <w:p w:rsidR="00277A31" w:rsidRPr="00CE559B" w:rsidRDefault="00277A31" w:rsidP="00FD2319">
      <w:pPr>
        <w:tabs>
          <w:tab w:val="left" w:pos="1"/>
          <w:tab w:val="left" w:pos="720"/>
          <w:tab w:val="left" w:pos="1440"/>
          <w:tab w:val="right" w:pos="9360"/>
        </w:tabs>
        <w:rPr>
          <w:szCs w:val="22"/>
        </w:rPr>
      </w:pPr>
    </w:p>
    <w:p w:rsidR="00277A31" w:rsidRPr="00CE559B" w:rsidRDefault="00277A31" w:rsidP="00FD2319">
      <w:pPr>
        <w:tabs>
          <w:tab w:val="left" w:pos="1"/>
          <w:tab w:val="left" w:pos="720"/>
          <w:tab w:val="left" w:pos="1440"/>
          <w:tab w:val="right" w:pos="9360"/>
        </w:tabs>
        <w:rPr>
          <w:szCs w:val="22"/>
        </w:rPr>
      </w:pPr>
      <w:r w:rsidRPr="00CE559B">
        <w:rPr>
          <w:szCs w:val="22"/>
        </w:rPr>
        <w:t xml:space="preserve">Applicants </w:t>
      </w:r>
      <w:r w:rsidR="00607718" w:rsidRPr="00CE559B">
        <w:rPr>
          <w:b/>
          <w:szCs w:val="22"/>
        </w:rPr>
        <w:t>may</w:t>
      </w:r>
      <w:r w:rsidRPr="00CE559B">
        <w:rPr>
          <w:b/>
          <w:szCs w:val="22"/>
        </w:rPr>
        <w:t xml:space="preserve"> not</w:t>
      </w:r>
      <w:r w:rsidRPr="00CE559B">
        <w:rPr>
          <w:szCs w:val="22"/>
        </w:rPr>
        <w:t xml:space="preserve"> amend their application</w:t>
      </w:r>
      <w:r w:rsidR="009B09BC">
        <w:rPr>
          <w:szCs w:val="22"/>
        </w:rPr>
        <w:t>s</w:t>
      </w:r>
      <w:r w:rsidRPr="00CE559B">
        <w:rPr>
          <w:szCs w:val="22"/>
        </w:rPr>
        <w:t xml:space="preserve"> to increase t</w:t>
      </w:r>
      <w:r w:rsidR="00607718" w:rsidRPr="00CE559B">
        <w:rPr>
          <w:szCs w:val="22"/>
        </w:rPr>
        <w:t>heir comparative point total</w:t>
      </w:r>
      <w:r w:rsidRPr="00CE559B">
        <w:rPr>
          <w:szCs w:val="22"/>
        </w:rPr>
        <w:t xml:space="preserve"> </w:t>
      </w:r>
      <w:r w:rsidR="00607718" w:rsidRPr="00CE559B">
        <w:rPr>
          <w:szCs w:val="22"/>
        </w:rPr>
        <w:t xml:space="preserve">and </w:t>
      </w:r>
      <w:r w:rsidR="00607718" w:rsidRPr="00CE559B">
        <w:rPr>
          <w:b/>
          <w:szCs w:val="22"/>
        </w:rPr>
        <w:t>may not</w:t>
      </w:r>
      <w:r w:rsidR="00607718" w:rsidRPr="00CE559B">
        <w:rPr>
          <w:szCs w:val="22"/>
        </w:rPr>
        <w:t xml:space="preserve"> amend their applications to come into compliance with the minimum separation requirements provided in 47 C.F.R. §</w:t>
      </w:r>
      <w:r w:rsidR="007F10A6">
        <w:rPr>
          <w:szCs w:val="22"/>
        </w:rPr>
        <w:t xml:space="preserve"> </w:t>
      </w:r>
      <w:r w:rsidR="00607718" w:rsidRPr="00CE559B">
        <w:rPr>
          <w:szCs w:val="22"/>
        </w:rPr>
        <w:t>73.807.</w:t>
      </w:r>
    </w:p>
    <w:p w:rsidR="00CC262D" w:rsidRPr="00CE559B" w:rsidRDefault="00CC262D" w:rsidP="00FD2319">
      <w:pPr>
        <w:tabs>
          <w:tab w:val="left" w:pos="1"/>
          <w:tab w:val="left" w:pos="720"/>
          <w:tab w:val="left" w:pos="1440"/>
          <w:tab w:val="right" w:pos="9360"/>
        </w:tabs>
        <w:rPr>
          <w:b/>
          <w:szCs w:val="22"/>
        </w:rPr>
      </w:pPr>
    </w:p>
    <w:p w:rsidR="00D422A7" w:rsidRDefault="001D63A7" w:rsidP="00CE559B">
      <w:pPr>
        <w:rPr>
          <w:szCs w:val="22"/>
        </w:rPr>
      </w:pPr>
      <w:r w:rsidRPr="00CE559B">
        <w:rPr>
          <w:b/>
          <w:szCs w:val="22"/>
        </w:rPr>
        <w:t>Settlement</w:t>
      </w:r>
      <w:r w:rsidR="004F0C50" w:rsidRPr="00CE559B">
        <w:rPr>
          <w:b/>
          <w:szCs w:val="22"/>
        </w:rPr>
        <w:t xml:space="preserve"> Agreement</w:t>
      </w:r>
      <w:r w:rsidRPr="00CE559B">
        <w:rPr>
          <w:b/>
          <w:szCs w:val="22"/>
        </w:rPr>
        <w:t>s:</w:t>
      </w:r>
      <w:r w:rsidR="00CE559B" w:rsidRPr="00CE559B">
        <w:rPr>
          <w:b/>
          <w:szCs w:val="22"/>
        </w:rPr>
        <w:t xml:space="preserve">  </w:t>
      </w:r>
      <w:r w:rsidR="00CE559B">
        <w:rPr>
          <w:szCs w:val="22"/>
        </w:rPr>
        <w:t>MX a</w:t>
      </w:r>
      <w:r w:rsidR="00CE559B" w:rsidRPr="00CE559B">
        <w:rPr>
          <w:szCs w:val="22"/>
        </w:rPr>
        <w:t>pplicants may resolve technical conflicts through two methods</w:t>
      </w:r>
      <w:r w:rsidR="00D235F3">
        <w:rPr>
          <w:szCs w:val="22"/>
        </w:rPr>
        <w:t xml:space="preserve"> --</w:t>
      </w:r>
      <w:r w:rsidR="00CE559B" w:rsidRPr="00CE559B">
        <w:rPr>
          <w:szCs w:val="22"/>
        </w:rPr>
        <w:t xml:space="preserve">settlements and/or technical amendments.  </w:t>
      </w:r>
    </w:p>
    <w:p w:rsidR="00D422A7" w:rsidRDefault="00D422A7" w:rsidP="00CE559B">
      <w:pPr>
        <w:rPr>
          <w:szCs w:val="22"/>
        </w:rPr>
      </w:pPr>
    </w:p>
    <w:p w:rsidR="00CE559B" w:rsidRPr="00D422A7" w:rsidRDefault="00CE559B" w:rsidP="00CE559B">
      <w:pPr>
        <w:rPr>
          <w:b/>
          <w:szCs w:val="22"/>
        </w:rPr>
      </w:pPr>
      <w:r w:rsidRPr="00CE559B">
        <w:rPr>
          <w:rStyle w:val="documentbody1"/>
          <w:rFonts w:ascii="Times New Roman" w:hAnsi="Times New Roman"/>
          <w:color w:val="000000"/>
          <w:sz w:val="22"/>
          <w:szCs w:val="22"/>
        </w:rPr>
        <w:t>A settlement must propose the grant of at least one technically acceptable application within a group of mutually exclusive applications and m</w:t>
      </w:r>
      <w:r w:rsidR="00D235F3">
        <w:rPr>
          <w:rStyle w:val="documentbody1"/>
          <w:rFonts w:ascii="Times New Roman" w:hAnsi="Times New Roman"/>
          <w:color w:val="000000"/>
          <w:sz w:val="22"/>
          <w:szCs w:val="22"/>
        </w:rPr>
        <w:t>ay</w:t>
      </w:r>
      <w:r w:rsidRPr="00CE559B">
        <w:rPr>
          <w:rStyle w:val="documentbody1"/>
          <w:rFonts w:ascii="Times New Roman" w:hAnsi="Times New Roman"/>
          <w:color w:val="000000"/>
          <w:sz w:val="22"/>
          <w:szCs w:val="22"/>
        </w:rPr>
        <w:t xml:space="preserve"> not create any new application conflicts.</w:t>
      </w:r>
      <w:r w:rsidRPr="00CE559B">
        <w:rPr>
          <w:rStyle w:val="FootnoteReference"/>
          <w:color w:val="000000"/>
          <w:szCs w:val="22"/>
        </w:rPr>
        <w:footnoteReference w:id="2"/>
      </w:r>
      <w:r w:rsidR="00D422A7">
        <w:rPr>
          <w:rStyle w:val="documentbody1"/>
          <w:rFonts w:ascii="Times New Roman" w:hAnsi="Times New Roman"/>
          <w:color w:val="000000"/>
          <w:sz w:val="22"/>
          <w:szCs w:val="22"/>
        </w:rPr>
        <w:t xml:space="preserve">  </w:t>
      </w:r>
      <w:r w:rsidRPr="00CE559B">
        <w:rPr>
          <w:color w:val="000000"/>
          <w:szCs w:val="22"/>
        </w:rPr>
        <w:t xml:space="preserve">Applicants entering into agreements to procure the removal of a conflict between applications by amendment or dismissal of an application must ensure that their settlement agreements comply with the </w:t>
      </w:r>
      <w:bookmarkStart w:id="1" w:name="FN[FN4]"/>
      <w:bookmarkEnd w:id="1"/>
      <w:r w:rsidRPr="00CE559B">
        <w:rPr>
          <w:color w:val="000000"/>
          <w:szCs w:val="22"/>
        </w:rPr>
        <w:t>pertinent requirements of Se</w:t>
      </w:r>
      <w:r>
        <w:rPr>
          <w:color w:val="000000"/>
          <w:szCs w:val="22"/>
        </w:rPr>
        <w:t>ction 73.3525 of the Commission’</w:t>
      </w:r>
      <w:r w:rsidRPr="00CE559B">
        <w:rPr>
          <w:color w:val="000000"/>
          <w:szCs w:val="22"/>
        </w:rPr>
        <w:t>s Rules, including reimbursement restrictions.</w:t>
      </w:r>
      <w:bookmarkStart w:id="2" w:name="FN[FN5]"/>
      <w:bookmarkEnd w:id="2"/>
      <w:r w:rsidRPr="00CE559B">
        <w:rPr>
          <w:rStyle w:val="FootnoteReference"/>
          <w:color w:val="000000"/>
          <w:szCs w:val="22"/>
        </w:rPr>
        <w:footnoteReference w:id="3"/>
      </w:r>
      <w:r w:rsidRPr="00CE559B">
        <w:rPr>
          <w:color w:val="000000"/>
          <w:szCs w:val="22"/>
        </w:rPr>
        <w:t xml:space="preserve">  Specifically</w:t>
      </w:r>
      <w:r>
        <w:rPr>
          <w:color w:val="000000"/>
          <w:szCs w:val="22"/>
        </w:rPr>
        <w:t>, parties must file with the Commission</w:t>
      </w:r>
      <w:r w:rsidRPr="00CE559B">
        <w:rPr>
          <w:color w:val="000000"/>
          <w:szCs w:val="22"/>
        </w:rPr>
        <w:t>:</w:t>
      </w:r>
    </w:p>
    <w:p w:rsidR="00CE559B" w:rsidRPr="00CE559B" w:rsidRDefault="00CE559B" w:rsidP="00CE559B">
      <w:pPr>
        <w:rPr>
          <w:color w:val="000000"/>
          <w:szCs w:val="22"/>
        </w:rPr>
      </w:pPr>
      <w:bookmarkStart w:id="3" w:name="sp_1511_11721"/>
      <w:bookmarkStart w:id="4" w:name="SDU_11721"/>
      <w:bookmarkStart w:id="5" w:name="citeas((Cite_as:_21_F.C.C.R._11720,_*117"/>
      <w:bookmarkEnd w:id="3"/>
      <w:bookmarkEnd w:id="4"/>
      <w:bookmarkEnd w:id="5"/>
    </w:p>
    <w:p w:rsidR="00CE559B" w:rsidRPr="00CE559B" w:rsidRDefault="00CE559B" w:rsidP="00CE559B">
      <w:pPr>
        <w:ind w:firstLine="720"/>
        <w:rPr>
          <w:szCs w:val="22"/>
        </w:rPr>
      </w:pPr>
      <w:r w:rsidRPr="00CE559B">
        <w:rPr>
          <w:color w:val="000000"/>
          <w:szCs w:val="22"/>
        </w:rPr>
        <w:t>1.  A copy of their settlement agreement and any ancillary agreement(s);</w:t>
      </w:r>
    </w:p>
    <w:p w:rsidR="00CE559B" w:rsidRPr="00CE559B" w:rsidRDefault="00CE559B" w:rsidP="00CE559B">
      <w:pPr>
        <w:ind w:firstLine="720"/>
        <w:rPr>
          <w:color w:val="000000"/>
          <w:szCs w:val="22"/>
        </w:rPr>
      </w:pPr>
      <w:r w:rsidRPr="00CE559B">
        <w:rPr>
          <w:color w:val="000000"/>
          <w:szCs w:val="22"/>
        </w:rPr>
        <w:t>2.  A joint request for approval of such agreement; and</w:t>
      </w:r>
    </w:p>
    <w:p w:rsidR="00CE559B" w:rsidRPr="00CE559B" w:rsidRDefault="00CE559B" w:rsidP="00CE559B">
      <w:pPr>
        <w:ind w:firstLine="720"/>
        <w:rPr>
          <w:color w:val="000000"/>
          <w:szCs w:val="22"/>
        </w:rPr>
      </w:pPr>
      <w:r w:rsidRPr="00CE559B">
        <w:rPr>
          <w:color w:val="000000"/>
          <w:szCs w:val="22"/>
        </w:rPr>
        <w:t>3.  An affidavit of each party to the agreement setting forth:</w:t>
      </w:r>
    </w:p>
    <w:p w:rsidR="00CE559B" w:rsidRPr="00CE559B" w:rsidRDefault="00CE559B" w:rsidP="00CE559B">
      <w:pPr>
        <w:ind w:left="720" w:firstLine="720"/>
        <w:rPr>
          <w:color w:val="000000"/>
          <w:szCs w:val="22"/>
        </w:rPr>
      </w:pPr>
      <w:r w:rsidRPr="00CE559B">
        <w:rPr>
          <w:color w:val="000000"/>
          <w:szCs w:val="22"/>
        </w:rPr>
        <w:t>(a) The reasons why it is considered that such agreement is in the public interest;</w:t>
      </w:r>
    </w:p>
    <w:p w:rsidR="00CE559B" w:rsidRPr="00CE559B" w:rsidRDefault="00CE559B" w:rsidP="00CE559B">
      <w:pPr>
        <w:ind w:left="1440"/>
        <w:rPr>
          <w:color w:val="000000"/>
          <w:szCs w:val="22"/>
        </w:rPr>
      </w:pPr>
      <w:r w:rsidRPr="00CE559B">
        <w:rPr>
          <w:color w:val="000000"/>
          <w:szCs w:val="22"/>
        </w:rPr>
        <w:t>(b) A statement that its application was not filed for the purpose of reaching or carrying out such agreement;</w:t>
      </w:r>
    </w:p>
    <w:p w:rsidR="00CE559B" w:rsidRPr="00CE559B" w:rsidRDefault="00CE559B" w:rsidP="00CE559B">
      <w:pPr>
        <w:ind w:left="1440"/>
        <w:rPr>
          <w:color w:val="000000"/>
          <w:szCs w:val="22"/>
        </w:rPr>
      </w:pPr>
      <w:r w:rsidRPr="00CE559B">
        <w:rPr>
          <w:color w:val="000000"/>
          <w:szCs w:val="22"/>
        </w:rPr>
        <w:t>(c) A certification that neither the applicant nor its principals has received any money or other consideration in excess of the legitimate and prudent expenses of the applicant;</w:t>
      </w:r>
      <w:r w:rsidRPr="00CE559B">
        <w:rPr>
          <w:rStyle w:val="FootnoteReference"/>
          <w:color w:val="000000"/>
          <w:szCs w:val="22"/>
        </w:rPr>
        <w:footnoteReference w:id="4"/>
      </w:r>
    </w:p>
    <w:p w:rsidR="00CE559B" w:rsidRPr="00CE559B" w:rsidRDefault="00CE559B" w:rsidP="00CE559B">
      <w:pPr>
        <w:ind w:left="720" w:firstLine="720"/>
        <w:rPr>
          <w:color w:val="000000"/>
          <w:szCs w:val="22"/>
        </w:rPr>
      </w:pPr>
      <w:r w:rsidRPr="00CE559B">
        <w:rPr>
          <w:color w:val="000000"/>
          <w:szCs w:val="22"/>
        </w:rPr>
        <w:t>(d) The exact nature and amount of any consideration paid or promised;</w:t>
      </w:r>
    </w:p>
    <w:p w:rsidR="00CE559B" w:rsidRPr="00CE559B" w:rsidRDefault="00CE559B" w:rsidP="00CE559B">
      <w:pPr>
        <w:ind w:left="720" w:firstLine="720"/>
        <w:rPr>
          <w:color w:val="000000"/>
          <w:szCs w:val="22"/>
        </w:rPr>
      </w:pPr>
      <w:r w:rsidRPr="00CE559B">
        <w:rPr>
          <w:color w:val="000000"/>
          <w:szCs w:val="22"/>
        </w:rPr>
        <w:t>(e) An itemized accounting of the expenses for which it seeks reimbursement; and</w:t>
      </w:r>
    </w:p>
    <w:p w:rsidR="00CE559B" w:rsidRPr="00CE559B" w:rsidRDefault="00CE559B" w:rsidP="00CE559B">
      <w:pPr>
        <w:ind w:left="1440"/>
        <w:rPr>
          <w:color w:val="000000"/>
          <w:szCs w:val="22"/>
        </w:rPr>
      </w:pPr>
      <w:r w:rsidRPr="00CE559B">
        <w:rPr>
          <w:color w:val="000000"/>
          <w:szCs w:val="22"/>
        </w:rPr>
        <w:t>(f) The terms of any oral agreement relating to the dismissal or withdrawal of its application.</w:t>
      </w:r>
      <w:r w:rsidRPr="00CE559B">
        <w:rPr>
          <w:rStyle w:val="FootnoteReference"/>
          <w:color w:val="000000"/>
          <w:szCs w:val="22"/>
        </w:rPr>
        <w:footnoteReference w:id="5"/>
      </w:r>
    </w:p>
    <w:p w:rsidR="00CE559B" w:rsidRPr="00CE559B" w:rsidRDefault="00CE559B" w:rsidP="00CE559B">
      <w:pPr>
        <w:rPr>
          <w:szCs w:val="22"/>
        </w:rPr>
      </w:pPr>
    </w:p>
    <w:p w:rsidR="00CE559B" w:rsidRDefault="00CE559B" w:rsidP="00CE559B">
      <w:pPr>
        <w:rPr>
          <w:color w:val="000000"/>
          <w:szCs w:val="22"/>
        </w:rPr>
      </w:pPr>
      <w:r w:rsidRPr="00CE559B">
        <w:rPr>
          <w:color w:val="000000"/>
          <w:szCs w:val="22"/>
        </w:rPr>
        <w:t xml:space="preserve">An applicant that unilaterally dismisses its application without having entered into a settlement agreement with another applicant must nevertheless still submit an affidavit stating </w:t>
      </w:r>
      <w:r w:rsidR="003A6484">
        <w:rPr>
          <w:color w:val="000000"/>
          <w:szCs w:val="22"/>
        </w:rPr>
        <w:t>that no</w:t>
      </w:r>
      <w:r w:rsidRPr="00CE559B">
        <w:rPr>
          <w:color w:val="000000"/>
          <w:szCs w:val="22"/>
        </w:rPr>
        <w:t xml:space="preserve"> consideration has been promised to or received by such applicant in connection with its dismissal.</w:t>
      </w:r>
      <w:r w:rsidRPr="00CE559B">
        <w:rPr>
          <w:rStyle w:val="FootnoteReference"/>
          <w:color w:val="000000"/>
          <w:szCs w:val="22"/>
        </w:rPr>
        <w:footnoteReference w:id="6"/>
      </w:r>
      <w:r w:rsidRPr="00CE559B">
        <w:rPr>
          <w:color w:val="000000"/>
          <w:szCs w:val="22"/>
        </w:rPr>
        <w:t xml:space="preserve">  </w:t>
      </w:r>
    </w:p>
    <w:p w:rsidR="00D422A7" w:rsidRPr="00CE559B" w:rsidRDefault="00D422A7" w:rsidP="00CE559B">
      <w:pPr>
        <w:rPr>
          <w:szCs w:val="22"/>
        </w:rPr>
      </w:pPr>
    </w:p>
    <w:p w:rsidR="00CE559B" w:rsidRDefault="00CE559B" w:rsidP="00CE559B">
      <w:pPr>
        <w:rPr>
          <w:rStyle w:val="documentbody1"/>
          <w:rFonts w:ascii="Times New Roman" w:hAnsi="Times New Roman"/>
          <w:color w:val="000000"/>
          <w:sz w:val="22"/>
          <w:szCs w:val="22"/>
        </w:rPr>
      </w:pPr>
      <w:bookmarkStart w:id="6" w:name="FN[FN8]"/>
      <w:bookmarkStart w:id="7" w:name="73.3525b5"/>
      <w:bookmarkEnd w:id="6"/>
      <w:bookmarkEnd w:id="7"/>
      <w:r w:rsidRPr="00CE559B">
        <w:rPr>
          <w:szCs w:val="22"/>
        </w:rPr>
        <w:t>A</w:t>
      </w:r>
      <w:r>
        <w:rPr>
          <w:szCs w:val="22"/>
        </w:rPr>
        <w:t xml:space="preserve">dditionally, the Bureau will accept </w:t>
      </w:r>
      <w:r w:rsidR="002C4311">
        <w:rPr>
          <w:szCs w:val="22"/>
        </w:rPr>
        <w:t xml:space="preserve">unilateral </w:t>
      </w:r>
      <w:r w:rsidRPr="00CE559B">
        <w:rPr>
          <w:szCs w:val="22"/>
        </w:rPr>
        <w:t xml:space="preserve">technical amendments </w:t>
      </w:r>
      <w:r>
        <w:rPr>
          <w:szCs w:val="22"/>
        </w:rPr>
        <w:t xml:space="preserve">that </w:t>
      </w:r>
      <w:r w:rsidRPr="00CE559B">
        <w:rPr>
          <w:szCs w:val="22"/>
        </w:rPr>
        <w:t xml:space="preserve">resolve all conflicts between at least one application and all other applications </w:t>
      </w:r>
      <w:r w:rsidR="007F10A6">
        <w:rPr>
          <w:szCs w:val="22"/>
        </w:rPr>
        <w:t xml:space="preserve">in the same MX group.  </w:t>
      </w:r>
      <w:r w:rsidRPr="00CE559B">
        <w:rPr>
          <w:rStyle w:val="documentbody1"/>
          <w:rFonts w:ascii="Times New Roman" w:hAnsi="Times New Roman"/>
          <w:color w:val="000000"/>
          <w:sz w:val="22"/>
          <w:szCs w:val="22"/>
        </w:rPr>
        <w:t>Amended applications must specify rule-compliant facilities.</w:t>
      </w:r>
      <w:r w:rsidR="00707C73">
        <w:rPr>
          <w:rStyle w:val="documentbody1"/>
          <w:rFonts w:ascii="Times New Roman" w:hAnsi="Times New Roman"/>
          <w:color w:val="000000"/>
          <w:sz w:val="22"/>
          <w:szCs w:val="22"/>
        </w:rPr>
        <w:t xml:space="preserve">  Applicants filing technical amendments should carefully consider all </w:t>
      </w:r>
      <w:r w:rsidR="007F10A6">
        <w:rPr>
          <w:rStyle w:val="documentbody1"/>
          <w:rFonts w:ascii="Times New Roman" w:hAnsi="Times New Roman"/>
          <w:color w:val="000000"/>
          <w:sz w:val="22"/>
          <w:szCs w:val="22"/>
        </w:rPr>
        <w:t>legal, e.g., maintai</w:t>
      </w:r>
      <w:r w:rsidR="00A328CD">
        <w:rPr>
          <w:rStyle w:val="documentbody1"/>
          <w:rFonts w:ascii="Times New Roman" w:hAnsi="Times New Roman"/>
          <w:color w:val="000000"/>
          <w:sz w:val="22"/>
          <w:szCs w:val="22"/>
        </w:rPr>
        <w:t>ning eligibility as a “local” applicant,</w:t>
      </w:r>
      <w:r w:rsidR="00A328CD">
        <w:rPr>
          <w:rStyle w:val="FootnoteReference"/>
          <w:color w:val="000000"/>
          <w:szCs w:val="22"/>
        </w:rPr>
        <w:footnoteReference w:id="7"/>
      </w:r>
      <w:r w:rsidR="00A328CD">
        <w:rPr>
          <w:rStyle w:val="documentbody1"/>
          <w:rFonts w:ascii="Times New Roman" w:hAnsi="Times New Roman"/>
          <w:color w:val="000000"/>
          <w:sz w:val="22"/>
          <w:szCs w:val="22"/>
        </w:rPr>
        <w:t xml:space="preserve"> </w:t>
      </w:r>
      <w:r w:rsidR="00707C73">
        <w:rPr>
          <w:rStyle w:val="documentbody1"/>
          <w:rFonts w:ascii="Times New Roman" w:hAnsi="Times New Roman"/>
          <w:color w:val="000000"/>
          <w:sz w:val="22"/>
          <w:szCs w:val="22"/>
        </w:rPr>
        <w:t xml:space="preserve">and </w:t>
      </w:r>
      <w:r w:rsidR="00A328CD">
        <w:rPr>
          <w:rStyle w:val="documentbody1"/>
          <w:rFonts w:ascii="Times New Roman" w:hAnsi="Times New Roman"/>
          <w:color w:val="000000"/>
          <w:sz w:val="22"/>
          <w:szCs w:val="22"/>
        </w:rPr>
        <w:t xml:space="preserve">technical </w:t>
      </w:r>
      <w:r w:rsidR="00707C73">
        <w:rPr>
          <w:rStyle w:val="documentbody1"/>
          <w:rFonts w:ascii="Times New Roman" w:hAnsi="Times New Roman"/>
          <w:color w:val="000000"/>
          <w:sz w:val="22"/>
          <w:szCs w:val="22"/>
        </w:rPr>
        <w:t xml:space="preserve">requirements.  Amended applications must comply with </w:t>
      </w:r>
      <w:r w:rsidR="00707C73" w:rsidRPr="00CE559B">
        <w:rPr>
          <w:szCs w:val="22"/>
        </w:rPr>
        <w:t>the minimum separation requirements provided in 47 C.F.R. §</w:t>
      </w:r>
      <w:r w:rsidR="00197869">
        <w:rPr>
          <w:szCs w:val="22"/>
        </w:rPr>
        <w:t xml:space="preserve"> </w:t>
      </w:r>
      <w:r w:rsidR="00707C73" w:rsidRPr="00CE559B">
        <w:rPr>
          <w:szCs w:val="22"/>
        </w:rPr>
        <w:t>73.807</w:t>
      </w:r>
      <w:r w:rsidR="00707C73">
        <w:rPr>
          <w:szCs w:val="22"/>
        </w:rPr>
        <w:t>.</w:t>
      </w:r>
      <w:r w:rsidR="00707C73">
        <w:rPr>
          <w:rStyle w:val="documentbody1"/>
          <w:rFonts w:ascii="Times New Roman" w:hAnsi="Times New Roman"/>
          <w:color w:val="000000"/>
          <w:sz w:val="22"/>
          <w:szCs w:val="22"/>
        </w:rPr>
        <w:t xml:space="preserve"> </w:t>
      </w:r>
      <w:r w:rsidRPr="00CE559B">
        <w:rPr>
          <w:rStyle w:val="documentbody1"/>
          <w:rFonts w:ascii="Times New Roman" w:hAnsi="Times New Roman"/>
          <w:color w:val="000000"/>
          <w:sz w:val="22"/>
          <w:szCs w:val="22"/>
        </w:rPr>
        <w:t xml:space="preserve">  Amendments which create any new application conflicts will be returned.  Applicants may file technical amendments as part of a settlement agreement or unilaterally.  </w:t>
      </w:r>
    </w:p>
    <w:p w:rsidR="00CE559B" w:rsidRPr="00CE559B" w:rsidRDefault="00CE559B" w:rsidP="00CE559B">
      <w:pPr>
        <w:rPr>
          <w:rStyle w:val="documentbody1"/>
          <w:rFonts w:ascii="Times New Roman" w:hAnsi="Times New Roman"/>
          <w:color w:val="000000"/>
          <w:sz w:val="22"/>
          <w:szCs w:val="22"/>
        </w:rPr>
      </w:pPr>
    </w:p>
    <w:p w:rsidR="00CE559B" w:rsidRPr="00CE559B" w:rsidRDefault="00CE559B" w:rsidP="00CE559B">
      <w:pPr>
        <w:rPr>
          <w:color w:val="000000"/>
          <w:szCs w:val="22"/>
        </w:rPr>
      </w:pPr>
      <w:r w:rsidRPr="00CE559B">
        <w:rPr>
          <w:rStyle w:val="documentbody1"/>
          <w:rFonts w:ascii="Times New Roman" w:hAnsi="Times New Roman"/>
          <w:color w:val="000000"/>
          <w:sz w:val="22"/>
          <w:szCs w:val="22"/>
        </w:rPr>
        <w:t>Applicants filing coordinated technical amendments as part of a settlement agreement must cross-reference all such filings in each amendment.  As noted previously, an a</w:t>
      </w:r>
      <w:r w:rsidRPr="00CE559B">
        <w:rPr>
          <w:color w:val="000000"/>
          <w:szCs w:val="22"/>
        </w:rPr>
        <w:t>pplicant that unilaterally files an engineering amendment to procure the removal of conflicts with other applications, without having entered into a settlement agreement with any other applicant, must nevertheless submit an affidavit stating whether consideration has been promised to or received by such applicant in connection with its engineering amendment.</w:t>
      </w:r>
      <w:r w:rsidRPr="00CE559B">
        <w:rPr>
          <w:rStyle w:val="FootnoteReference"/>
          <w:color w:val="000000"/>
          <w:szCs w:val="22"/>
        </w:rPr>
        <w:footnoteReference w:id="8"/>
      </w:r>
    </w:p>
    <w:p w:rsidR="001D63A7" w:rsidRPr="00CE559B" w:rsidRDefault="001D63A7" w:rsidP="00FD2319">
      <w:pPr>
        <w:tabs>
          <w:tab w:val="left" w:pos="1"/>
          <w:tab w:val="left" w:pos="720"/>
          <w:tab w:val="left" w:pos="1440"/>
          <w:tab w:val="right" w:pos="9360"/>
        </w:tabs>
        <w:rPr>
          <w:szCs w:val="22"/>
        </w:rPr>
      </w:pPr>
    </w:p>
    <w:p w:rsidR="00D7098B" w:rsidRDefault="00AE557F" w:rsidP="001635A4">
      <w:pPr>
        <w:tabs>
          <w:tab w:val="left" w:pos="1"/>
          <w:tab w:val="left" w:pos="720"/>
          <w:tab w:val="left" w:pos="1440"/>
          <w:tab w:val="right" w:pos="9360"/>
        </w:tabs>
        <w:rPr>
          <w:szCs w:val="22"/>
        </w:rPr>
      </w:pPr>
      <w:r>
        <w:rPr>
          <w:b/>
          <w:szCs w:val="22"/>
        </w:rPr>
        <w:t xml:space="preserve">Voluntary </w:t>
      </w:r>
      <w:r w:rsidR="00CE559B" w:rsidRPr="00CE559B">
        <w:rPr>
          <w:b/>
          <w:szCs w:val="22"/>
        </w:rPr>
        <w:t>Time</w:t>
      </w:r>
      <w:r w:rsidR="00F079F9">
        <w:rPr>
          <w:b/>
          <w:szCs w:val="22"/>
        </w:rPr>
        <w:t>-</w:t>
      </w:r>
      <w:r w:rsidR="00CE559B" w:rsidRPr="00CE559B">
        <w:rPr>
          <w:b/>
          <w:szCs w:val="22"/>
        </w:rPr>
        <w:t>Share Agreements:</w:t>
      </w:r>
      <w:r>
        <w:rPr>
          <w:b/>
          <w:szCs w:val="22"/>
        </w:rPr>
        <w:t xml:space="preserve">  </w:t>
      </w:r>
      <w:r w:rsidR="00F73895">
        <w:rPr>
          <w:szCs w:val="22"/>
        </w:rPr>
        <w:t xml:space="preserve">MX applicants may </w:t>
      </w:r>
      <w:r w:rsidR="00953001">
        <w:rPr>
          <w:szCs w:val="22"/>
        </w:rPr>
        <w:t xml:space="preserve">also </w:t>
      </w:r>
      <w:r w:rsidR="00F73895">
        <w:rPr>
          <w:szCs w:val="22"/>
        </w:rPr>
        <w:t xml:space="preserve">enter into a </w:t>
      </w:r>
      <w:r w:rsidR="002C4311">
        <w:rPr>
          <w:szCs w:val="22"/>
        </w:rPr>
        <w:t xml:space="preserve">partial or </w:t>
      </w:r>
      <w:r w:rsidR="00953001">
        <w:rPr>
          <w:szCs w:val="22"/>
        </w:rPr>
        <w:t xml:space="preserve">universal </w:t>
      </w:r>
      <w:r w:rsidR="00F73895">
        <w:rPr>
          <w:szCs w:val="22"/>
        </w:rPr>
        <w:t>voluntary time</w:t>
      </w:r>
      <w:r w:rsidR="00F079F9">
        <w:rPr>
          <w:szCs w:val="22"/>
        </w:rPr>
        <w:t>-</w:t>
      </w:r>
      <w:r w:rsidR="00F73895">
        <w:rPr>
          <w:szCs w:val="22"/>
        </w:rPr>
        <w:t>share agreement</w:t>
      </w:r>
      <w:r w:rsidR="00953001">
        <w:rPr>
          <w:szCs w:val="22"/>
        </w:rPr>
        <w:t xml:space="preserve">.  </w:t>
      </w:r>
      <w:r w:rsidR="00A87A79">
        <w:rPr>
          <w:szCs w:val="22"/>
        </w:rPr>
        <w:t xml:space="preserve">The technical facility or facilities proposed in the time-share agreement may not conflict with any of the remaining proposals in the MX group.  </w:t>
      </w:r>
      <w:r w:rsidR="0088586E" w:rsidRPr="00CE559B">
        <w:rPr>
          <w:szCs w:val="22"/>
        </w:rPr>
        <w:t>Pursuant to 47 C.F.R. §</w:t>
      </w:r>
      <w:r w:rsidR="00D16724">
        <w:rPr>
          <w:szCs w:val="22"/>
        </w:rPr>
        <w:t xml:space="preserve"> </w:t>
      </w:r>
      <w:r w:rsidR="0088586E" w:rsidRPr="00CE559B">
        <w:rPr>
          <w:szCs w:val="22"/>
        </w:rPr>
        <w:t>73.</w:t>
      </w:r>
      <w:r w:rsidR="0088586E">
        <w:rPr>
          <w:szCs w:val="22"/>
        </w:rPr>
        <w:t xml:space="preserve">870(c), </w:t>
      </w:r>
      <w:r w:rsidR="00A87A79">
        <w:rPr>
          <w:szCs w:val="22"/>
        </w:rPr>
        <w:t>point aggregation procedures will not apply to time</w:t>
      </w:r>
      <w:r w:rsidR="00F079F9">
        <w:rPr>
          <w:szCs w:val="22"/>
        </w:rPr>
        <w:t>-</w:t>
      </w:r>
      <w:r w:rsidR="00A87A79">
        <w:rPr>
          <w:szCs w:val="22"/>
        </w:rPr>
        <w:t xml:space="preserve">share agreements submitted prior to </w:t>
      </w:r>
      <w:r w:rsidR="00953001" w:rsidRPr="00CE559B">
        <w:rPr>
          <w:szCs w:val="22"/>
        </w:rPr>
        <w:t xml:space="preserve">the </w:t>
      </w:r>
      <w:r w:rsidR="00A87A79">
        <w:rPr>
          <w:szCs w:val="22"/>
        </w:rPr>
        <w:t xml:space="preserve">release of the pertinent Tentative Selectee PN.  </w:t>
      </w:r>
      <w:r w:rsidR="0088586E">
        <w:rPr>
          <w:szCs w:val="22"/>
        </w:rPr>
        <w:t>Any time-share agreement must satisfy the following requirements:</w:t>
      </w:r>
    </w:p>
    <w:p w:rsidR="00D7098B" w:rsidRDefault="00D7098B">
      <w:pPr>
        <w:rPr>
          <w:szCs w:val="22"/>
        </w:rPr>
      </w:pPr>
      <w:r>
        <w:rPr>
          <w:szCs w:val="22"/>
        </w:rPr>
        <w:br w:type="page"/>
      </w:r>
    </w:p>
    <w:p w:rsidR="0088586E" w:rsidRDefault="0088586E" w:rsidP="0088586E">
      <w:pPr>
        <w:pStyle w:val="ListParagraph"/>
        <w:numPr>
          <w:ilvl w:val="0"/>
          <w:numId w:val="7"/>
        </w:numPr>
        <w:tabs>
          <w:tab w:val="left" w:pos="1"/>
          <w:tab w:val="left" w:pos="720"/>
          <w:tab w:val="left" w:pos="1440"/>
          <w:tab w:val="right" w:pos="9360"/>
        </w:tabs>
        <w:rPr>
          <w:szCs w:val="22"/>
        </w:rPr>
      </w:pPr>
      <w:r>
        <w:rPr>
          <w:szCs w:val="22"/>
        </w:rPr>
        <w:t>The proposal must specify the proposed hours of operation of each time-share proponent;</w:t>
      </w:r>
    </w:p>
    <w:p w:rsidR="0088586E" w:rsidRDefault="0088586E" w:rsidP="0088586E">
      <w:pPr>
        <w:pStyle w:val="ListParagraph"/>
        <w:numPr>
          <w:ilvl w:val="0"/>
          <w:numId w:val="7"/>
        </w:numPr>
        <w:tabs>
          <w:tab w:val="left" w:pos="1"/>
          <w:tab w:val="left" w:pos="720"/>
          <w:tab w:val="left" w:pos="1440"/>
          <w:tab w:val="right" w:pos="9360"/>
        </w:tabs>
        <w:rPr>
          <w:szCs w:val="22"/>
        </w:rPr>
      </w:pPr>
      <w:r>
        <w:rPr>
          <w:szCs w:val="22"/>
        </w:rPr>
        <w:t>The proposal must not include simultaneous operation of the time-share proponents; and</w:t>
      </w:r>
    </w:p>
    <w:p w:rsidR="00CE559B" w:rsidRPr="001635A4" w:rsidRDefault="0088586E" w:rsidP="00FD2319">
      <w:pPr>
        <w:pStyle w:val="ListParagraph"/>
        <w:numPr>
          <w:ilvl w:val="0"/>
          <w:numId w:val="7"/>
        </w:numPr>
        <w:tabs>
          <w:tab w:val="left" w:pos="1"/>
          <w:tab w:val="left" w:pos="720"/>
          <w:tab w:val="left" w:pos="1440"/>
          <w:tab w:val="right" w:pos="9360"/>
        </w:tabs>
        <w:rPr>
          <w:b/>
          <w:szCs w:val="22"/>
        </w:rPr>
      </w:pPr>
      <w:r w:rsidRPr="0088586E">
        <w:rPr>
          <w:szCs w:val="22"/>
        </w:rPr>
        <w:t>Each time-share proponent must propose to operate for at least 10 hours per week.</w:t>
      </w:r>
    </w:p>
    <w:p w:rsidR="00E62475" w:rsidRDefault="00E62475" w:rsidP="00D5708B">
      <w:pPr>
        <w:tabs>
          <w:tab w:val="left" w:pos="1"/>
          <w:tab w:val="left" w:pos="720"/>
          <w:tab w:val="left" w:pos="1440"/>
          <w:tab w:val="right" w:pos="9360"/>
        </w:tabs>
        <w:rPr>
          <w:b/>
          <w:szCs w:val="22"/>
        </w:rPr>
      </w:pPr>
    </w:p>
    <w:p w:rsidR="00D5708B" w:rsidRDefault="001D63A7" w:rsidP="00D5708B">
      <w:pPr>
        <w:tabs>
          <w:tab w:val="left" w:pos="1"/>
          <w:tab w:val="left" w:pos="720"/>
          <w:tab w:val="left" w:pos="1440"/>
          <w:tab w:val="right" w:pos="9360"/>
        </w:tabs>
        <w:rPr>
          <w:szCs w:val="22"/>
        </w:rPr>
      </w:pPr>
      <w:r w:rsidRPr="00CE559B">
        <w:rPr>
          <w:b/>
          <w:szCs w:val="22"/>
        </w:rPr>
        <w:t>Petitions to Deny:</w:t>
      </w:r>
      <w:r w:rsidR="00C21694" w:rsidRPr="00CE559B">
        <w:rPr>
          <w:b/>
          <w:szCs w:val="22"/>
        </w:rPr>
        <w:t xml:space="preserve">  </w:t>
      </w:r>
      <w:r w:rsidR="002C4311">
        <w:rPr>
          <w:szCs w:val="22"/>
        </w:rPr>
        <w:t xml:space="preserve">An application which is determined to </w:t>
      </w:r>
      <w:r w:rsidR="00A87A79">
        <w:rPr>
          <w:szCs w:val="22"/>
        </w:rPr>
        <w:t xml:space="preserve">not </w:t>
      </w:r>
      <w:r w:rsidR="002C4311">
        <w:rPr>
          <w:szCs w:val="22"/>
        </w:rPr>
        <w:t>be in conflict with any other window application and which also satisfies core technical and legal requirements will be “accepted for filing.</w:t>
      </w:r>
      <w:r w:rsidR="00AD2FF3">
        <w:rPr>
          <w:szCs w:val="22"/>
        </w:rPr>
        <w:t xml:space="preserve">”  </w:t>
      </w:r>
      <w:r w:rsidR="00C21694" w:rsidRPr="00CE559B">
        <w:rPr>
          <w:szCs w:val="22"/>
        </w:rPr>
        <w:t xml:space="preserve">All accepted applications are subject to </w:t>
      </w:r>
      <w:r w:rsidR="00506057">
        <w:rPr>
          <w:szCs w:val="22"/>
        </w:rPr>
        <w:t>p</w:t>
      </w:r>
      <w:r w:rsidR="00C21694" w:rsidRPr="00CE559B">
        <w:rPr>
          <w:szCs w:val="22"/>
        </w:rPr>
        <w:t xml:space="preserve">etitions to </w:t>
      </w:r>
      <w:r w:rsidR="00506057">
        <w:rPr>
          <w:szCs w:val="22"/>
        </w:rPr>
        <w:t>d</w:t>
      </w:r>
      <w:r w:rsidR="00C21694" w:rsidRPr="00CE559B">
        <w:rPr>
          <w:szCs w:val="22"/>
        </w:rPr>
        <w:t>eny.</w:t>
      </w:r>
      <w:r w:rsidR="00C21694" w:rsidRPr="00CE559B">
        <w:rPr>
          <w:rStyle w:val="FootnoteReference"/>
          <w:szCs w:val="22"/>
        </w:rPr>
        <w:footnoteReference w:id="9"/>
      </w:r>
      <w:r w:rsidR="00C21694" w:rsidRPr="00CE559B">
        <w:rPr>
          <w:szCs w:val="22"/>
        </w:rPr>
        <w:t xml:space="preserve">  A </w:t>
      </w:r>
      <w:r w:rsidR="00506057">
        <w:rPr>
          <w:szCs w:val="22"/>
        </w:rPr>
        <w:t>p</w:t>
      </w:r>
      <w:r w:rsidR="00C21694" w:rsidRPr="00CE559B">
        <w:rPr>
          <w:szCs w:val="22"/>
        </w:rPr>
        <w:t xml:space="preserve">etition to </w:t>
      </w:r>
      <w:r w:rsidR="00506057">
        <w:rPr>
          <w:szCs w:val="22"/>
        </w:rPr>
        <w:t>d</w:t>
      </w:r>
      <w:r w:rsidR="00C21694" w:rsidRPr="00CE559B">
        <w:rPr>
          <w:szCs w:val="22"/>
        </w:rPr>
        <w:t xml:space="preserve">eny </w:t>
      </w:r>
      <w:r w:rsidR="00AD2FF3">
        <w:rPr>
          <w:szCs w:val="22"/>
        </w:rPr>
        <w:t>must</w:t>
      </w:r>
      <w:r w:rsidR="00C21694" w:rsidRPr="00CE559B">
        <w:rPr>
          <w:szCs w:val="22"/>
        </w:rPr>
        <w:t xml:space="preserve"> be filed within 30 days of a Public Notice announcing the acceptance for filing of an application.  </w:t>
      </w:r>
      <w:r w:rsidR="00D51593">
        <w:rPr>
          <w:szCs w:val="22"/>
        </w:rPr>
        <w:t>P</w:t>
      </w:r>
      <w:r w:rsidR="00C21694" w:rsidRPr="00CE559B">
        <w:rPr>
          <w:szCs w:val="22"/>
        </w:rPr>
        <w:t xml:space="preserve">etitions to </w:t>
      </w:r>
      <w:r w:rsidR="00506057">
        <w:rPr>
          <w:szCs w:val="22"/>
        </w:rPr>
        <w:t>d</w:t>
      </w:r>
      <w:r w:rsidR="00C21694" w:rsidRPr="00CE559B">
        <w:rPr>
          <w:szCs w:val="22"/>
        </w:rPr>
        <w:t>eny must be filed in accordance with the procedures set forth in 47 C.F.R. §</w:t>
      </w:r>
      <w:r w:rsidR="00B8617A">
        <w:rPr>
          <w:szCs w:val="22"/>
        </w:rPr>
        <w:t xml:space="preserve"> </w:t>
      </w:r>
      <w:r w:rsidR="00C21694" w:rsidRPr="00CE559B">
        <w:rPr>
          <w:szCs w:val="22"/>
        </w:rPr>
        <w:t>73.3584.</w:t>
      </w:r>
      <w:r w:rsidR="00D5708B">
        <w:rPr>
          <w:szCs w:val="22"/>
        </w:rPr>
        <w:t xml:space="preserve"> </w:t>
      </w:r>
      <w:r w:rsidR="00AD2FF3">
        <w:rPr>
          <w:szCs w:val="22"/>
        </w:rPr>
        <w:t xml:space="preserve"> An applicant may file an opposition and the petitioner may file a rep</w:t>
      </w:r>
      <w:r w:rsidR="00F00C7D">
        <w:rPr>
          <w:szCs w:val="22"/>
        </w:rPr>
        <w:t>l</w:t>
      </w:r>
      <w:r w:rsidR="00AD2FF3">
        <w:rPr>
          <w:szCs w:val="22"/>
        </w:rPr>
        <w:t xml:space="preserve">y within the time periods prescribed by </w:t>
      </w:r>
      <w:r w:rsidR="00A87A79">
        <w:rPr>
          <w:szCs w:val="22"/>
        </w:rPr>
        <w:t>this rule</w:t>
      </w:r>
      <w:r w:rsidR="00AD2FF3">
        <w:rPr>
          <w:szCs w:val="22"/>
        </w:rPr>
        <w:t>.</w:t>
      </w:r>
      <w:r w:rsidR="00D5708B">
        <w:rPr>
          <w:szCs w:val="22"/>
        </w:rPr>
        <w:t xml:space="preserve"> </w:t>
      </w:r>
    </w:p>
    <w:p w:rsidR="00D5708B" w:rsidRDefault="00D5708B" w:rsidP="00D5708B">
      <w:pPr>
        <w:tabs>
          <w:tab w:val="left" w:pos="1"/>
          <w:tab w:val="left" w:pos="720"/>
          <w:tab w:val="left" w:pos="1440"/>
          <w:tab w:val="right" w:pos="9360"/>
        </w:tabs>
        <w:rPr>
          <w:szCs w:val="22"/>
        </w:rPr>
      </w:pPr>
    </w:p>
    <w:p w:rsidR="00D5708B" w:rsidRDefault="00AD2FF3" w:rsidP="00D5708B">
      <w:pPr>
        <w:tabs>
          <w:tab w:val="left" w:pos="1"/>
          <w:tab w:val="left" w:pos="720"/>
          <w:tab w:val="left" w:pos="1440"/>
          <w:tab w:val="right" w:pos="9360"/>
        </w:tabs>
        <w:rPr>
          <w:szCs w:val="22"/>
        </w:rPr>
      </w:pPr>
      <w:r>
        <w:rPr>
          <w:szCs w:val="22"/>
        </w:rPr>
        <w:t xml:space="preserve">Following the completion of the pleading cycle, </w:t>
      </w:r>
      <w:r w:rsidR="00D5708B" w:rsidRPr="00CE559B">
        <w:rPr>
          <w:szCs w:val="22"/>
        </w:rPr>
        <w:t xml:space="preserve">the Bureau will review the merits of any </w:t>
      </w:r>
      <w:r w:rsidR="00506057">
        <w:rPr>
          <w:szCs w:val="22"/>
        </w:rPr>
        <w:t>p</w:t>
      </w:r>
      <w:r w:rsidR="00D5708B" w:rsidRPr="00CE559B">
        <w:rPr>
          <w:szCs w:val="22"/>
        </w:rPr>
        <w:t xml:space="preserve">etition to </w:t>
      </w:r>
      <w:r w:rsidR="00506057">
        <w:rPr>
          <w:szCs w:val="22"/>
        </w:rPr>
        <w:t>d</w:t>
      </w:r>
      <w:r w:rsidR="00D5708B" w:rsidRPr="00CE559B">
        <w:rPr>
          <w:szCs w:val="22"/>
        </w:rPr>
        <w:t>eny.  Applications that are granted will receive a construction permit from the Commission.</w:t>
      </w:r>
    </w:p>
    <w:p w:rsidR="000D4FF1" w:rsidRDefault="000D4FF1" w:rsidP="00D5708B">
      <w:pPr>
        <w:tabs>
          <w:tab w:val="left" w:pos="1"/>
          <w:tab w:val="left" w:pos="720"/>
          <w:tab w:val="left" w:pos="1440"/>
          <w:tab w:val="right" w:pos="9360"/>
        </w:tabs>
        <w:rPr>
          <w:szCs w:val="22"/>
        </w:rPr>
      </w:pPr>
    </w:p>
    <w:p w:rsidR="000D4FF1" w:rsidRPr="00CE559B" w:rsidRDefault="000D4FF1" w:rsidP="00D5708B">
      <w:pPr>
        <w:tabs>
          <w:tab w:val="left" w:pos="1"/>
          <w:tab w:val="left" w:pos="720"/>
          <w:tab w:val="left" w:pos="1440"/>
          <w:tab w:val="right" w:pos="9360"/>
        </w:tabs>
        <w:rPr>
          <w:szCs w:val="22"/>
        </w:rPr>
      </w:pPr>
      <w:r>
        <w:rPr>
          <w:szCs w:val="22"/>
        </w:rPr>
        <w:t>The Bureau will NOT entertain an objection or petition to deny an application prior to the release of the public notice accepting for filing such application.  This includes situations in which the dismissal of an application would result in the potential grant of an MX application.</w:t>
      </w:r>
    </w:p>
    <w:p w:rsidR="001D63A7" w:rsidRPr="00CE559B" w:rsidRDefault="001D63A7" w:rsidP="00FD2319">
      <w:pPr>
        <w:tabs>
          <w:tab w:val="left" w:pos="1"/>
          <w:tab w:val="left" w:pos="720"/>
          <w:tab w:val="left" w:pos="1440"/>
          <w:tab w:val="right" w:pos="9360"/>
        </w:tabs>
        <w:rPr>
          <w:szCs w:val="22"/>
        </w:rPr>
      </w:pPr>
    </w:p>
    <w:p w:rsidR="001D63A7" w:rsidRPr="00CE559B" w:rsidRDefault="001D63A7" w:rsidP="001635A4">
      <w:pPr>
        <w:rPr>
          <w:szCs w:val="22"/>
        </w:rPr>
      </w:pPr>
      <w:r w:rsidRPr="00CE559B">
        <w:rPr>
          <w:b/>
          <w:szCs w:val="22"/>
        </w:rPr>
        <w:t>Dismissed applications:</w:t>
      </w:r>
      <w:r w:rsidR="003A3BF0" w:rsidRPr="00CE559B">
        <w:rPr>
          <w:b/>
          <w:szCs w:val="22"/>
        </w:rPr>
        <w:t xml:space="preserve">  </w:t>
      </w:r>
      <w:r w:rsidR="003A3BF0" w:rsidRPr="00CE559B">
        <w:rPr>
          <w:szCs w:val="22"/>
        </w:rPr>
        <w:t>Pursuant to 47 C.F.R. §</w:t>
      </w:r>
      <w:r w:rsidR="00B8617A">
        <w:rPr>
          <w:szCs w:val="22"/>
        </w:rPr>
        <w:t xml:space="preserve"> </w:t>
      </w:r>
      <w:r w:rsidR="003A3BF0" w:rsidRPr="00CE559B">
        <w:rPr>
          <w:szCs w:val="22"/>
        </w:rPr>
        <w:t>73.870, the Bureau must dismiss any Form 318 application that does not comply with the minimum separation requirements provided in 47 C.F.R. §</w:t>
      </w:r>
      <w:r w:rsidR="00B8617A">
        <w:rPr>
          <w:szCs w:val="22"/>
        </w:rPr>
        <w:t xml:space="preserve"> </w:t>
      </w:r>
      <w:r w:rsidR="003A3BF0" w:rsidRPr="00CE559B">
        <w:rPr>
          <w:szCs w:val="22"/>
        </w:rPr>
        <w:t xml:space="preserve">73.807.  </w:t>
      </w:r>
      <w:r w:rsidR="002673AC">
        <w:rPr>
          <w:szCs w:val="22"/>
        </w:rPr>
        <w:t xml:space="preserve">Any application </w:t>
      </w:r>
      <w:r w:rsidR="002A42E0">
        <w:rPr>
          <w:szCs w:val="22"/>
        </w:rPr>
        <w:t xml:space="preserve">with such a </w:t>
      </w:r>
      <w:r w:rsidR="002673AC">
        <w:rPr>
          <w:szCs w:val="22"/>
        </w:rPr>
        <w:t>violation</w:t>
      </w:r>
      <w:r w:rsidR="003A3BF0" w:rsidRPr="00CE559B">
        <w:rPr>
          <w:szCs w:val="22"/>
        </w:rPr>
        <w:t xml:space="preserve"> cannot be amended to come into compliance with </w:t>
      </w:r>
      <w:r w:rsidR="00D422A7" w:rsidRPr="00CE559B">
        <w:rPr>
          <w:szCs w:val="22"/>
        </w:rPr>
        <w:t>the minimum separation requirements</w:t>
      </w:r>
      <w:r w:rsidR="002673AC">
        <w:rPr>
          <w:szCs w:val="22"/>
        </w:rPr>
        <w:t>.  Such</w:t>
      </w:r>
      <w:r w:rsidR="00D422A7">
        <w:rPr>
          <w:szCs w:val="22"/>
        </w:rPr>
        <w:t xml:space="preserve"> </w:t>
      </w:r>
      <w:r w:rsidR="00101815" w:rsidRPr="00CE559B">
        <w:rPr>
          <w:szCs w:val="22"/>
        </w:rPr>
        <w:t xml:space="preserve">amendments </w:t>
      </w:r>
      <w:r w:rsidR="00101815" w:rsidRPr="00CE559B">
        <w:rPr>
          <w:b/>
          <w:szCs w:val="22"/>
        </w:rPr>
        <w:t xml:space="preserve">will not </w:t>
      </w:r>
      <w:r w:rsidR="00101815" w:rsidRPr="00CE559B">
        <w:rPr>
          <w:szCs w:val="22"/>
        </w:rPr>
        <w:t>be accepted under any circumstances</w:t>
      </w:r>
      <w:r w:rsidR="003A3BF0" w:rsidRPr="00CE559B">
        <w:rPr>
          <w:szCs w:val="22"/>
        </w:rPr>
        <w:t>.</w:t>
      </w:r>
      <w:r w:rsidR="00E657C6">
        <w:rPr>
          <w:szCs w:val="22"/>
        </w:rPr>
        <w:t xml:space="preserve">  In addition, applications filed by individuals</w:t>
      </w:r>
      <w:r w:rsidR="00E657C6">
        <w:rPr>
          <w:rStyle w:val="FootnoteReference"/>
          <w:szCs w:val="22"/>
        </w:rPr>
        <w:footnoteReference w:id="10"/>
      </w:r>
      <w:r w:rsidR="00E657C6">
        <w:rPr>
          <w:szCs w:val="22"/>
        </w:rPr>
        <w:t xml:space="preserve"> and </w:t>
      </w:r>
      <w:r w:rsidR="00A328CD">
        <w:rPr>
          <w:szCs w:val="22"/>
        </w:rPr>
        <w:t>multiple applications filed by non-profit educational organizations</w:t>
      </w:r>
      <w:r w:rsidR="00A328CD">
        <w:rPr>
          <w:rStyle w:val="FootnoteReference"/>
          <w:szCs w:val="22"/>
        </w:rPr>
        <w:footnoteReference w:id="11"/>
      </w:r>
      <w:r w:rsidR="00A328CD">
        <w:rPr>
          <w:szCs w:val="22"/>
        </w:rPr>
        <w:t xml:space="preserve"> </w:t>
      </w:r>
      <w:r w:rsidR="00E657C6">
        <w:rPr>
          <w:szCs w:val="22"/>
        </w:rPr>
        <w:t xml:space="preserve">cannot be amended to come into compliance with the rules.  </w:t>
      </w:r>
    </w:p>
    <w:p w:rsidR="003A3BF0" w:rsidRPr="00CE559B" w:rsidRDefault="003A3BF0" w:rsidP="00FD2319">
      <w:pPr>
        <w:tabs>
          <w:tab w:val="left" w:pos="1"/>
          <w:tab w:val="left" w:pos="720"/>
          <w:tab w:val="left" w:pos="1440"/>
          <w:tab w:val="right" w:pos="9360"/>
        </w:tabs>
        <w:rPr>
          <w:szCs w:val="22"/>
        </w:rPr>
      </w:pPr>
    </w:p>
    <w:p w:rsidR="00101815" w:rsidRPr="00CE559B" w:rsidRDefault="003A6484" w:rsidP="00FD2319">
      <w:pPr>
        <w:tabs>
          <w:tab w:val="left" w:pos="1"/>
          <w:tab w:val="left" w:pos="720"/>
          <w:tab w:val="left" w:pos="1440"/>
          <w:tab w:val="right" w:pos="9360"/>
        </w:tabs>
        <w:rPr>
          <w:szCs w:val="22"/>
        </w:rPr>
      </w:pPr>
      <w:r>
        <w:rPr>
          <w:szCs w:val="22"/>
        </w:rPr>
        <w:t xml:space="preserve">Form 318 applications that are dismissed on other grounds </w:t>
      </w:r>
      <w:r w:rsidR="00101815" w:rsidRPr="00CE559B">
        <w:rPr>
          <w:szCs w:val="22"/>
        </w:rPr>
        <w:t>may</w:t>
      </w:r>
      <w:r w:rsidR="00CB4957" w:rsidRPr="00CE559B">
        <w:rPr>
          <w:szCs w:val="22"/>
        </w:rPr>
        <w:t xml:space="preserve"> be amended</w:t>
      </w:r>
      <w:r w:rsidR="00197869">
        <w:rPr>
          <w:szCs w:val="22"/>
        </w:rPr>
        <w:t xml:space="preserve"> </w:t>
      </w:r>
      <w:r w:rsidR="00101815" w:rsidRPr="00CE559B">
        <w:rPr>
          <w:i/>
          <w:szCs w:val="22"/>
        </w:rPr>
        <w:t>nunc pro tunc</w:t>
      </w:r>
      <w:r>
        <w:rPr>
          <w:i/>
          <w:szCs w:val="22"/>
        </w:rPr>
        <w:t xml:space="preserve"> </w:t>
      </w:r>
      <w:r>
        <w:rPr>
          <w:szCs w:val="22"/>
        </w:rPr>
        <w:t>to the extent consistent with Commission rules and policies</w:t>
      </w:r>
      <w:r w:rsidR="00CB4957" w:rsidRPr="00CE559B">
        <w:rPr>
          <w:szCs w:val="22"/>
        </w:rPr>
        <w:t>.</w:t>
      </w:r>
      <w:r>
        <w:rPr>
          <w:rStyle w:val="FootnoteReference"/>
          <w:szCs w:val="22"/>
        </w:rPr>
        <w:footnoteReference w:id="12"/>
      </w:r>
      <w:r w:rsidR="00CB4957" w:rsidRPr="00CE559B">
        <w:rPr>
          <w:szCs w:val="22"/>
        </w:rPr>
        <w:t xml:space="preserve">  Under the Commission’s </w:t>
      </w:r>
      <w:r w:rsidR="00CB4957" w:rsidRPr="00CE559B">
        <w:rPr>
          <w:i/>
          <w:szCs w:val="22"/>
        </w:rPr>
        <w:t xml:space="preserve">nunc pro tunc </w:t>
      </w:r>
      <w:r w:rsidR="00CB4957" w:rsidRPr="00CE559B">
        <w:rPr>
          <w:szCs w:val="22"/>
        </w:rPr>
        <w:t>policy,</w:t>
      </w:r>
      <w:r w:rsidR="00CB4957" w:rsidRPr="00CE559B">
        <w:rPr>
          <w:rStyle w:val="FootnoteReference"/>
          <w:szCs w:val="22"/>
        </w:rPr>
        <w:footnoteReference w:id="13"/>
      </w:r>
      <w:r w:rsidR="00CB4957" w:rsidRPr="00CE559B">
        <w:rPr>
          <w:szCs w:val="22"/>
        </w:rPr>
        <w:t xml:space="preserve"> an applicant </w:t>
      </w:r>
      <w:r w:rsidR="005264E3" w:rsidRPr="00CE559B">
        <w:rPr>
          <w:szCs w:val="22"/>
        </w:rPr>
        <w:t xml:space="preserve">will have </w:t>
      </w:r>
      <w:r w:rsidR="005264E3" w:rsidRPr="00CE559B">
        <w:rPr>
          <w:b/>
          <w:szCs w:val="22"/>
        </w:rPr>
        <w:t>one</w:t>
      </w:r>
      <w:r w:rsidR="005264E3" w:rsidRPr="00CE559B">
        <w:rPr>
          <w:szCs w:val="22"/>
        </w:rPr>
        <w:t xml:space="preserve"> opportunity to </w:t>
      </w:r>
      <w:r w:rsidR="00CC262D" w:rsidRPr="00CE559B">
        <w:rPr>
          <w:szCs w:val="22"/>
        </w:rPr>
        <w:t>file</w:t>
      </w:r>
      <w:r w:rsidR="00CB4957" w:rsidRPr="00CE559B">
        <w:rPr>
          <w:b/>
          <w:szCs w:val="22"/>
        </w:rPr>
        <w:t xml:space="preserve"> </w:t>
      </w:r>
      <w:r w:rsidR="00340470">
        <w:rPr>
          <w:szCs w:val="22"/>
        </w:rPr>
        <w:t xml:space="preserve">a </w:t>
      </w:r>
      <w:r w:rsidR="00CB4957" w:rsidRPr="00A77135">
        <w:rPr>
          <w:b/>
          <w:szCs w:val="22"/>
        </w:rPr>
        <w:t>minor</w:t>
      </w:r>
      <w:r w:rsidR="00CB4957" w:rsidRPr="00CE559B">
        <w:rPr>
          <w:szCs w:val="22"/>
        </w:rPr>
        <w:t xml:space="preserve"> curative amendment within </w:t>
      </w:r>
      <w:r w:rsidR="00101815" w:rsidRPr="00CE559B">
        <w:rPr>
          <w:szCs w:val="22"/>
        </w:rPr>
        <w:t>30 days of the</w:t>
      </w:r>
      <w:r w:rsidR="00CB4957" w:rsidRPr="00CE559B">
        <w:rPr>
          <w:szCs w:val="22"/>
        </w:rPr>
        <w:t xml:space="preserve"> initial dismissal</w:t>
      </w:r>
      <w:r w:rsidR="00D422A7">
        <w:rPr>
          <w:szCs w:val="22"/>
        </w:rPr>
        <w:t xml:space="preserve"> and that amendment will be given retroactive effect</w:t>
      </w:r>
      <w:r w:rsidR="00CB4957" w:rsidRPr="00CE559B">
        <w:rPr>
          <w:szCs w:val="22"/>
        </w:rPr>
        <w:t xml:space="preserve">.  </w:t>
      </w:r>
    </w:p>
    <w:p w:rsidR="00101815" w:rsidRPr="00CE559B" w:rsidRDefault="00101815" w:rsidP="00FD2319">
      <w:pPr>
        <w:tabs>
          <w:tab w:val="left" w:pos="1"/>
          <w:tab w:val="left" w:pos="720"/>
          <w:tab w:val="left" w:pos="1440"/>
          <w:tab w:val="right" w:pos="9360"/>
        </w:tabs>
        <w:rPr>
          <w:szCs w:val="22"/>
        </w:rPr>
      </w:pPr>
    </w:p>
    <w:p w:rsidR="00CB4957" w:rsidRPr="00CE559B" w:rsidRDefault="00CB4957" w:rsidP="00FD2319">
      <w:pPr>
        <w:tabs>
          <w:tab w:val="left" w:pos="1"/>
          <w:tab w:val="left" w:pos="720"/>
          <w:tab w:val="left" w:pos="1440"/>
          <w:tab w:val="right" w:pos="9360"/>
        </w:tabs>
        <w:rPr>
          <w:szCs w:val="22"/>
        </w:rPr>
      </w:pPr>
      <w:r w:rsidRPr="00CE559B">
        <w:rPr>
          <w:szCs w:val="22"/>
        </w:rPr>
        <w:t>Pursuant to 47 C.F.R. §</w:t>
      </w:r>
      <w:r w:rsidR="003A6484">
        <w:rPr>
          <w:szCs w:val="22"/>
        </w:rPr>
        <w:t xml:space="preserve"> </w:t>
      </w:r>
      <w:r w:rsidR="00C21694" w:rsidRPr="00CE559B">
        <w:rPr>
          <w:szCs w:val="22"/>
        </w:rPr>
        <w:t>1.106, a</w:t>
      </w:r>
      <w:r w:rsidRPr="00CE559B">
        <w:rPr>
          <w:szCs w:val="22"/>
        </w:rPr>
        <w:t xml:space="preserve">n applicant </w:t>
      </w:r>
      <w:r w:rsidR="00197869">
        <w:rPr>
          <w:szCs w:val="22"/>
        </w:rPr>
        <w:t xml:space="preserve">also </w:t>
      </w:r>
      <w:r w:rsidRPr="00CE559B">
        <w:rPr>
          <w:szCs w:val="22"/>
        </w:rPr>
        <w:t xml:space="preserve">may file a </w:t>
      </w:r>
      <w:r w:rsidR="00506057">
        <w:rPr>
          <w:szCs w:val="22"/>
        </w:rPr>
        <w:t>p</w:t>
      </w:r>
      <w:r w:rsidRPr="00CE559B">
        <w:rPr>
          <w:szCs w:val="22"/>
        </w:rPr>
        <w:t xml:space="preserve">etition for </w:t>
      </w:r>
      <w:r w:rsidR="00506057">
        <w:rPr>
          <w:szCs w:val="22"/>
        </w:rPr>
        <w:t>r</w:t>
      </w:r>
      <w:r w:rsidRPr="00CE559B">
        <w:rPr>
          <w:szCs w:val="22"/>
        </w:rPr>
        <w:t xml:space="preserve">econsideration </w:t>
      </w:r>
      <w:r w:rsidR="00AD2FF3">
        <w:rPr>
          <w:szCs w:val="22"/>
        </w:rPr>
        <w:t xml:space="preserve">within 30 days of the dismissal of its application.  The petition must state with </w:t>
      </w:r>
      <w:r w:rsidR="00F00C7D">
        <w:rPr>
          <w:szCs w:val="22"/>
        </w:rPr>
        <w:t>particularity</w:t>
      </w:r>
      <w:r w:rsidR="00AD2FF3">
        <w:rPr>
          <w:szCs w:val="22"/>
        </w:rPr>
        <w:t xml:space="preserve"> the respects in which the petitioner believes the dismissal action should be changed.  </w:t>
      </w:r>
    </w:p>
    <w:p w:rsidR="007B7100" w:rsidRPr="00CE559B" w:rsidRDefault="00457D1F" w:rsidP="00457D1F">
      <w:pPr>
        <w:tabs>
          <w:tab w:val="left" w:pos="5700"/>
        </w:tabs>
        <w:rPr>
          <w:b/>
          <w:szCs w:val="22"/>
        </w:rPr>
      </w:pPr>
      <w:r>
        <w:rPr>
          <w:b/>
          <w:szCs w:val="22"/>
        </w:rPr>
        <w:tab/>
      </w:r>
    </w:p>
    <w:p w:rsidR="00D7098B" w:rsidRDefault="00D7098B">
      <w:pPr>
        <w:rPr>
          <w:szCs w:val="22"/>
        </w:rPr>
      </w:pPr>
      <w:r>
        <w:rPr>
          <w:szCs w:val="22"/>
        </w:rPr>
        <w:br w:type="page"/>
      </w:r>
    </w:p>
    <w:p w:rsidR="004633D0" w:rsidRPr="00CE559B" w:rsidRDefault="004633D0" w:rsidP="004633D0">
      <w:pPr>
        <w:rPr>
          <w:szCs w:val="22"/>
        </w:rPr>
      </w:pPr>
      <w:r w:rsidRPr="00CE559B">
        <w:rPr>
          <w:szCs w:val="22"/>
        </w:rPr>
        <w:t>For additional information, contact:</w:t>
      </w:r>
    </w:p>
    <w:p w:rsidR="007B7100" w:rsidRPr="00CE559B" w:rsidRDefault="007B7100" w:rsidP="004633D0">
      <w:pPr>
        <w:rPr>
          <w:szCs w:val="22"/>
        </w:rPr>
      </w:pPr>
    </w:p>
    <w:p w:rsidR="004633D0" w:rsidRPr="00CE559B" w:rsidRDefault="004633D0" w:rsidP="004633D0">
      <w:pPr>
        <w:numPr>
          <w:ilvl w:val="0"/>
          <w:numId w:val="6"/>
        </w:numPr>
        <w:rPr>
          <w:szCs w:val="22"/>
        </w:rPr>
      </w:pPr>
      <w:r w:rsidRPr="00CE559B">
        <w:rPr>
          <w:szCs w:val="22"/>
        </w:rPr>
        <w:t>Electronic filing assistance:  Konrad Herling or David Trout</w:t>
      </w:r>
      <w:r w:rsidR="0073648E" w:rsidRPr="00CE559B">
        <w:rPr>
          <w:szCs w:val="22"/>
        </w:rPr>
        <w:t>,</w:t>
      </w:r>
      <w:r w:rsidRPr="00CE559B">
        <w:rPr>
          <w:szCs w:val="22"/>
        </w:rPr>
        <w:t xml:space="preserve"> (202) 418-2662</w:t>
      </w:r>
    </w:p>
    <w:p w:rsidR="004633D0" w:rsidRPr="00CE559B" w:rsidRDefault="00983405" w:rsidP="004633D0">
      <w:pPr>
        <w:numPr>
          <w:ilvl w:val="0"/>
          <w:numId w:val="6"/>
        </w:numPr>
        <w:rPr>
          <w:szCs w:val="22"/>
        </w:rPr>
      </w:pPr>
      <w:r w:rsidRPr="00CE559B">
        <w:rPr>
          <w:szCs w:val="22"/>
        </w:rPr>
        <w:t xml:space="preserve">Legal inquiries:  Tom Hutton or </w:t>
      </w:r>
      <w:r w:rsidR="004633D0" w:rsidRPr="00CE559B">
        <w:rPr>
          <w:szCs w:val="22"/>
        </w:rPr>
        <w:t xml:space="preserve">Parul </w:t>
      </w:r>
      <w:r w:rsidR="00CB35C6" w:rsidRPr="00CE559B">
        <w:rPr>
          <w:szCs w:val="22"/>
        </w:rPr>
        <w:t xml:space="preserve">P. </w:t>
      </w:r>
      <w:r w:rsidR="004633D0" w:rsidRPr="00CE559B">
        <w:rPr>
          <w:szCs w:val="22"/>
        </w:rPr>
        <w:t>Desai, (202) 418-2700</w:t>
      </w:r>
    </w:p>
    <w:p w:rsidR="006B61F6" w:rsidRPr="002D1BD4" w:rsidRDefault="004633D0" w:rsidP="00F079F9">
      <w:pPr>
        <w:numPr>
          <w:ilvl w:val="0"/>
          <w:numId w:val="6"/>
        </w:numPr>
        <w:suppressAutoHyphens/>
        <w:rPr>
          <w:b/>
          <w:szCs w:val="22"/>
        </w:rPr>
      </w:pPr>
      <w:r w:rsidRPr="00F079F9">
        <w:rPr>
          <w:szCs w:val="22"/>
        </w:rPr>
        <w:t xml:space="preserve">Engineering inquiries:  James Bradshaw or </w:t>
      </w:r>
      <w:r w:rsidR="00983405" w:rsidRPr="00F079F9">
        <w:rPr>
          <w:szCs w:val="22"/>
        </w:rPr>
        <w:t>Gary Loehrs</w:t>
      </w:r>
      <w:r w:rsidRPr="00F079F9">
        <w:rPr>
          <w:szCs w:val="22"/>
        </w:rPr>
        <w:t>, (202) 418-2700</w:t>
      </w:r>
    </w:p>
    <w:p w:rsidR="002D1BD4" w:rsidRPr="004A58C2" w:rsidRDefault="002D1BD4" w:rsidP="002D1BD4">
      <w:pPr>
        <w:numPr>
          <w:ilvl w:val="0"/>
          <w:numId w:val="6"/>
        </w:numPr>
        <w:rPr>
          <w:rFonts w:ascii="Times" w:hAnsi="Times"/>
          <w:szCs w:val="22"/>
        </w:rPr>
      </w:pPr>
      <w:r>
        <w:rPr>
          <w:rFonts w:ascii="Times" w:hAnsi="Times"/>
          <w:szCs w:val="22"/>
        </w:rPr>
        <w:t>Press inquiries:  Janice Wise, (202) 418-8165</w:t>
      </w:r>
    </w:p>
    <w:p w:rsidR="002D1BD4" w:rsidRPr="00F079F9" w:rsidRDefault="002D1BD4" w:rsidP="002D1BD4">
      <w:pPr>
        <w:suppressAutoHyphens/>
        <w:ind w:left="360"/>
        <w:rPr>
          <w:b/>
          <w:szCs w:val="22"/>
        </w:rPr>
      </w:pPr>
    </w:p>
    <w:p w:rsidR="006B61F6" w:rsidRPr="00CE559B"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6B61F6" w:rsidRPr="00CE559B"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CE559B">
        <w:rPr>
          <w:color w:val="000000"/>
          <w:szCs w:val="22"/>
        </w:rPr>
        <w:t>– FCC</w:t>
      </w:r>
      <w:r w:rsidRPr="00CE559B">
        <w:rPr>
          <w:b/>
          <w:color w:val="000000"/>
          <w:szCs w:val="22"/>
        </w:rPr>
        <w:t xml:space="preserve"> </w:t>
      </w:r>
      <w:r w:rsidRPr="00CE559B">
        <w:rPr>
          <w:color w:val="000000"/>
          <w:szCs w:val="22"/>
        </w:rPr>
        <w:t>–</w:t>
      </w:r>
    </w:p>
    <w:sectPr w:rsidR="006B61F6" w:rsidRPr="00CE559B" w:rsidSect="008F2EE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8C" w:rsidRDefault="00EA438C">
      <w:r>
        <w:separator/>
      </w:r>
    </w:p>
  </w:endnote>
  <w:endnote w:type="continuationSeparator" w:id="0">
    <w:p w:rsidR="00EA438C" w:rsidRDefault="00EA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2C" w:rsidRDefault="00402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Default="00FD2319">
    <w:pPr>
      <w:pStyle w:val="Footer"/>
      <w:jc w:val="center"/>
    </w:pPr>
    <w:r>
      <w:rPr>
        <w:rStyle w:val="PageNumber"/>
      </w:rPr>
      <w:fldChar w:fldCharType="begin"/>
    </w:r>
    <w:r>
      <w:rPr>
        <w:rStyle w:val="PageNumber"/>
      </w:rPr>
      <w:instrText xml:space="preserve"> PAGE </w:instrText>
    </w:r>
    <w:r>
      <w:rPr>
        <w:rStyle w:val="PageNumber"/>
      </w:rPr>
      <w:fldChar w:fldCharType="separate"/>
    </w:r>
    <w:r w:rsidR="00EE4D1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2C" w:rsidRDefault="00402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8C" w:rsidRDefault="00EA438C">
      <w:r>
        <w:separator/>
      </w:r>
    </w:p>
  </w:footnote>
  <w:footnote w:type="continuationSeparator" w:id="0">
    <w:p w:rsidR="00EA438C" w:rsidRDefault="00EA438C">
      <w:r>
        <w:continuationSeparator/>
      </w:r>
    </w:p>
  </w:footnote>
  <w:footnote w:id="1">
    <w:p w:rsidR="007F10A6" w:rsidRDefault="007F10A6" w:rsidP="001635A4">
      <w:pPr>
        <w:pStyle w:val="FootnoteText"/>
        <w:spacing w:after="120"/>
      </w:pPr>
      <w:r>
        <w:rPr>
          <w:rStyle w:val="FootnoteReference"/>
        </w:rPr>
        <w:footnoteRef/>
      </w:r>
      <w:r>
        <w:t xml:space="preserve"> </w:t>
      </w:r>
      <w:r w:rsidRPr="00CE559B">
        <w:rPr>
          <w:sz w:val="20"/>
        </w:rPr>
        <w:t>47 C.F.R.</w:t>
      </w:r>
      <w:r>
        <w:rPr>
          <w:sz w:val="20"/>
        </w:rPr>
        <w:t xml:space="preserve"> </w:t>
      </w:r>
      <w:r w:rsidRPr="00CE559B">
        <w:rPr>
          <w:sz w:val="20"/>
        </w:rPr>
        <w:t>§</w:t>
      </w:r>
      <w:r>
        <w:rPr>
          <w:sz w:val="20"/>
        </w:rPr>
        <w:t xml:space="preserve"> </w:t>
      </w:r>
      <w:r w:rsidRPr="00CE559B">
        <w:rPr>
          <w:sz w:val="20"/>
        </w:rPr>
        <w:t>73.871(c).</w:t>
      </w:r>
    </w:p>
  </w:footnote>
  <w:footnote w:id="2">
    <w:p w:rsidR="00CE559B" w:rsidRPr="00CE559B" w:rsidRDefault="00CE559B" w:rsidP="009B09BC">
      <w:pPr>
        <w:spacing w:after="120"/>
        <w:rPr>
          <w:sz w:val="20"/>
        </w:rPr>
      </w:pPr>
      <w:r w:rsidRPr="00CE559B">
        <w:rPr>
          <w:rStyle w:val="FootnoteReference"/>
          <w:sz w:val="20"/>
        </w:rPr>
        <w:footnoteRef/>
      </w:r>
      <w:r w:rsidRPr="00CE559B">
        <w:rPr>
          <w:sz w:val="20"/>
        </w:rPr>
        <w:t xml:space="preserve"> We will process any settlement achieved through technical amendment(s) and/or dismissal(s) which results in our ability to grant at least one singleton application.  </w:t>
      </w:r>
      <w:r w:rsidRPr="00CE559B">
        <w:rPr>
          <w:rStyle w:val="documentbody1"/>
          <w:rFonts w:ascii="Times New Roman" w:hAnsi="Times New Roman"/>
          <w:color w:val="000000"/>
          <w:sz w:val="20"/>
          <w:szCs w:val="20"/>
        </w:rPr>
        <w:t>In the event that the staff determines that a settleme</w:t>
      </w:r>
      <w:r>
        <w:rPr>
          <w:rStyle w:val="documentbody1"/>
          <w:rFonts w:ascii="Times New Roman" w:hAnsi="Times New Roman"/>
          <w:color w:val="000000"/>
          <w:sz w:val="20"/>
          <w:szCs w:val="20"/>
        </w:rPr>
        <w:t>nt complies with the Commission’</w:t>
      </w:r>
      <w:r w:rsidRPr="00CE559B">
        <w:rPr>
          <w:rStyle w:val="documentbody1"/>
          <w:rFonts w:ascii="Times New Roman" w:hAnsi="Times New Roman"/>
          <w:color w:val="000000"/>
          <w:sz w:val="20"/>
          <w:szCs w:val="20"/>
        </w:rPr>
        <w:t>s Rules, we will issue a Public Notice accepting for filing all applications proposed for grant pursuant to the settlement.  Petitions to deny these applications may be filed within thirty (30) days of this subsequent Public Notice.</w:t>
      </w:r>
      <w:r w:rsidRPr="00CE559B">
        <w:rPr>
          <w:sz w:val="20"/>
        </w:rPr>
        <w:t xml:space="preserve">  </w:t>
      </w:r>
    </w:p>
  </w:footnote>
  <w:footnote w:id="3">
    <w:p w:rsidR="00CE559B" w:rsidRPr="00CE559B" w:rsidRDefault="00CE559B" w:rsidP="009B09BC">
      <w:pPr>
        <w:pStyle w:val="FootnoteText"/>
        <w:spacing w:after="120"/>
        <w:rPr>
          <w:sz w:val="20"/>
        </w:rPr>
      </w:pPr>
      <w:r w:rsidRPr="00CE559B">
        <w:rPr>
          <w:rStyle w:val="FootnoteReference"/>
          <w:sz w:val="20"/>
        </w:rPr>
        <w:footnoteRef/>
      </w:r>
      <w:r w:rsidR="00D51593">
        <w:rPr>
          <w:sz w:val="20"/>
        </w:rPr>
        <w:t xml:space="preserve"> 47 C.F.R. §</w:t>
      </w:r>
      <w:r w:rsidR="007F10A6">
        <w:rPr>
          <w:sz w:val="20"/>
        </w:rPr>
        <w:t xml:space="preserve"> </w:t>
      </w:r>
      <w:r w:rsidRPr="00CE559B">
        <w:rPr>
          <w:sz w:val="20"/>
        </w:rPr>
        <w:t>73.3525.</w:t>
      </w:r>
    </w:p>
  </w:footnote>
  <w:footnote w:id="4">
    <w:p w:rsidR="00CE559B" w:rsidRPr="00CE559B" w:rsidRDefault="00CE559B" w:rsidP="009B09BC">
      <w:pPr>
        <w:pStyle w:val="FootnoteText"/>
        <w:spacing w:after="120"/>
        <w:rPr>
          <w:sz w:val="20"/>
        </w:rPr>
      </w:pPr>
      <w:r w:rsidRPr="00CE559B">
        <w:rPr>
          <w:rStyle w:val="FootnoteReference"/>
          <w:sz w:val="20"/>
        </w:rPr>
        <w:footnoteRef/>
      </w:r>
      <w:r w:rsidRPr="00CE559B">
        <w:rPr>
          <w:sz w:val="20"/>
        </w:rPr>
        <w:t xml:space="preserve"> “Legitimate and prudent expenses” are those expenses reasonably incurred by an applicant in preparing, filing, prosecuting, and </w:t>
      </w:r>
      <w:r w:rsidR="009B09BC">
        <w:rPr>
          <w:sz w:val="20"/>
        </w:rPr>
        <w:t>reaching a settlement with respect to the</w:t>
      </w:r>
      <w:r w:rsidRPr="00CE559B">
        <w:rPr>
          <w:sz w:val="20"/>
        </w:rPr>
        <w:t xml:space="preserve"> application for which reimbursemen</w:t>
      </w:r>
      <w:r w:rsidR="00553BB9">
        <w:rPr>
          <w:sz w:val="20"/>
        </w:rPr>
        <w:t>t is being sought.  47 C.F.R. §</w:t>
      </w:r>
      <w:r w:rsidR="00A328CD">
        <w:rPr>
          <w:sz w:val="20"/>
        </w:rPr>
        <w:t xml:space="preserve"> </w:t>
      </w:r>
      <w:r w:rsidRPr="00CE559B">
        <w:rPr>
          <w:sz w:val="20"/>
        </w:rPr>
        <w:t>73.3525(i).</w:t>
      </w:r>
    </w:p>
  </w:footnote>
  <w:footnote w:id="5">
    <w:p w:rsidR="00CE559B" w:rsidRPr="00CE559B" w:rsidRDefault="00CE559B" w:rsidP="009B09BC">
      <w:pPr>
        <w:pStyle w:val="FootnoteText"/>
        <w:spacing w:after="120"/>
        <w:rPr>
          <w:sz w:val="20"/>
        </w:rPr>
      </w:pPr>
      <w:r w:rsidRPr="00CE559B">
        <w:rPr>
          <w:rStyle w:val="FootnoteReference"/>
          <w:sz w:val="20"/>
        </w:rPr>
        <w:footnoteRef/>
      </w:r>
      <w:r w:rsidRPr="00CE559B">
        <w:rPr>
          <w:sz w:val="20"/>
        </w:rPr>
        <w:t xml:space="preserve"> </w:t>
      </w:r>
      <w:r w:rsidRPr="00CE559B">
        <w:rPr>
          <w:i/>
          <w:sz w:val="20"/>
        </w:rPr>
        <w:t>See</w:t>
      </w:r>
      <w:r w:rsidRPr="00CE559B">
        <w:rPr>
          <w:sz w:val="20"/>
        </w:rPr>
        <w:t xml:space="preserve"> 47</w:t>
      </w:r>
      <w:r w:rsidR="00553BB9">
        <w:rPr>
          <w:sz w:val="20"/>
        </w:rPr>
        <w:t xml:space="preserve"> C.F.R. §</w:t>
      </w:r>
      <w:r w:rsidR="00A328CD">
        <w:rPr>
          <w:sz w:val="20"/>
        </w:rPr>
        <w:t xml:space="preserve"> </w:t>
      </w:r>
      <w:r w:rsidRPr="00CE559B">
        <w:rPr>
          <w:sz w:val="20"/>
        </w:rPr>
        <w:t xml:space="preserve">73.3525(a).  Affidavits shall be executed by the applicant, permittee, or licensee, if an individual; a partner having personal knowledge of the facts, if a partnership; or an officer having personal knowledge of the facts, if a corporation or association.  </w:t>
      </w:r>
      <w:r w:rsidRPr="00CE559B">
        <w:rPr>
          <w:i/>
          <w:sz w:val="20"/>
        </w:rPr>
        <w:t xml:space="preserve">See </w:t>
      </w:r>
      <w:r w:rsidRPr="00CE559B">
        <w:rPr>
          <w:sz w:val="20"/>
        </w:rPr>
        <w:t xml:space="preserve">47 C.F.R. § 73.3525(f).  </w:t>
      </w:r>
      <w:r w:rsidR="009B09BC">
        <w:rPr>
          <w:sz w:val="20"/>
        </w:rPr>
        <w:t xml:space="preserve">An unsworn declaration under penalty of perjury may be substituted for an affidavit if it uses the wording specified in </w:t>
      </w:r>
      <w:r w:rsidR="009B09BC" w:rsidRPr="00CE559B">
        <w:rPr>
          <w:sz w:val="20"/>
        </w:rPr>
        <w:t xml:space="preserve">§ </w:t>
      </w:r>
      <w:r w:rsidR="009B09BC">
        <w:rPr>
          <w:sz w:val="20"/>
        </w:rPr>
        <w:t>1.16.</w:t>
      </w:r>
    </w:p>
  </w:footnote>
  <w:footnote w:id="6">
    <w:p w:rsidR="00CE559B" w:rsidRPr="00CE559B" w:rsidRDefault="00CE559B" w:rsidP="009B09BC">
      <w:pPr>
        <w:pStyle w:val="FootnoteText"/>
        <w:spacing w:after="120"/>
        <w:rPr>
          <w:sz w:val="20"/>
        </w:rPr>
      </w:pPr>
      <w:r w:rsidRPr="00CE559B">
        <w:rPr>
          <w:rStyle w:val="FootnoteReference"/>
          <w:sz w:val="20"/>
        </w:rPr>
        <w:footnoteRef/>
      </w:r>
      <w:r w:rsidRPr="00CE559B">
        <w:rPr>
          <w:sz w:val="20"/>
        </w:rPr>
        <w:t xml:space="preserve"> </w:t>
      </w:r>
      <w:r w:rsidRPr="00CE559B">
        <w:rPr>
          <w:i/>
          <w:sz w:val="20"/>
        </w:rPr>
        <w:t>See</w:t>
      </w:r>
      <w:r w:rsidR="00553BB9">
        <w:rPr>
          <w:sz w:val="20"/>
        </w:rPr>
        <w:t xml:space="preserve"> 47 C.F.R. §§</w:t>
      </w:r>
      <w:r w:rsidR="00A328CD">
        <w:rPr>
          <w:sz w:val="20"/>
        </w:rPr>
        <w:t xml:space="preserve"> </w:t>
      </w:r>
      <w:r w:rsidRPr="00CE559B">
        <w:rPr>
          <w:sz w:val="20"/>
        </w:rPr>
        <w:t xml:space="preserve">73.3525(c) and 73.3568.     </w:t>
      </w:r>
    </w:p>
  </w:footnote>
  <w:footnote w:id="7">
    <w:p w:rsidR="00A328CD" w:rsidRPr="001635A4" w:rsidRDefault="00A328CD">
      <w:pPr>
        <w:pStyle w:val="FootnoteText"/>
        <w:rPr>
          <w:sz w:val="20"/>
        </w:rPr>
      </w:pPr>
      <w:r w:rsidRPr="001635A4">
        <w:rPr>
          <w:rStyle w:val="FootnoteReference"/>
          <w:sz w:val="20"/>
        </w:rPr>
        <w:footnoteRef/>
      </w:r>
      <w:r w:rsidRPr="001635A4">
        <w:rPr>
          <w:sz w:val="20"/>
        </w:rPr>
        <w:t xml:space="preserve"> </w:t>
      </w:r>
      <w:r w:rsidRPr="001635A4">
        <w:rPr>
          <w:i/>
          <w:sz w:val="20"/>
        </w:rPr>
        <w:t xml:space="preserve">See </w:t>
      </w:r>
      <w:r w:rsidRPr="001635A4">
        <w:rPr>
          <w:sz w:val="20"/>
        </w:rPr>
        <w:t>47 C.F.R. § 73.853(b).</w:t>
      </w:r>
    </w:p>
  </w:footnote>
  <w:footnote w:id="8">
    <w:p w:rsidR="00CE559B" w:rsidRPr="00CE559B" w:rsidRDefault="00CE559B" w:rsidP="009B09BC">
      <w:pPr>
        <w:pStyle w:val="FootnoteText"/>
        <w:spacing w:after="120"/>
        <w:rPr>
          <w:sz w:val="20"/>
        </w:rPr>
      </w:pPr>
      <w:r w:rsidRPr="00CE559B">
        <w:rPr>
          <w:rStyle w:val="FootnoteReference"/>
          <w:sz w:val="20"/>
        </w:rPr>
        <w:footnoteRef/>
      </w:r>
      <w:r w:rsidRPr="00CE559B">
        <w:rPr>
          <w:sz w:val="20"/>
        </w:rPr>
        <w:t xml:space="preserve"> </w:t>
      </w:r>
      <w:r w:rsidRPr="00CE559B">
        <w:rPr>
          <w:i/>
          <w:sz w:val="20"/>
        </w:rPr>
        <w:t>See</w:t>
      </w:r>
      <w:r w:rsidR="00553BB9">
        <w:rPr>
          <w:sz w:val="20"/>
        </w:rPr>
        <w:t xml:space="preserve"> 47 C.F.R. §</w:t>
      </w:r>
      <w:r w:rsidRPr="00CE559B">
        <w:rPr>
          <w:sz w:val="20"/>
        </w:rPr>
        <w:t xml:space="preserve">73.3525(c). </w:t>
      </w:r>
    </w:p>
  </w:footnote>
  <w:footnote w:id="9">
    <w:p w:rsidR="00D422A7" w:rsidRPr="00CE559B" w:rsidRDefault="00C21694" w:rsidP="009B09BC">
      <w:pPr>
        <w:pStyle w:val="FootnoteText"/>
        <w:spacing w:after="120"/>
        <w:rPr>
          <w:sz w:val="20"/>
        </w:rPr>
      </w:pPr>
      <w:r w:rsidRPr="00CE559B">
        <w:rPr>
          <w:rStyle w:val="FootnoteReference"/>
          <w:sz w:val="20"/>
        </w:rPr>
        <w:footnoteRef/>
      </w:r>
      <w:r w:rsidRPr="00CE559B">
        <w:rPr>
          <w:sz w:val="20"/>
        </w:rPr>
        <w:t xml:space="preserve"> 47 C.F.R. §</w:t>
      </w:r>
      <w:r w:rsidR="003A6484">
        <w:rPr>
          <w:sz w:val="20"/>
        </w:rPr>
        <w:t xml:space="preserve"> </w:t>
      </w:r>
      <w:r w:rsidRPr="00CE559B">
        <w:rPr>
          <w:sz w:val="20"/>
        </w:rPr>
        <w:t>73.870(d).</w:t>
      </w:r>
    </w:p>
  </w:footnote>
  <w:footnote w:id="10">
    <w:p w:rsidR="00E657C6" w:rsidRDefault="00E657C6" w:rsidP="00E657C6">
      <w:pPr>
        <w:pStyle w:val="FootnoteText"/>
      </w:pPr>
      <w:r>
        <w:rPr>
          <w:rStyle w:val="FootnoteReference"/>
        </w:rPr>
        <w:footnoteRef/>
      </w:r>
      <w:r>
        <w:rPr>
          <w:sz w:val="20"/>
        </w:rPr>
        <w:t xml:space="preserve"> </w:t>
      </w:r>
      <w:r>
        <w:rPr>
          <w:rFonts w:ascii="Times" w:hAnsi="Times" w:cs="Times"/>
          <w:sz w:val="20"/>
        </w:rPr>
        <w:t xml:space="preserve">An LPFM station may be licensed to a noncommercial educational organization, to a tribal entity, or a for public safety service. 47 C.F.R. §73.853.  Individuals are not eligible to own and operate LPFM stations.  </w:t>
      </w:r>
      <w:r>
        <w:rPr>
          <w:rFonts w:ascii="Times" w:hAnsi="Times" w:cs="Times"/>
          <w:i/>
          <w:sz w:val="20"/>
        </w:rPr>
        <w:t xml:space="preserve">See Creation of a Low Power Radio Service, </w:t>
      </w:r>
      <w:r>
        <w:rPr>
          <w:rFonts w:ascii="Times" w:hAnsi="Times" w:cs="Times"/>
          <w:sz w:val="20"/>
        </w:rPr>
        <w:t xml:space="preserve">Report and Order, 15 FCC Rcd 2205, 2215 n.40 (2000).  </w:t>
      </w:r>
      <w:r>
        <w:rPr>
          <w:rFonts w:ascii="Times" w:hAnsi="Times" w:cs="Times"/>
          <w:i/>
          <w:sz w:val="20"/>
        </w:rPr>
        <w:t>See also</w:t>
      </w:r>
      <w:r>
        <w:rPr>
          <w:rFonts w:ascii="Times" w:hAnsi="Times" w:cs="Times"/>
          <w:sz w:val="20"/>
        </w:rPr>
        <w:t>, Instructions to FCC Form 318, Section II, Question 2, Subsection 2(a).</w:t>
      </w:r>
    </w:p>
  </w:footnote>
  <w:footnote w:id="11">
    <w:p w:rsidR="00A328CD" w:rsidRPr="001635A4" w:rsidRDefault="00A328CD">
      <w:pPr>
        <w:pStyle w:val="FootnoteText"/>
        <w:rPr>
          <w:sz w:val="20"/>
        </w:rPr>
      </w:pPr>
      <w:r w:rsidRPr="001635A4">
        <w:rPr>
          <w:rStyle w:val="FootnoteReference"/>
          <w:sz w:val="20"/>
        </w:rPr>
        <w:footnoteRef/>
      </w:r>
      <w:r w:rsidRPr="001635A4">
        <w:rPr>
          <w:sz w:val="20"/>
        </w:rPr>
        <w:t xml:space="preserve"> </w:t>
      </w:r>
      <w:r w:rsidRPr="001635A4">
        <w:rPr>
          <w:i/>
          <w:sz w:val="20"/>
        </w:rPr>
        <w:t xml:space="preserve">See </w:t>
      </w:r>
      <w:r w:rsidRPr="001635A4">
        <w:rPr>
          <w:sz w:val="20"/>
        </w:rPr>
        <w:t>47 C.F.R. § 73.8</w:t>
      </w:r>
      <w:r w:rsidR="00B8617A" w:rsidRPr="001635A4">
        <w:rPr>
          <w:sz w:val="20"/>
        </w:rPr>
        <w:t xml:space="preserve">55(a) (generally prohibiting the grant of an LPFM application where such grant </w:t>
      </w:r>
      <w:r w:rsidR="00B8617A">
        <w:rPr>
          <w:sz w:val="20"/>
        </w:rPr>
        <w:t xml:space="preserve">would </w:t>
      </w:r>
      <w:r w:rsidR="00B8617A" w:rsidRPr="001635A4">
        <w:rPr>
          <w:sz w:val="20"/>
        </w:rPr>
        <w:t>result in a party holding an attributable interest in two or more LPFM stations</w:t>
      </w:r>
      <w:r w:rsidR="00B8617A">
        <w:rPr>
          <w:sz w:val="20"/>
        </w:rPr>
        <w:t>)</w:t>
      </w:r>
      <w:r w:rsidR="00B8617A" w:rsidRPr="001635A4">
        <w:rPr>
          <w:sz w:val="20"/>
        </w:rPr>
        <w:t xml:space="preserve">. </w:t>
      </w:r>
    </w:p>
  </w:footnote>
  <w:footnote w:id="12">
    <w:p w:rsidR="003A6484" w:rsidRPr="00D7098B" w:rsidRDefault="003A6484">
      <w:pPr>
        <w:pStyle w:val="FootnoteText"/>
        <w:rPr>
          <w:sz w:val="20"/>
        </w:rPr>
      </w:pPr>
      <w:r w:rsidRPr="00D7098B">
        <w:rPr>
          <w:rStyle w:val="FootnoteReference"/>
          <w:sz w:val="20"/>
        </w:rPr>
        <w:footnoteRef/>
      </w:r>
      <w:r w:rsidRPr="00D7098B">
        <w:rPr>
          <w:sz w:val="20"/>
        </w:rPr>
        <w:t xml:space="preserve"> </w:t>
      </w:r>
      <w:r>
        <w:rPr>
          <w:i/>
          <w:sz w:val="20"/>
        </w:rPr>
        <w:t xml:space="preserve">See, e.g., </w:t>
      </w:r>
      <w:r>
        <w:rPr>
          <w:sz w:val="20"/>
        </w:rPr>
        <w:t xml:space="preserve">47 C.F.R. §§ 73.870, 73.871; </w:t>
      </w:r>
      <w:r>
        <w:rPr>
          <w:i/>
          <w:sz w:val="20"/>
        </w:rPr>
        <w:t>Applications for Review of Decisions Regarding Six Applications for New LPFM Stations</w:t>
      </w:r>
      <w:r>
        <w:rPr>
          <w:sz w:val="20"/>
        </w:rPr>
        <w:t>, Memorandum Opinion and Order, 28 FCC Rcd 13390, 13400 n.88 (2013) (</w:t>
      </w:r>
      <w:r w:rsidR="003F3EA6">
        <w:rPr>
          <w:sz w:val="20"/>
        </w:rPr>
        <w:t>lack of reasonable assurance of transmitter site not cured by amendment specifying new transmitter site).</w:t>
      </w:r>
      <w:r>
        <w:rPr>
          <w:sz w:val="20"/>
        </w:rPr>
        <w:t xml:space="preserve"> </w:t>
      </w:r>
    </w:p>
  </w:footnote>
  <w:footnote w:id="13">
    <w:p w:rsidR="00CB4957" w:rsidRPr="00CE559B" w:rsidRDefault="00CB4957" w:rsidP="009B09BC">
      <w:pPr>
        <w:pStyle w:val="FootnoteText"/>
        <w:spacing w:after="120"/>
        <w:rPr>
          <w:sz w:val="20"/>
        </w:rPr>
      </w:pPr>
      <w:r w:rsidRPr="00CE559B">
        <w:rPr>
          <w:rStyle w:val="FootnoteReference"/>
          <w:sz w:val="20"/>
        </w:rPr>
        <w:footnoteRef/>
      </w:r>
      <w:r w:rsidRPr="00CE559B">
        <w:rPr>
          <w:sz w:val="20"/>
        </w:rPr>
        <w:t xml:space="preserve"> </w:t>
      </w:r>
      <w:r w:rsidRPr="00CE559B">
        <w:rPr>
          <w:i/>
          <w:iCs/>
          <w:sz w:val="20"/>
        </w:rPr>
        <w:t>Commission States Future Policy on Incomplete and Patently Defective AM and FM Construction Permit Applications</w:t>
      </w:r>
      <w:r w:rsidRPr="00CE559B">
        <w:rPr>
          <w:sz w:val="20"/>
        </w:rPr>
        <w:t>, Public Notice, 56 RR.2d 776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2C" w:rsidRDefault="00402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2C" w:rsidRDefault="00402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Pr="004A5145" w:rsidRDefault="00FD2319">
    <w:pPr>
      <w:pStyle w:val="Header"/>
      <w:tabs>
        <w:tab w:val="clear" w:pos="4320"/>
        <w:tab w:val="clear" w:pos="8640"/>
      </w:tabs>
      <w:spacing w:before="40"/>
      <w:ind w:firstLine="1080"/>
      <w:rPr>
        <w:rFonts w:ascii="Arial" w:hAnsi="Arial" w:cs="Arial"/>
        <w:b/>
        <w:kern w:val="28"/>
        <w:sz w:val="96"/>
      </w:rPr>
    </w:pPr>
    <w:r w:rsidRPr="004A5145">
      <w:rPr>
        <w:rFonts w:ascii="Arial" w:hAnsi="Arial" w:cs="Arial"/>
        <w:b/>
        <w:noProof/>
        <w:sz w:val="24"/>
      </w:rPr>
      <mc:AlternateContent>
        <mc:Choice Requires="wps">
          <w:drawing>
            <wp:anchor distT="0" distB="0" distL="114300" distR="114300" simplePos="0" relativeHeight="251656192" behindDoc="0" locked="0" layoutInCell="1" allowOverlap="1" wp14:anchorId="5C253434" wp14:editId="1A5087D5">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v:textbox>
            </v:shape>
          </w:pict>
        </mc:Fallback>
      </mc:AlternateContent>
    </w:r>
    <w:r w:rsidRPr="004A5145">
      <w:rPr>
        <w:rFonts w:ascii="Arial" w:hAnsi="Arial" w:cs="Arial"/>
        <w:b/>
        <w:noProof/>
        <w:sz w:val="24"/>
      </w:rPr>
      <w:drawing>
        <wp:anchor distT="0" distB="0" distL="114300" distR="114300" simplePos="0" relativeHeight="251659264" behindDoc="0" locked="0" layoutInCell="0" allowOverlap="1" wp14:anchorId="733A0002" wp14:editId="131F3CD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4A5145">
      <w:rPr>
        <w:rFonts w:ascii="Arial" w:hAnsi="Arial" w:cs="Arial"/>
        <w:b/>
        <w:kern w:val="28"/>
        <w:sz w:val="96"/>
      </w:rPr>
      <w:t>PUBLIC NOTICE</w:t>
    </w:r>
  </w:p>
  <w:p w:rsidR="00FD2319" w:rsidRDefault="00FD231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8" w:name="_Hlt233824"/>
                          <w:r>
                            <w:rPr>
                              <w:rFonts w:ascii="Arial" w:hAnsi="Arial"/>
                              <w:b/>
                              <w:sz w:val="16"/>
                              <w:szCs w:val="16"/>
                            </w:rPr>
                            <w:t>h</w:t>
                          </w:r>
                          <w:bookmarkEnd w:id="8"/>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8" w:name="_Hlt233824"/>
                    <w:r>
                      <w:rPr>
                        <w:rFonts w:ascii="Arial" w:hAnsi="Arial"/>
                        <w:b/>
                        <w:sz w:val="16"/>
                        <w:szCs w:val="16"/>
                      </w:rPr>
                      <w:t>h</w:t>
                    </w:r>
                    <w:bookmarkEnd w:id="8"/>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v:textbox>
            </v:shape>
          </w:pict>
        </mc:Fallback>
      </mc:AlternateContent>
    </w:r>
    <w:r>
      <w:rPr>
        <w:rFonts w:ascii="Arial" w:hAnsi="Arial"/>
        <w:b/>
        <w:noProof/>
      </w:rPr>
      <mc:AlternateContent>
        <mc:Choice Requires="wps">
          <w:drawing>
            <wp:anchor distT="4294967295" distB="4294967295" distL="114300" distR="114300" simplePos="0" relativeHeight="251657216" behindDoc="0" locked="0" layoutInCell="1" allowOverlap="1">
              <wp:simplePos x="0" y="0"/>
              <wp:positionH relativeFrom="column">
                <wp:posOffset>-291465</wp:posOffset>
              </wp:positionH>
              <wp:positionV relativeFrom="paragraph">
                <wp:posOffset>647699</wp:posOffset>
              </wp:positionV>
              <wp:extent cx="6515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FD2319" w:rsidRDefault="00FD231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821"/>
    <w:multiLevelType w:val="hybridMultilevel"/>
    <w:tmpl w:val="D8360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4A45E3C"/>
    <w:multiLevelType w:val="hybridMultilevel"/>
    <w:tmpl w:val="AC8C2408"/>
    <w:lvl w:ilvl="0" w:tplc="90383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25375"/>
    <w:rsid w:val="000755D6"/>
    <w:rsid w:val="00093FDC"/>
    <w:rsid w:val="0009632B"/>
    <w:rsid w:val="0009692D"/>
    <w:rsid w:val="000A2AB9"/>
    <w:rsid w:val="000B1129"/>
    <w:rsid w:val="000C4793"/>
    <w:rsid w:val="000D19B3"/>
    <w:rsid w:val="000D310E"/>
    <w:rsid w:val="000D4FF1"/>
    <w:rsid w:val="000E0EEC"/>
    <w:rsid w:val="000F3D30"/>
    <w:rsid w:val="000F73B2"/>
    <w:rsid w:val="00101815"/>
    <w:rsid w:val="0010288F"/>
    <w:rsid w:val="00161186"/>
    <w:rsid w:val="001635A4"/>
    <w:rsid w:val="00167152"/>
    <w:rsid w:val="00182316"/>
    <w:rsid w:val="001906B3"/>
    <w:rsid w:val="00197869"/>
    <w:rsid w:val="001C2E33"/>
    <w:rsid w:val="001C6EDE"/>
    <w:rsid w:val="001D63A7"/>
    <w:rsid w:val="001E51DC"/>
    <w:rsid w:val="002227AB"/>
    <w:rsid w:val="002441AE"/>
    <w:rsid w:val="00247148"/>
    <w:rsid w:val="0025139C"/>
    <w:rsid w:val="002673AC"/>
    <w:rsid w:val="002718DF"/>
    <w:rsid w:val="0027566E"/>
    <w:rsid w:val="00277A31"/>
    <w:rsid w:val="00283A4C"/>
    <w:rsid w:val="002A42E0"/>
    <w:rsid w:val="002C4311"/>
    <w:rsid w:val="002D1BD4"/>
    <w:rsid w:val="002E1296"/>
    <w:rsid w:val="002F138F"/>
    <w:rsid w:val="002F20F6"/>
    <w:rsid w:val="002F239C"/>
    <w:rsid w:val="00304C68"/>
    <w:rsid w:val="00337D09"/>
    <w:rsid w:val="00340470"/>
    <w:rsid w:val="00345755"/>
    <w:rsid w:val="003459D4"/>
    <w:rsid w:val="003732A2"/>
    <w:rsid w:val="003773FF"/>
    <w:rsid w:val="0039163E"/>
    <w:rsid w:val="003A3BF0"/>
    <w:rsid w:val="003A4E01"/>
    <w:rsid w:val="003A6484"/>
    <w:rsid w:val="003A6F0C"/>
    <w:rsid w:val="003A7564"/>
    <w:rsid w:val="003C0A2E"/>
    <w:rsid w:val="003C4E0C"/>
    <w:rsid w:val="003D57FB"/>
    <w:rsid w:val="003E308B"/>
    <w:rsid w:val="003E3D30"/>
    <w:rsid w:val="003F3EA6"/>
    <w:rsid w:val="003F6CA9"/>
    <w:rsid w:val="0040242C"/>
    <w:rsid w:val="004367ED"/>
    <w:rsid w:val="0044214C"/>
    <w:rsid w:val="0044311A"/>
    <w:rsid w:val="00454235"/>
    <w:rsid w:val="00457D1F"/>
    <w:rsid w:val="004633D0"/>
    <w:rsid w:val="0046667A"/>
    <w:rsid w:val="00483353"/>
    <w:rsid w:val="00485197"/>
    <w:rsid w:val="004867CB"/>
    <w:rsid w:val="004A198B"/>
    <w:rsid w:val="004A5145"/>
    <w:rsid w:val="004A58C2"/>
    <w:rsid w:val="004C1D94"/>
    <w:rsid w:val="004D59DA"/>
    <w:rsid w:val="004F0C50"/>
    <w:rsid w:val="00503195"/>
    <w:rsid w:val="00503E77"/>
    <w:rsid w:val="00506057"/>
    <w:rsid w:val="00506E0A"/>
    <w:rsid w:val="00511404"/>
    <w:rsid w:val="00522D6B"/>
    <w:rsid w:val="005264E3"/>
    <w:rsid w:val="00530F83"/>
    <w:rsid w:val="00553BB9"/>
    <w:rsid w:val="005779CA"/>
    <w:rsid w:val="005851DF"/>
    <w:rsid w:val="00597D7A"/>
    <w:rsid w:val="005A06D7"/>
    <w:rsid w:val="005B5A3B"/>
    <w:rsid w:val="005D26C8"/>
    <w:rsid w:val="00607293"/>
    <w:rsid w:val="00607718"/>
    <w:rsid w:val="00607907"/>
    <w:rsid w:val="006158B8"/>
    <w:rsid w:val="006269B6"/>
    <w:rsid w:val="00641538"/>
    <w:rsid w:val="00643433"/>
    <w:rsid w:val="00645963"/>
    <w:rsid w:val="0065051A"/>
    <w:rsid w:val="00650526"/>
    <w:rsid w:val="00650C9D"/>
    <w:rsid w:val="006671CF"/>
    <w:rsid w:val="00670FC5"/>
    <w:rsid w:val="006734A5"/>
    <w:rsid w:val="00676689"/>
    <w:rsid w:val="0069382E"/>
    <w:rsid w:val="006946A8"/>
    <w:rsid w:val="006A2718"/>
    <w:rsid w:val="006A2EC6"/>
    <w:rsid w:val="006A6637"/>
    <w:rsid w:val="006B61F6"/>
    <w:rsid w:val="006B78C1"/>
    <w:rsid w:val="006C0165"/>
    <w:rsid w:val="006C21F6"/>
    <w:rsid w:val="006D62B2"/>
    <w:rsid w:val="006E377C"/>
    <w:rsid w:val="006E641D"/>
    <w:rsid w:val="006F151E"/>
    <w:rsid w:val="00707C73"/>
    <w:rsid w:val="00723C7E"/>
    <w:rsid w:val="0073648E"/>
    <w:rsid w:val="00742DE5"/>
    <w:rsid w:val="00767C18"/>
    <w:rsid w:val="00790B51"/>
    <w:rsid w:val="007A2EA0"/>
    <w:rsid w:val="007B0136"/>
    <w:rsid w:val="007B7100"/>
    <w:rsid w:val="007C7FEB"/>
    <w:rsid w:val="007D02DD"/>
    <w:rsid w:val="007D4318"/>
    <w:rsid w:val="007E2582"/>
    <w:rsid w:val="007F10A6"/>
    <w:rsid w:val="007F2228"/>
    <w:rsid w:val="00803F4C"/>
    <w:rsid w:val="00832FA9"/>
    <w:rsid w:val="00845107"/>
    <w:rsid w:val="00857431"/>
    <w:rsid w:val="00863B17"/>
    <w:rsid w:val="00865256"/>
    <w:rsid w:val="00867E46"/>
    <w:rsid w:val="00880590"/>
    <w:rsid w:val="00884E98"/>
    <w:rsid w:val="00885566"/>
    <w:rsid w:val="0088586E"/>
    <w:rsid w:val="008A1D14"/>
    <w:rsid w:val="008A4159"/>
    <w:rsid w:val="008B40BB"/>
    <w:rsid w:val="008F2302"/>
    <w:rsid w:val="008F2EEA"/>
    <w:rsid w:val="00902500"/>
    <w:rsid w:val="00915068"/>
    <w:rsid w:val="0091668F"/>
    <w:rsid w:val="00953001"/>
    <w:rsid w:val="0096725E"/>
    <w:rsid w:val="0096779D"/>
    <w:rsid w:val="00983405"/>
    <w:rsid w:val="009970AA"/>
    <w:rsid w:val="009B09BC"/>
    <w:rsid w:val="009C0AE0"/>
    <w:rsid w:val="009D0920"/>
    <w:rsid w:val="009E29FD"/>
    <w:rsid w:val="00A15C05"/>
    <w:rsid w:val="00A328CD"/>
    <w:rsid w:val="00A36450"/>
    <w:rsid w:val="00A47E3B"/>
    <w:rsid w:val="00A5069A"/>
    <w:rsid w:val="00A77135"/>
    <w:rsid w:val="00A836D7"/>
    <w:rsid w:val="00A84005"/>
    <w:rsid w:val="00A87A79"/>
    <w:rsid w:val="00AB4E12"/>
    <w:rsid w:val="00AC3580"/>
    <w:rsid w:val="00AD2FF3"/>
    <w:rsid w:val="00AE557F"/>
    <w:rsid w:val="00AF6B27"/>
    <w:rsid w:val="00B004FA"/>
    <w:rsid w:val="00B06730"/>
    <w:rsid w:val="00B34D43"/>
    <w:rsid w:val="00B40EBD"/>
    <w:rsid w:val="00B43420"/>
    <w:rsid w:val="00B63E8C"/>
    <w:rsid w:val="00B66813"/>
    <w:rsid w:val="00B8617A"/>
    <w:rsid w:val="00BC6CA5"/>
    <w:rsid w:val="00BF5CB1"/>
    <w:rsid w:val="00C05ED3"/>
    <w:rsid w:val="00C205D1"/>
    <w:rsid w:val="00C21694"/>
    <w:rsid w:val="00C238CE"/>
    <w:rsid w:val="00C404C3"/>
    <w:rsid w:val="00C40ED2"/>
    <w:rsid w:val="00C47929"/>
    <w:rsid w:val="00C530DA"/>
    <w:rsid w:val="00C66BCA"/>
    <w:rsid w:val="00C70154"/>
    <w:rsid w:val="00C732A7"/>
    <w:rsid w:val="00C75473"/>
    <w:rsid w:val="00CA291E"/>
    <w:rsid w:val="00CB00AD"/>
    <w:rsid w:val="00CB35C6"/>
    <w:rsid w:val="00CB4957"/>
    <w:rsid w:val="00CC21B5"/>
    <w:rsid w:val="00CC262D"/>
    <w:rsid w:val="00CC7402"/>
    <w:rsid w:val="00CD0C53"/>
    <w:rsid w:val="00CE3DB8"/>
    <w:rsid w:val="00CE559B"/>
    <w:rsid w:val="00CF2582"/>
    <w:rsid w:val="00D05C2F"/>
    <w:rsid w:val="00D05E28"/>
    <w:rsid w:val="00D072F9"/>
    <w:rsid w:val="00D138EF"/>
    <w:rsid w:val="00D16724"/>
    <w:rsid w:val="00D20563"/>
    <w:rsid w:val="00D235F3"/>
    <w:rsid w:val="00D3236D"/>
    <w:rsid w:val="00D422A7"/>
    <w:rsid w:val="00D51593"/>
    <w:rsid w:val="00D54E7B"/>
    <w:rsid w:val="00D5708B"/>
    <w:rsid w:val="00D659C0"/>
    <w:rsid w:val="00D7098B"/>
    <w:rsid w:val="00D7607A"/>
    <w:rsid w:val="00D909D7"/>
    <w:rsid w:val="00D935C8"/>
    <w:rsid w:val="00DA4B53"/>
    <w:rsid w:val="00DB34CC"/>
    <w:rsid w:val="00DB43C2"/>
    <w:rsid w:val="00DC1695"/>
    <w:rsid w:val="00DC1F02"/>
    <w:rsid w:val="00DC2FA5"/>
    <w:rsid w:val="00DD01AD"/>
    <w:rsid w:val="00DE4E8D"/>
    <w:rsid w:val="00DF174E"/>
    <w:rsid w:val="00E006A0"/>
    <w:rsid w:val="00E00D94"/>
    <w:rsid w:val="00E159BC"/>
    <w:rsid w:val="00E54E1B"/>
    <w:rsid w:val="00E62475"/>
    <w:rsid w:val="00E657C6"/>
    <w:rsid w:val="00E77189"/>
    <w:rsid w:val="00E84721"/>
    <w:rsid w:val="00E86817"/>
    <w:rsid w:val="00E872C0"/>
    <w:rsid w:val="00E93264"/>
    <w:rsid w:val="00EA268C"/>
    <w:rsid w:val="00EA438C"/>
    <w:rsid w:val="00EA541E"/>
    <w:rsid w:val="00EA5E84"/>
    <w:rsid w:val="00EB3419"/>
    <w:rsid w:val="00EC0DF7"/>
    <w:rsid w:val="00EC5213"/>
    <w:rsid w:val="00EE4D14"/>
    <w:rsid w:val="00EE54F2"/>
    <w:rsid w:val="00EF1DF7"/>
    <w:rsid w:val="00F00C7D"/>
    <w:rsid w:val="00F01732"/>
    <w:rsid w:val="00F079F9"/>
    <w:rsid w:val="00F12726"/>
    <w:rsid w:val="00F13E48"/>
    <w:rsid w:val="00F319B9"/>
    <w:rsid w:val="00F35593"/>
    <w:rsid w:val="00F43402"/>
    <w:rsid w:val="00F73895"/>
    <w:rsid w:val="00F821C1"/>
    <w:rsid w:val="00FA0DB9"/>
    <w:rsid w:val="00FA19F2"/>
    <w:rsid w:val="00FD2319"/>
    <w:rsid w:val="00FF2E0B"/>
    <w:rsid w:val="00FF3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375">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daily-diges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1718</Words>
  <Characters>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11670</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2012-06-05T14:24:00Z</cp:lastPrinted>
  <dcterms:created xsi:type="dcterms:W3CDTF">2013-12-03T16:56:00Z</dcterms:created>
  <dcterms:modified xsi:type="dcterms:W3CDTF">2013-12-03T16:56:00Z</dcterms:modified>
  <cp:category> </cp:category>
  <cp:contentStatus> </cp:contentStatus>
</cp:coreProperties>
</file>