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8C" w:rsidRDefault="00225C8C" w:rsidP="00225C8C">
      <w:pPr>
        <w:widowControl/>
        <w:jc w:val="center"/>
        <w:rPr>
          <w:b/>
        </w:rPr>
      </w:pPr>
      <w:bookmarkStart w:id="0" w:name="_GoBack"/>
      <w:bookmarkEnd w:id="0"/>
      <w:r>
        <w:rPr>
          <w:b/>
          <w:kern w:val="0"/>
        </w:rPr>
        <w:t>Before</w:t>
      </w:r>
      <w:r>
        <w:rPr>
          <w:b/>
        </w:rPr>
        <w:t xml:space="preserve"> the</w:t>
      </w:r>
    </w:p>
    <w:p w:rsidR="00225C8C" w:rsidRDefault="00225C8C" w:rsidP="00225C8C">
      <w:pPr>
        <w:widowControl/>
        <w:jc w:val="center"/>
        <w:rPr>
          <w:b/>
        </w:rPr>
      </w:pPr>
      <w:r>
        <w:rPr>
          <w:b/>
        </w:rPr>
        <w:t>Federal Communications Commission</w:t>
      </w:r>
      <w:r>
        <w:rPr>
          <w:b/>
        </w:rPr>
        <w:br/>
        <w:t>Washington, D.C. 20554</w:t>
      </w:r>
    </w:p>
    <w:p w:rsidR="00225C8C" w:rsidRDefault="00225C8C" w:rsidP="00225C8C">
      <w:pPr>
        <w:widowControl/>
        <w:jc w:val="center"/>
        <w:rPr>
          <w:b/>
        </w:rPr>
      </w:pPr>
    </w:p>
    <w:tbl>
      <w:tblPr>
        <w:tblW w:w="0" w:type="auto"/>
        <w:tblLayout w:type="fixed"/>
        <w:tblLook w:val="0000" w:firstRow="0" w:lastRow="0" w:firstColumn="0" w:lastColumn="0" w:noHBand="0" w:noVBand="0"/>
      </w:tblPr>
      <w:tblGrid>
        <w:gridCol w:w="4698"/>
        <w:gridCol w:w="630"/>
        <w:gridCol w:w="4248"/>
      </w:tblGrid>
      <w:tr w:rsidR="00225C8C" w:rsidTr="00531DA1">
        <w:tc>
          <w:tcPr>
            <w:tcW w:w="4698" w:type="dxa"/>
          </w:tcPr>
          <w:p w:rsidR="00225C8C" w:rsidRDefault="00225C8C" w:rsidP="00531DA1">
            <w:pPr>
              <w:widowControl/>
              <w:tabs>
                <w:tab w:val="center" w:pos="4680"/>
              </w:tabs>
              <w:suppressAutoHyphens/>
              <w:rPr>
                <w:color w:val="000000"/>
                <w:spacing w:val="-2"/>
                <w:szCs w:val="22"/>
              </w:rPr>
            </w:pPr>
            <w:r>
              <w:rPr>
                <w:color w:val="000000"/>
                <w:spacing w:val="-2"/>
                <w:szCs w:val="22"/>
              </w:rPr>
              <w:t>In the Matter</w:t>
            </w:r>
            <w:r w:rsidR="00DB6892">
              <w:rPr>
                <w:color w:val="000000"/>
                <w:spacing w:val="-2"/>
                <w:szCs w:val="22"/>
              </w:rPr>
              <w:t>s</w:t>
            </w:r>
            <w:r>
              <w:rPr>
                <w:color w:val="000000"/>
                <w:spacing w:val="-2"/>
                <w:szCs w:val="22"/>
              </w:rPr>
              <w:t xml:space="preserve"> of</w:t>
            </w:r>
          </w:p>
          <w:p w:rsidR="00225C8C" w:rsidRDefault="00225C8C" w:rsidP="00531DA1">
            <w:pPr>
              <w:widowControl/>
              <w:tabs>
                <w:tab w:val="center" w:pos="4680"/>
              </w:tabs>
              <w:suppressAutoHyphens/>
              <w:rPr>
                <w:color w:val="000000"/>
                <w:spacing w:val="-2"/>
                <w:szCs w:val="22"/>
              </w:rPr>
            </w:pPr>
          </w:p>
          <w:p w:rsidR="00225C8C" w:rsidRDefault="00225C8C" w:rsidP="00531DA1">
            <w:pPr>
              <w:widowControl/>
              <w:tabs>
                <w:tab w:val="center" w:pos="4680"/>
              </w:tabs>
              <w:suppressAutoHyphens/>
              <w:rPr>
                <w:spacing w:val="-2"/>
              </w:rPr>
            </w:pPr>
            <w:r>
              <w:rPr>
                <w:spacing w:val="-2"/>
              </w:rPr>
              <w:t>Service Rules for Advanced Wireless Services in the 2000-2020 MHz and 2180-2200 MHz Bands</w:t>
            </w:r>
          </w:p>
          <w:p w:rsidR="00225C8C" w:rsidRDefault="00225C8C" w:rsidP="00531DA1">
            <w:pPr>
              <w:widowControl/>
              <w:tabs>
                <w:tab w:val="center" w:pos="4680"/>
              </w:tabs>
              <w:suppressAutoHyphens/>
              <w:rPr>
                <w:spacing w:val="-2"/>
              </w:rPr>
            </w:pPr>
          </w:p>
          <w:p w:rsidR="00225C8C" w:rsidRDefault="00225C8C" w:rsidP="00531DA1">
            <w:pPr>
              <w:widowControl/>
              <w:tabs>
                <w:tab w:val="center" w:pos="4680"/>
              </w:tabs>
              <w:suppressAutoHyphens/>
              <w:rPr>
                <w:szCs w:val="24"/>
              </w:rPr>
            </w:pPr>
            <w:r>
              <w:rPr>
                <w:szCs w:val="24"/>
              </w:rPr>
              <w:t xml:space="preserve">Fixed and Mobile Services in the Mobile Satellite Service Bands at 1525-1559 MHz and 1626.5-1660.5 MHz, 1610-1626.5 MHz and 2483.5-2500 MHz, and 2000-2020 MHz and 2180-2200 MHz </w:t>
            </w:r>
          </w:p>
          <w:p w:rsidR="00225C8C" w:rsidRDefault="00225C8C" w:rsidP="00531DA1">
            <w:pPr>
              <w:widowControl/>
              <w:tabs>
                <w:tab w:val="center" w:pos="4680"/>
              </w:tabs>
              <w:suppressAutoHyphens/>
              <w:rPr>
                <w:szCs w:val="24"/>
              </w:rPr>
            </w:pPr>
          </w:p>
          <w:p w:rsidR="00225C8C" w:rsidRDefault="00225C8C" w:rsidP="00531DA1">
            <w:pPr>
              <w:widowControl/>
            </w:pPr>
            <w:r>
              <w:t>Service Rules for Advanced Wireless Services in the 1915-1920 MHz, 1995-2000 MHz, 2020-2025 MHz and 2175-2180 MHz Bands</w:t>
            </w:r>
          </w:p>
          <w:p w:rsidR="00225C8C" w:rsidRDefault="00225C8C" w:rsidP="00531DA1">
            <w:pPr>
              <w:widowControl/>
            </w:pPr>
          </w:p>
          <w:p w:rsidR="00225C8C" w:rsidRDefault="007B36A6" w:rsidP="00531DA1">
            <w:pPr>
              <w:widowControl/>
            </w:pPr>
            <w:r>
              <w:t>GAMMA ACQUISITION L.L.C.</w:t>
            </w:r>
          </w:p>
          <w:p w:rsidR="007B36A6" w:rsidRDefault="007B36A6" w:rsidP="00531DA1">
            <w:pPr>
              <w:widowControl/>
            </w:pPr>
          </w:p>
          <w:p w:rsidR="007B36A6" w:rsidRDefault="007B36A6" w:rsidP="00531DA1">
            <w:pPr>
              <w:widowControl/>
            </w:pPr>
            <w:r>
              <w:t>Licensee of Mobile Satellite Service</w:t>
            </w:r>
            <w:r w:rsidR="00AA6836">
              <w:t>, Call Sign E060430</w:t>
            </w:r>
          </w:p>
          <w:p w:rsidR="007B36A6" w:rsidRDefault="007B36A6" w:rsidP="00531DA1">
            <w:pPr>
              <w:widowControl/>
            </w:pPr>
          </w:p>
          <w:p w:rsidR="007B36A6" w:rsidRDefault="007B36A6" w:rsidP="00531DA1">
            <w:pPr>
              <w:widowControl/>
            </w:pPr>
            <w:r>
              <w:t>NEW DBSD SATELLITE SERVICES G.P.</w:t>
            </w:r>
          </w:p>
          <w:p w:rsidR="007B36A6" w:rsidRDefault="007B36A6" w:rsidP="00531DA1">
            <w:pPr>
              <w:widowControl/>
            </w:pPr>
          </w:p>
          <w:p w:rsidR="007B36A6" w:rsidRDefault="007B36A6" w:rsidP="00531DA1">
            <w:pPr>
              <w:widowControl/>
            </w:pPr>
            <w:r>
              <w:t>Licen</w:t>
            </w:r>
            <w:r w:rsidR="00AA6836">
              <w:t>see of Mobile Satellite Service, Call Sign E070272</w:t>
            </w:r>
          </w:p>
        </w:tc>
        <w:tc>
          <w:tcPr>
            <w:tcW w:w="630" w:type="dxa"/>
          </w:tcPr>
          <w:p w:rsidR="00225C8C" w:rsidRDefault="00225C8C" w:rsidP="00531DA1">
            <w:pPr>
              <w:widowControl/>
              <w:tabs>
                <w:tab w:val="center" w:pos="4680"/>
              </w:tabs>
              <w:suppressAutoHyphens/>
              <w:rPr>
                <w:b/>
                <w:spacing w:val="-2"/>
              </w:rPr>
            </w:pPr>
            <w:r>
              <w:rPr>
                <w:b/>
                <w:spacing w:val="-2"/>
              </w:rPr>
              <w:t>)</w:t>
            </w:r>
          </w:p>
          <w:p w:rsidR="00225C8C" w:rsidRDefault="00225C8C" w:rsidP="00531DA1">
            <w:pPr>
              <w:widowControl/>
              <w:tabs>
                <w:tab w:val="center" w:pos="4680"/>
              </w:tabs>
              <w:suppressAutoHyphens/>
              <w:rPr>
                <w:b/>
                <w:spacing w:val="-2"/>
              </w:rPr>
            </w:pPr>
            <w:r>
              <w:rPr>
                <w:b/>
                <w:spacing w:val="-2"/>
              </w:rPr>
              <w:t>)</w:t>
            </w:r>
          </w:p>
          <w:p w:rsidR="00225C8C" w:rsidRDefault="00225C8C" w:rsidP="00531DA1">
            <w:pPr>
              <w:widowControl/>
              <w:tabs>
                <w:tab w:val="center" w:pos="4680"/>
              </w:tabs>
              <w:suppressAutoHyphens/>
              <w:rPr>
                <w:b/>
                <w:spacing w:val="-2"/>
              </w:rPr>
            </w:pPr>
            <w:r>
              <w:rPr>
                <w:b/>
                <w:spacing w:val="-2"/>
              </w:rPr>
              <w:t>)</w:t>
            </w:r>
          </w:p>
          <w:p w:rsidR="00AA6836" w:rsidRDefault="00225C8C" w:rsidP="00531DA1">
            <w:pPr>
              <w:widowControl/>
              <w:tabs>
                <w:tab w:val="center" w:pos="4680"/>
              </w:tabs>
              <w:suppressAutoHyphens/>
              <w:rPr>
                <w:b/>
                <w:spacing w:val="-2"/>
              </w:rPr>
            </w:pPr>
            <w:r>
              <w:rPr>
                <w:b/>
                <w:spacing w:val="-2"/>
              </w:rPr>
              <w:t>)</w:t>
            </w:r>
            <w:r>
              <w:rPr>
                <w:b/>
                <w:spacing w:val="-2"/>
              </w:rPr>
              <w:br/>
              <w:t>)</w:t>
            </w:r>
            <w:r>
              <w:rPr>
                <w:b/>
                <w:spacing w:val="-2"/>
              </w:rPr>
              <w:br/>
              <w:t>)</w:t>
            </w:r>
            <w:r>
              <w:rPr>
                <w:b/>
                <w:spacing w:val="-2"/>
              </w:rPr>
              <w:br/>
              <w:t>)</w:t>
            </w:r>
            <w:r>
              <w:rPr>
                <w:b/>
                <w:spacing w:val="-2"/>
              </w:rPr>
              <w:br/>
              <w:t>)</w:t>
            </w:r>
            <w:r>
              <w:rPr>
                <w:b/>
                <w:spacing w:val="-2"/>
              </w:rPr>
              <w:br/>
            </w:r>
            <w:r w:rsidR="00AA6836">
              <w:rPr>
                <w:b/>
                <w:spacing w:val="-2"/>
              </w:rPr>
              <w:t>)</w:t>
            </w:r>
          </w:p>
          <w:p w:rsidR="00AA6836" w:rsidRDefault="00AA6836" w:rsidP="00531DA1">
            <w:pPr>
              <w:widowControl/>
              <w:tabs>
                <w:tab w:val="center" w:pos="4680"/>
              </w:tabs>
              <w:suppressAutoHyphens/>
              <w:rPr>
                <w:b/>
                <w:spacing w:val="-2"/>
              </w:rPr>
            </w:pPr>
            <w:r>
              <w:rPr>
                <w:b/>
                <w:spacing w:val="-2"/>
              </w:rPr>
              <w:t>)</w:t>
            </w:r>
          </w:p>
          <w:p w:rsidR="00225C8C" w:rsidRDefault="00225C8C" w:rsidP="00531DA1">
            <w:pPr>
              <w:widowControl/>
              <w:tabs>
                <w:tab w:val="center" w:pos="4680"/>
              </w:tabs>
              <w:suppressAutoHyphens/>
              <w:rPr>
                <w:b/>
                <w:spacing w:val="-2"/>
              </w:rPr>
            </w:pPr>
            <w:r>
              <w:rPr>
                <w:b/>
                <w:spacing w:val="-2"/>
              </w:rPr>
              <w:t>)</w:t>
            </w:r>
          </w:p>
          <w:p w:rsidR="00225C8C" w:rsidRDefault="00225C8C" w:rsidP="00531DA1">
            <w:pPr>
              <w:widowControl/>
              <w:tabs>
                <w:tab w:val="center" w:pos="4680"/>
              </w:tabs>
              <w:suppressAutoHyphens/>
              <w:rPr>
                <w:b/>
                <w:spacing w:val="-2"/>
              </w:rPr>
            </w:pPr>
            <w:r>
              <w:rPr>
                <w:b/>
                <w:spacing w:val="-2"/>
              </w:rPr>
              <w:t>)</w:t>
            </w:r>
          </w:p>
          <w:p w:rsidR="00225C8C" w:rsidRDefault="00225C8C" w:rsidP="00531DA1">
            <w:pPr>
              <w:widowControl/>
              <w:tabs>
                <w:tab w:val="center" w:pos="4680"/>
              </w:tabs>
              <w:suppressAutoHyphens/>
              <w:rPr>
                <w:b/>
                <w:spacing w:val="-2"/>
              </w:rPr>
            </w:pPr>
            <w:r>
              <w:rPr>
                <w:b/>
                <w:spacing w:val="-2"/>
              </w:rPr>
              <w:t>)</w:t>
            </w:r>
          </w:p>
          <w:p w:rsidR="00225C8C" w:rsidRDefault="00225C8C" w:rsidP="00531DA1">
            <w:pPr>
              <w:widowControl/>
              <w:tabs>
                <w:tab w:val="center" w:pos="4680"/>
              </w:tabs>
              <w:suppressAutoHyphens/>
              <w:rPr>
                <w:b/>
                <w:spacing w:val="-2"/>
              </w:rPr>
            </w:pPr>
            <w:r>
              <w:rPr>
                <w:b/>
                <w:spacing w:val="-2"/>
              </w:rPr>
              <w:t>)</w:t>
            </w:r>
          </w:p>
          <w:p w:rsidR="00225C8C" w:rsidRDefault="00225C8C" w:rsidP="00531DA1">
            <w:pPr>
              <w:widowControl/>
              <w:tabs>
                <w:tab w:val="center" w:pos="4680"/>
              </w:tabs>
              <w:suppressAutoHyphens/>
              <w:rPr>
                <w:b/>
                <w:spacing w:val="-2"/>
              </w:rPr>
            </w:pPr>
            <w:r>
              <w:rPr>
                <w:b/>
                <w:spacing w:val="-2"/>
              </w:rPr>
              <w:t>)</w:t>
            </w:r>
          </w:p>
          <w:p w:rsidR="007B36A6" w:rsidRDefault="007B36A6" w:rsidP="00531DA1">
            <w:pPr>
              <w:widowControl/>
              <w:tabs>
                <w:tab w:val="center" w:pos="4680"/>
              </w:tabs>
              <w:suppressAutoHyphens/>
              <w:rPr>
                <w:b/>
                <w:spacing w:val="-2"/>
              </w:rPr>
            </w:pPr>
            <w:r>
              <w:rPr>
                <w:b/>
                <w:spacing w:val="-2"/>
              </w:rPr>
              <w:t>)</w:t>
            </w:r>
          </w:p>
          <w:p w:rsidR="007B36A6" w:rsidRDefault="007B36A6" w:rsidP="00531DA1">
            <w:pPr>
              <w:widowControl/>
              <w:tabs>
                <w:tab w:val="center" w:pos="4680"/>
              </w:tabs>
              <w:suppressAutoHyphens/>
              <w:rPr>
                <w:b/>
                <w:spacing w:val="-2"/>
              </w:rPr>
            </w:pPr>
            <w:r>
              <w:rPr>
                <w:b/>
                <w:spacing w:val="-2"/>
              </w:rPr>
              <w:t>)</w:t>
            </w:r>
          </w:p>
          <w:p w:rsidR="007B36A6" w:rsidRDefault="007B36A6" w:rsidP="00531DA1">
            <w:pPr>
              <w:widowControl/>
              <w:tabs>
                <w:tab w:val="center" w:pos="4680"/>
              </w:tabs>
              <w:suppressAutoHyphens/>
              <w:rPr>
                <w:b/>
                <w:spacing w:val="-2"/>
              </w:rPr>
            </w:pPr>
            <w:r>
              <w:rPr>
                <w:b/>
                <w:spacing w:val="-2"/>
              </w:rPr>
              <w:t>)</w:t>
            </w:r>
          </w:p>
          <w:p w:rsidR="007B36A6" w:rsidRDefault="007B36A6" w:rsidP="00531DA1">
            <w:pPr>
              <w:widowControl/>
              <w:tabs>
                <w:tab w:val="center" w:pos="4680"/>
              </w:tabs>
              <w:suppressAutoHyphens/>
              <w:rPr>
                <w:b/>
                <w:spacing w:val="-2"/>
              </w:rPr>
            </w:pPr>
            <w:r>
              <w:rPr>
                <w:b/>
                <w:spacing w:val="-2"/>
              </w:rPr>
              <w:t>)</w:t>
            </w:r>
          </w:p>
          <w:p w:rsidR="007B36A6" w:rsidRDefault="007B36A6" w:rsidP="00531DA1">
            <w:pPr>
              <w:widowControl/>
              <w:tabs>
                <w:tab w:val="center" w:pos="4680"/>
              </w:tabs>
              <w:suppressAutoHyphens/>
              <w:rPr>
                <w:b/>
                <w:spacing w:val="-2"/>
              </w:rPr>
            </w:pPr>
            <w:r>
              <w:rPr>
                <w:b/>
                <w:spacing w:val="-2"/>
              </w:rPr>
              <w:t>)</w:t>
            </w:r>
          </w:p>
          <w:p w:rsidR="007B36A6" w:rsidRDefault="007B36A6" w:rsidP="00531DA1">
            <w:pPr>
              <w:widowControl/>
              <w:tabs>
                <w:tab w:val="center" w:pos="4680"/>
              </w:tabs>
              <w:suppressAutoHyphens/>
              <w:rPr>
                <w:b/>
                <w:spacing w:val="-2"/>
              </w:rPr>
            </w:pPr>
            <w:r>
              <w:rPr>
                <w:b/>
                <w:spacing w:val="-2"/>
              </w:rPr>
              <w:t>)</w:t>
            </w:r>
          </w:p>
          <w:p w:rsidR="007B36A6" w:rsidRDefault="007B36A6" w:rsidP="00531DA1">
            <w:pPr>
              <w:widowControl/>
              <w:tabs>
                <w:tab w:val="center" w:pos="4680"/>
              </w:tabs>
              <w:suppressAutoHyphens/>
              <w:rPr>
                <w:b/>
                <w:spacing w:val="-2"/>
              </w:rPr>
            </w:pPr>
            <w:r>
              <w:rPr>
                <w:b/>
                <w:spacing w:val="-2"/>
              </w:rPr>
              <w:t>)</w:t>
            </w:r>
          </w:p>
          <w:p w:rsidR="007B36A6" w:rsidRDefault="007B36A6" w:rsidP="00531DA1">
            <w:pPr>
              <w:widowControl/>
              <w:tabs>
                <w:tab w:val="center" w:pos="4680"/>
              </w:tabs>
              <w:suppressAutoHyphens/>
              <w:rPr>
                <w:b/>
                <w:spacing w:val="-2"/>
              </w:rPr>
            </w:pPr>
            <w:r>
              <w:rPr>
                <w:b/>
                <w:spacing w:val="-2"/>
              </w:rPr>
              <w:t>)</w:t>
            </w:r>
          </w:p>
        </w:tc>
        <w:tc>
          <w:tcPr>
            <w:tcW w:w="4248" w:type="dxa"/>
          </w:tcPr>
          <w:p w:rsidR="00225C8C" w:rsidRDefault="00225C8C" w:rsidP="00531DA1">
            <w:pPr>
              <w:widowControl/>
              <w:tabs>
                <w:tab w:val="center" w:pos="4680"/>
              </w:tabs>
              <w:suppressAutoHyphens/>
              <w:rPr>
                <w:spacing w:val="-2"/>
              </w:rPr>
            </w:pPr>
          </w:p>
          <w:p w:rsidR="00225C8C" w:rsidRDefault="00225C8C" w:rsidP="00531DA1">
            <w:pPr>
              <w:pStyle w:val="TOAHeading"/>
              <w:widowControl/>
              <w:tabs>
                <w:tab w:val="clear" w:pos="9360"/>
                <w:tab w:val="center" w:pos="4680"/>
              </w:tabs>
              <w:rPr>
                <w:spacing w:val="-2"/>
              </w:rPr>
            </w:pPr>
          </w:p>
          <w:p w:rsidR="00225C8C" w:rsidRDefault="00225C8C" w:rsidP="00531DA1">
            <w:pPr>
              <w:widowControl/>
              <w:tabs>
                <w:tab w:val="center" w:pos="4680"/>
              </w:tabs>
              <w:suppressAutoHyphens/>
              <w:rPr>
                <w:color w:val="000000"/>
                <w:spacing w:val="-2"/>
                <w:szCs w:val="22"/>
              </w:rPr>
            </w:pPr>
            <w:r>
              <w:rPr>
                <w:color w:val="000000"/>
                <w:spacing w:val="-2"/>
                <w:szCs w:val="22"/>
              </w:rPr>
              <w:t>WT Docket No. 12-70</w:t>
            </w:r>
          </w:p>
          <w:p w:rsidR="00225C8C" w:rsidRDefault="00225C8C" w:rsidP="00531DA1">
            <w:pPr>
              <w:widowControl/>
              <w:tabs>
                <w:tab w:val="center" w:pos="4680"/>
              </w:tabs>
              <w:suppressAutoHyphens/>
              <w:rPr>
                <w:color w:val="000000"/>
                <w:spacing w:val="-2"/>
                <w:szCs w:val="22"/>
              </w:rPr>
            </w:pPr>
          </w:p>
          <w:p w:rsidR="00225C8C" w:rsidRDefault="00225C8C" w:rsidP="00531DA1">
            <w:pPr>
              <w:widowControl/>
              <w:tabs>
                <w:tab w:val="center" w:pos="4680"/>
              </w:tabs>
              <w:suppressAutoHyphens/>
              <w:rPr>
                <w:spacing w:val="-2"/>
              </w:rPr>
            </w:pPr>
          </w:p>
          <w:p w:rsidR="00225C8C" w:rsidRDefault="00225C8C" w:rsidP="00531DA1">
            <w:pPr>
              <w:widowControl/>
              <w:tabs>
                <w:tab w:val="center" w:pos="4680"/>
              </w:tabs>
              <w:suppressAutoHyphens/>
              <w:rPr>
                <w:szCs w:val="24"/>
              </w:rPr>
            </w:pPr>
            <w:r>
              <w:rPr>
                <w:szCs w:val="24"/>
              </w:rPr>
              <w:t>ET Docket No. 10-142</w:t>
            </w:r>
          </w:p>
          <w:p w:rsidR="00225C8C" w:rsidRDefault="00225C8C" w:rsidP="00531DA1">
            <w:pPr>
              <w:widowControl/>
              <w:tabs>
                <w:tab w:val="center" w:pos="4680"/>
              </w:tabs>
              <w:suppressAutoHyphens/>
              <w:rPr>
                <w:szCs w:val="24"/>
              </w:rPr>
            </w:pPr>
          </w:p>
          <w:p w:rsidR="00225C8C" w:rsidRDefault="00225C8C" w:rsidP="00531DA1">
            <w:pPr>
              <w:widowControl/>
              <w:tabs>
                <w:tab w:val="center" w:pos="4680"/>
              </w:tabs>
              <w:suppressAutoHyphens/>
              <w:rPr>
                <w:szCs w:val="24"/>
              </w:rPr>
            </w:pPr>
          </w:p>
          <w:p w:rsidR="00225C8C" w:rsidRDefault="00225C8C" w:rsidP="00531DA1">
            <w:pPr>
              <w:widowControl/>
              <w:tabs>
                <w:tab w:val="center" w:pos="4680"/>
              </w:tabs>
              <w:suppressAutoHyphens/>
              <w:rPr>
                <w:szCs w:val="24"/>
              </w:rPr>
            </w:pPr>
          </w:p>
          <w:p w:rsidR="00225C8C" w:rsidRDefault="00225C8C" w:rsidP="00531DA1">
            <w:pPr>
              <w:widowControl/>
              <w:tabs>
                <w:tab w:val="center" w:pos="4680"/>
              </w:tabs>
              <w:suppressAutoHyphens/>
              <w:rPr>
                <w:szCs w:val="24"/>
              </w:rPr>
            </w:pPr>
          </w:p>
          <w:p w:rsidR="00225C8C" w:rsidRDefault="00225C8C" w:rsidP="00531DA1">
            <w:pPr>
              <w:widowControl/>
              <w:tabs>
                <w:tab w:val="center" w:pos="4680"/>
              </w:tabs>
              <w:suppressAutoHyphens/>
              <w:rPr>
                <w:color w:val="000000"/>
                <w:spacing w:val="-2"/>
                <w:szCs w:val="22"/>
              </w:rPr>
            </w:pPr>
            <w:r>
              <w:rPr>
                <w:color w:val="000000"/>
                <w:spacing w:val="-2"/>
                <w:szCs w:val="22"/>
              </w:rPr>
              <w:t>WT Docket No. 04-356</w:t>
            </w:r>
          </w:p>
          <w:p w:rsidR="00225C8C" w:rsidRDefault="00225C8C" w:rsidP="00531DA1">
            <w:pPr>
              <w:widowControl/>
              <w:tabs>
                <w:tab w:val="center" w:pos="4680"/>
              </w:tabs>
              <w:suppressAutoHyphens/>
              <w:rPr>
                <w:spacing w:val="-2"/>
              </w:rPr>
            </w:pPr>
          </w:p>
          <w:p w:rsidR="00225C8C" w:rsidRDefault="00225C8C" w:rsidP="00531DA1">
            <w:pPr>
              <w:widowControl/>
              <w:tabs>
                <w:tab w:val="center" w:pos="4680"/>
              </w:tabs>
              <w:suppressAutoHyphens/>
              <w:rPr>
                <w:spacing w:val="-2"/>
              </w:rPr>
            </w:pPr>
          </w:p>
          <w:p w:rsidR="007B36A6" w:rsidRDefault="007B36A6" w:rsidP="00531DA1">
            <w:pPr>
              <w:widowControl/>
              <w:tabs>
                <w:tab w:val="center" w:pos="4680"/>
              </w:tabs>
              <w:suppressAutoHyphens/>
              <w:rPr>
                <w:spacing w:val="-2"/>
              </w:rPr>
            </w:pPr>
          </w:p>
          <w:p w:rsidR="007B36A6" w:rsidRPr="007B36A6" w:rsidRDefault="007B36A6" w:rsidP="00531DA1">
            <w:pPr>
              <w:widowControl/>
              <w:tabs>
                <w:tab w:val="center" w:pos="4680"/>
              </w:tabs>
              <w:suppressAutoHyphens/>
              <w:rPr>
                <w:spacing w:val="-2"/>
              </w:rPr>
            </w:pPr>
          </w:p>
        </w:tc>
      </w:tr>
    </w:tbl>
    <w:p w:rsidR="00225C8C" w:rsidRDefault="00225C8C" w:rsidP="00225C8C">
      <w:pPr>
        <w:pStyle w:val="StyleBoldCentered"/>
        <w:widowControl/>
      </w:pPr>
    </w:p>
    <w:p w:rsidR="00225C8C" w:rsidRDefault="00225C8C" w:rsidP="00225C8C">
      <w:pPr>
        <w:pStyle w:val="StyleBoldCentered"/>
        <w:widowControl/>
      </w:pPr>
    </w:p>
    <w:p w:rsidR="00225C8C" w:rsidRPr="004F1BB4" w:rsidRDefault="00225C8C" w:rsidP="00225C8C">
      <w:pPr>
        <w:pStyle w:val="StyleBoldCentered"/>
        <w:widowControl/>
        <w:rPr>
          <w:rFonts w:ascii="Times New Roman" w:hAnsi="Times New Roman"/>
        </w:rPr>
      </w:pPr>
      <w:r w:rsidRPr="004F1BB4">
        <w:rPr>
          <w:rFonts w:ascii="Times New Roman" w:hAnsi="Times New Roman"/>
        </w:rPr>
        <w:t>ORDER</w:t>
      </w:r>
      <w:r>
        <w:rPr>
          <w:rFonts w:ascii="Times New Roman" w:hAnsi="Times New Roman"/>
        </w:rPr>
        <w:t xml:space="preserve"> OF MODIFICATION</w:t>
      </w:r>
    </w:p>
    <w:p w:rsidR="00225C8C" w:rsidRDefault="00225C8C" w:rsidP="00225C8C">
      <w:pPr>
        <w:widowControl/>
        <w:tabs>
          <w:tab w:val="left" w:pos="720"/>
          <w:tab w:val="left" w:pos="6750"/>
        </w:tabs>
        <w:suppressAutoHyphens/>
        <w:spacing w:line="227" w:lineRule="auto"/>
        <w:rPr>
          <w:b/>
          <w:spacing w:val="-2"/>
        </w:rPr>
      </w:pPr>
    </w:p>
    <w:p w:rsidR="00225C8C" w:rsidRDefault="00225C8C" w:rsidP="00225C8C">
      <w:pPr>
        <w:widowControl/>
        <w:tabs>
          <w:tab w:val="left" w:pos="720"/>
          <w:tab w:val="left" w:pos="6750"/>
        </w:tabs>
        <w:suppressAutoHyphens/>
        <w:spacing w:line="227" w:lineRule="auto"/>
        <w:rPr>
          <w:b/>
          <w:spacing w:val="-2"/>
        </w:rPr>
      </w:pPr>
    </w:p>
    <w:p w:rsidR="00225C8C" w:rsidRDefault="00225C8C" w:rsidP="007B36A6">
      <w:pPr>
        <w:widowControl/>
        <w:tabs>
          <w:tab w:val="left" w:pos="720"/>
          <w:tab w:val="right" w:pos="9360"/>
        </w:tabs>
        <w:suppressAutoHyphens/>
        <w:spacing w:line="227" w:lineRule="auto"/>
        <w:rPr>
          <w:spacing w:val="-2"/>
        </w:rPr>
      </w:pPr>
      <w:r>
        <w:rPr>
          <w:b/>
          <w:spacing w:val="-2"/>
        </w:rPr>
        <w:t xml:space="preserve">Adopted:  </w:t>
      </w:r>
      <w:r w:rsidR="0011355E">
        <w:rPr>
          <w:b/>
          <w:spacing w:val="-2"/>
        </w:rPr>
        <w:t>February 15</w:t>
      </w:r>
      <w:r>
        <w:rPr>
          <w:b/>
          <w:spacing w:val="-2"/>
        </w:rPr>
        <w:t>, 201</w:t>
      </w:r>
      <w:r w:rsidR="007B36A6">
        <w:rPr>
          <w:b/>
          <w:spacing w:val="-2"/>
        </w:rPr>
        <w:t>3</w:t>
      </w:r>
      <w:r w:rsidR="007B36A6">
        <w:rPr>
          <w:b/>
          <w:spacing w:val="-2"/>
        </w:rPr>
        <w:tab/>
      </w:r>
      <w:r>
        <w:rPr>
          <w:b/>
          <w:spacing w:val="-2"/>
        </w:rPr>
        <w:t xml:space="preserve">Released:  </w:t>
      </w:r>
      <w:r w:rsidR="0011355E">
        <w:rPr>
          <w:b/>
          <w:spacing w:val="-2"/>
        </w:rPr>
        <w:t>February 15</w:t>
      </w:r>
      <w:r>
        <w:rPr>
          <w:b/>
          <w:spacing w:val="-2"/>
        </w:rPr>
        <w:t>, 201</w:t>
      </w:r>
      <w:r w:rsidR="007B36A6">
        <w:rPr>
          <w:b/>
          <w:spacing w:val="-2"/>
        </w:rPr>
        <w:t>3</w:t>
      </w:r>
    </w:p>
    <w:p w:rsidR="00225C8C" w:rsidRDefault="00225C8C" w:rsidP="00225C8C">
      <w:pPr>
        <w:widowControl/>
      </w:pPr>
    </w:p>
    <w:p w:rsidR="00225C8C" w:rsidRDefault="00225C8C" w:rsidP="00225C8C">
      <w:pPr>
        <w:widowControl/>
        <w:tabs>
          <w:tab w:val="left" w:pos="720"/>
          <w:tab w:val="left" w:pos="6750"/>
        </w:tabs>
        <w:suppressAutoHyphens/>
        <w:spacing w:line="227" w:lineRule="auto"/>
        <w:rPr>
          <w:spacing w:val="-2"/>
        </w:rPr>
      </w:pPr>
    </w:p>
    <w:p w:rsidR="00225C8C" w:rsidRDefault="00225C8C" w:rsidP="007B36A6">
      <w:pPr>
        <w:widowControl/>
        <w:tabs>
          <w:tab w:val="left" w:pos="720"/>
          <w:tab w:val="left" w:pos="6750"/>
        </w:tabs>
        <w:suppressAutoHyphens/>
        <w:spacing w:line="227" w:lineRule="auto"/>
        <w:rPr>
          <w:color w:val="000000"/>
        </w:rPr>
      </w:pPr>
      <w:r>
        <w:rPr>
          <w:spacing w:val="-2"/>
        </w:rPr>
        <w:t xml:space="preserve">By the </w:t>
      </w:r>
      <w:r w:rsidR="002F371B">
        <w:rPr>
          <w:spacing w:val="-2"/>
        </w:rPr>
        <w:t xml:space="preserve">Acting </w:t>
      </w:r>
      <w:r w:rsidR="00BD26E4">
        <w:rPr>
          <w:spacing w:val="-2"/>
        </w:rPr>
        <w:t xml:space="preserve">Chief, Satellite Division, International Bureau and the </w:t>
      </w:r>
      <w:r>
        <w:rPr>
          <w:spacing w:val="-2"/>
        </w:rPr>
        <w:t>C</w:t>
      </w:r>
      <w:r w:rsidR="007B36A6">
        <w:rPr>
          <w:spacing w:val="-2"/>
        </w:rPr>
        <w:t>hief, Broadband Division, Wireless T</w:t>
      </w:r>
      <w:r w:rsidR="00BD26E4">
        <w:rPr>
          <w:spacing w:val="-2"/>
        </w:rPr>
        <w:t>elecommunications Bureau</w:t>
      </w:r>
      <w:r>
        <w:rPr>
          <w:spacing w:val="-2"/>
        </w:rPr>
        <w:t xml:space="preserve">:  </w:t>
      </w:r>
    </w:p>
    <w:p w:rsidR="00122940" w:rsidRDefault="002E0573"/>
    <w:p w:rsidR="00BD26E4" w:rsidRPr="004F1BB4" w:rsidRDefault="00BD26E4" w:rsidP="00BD26E4">
      <w:pPr>
        <w:pStyle w:val="Heading1"/>
        <w:widowControl/>
        <w:rPr>
          <w:rFonts w:ascii="Times New Roman" w:hAnsi="Times New Roman"/>
        </w:rPr>
      </w:pPr>
      <w:bookmarkStart w:id="1" w:name="_Toc104980107"/>
      <w:bookmarkStart w:id="2" w:name="_Toc105326990"/>
      <w:bookmarkStart w:id="3" w:name="_Toc105842890"/>
      <w:bookmarkStart w:id="4" w:name="_Toc105842942"/>
      <w:bookmarkStart w:id="5" w:name="_Toc106189900"/>
      <w:bookmarkStart w:id="6" w:name="_Toc106790455"/>
      <w:bookmarkStart w:id="7" w:name="_Toc107133777"/>
      <w:bookmarkStart w:id="8" w:name="_Toc107292279"/>
      <w:bookmarkStart w:id="9" w:name="_Toc109826273"/>
      <w:bookmarkStart w:id="10" w:name="_Toc110682617"/>
      <w:bookmarkStart w:id="11" w:name="_Toc110682840"/>
      <w:bookmarkStart w:id="12" w:name="_Toc111032299"/>
      <w:bookmarkStart w:id="13" w:name="_Toc111033980"/>
      <w:bookmarkStart w:id="14" w:name="_Toc111271382"/>
      <w:bookmarkStart w:id="15" w:name="_Toc112233930"/>
      <w:bookmarkStart w:id="16" w:name="_Toc112488831"/>
      <w:bookmarkStart w:id="17" w:name="_Toc112757968"/>
      <w:bookmarkStart w:id="18" w:name="_Toc112816304"/>
      <w:bookmarkStart w:id="19" w:name="_Toc112849482"/>
      <w:bookmarkStart w:id="20" w:name="_Toc114467177"/>
      <w:bookmarkStart w:id="21" w:name="_Toc115866051"/>
      <w:bookmarkStart w:id="22" w:name="_Toc116788453"/>
      <w:bookmarkStart w:id="23" w:name="_Toc116875561"/>
      <w:bookmarkStart w:id="24" w:name="_Toc116898938"/>
      <w:bookmarkStart w:id="25" w:name="_Toc118273249"/>
      <w:bookmarkStart w:id="26" w:name="_Toc118280140"/>
      <w:bookmarkStart w:id="27" w:name="_Toc118280349"/>
      <w:bookmarkStart w:id="28" w:name="_Toc119408947"/>
      <w:bookmarkStart w:id="29" w:name="_Toc119725729"/>
      <w:bookmarkStart w:id="30" w:name="_Toc119746119"/>
      <w:bookmarkStart w:id="31" w:name="_Toc119757342"/>
      <w:bookmarkStart w:id="32" w:name="_Toc131319094"/>
      <w:bookmarkStart w:id="33" w:name="_Toc131398597"/>
      <w:bookmarkStart w:id="34" w:name="_Toc131416903"/>
      <w:bookmarkStart w:id="35" w:name="_Toc131422750"/>
      <w:bookmarkStart w:id="36" w:name="_Toc131566412"/>
      <w:bookmarkStart w:id="37" w:name="_Toc131567061"/>
      <w:bookmarkStart w:id="38" w:name="_Toc131574586"/>
      <w:bookmarkStart w:id="39" w:name="_Toc131586038"/>
      <w:bookmarkStart w:id="40" w:name="_Toc131822528"/>
      <w:bookmarkStart w:id="41" w:name="_Toc131822736"/>
      <w:bookmarkStart w:id="42" w:name="_Toc131823571"/>
      <w:bookmarkStart w:id="43" w:name="_Toc131907490"/>
      <w:bookmarkStart w:id="44" w:name="_Toc131997636"/>
      <w:bookmarkStart w:id="45" w:name="_Toc132002593"/>
      <w:bookmarkStart w:id="46" w:name="_Toc132002817"/>
      <w:bookmarkStart w:id="47" w:name="_Toc132012545"/>
      <w:bookmarkStart w:id="48" w:name="_Toc133751565"/>
      <w:bookmarkStart w:id="49" w:name="_Toc133898323"/>
      <w:bookmarkStart w:id="50" w:name="_Toc134434219"/>
      <w:bookmarkStart w:id="51" w:name="_Toc135126205"/>
      <w:bookmarkStart w:id="52" w:name="_Toc138822634"/>
      <w:bookmarkStart w:id="53" w:name="_Toc138822941"/>
      <w:bookmarkStart w:id="54" w:name="_Toc138829461"/>
      <w:bookmarkStart w:id="55" w:name="_Toc139097748"/>
      <w:bookmarkStart w:id="56" w:name="_Toc139256584"/>
      <w:bookmarkStart w:id="57" w:name="_Toc140485332"/>
      <w:bookmarkStart w:id="58" w:name="_Toc140485387"/>
      <w:bookmarkStart w:id="59" w:name="_Toc142209883"/>
      <w:bookmarkStart w:id="60" w:name="_Toc143340022"/>
      <w:bookmarkStart w:id="61" w:name="_Toc151531856"/>
      <w:bookmarkStart w:id="62" w:name="_Toc152757568"/>
      <w:bookmarkStart w:id="63" w:name="_Ref153198198"/>
      <w:bookmarkStart w:id="64" w:name="_Toc153202659"/>
      <w:bookmarkStart w:id="65" w:name="_Toc153769822"/>
      <w:bookmarkStart w:id="66" w:name="_Toc153780610"/>
      <w:bookmarkStart w:id="67" w:name="_Toc153884438"/>
      <w:bookmarkStart w:id="68" w:name="_Toc157846414"/>
      <w:bookmarkStart w:id="69" w:name="_Toc161053530"/>
      <w:bookmarkStart w:id="70" w:name="_Toc161735752"/>
      <w:bookmarkStart w:id="71" w:name="_Toc161741985"/>
      <w:bookmarkStart w:id="72" w:name="_Toc161742118"/>
      <w:bookmarkStart w:id="73" w:name="_Toc161751582"/>
      <w:bookmarkStart w:id="74" w:name="_Toc161821815"/>
      <w:bookmarkStart w:id="75" w:name="_Toc162078683"/>
      <w:bookmarkStart w:id="76" w:name="_Toc162091616"/>
      <w:bookmarkStart w:id="77" w:name="_Toc163386105"/>
      <w:bookmarkStart w:id="78" w:name="_Toc163898946"/>
      <w:bookmarkStart w:id="79" w:name="_Toc164255214"/>
      <w:bookmarkStart w:id="80" w:name="_Toc164587475"/>
      <w:bookmarkStart w:id="81" w:name="_Toc164672211"/>
      <w:bookmarkStart w:id="82" w:name="_Toc165095682"/>
      <w:bookmarkStart w:id="83" w:name="_Toc173583314"/>
      <w:bookmarkStart w:id="84" w:name="_Toc173671726"/>
      <w:bookmarkStart w:id="85" w:name="_Toc173736759"/>
      <w:bookmarkStart w:id="86" w:name="_Toc173856498"/>
      <w:bookmarkStart w:id="87" w:name="_Toc174769796"/>
      <w:bookmarkStart w:id="88" w:name="_Toc174862530"/>
      <w:bookmarkStart w:id="89" w:name="_Toc174958002"/>
      <w:bookmarkStart w:id="90" w:name="_Toc174963954"/>
      <w:bookmarkStart w:id="91" w:name="_Toc174964142"/>
      <w:bookmarkStart w:id="92" w:name="_Toc174967040"/>
      <w:bookmarkStart w:id="93" w:name="_Toc175037406"/>
      <w:bookmarkStart w:id="94" w:name="_Toc175731941"/>
      <w:bookmarkStart w:id="95" w:name="_Toc175734828"/>
      <w:bookmarkStart w:id="96" w:name="_Toc176184044"/>
      <w:bookmarkStart w:id="97" w:name="_Toc176235506"/>
      <w:bookmarkStart w:id="98" w:name="_Toc176237301"/>
      <w:bookmarkStart w:id="99" w:name="_Toc176333084"/>
      <w:bookmarkStart w:id="100" w:name="_Toc176757077"/>
      <w:bookmarkStart w:id="101" w:name="_Toc176788370"/>
      <w:bookmarkStart w:id="102" w:name="_Toc192323201"/>
      <w:bookmarkStart w:id="103" w:name="_Toc192408811"/>
      <w:bookmarkStart w:id="104" w:name="_Toc192486115"/>
      <w:bookmarkStart w:id="105" w:name="_Toc192493816"/>
      <w:bookmarkStart w:id="106" w:name="_Toc192561284"/>
      <w:bookmarkStart w:id="107" w:name="_Toc192563932"/>
      <w:bookmarkStart w:id="108" w:name="_Toc192564005"/>
      <w:bookmarkStart w:id="109" w:name="_Toc192570240"/>
      <w:bookmarkStart w:id="110" w:name="_Toc192580838"/>
      <w:bookmarkStart w:id="111" w:name="_Toc192580901"/>
      <w:bookmarkStart w:id="112" w:name="_Toc192663402"/>
      <w:bookmarkStart w:id="113" w:name="_Toc192669126"/>
      <w:bookmarkStart w:id="114" w:name="_Toc192913848"/>
      <w:bookmarkStart w:id="115" w:name="_Toc192917372"/>
      <w:bookmarkStart w:id="116" w:name="_Toc192924419"/>
      <w:bookmarkStart w:id="117" w:name="_Toc192994229"/>
      <w:bookmarkStart w:id="118" w:name="_Toc192995649"/>
      <w:bookmarkStart w:id="119" w:name="_Toc192998741"/>
      <w:bookmarkStart w:id="120" w:name="_Toc193002788"/>
      <w:bookmarkStart w:id="121" w:name="_Toc193011905"/>
      <w:bookmarkStart w:id="122" w:name="_Toc193014791"/>
      <w:bookmarkStart w:id="123" w:name="_Toc193091862"/>
      <w:bookmarkStart w:id="124" w:name="_Toc193097184"/>
      <w:bookmarkStart w:id="125" w:name="_Toc193176804"/>
      <w:bookmarkStart w:id="126" w:name="_Toc193250875"/>
      <w:bookmarkStart w:id="127" w:name="_Toc193251491"/>
      <w:bookmarkStart w:id="128" w:name="_Toc193251853"/>
      <w:bookmarkStart w:id="129" w:name="_Toc193253421"/>
      <w:bookmarkStart w:id="130" w:name="_Toc193262993"/>
      <w:bookmarkStart w:id="131" w:name="_Toc193268809"/>
      <w:bookmarkStart w:id="132" w:name="_Toc193506591"/>
      <w:bookmarkStart w:id="133" w:name="_Toc193525794"/>
      <w:bookmarkStart w:id="134" w:name="_Toc193527263"/>
      <w:bookmarkStart w:id="135" w:name="_Toc193603979"/>
      <w:bookmarkStart w:id="136" w:name="_Toc193615008"/>
      <w:bookmarkStart w:id="137" w:name="_Toc193771372"/>
      <w:bookmarkStart w:id="138" w:name="_Toc193771421"/>
      <w:bookmarkStart w:id="139" w:name="_Toc193771479"/>
      <w:bookmarkStart w:id="140" w:name="_Toc193774109"/>
      <w:bookmarkStart w:id="141" w:name="_Toc193775970"/>
      <w:bookmarkStart w:id="142" w:name="_Toc193776021"/>
      <w:bookmarkStart w:id="143" w:name="_Toc193848254"/>
      <w:bookmarkStart w:id="144" w:name="_Toc194110731"/>
      <w:bookmarkStart w:id="145" w:name="_Toc194110791"/>
      <w:bookmarkStart w:id="146" w:name="_Toc194119380"/>
      <w:bookmarkStart w:id="147" w:name="_Toc194130194"/>
      <w:bookmarkStart w:id="148" w:name="_Toc194199842"/>
      <w:bookmarkStart w:id="149" w:name="_Toc194200638"/>
      <w:bookmarkStart w:id="150" w:name="_Toc194202904"/>
      <w:bookmarkStart w:id="151" w:name="_Toc194282912"/>
      <w:bookmarkStart w:id="152" w:name="_Toc194293104"/>
      <w:bookmarkStart w:id="153" w:name="_Toc194295345"/>
      <w:bookmarkStart w:id="154" w:name="_Toc194307497"/>
      <w:bookmarkStart w:id="155" w:name="_Toc194310209"/>
      <w:bookmarkStart w:id="156" w:name="_Toc194310307"/>
      <w:bookmarkStart w:id="157" w:name="_Toc194310462"/>
      <w:bookmarkStart w:id="158" w:name="_Toc194310562"/>
      <w:bookmarkStart w:id="159" w:name="_Toc194451622"/>
      <w:bookmarkStart w:id="160" w:name="_Toc194475914"/>
      <w:bookmarkStart w:id="161" w:name="_Toc194476060"/>
      <w:bookmarkStart w:id="162" w:name="_Toc195600490"/>
      <w:bookmarkStart w:id="163" w:name="_Toc196210703"/>
      <w:bookmarkStart w:id="164" w:name="_Toc196219328"/>
      <w:bookmarkStart w:id="165" w:name="_Toc196631283"/>
      <w:bookmarkStart w:id="166" w:name="_Toc196900853"/>
      <w:bookmarkStart w:id="167" w:name="_Toc196901609"/>
      <w:bookmarkStart w:id="168" w:name="_Toc196902376"/>
      <w:bookmarkStart w:id="169" w:name="_Toc196903689"/>
      <w:bookmarkStart w:id="170" w:name="_Toc199222207"/>
      <w:bookmarkStart w:id="171" w:name="_Toc199222468"/>
      <w:bookmarkStart w:id="172" w:name="_Toc199222606"/>
      <w:bookmarkStart w:id="173" w:name="_Toc199224122"/>
      <w:bookmarkStart w:id="174" w:name="_Toc199229184"/>
      <w:bookmarkStart w:id="175" w:name="_Toc199233741"/>
      <w:bookmarkStart w:id="176" w:name="_Toc199233964"/>
      <w:bookmarkStart w:id="177" w:name="_Toc199235795"/>
      <w:bookmarkStart w:id="178" w:name="_Toc199243921"/>
      <w:bookmarkStart w:id="179" w:name="_Toc199244057"/>
      <w:bookmarkStart w:id="180" w:name="_Toc199244147"/>
      <w:bookmarkStart w:id="181" w:name="_Toc199244350"/>
      <w:bookmarkStart w:id="182" w:name="_Toc199248448"/>
      <w:bookmarkStart w:id="183" w:name="_Toc199248569"/>
      <w:bookmarkStart w:id="184" w:name="_Toc199248692"/>
      <w:bookmarkStart w:id="185" w:name="_Toc199248782"/>
      <w:bookmarkStart w:id="186" w:name="_Toc199248960"/>
      <w:bookmarkStart w:id="187" w:name="_Toc199249756"/>
      <w:bookmarkStart w:id="188" w:name="_Toc199250118"/>
      <w:bookmarkStart w:id="189" w:name="_Toc202142900"/>
      <w:bookmarkStart w:id="190" w:name="_Toc202164133"/>
      <w:bookmarkStart w:id="191" w:name="_Toc204738836"/>
      <w:bookmarkStart w:id="192" w:name="_Toc205622942"/>
      <w:bookmarkStart w:id="193" w:name="_Toc205629084"/>
      <w:bookmarkStart w:id="194" w:name="_Toc209510340"/>
      <w:bookmarkStart w:id="195" w:name="_Toc209571577"/>
      <w:bookmarkStart w:id="196" w:name="_Toc209580111"/>
      <w:bookmarkStart w:id="197" w:name="_Toc210045629"/>
      <w:bookmarkStart w:id="198" w:name="_Toc210184177"/>
      <w:bookmarkStart w:id="199" w:name="_Toc210642762"/>
      <w:bookmarkStart w:id="200" w:name="_Toc210652539"/>
      <w:bookmarkStart w:id="201" w:name="_Toc210720927"/>
      <w:bookmarkStart w:id="202" w:name="_Toc210812314"/>
      <w:bookmarkStart w:id="203" w:name="_Toc211262038"/>
      <w:bookmarkStart w:id="204" w:name="_Toc211764049"/>
      <w:bookmarkStart w:id="205" w:name="_Toc211786191"/>
      <w:bookmarkStart w:id="206" w:name="_Toc211838638"/>
      <w:bookmarkStart w:id="207" w:name="_Toc211856583"/>
      <w:bookmarkStart w:id="208" w:name="_Toc215442754"/>
      <w:bookmarkStart w:id="209" w:name="_Toc215448007"/>
      <w:bookmarkStart w:id="210" w:name="_Toc215454581"/>
      <w:bookmarkStart w:id="211" w:name="_Toc215462708"/>
      <w:bookmarkStart w:id="212" w:name="_Toc215468669"/>
      <w:bookmarkStart w:id="213" w:name="_Toc216612344"/>
      <w:bookmarkStart w:id="214" w:name="_Toc216612401"/>
      <w:bookmarkStart w:id="215" w:name="_Toc216696612"/>
      <w:bookmarkStart w:id="216" w:name="_Toc216754044"/>
      <w:bookmarkStart w:id="217" w:name="_Toc216767539"/>
      <w:bookmarkStart w:id="218" w:name="_Toc216771783"/>
      <w:bookmarkStart w:id="219" w:name="_Toc229461238"/>
      <w:bookmarkStart w:id="220" w:name="_Toc229542325"/>
      <w:bookmarkStart w:id="221" w:name="_Toc230600972"/>
      <w:bookmarkStart w:id="222" w:name="_Toc230672591"/>
      <w:bookmarkStart w:id="223" w:name="_Toc230683927"/>
      <w:bookmarkStart w:id="224" w:name="_Toc231534387"/>
      <w:bookmarkStart w:id="225" w:name="_Toc231535141"/>
      <w:bookmarkStart w:id="226" w:name="_Toc231549026"/>
      <w:bookmarkStart w:id="227" w:name="_Toc231610678"/>
      <w:bookmarkStart w:id="228" w:name="_Toc231619344"/>
      <w:bookmarkStart w:id="229" w:name="_Toc231687066"/>
      <w:bookmarkStart w:id="230" w:name="_Toc231705960"/>
      <w:bookmarkStart w:id="231" w:name="_Toc231706174"/>
      <w:bookmarkStart w:id="232" w:name="_Toc231707700"/>
      <w:bookmarkStart w:id="233" w:name="_Toc231812291"/>
      <w:bookmarkStart w:id="234" w:name="_Toc231873479"/>
      <w:bookmarkStart w:id="235" w:name="_Toc232214676"/>
      <w:bookmarkStart w:id="236" w:name="_Toc232219542"/>
      <w:bookmarkStart w:id="237" w:name="_Toc232307409"/>
      <w:bookmarkStart w:id="238" w:name="_Toc232388042"/>
      <w:bookmarkStart w:id="239" w:name="_Toc232392077"/>
      <w:bookmarkStart w:id="240" w:name="_Toc232397966"/>
      <w:bookmarkStart w:id="241" w:name="_Toc232399719"/>
      <w:bookmarkStart w:id="242" w:name="_Toc232400283"/>
      <w:bookmarkStart w:id="243" w:name="_Toc232400416"/>
      <w:bookmarkStart w:id="244" w:name="_Toc232402975"/>
      <w:bookmarkStart w:id="245" w:name="_Toc232404511"/>
      <w:bookmarkStart w:id="246" w:name="_Toc232406388"/>
      <w:bookmarkStart w:id="247" w:name="_Toc232408334"/>
      <w:bookmarkStart w:id="248" w:name="_Toc232410161"/>
      <w:bookmarkStart w:id="249" w:name="_Toc232410519"/>
      <w:bookmarkStart w:id="250" w:name="_Toc232411961"/>
      <w:bookmarkStart w:id="251" w:name="_Toc232412199"/>
      <w:bookmarkStart w:id="252" w:name="_Toc232419216"/>
      <w:bookmarkStart w:id="253" w:name="_Toc232421043"/>
      <w:bookmarkStart w:id="254" w:name="_Toc233442959"/>
      <w:bookmarkStart w:id="255" w:name="_Toc233443257"/>
      <w:bookmarkStart w:id="256" w:name="_Toc233450705"/>
      <w:bookmarkStart w:id="257" w:name="_Toc234125209"/>
      <w:bookmarkStart w:id="258" w:name="_Toc234806581"/>
      <w:bookmarkStart w:id="259" w:name="_Toc235253956"/>
      <w:bookmarkStart w:id="260" w:name="_Toc235499879"/>
      <w:bookmarkStart w:id="261" w:name="_Toc238548831"/>
      <w:bookmarkStart w:id="262" w:name="_Toc238549423"/>
      <w:bookmarkStart w:id="263" w:name="_Toc238612081"/>
      <w:bookmarkStart w:id="264" w:name="_Toc238612268"/>
      <w:bookmarkStart w:id="265" w:name="_Toc238612678"/>
      <w:bookmarkStart w:id="266" w:name="_Toc248739644"/>
      <w:bookmarkStart w:id="267" w:name="_Toc248740823"/>
      <w:bookmarkStart w:id="268" w:name="_Toc248803116"/>
      <w:bookmarkStart w:id="269" w:name="_Toc248804885"/>
      <w:bookmarkStart w:id="270" w:name="_Toc248814233"/>
      <w:bookmarkStart w:id="271" w:name="_Toc248909503"/>
      <w:bookmarkStart w:id="272" w:name="_Toc259178195"/>
      <w:bookmarkStart w:id="273" w:name="_Toc259178305"/>
      <w:bookmarkStart w:id="274" w:name="_Toc259779403"/>
      <w:bookmarkStart w:id="275" w:name="_Toc260058970"/>
      <w:bookmarkStart w:id="276" w:name="_Toc260125036"/>
      <w:bookmarkStart w:id="277" w:name="_Toc260135916"/>
      <w:bookmarkStart w:id="278" w:name="_Toc260388799"/>
      <w:bookmarkStart w:id="279" w:name="_Toc260905129"/>
      <w:bookmarkStart w:id="280" w:name="_Toc261507226"/>
      <w:bookmarkStart w:id="281" w:name="_Toc261585618"/>
      <w:bookmarkStart w:id="282" w:name="_Toc262717585"/>
      <w:bookmarkStart w:id="283" w:name="_Toc263400917"/>
      <w:bookmarkStart w:id="284" w:name="_Toc263688782"/>
      <w:bookmarkStart w:id="285" w:name="_Toc312236274"/>
      <w:bookmarkStart w:id="286" w:name="_Toc312236997"/>
      <w:bookmarkStart w:id="287" w:name="_Toc312237032"/>
      <w:bookmarkStart w:id="288" w:name="_Toc313634741"/>
      <w:bookmarkStart w:id="289" w:name="_Toc313635143"/>
      <w:bookmarkStart w:id="290" w:name="_Toc313635164"/>
      <w:bookmarkStart w:id="291" w:name="_Toc313635211"/>
      <w:bookmarkStart w:id="292" w:name="_Toc313635258"/>
      <w:bookmarkStart w:id="293" w:name="_Toc313635779"/>
      <w:bookmarkStart w:id="294" w:name="_Toc313635846"/>
      <w:bookmarkStart w:id="295" w:name="_Toc313636620"/>
      <w:bookmarkStart w:id="296" w:name="_Toc313637308"/>
      <w:bookmarkStart w:id="297" w:name="_Toc313637809"/>
      <w:bookmarkStart w:id="298" w:name="_Toc313638315"/>
      <w:bookmarkStart w:id="299" w:name="_Toc313880950"/>
      <w:bookmarkStart w:id="300" w:name="_Toc314216585"/>
      <w:bookmarkStart w:id="301" w:name="_Toc314216820"/>
      <w:bookmarkStart w:id="302" w:name="_Toc314218073"/>
      <w:bookmarkStart w:id="303" w:name="_Toc314228813"/>
      <w:bookmarkStart w:id="304" w:name="_Toc314229130"/>
      <w:bookmarkStart w:id="305" w:name="_Toc314234371"/>
      <w:bookmarkStart w:id="306" w:name="_Toc314234826"/>
      <w:bookmarkStart w:id="307" w:name="_Toc314235957"/>
      <w:bookmarkStart w:id="308" w:name="_Toc314238321"/>
      <w:bookmarkStart w:id="309" w:name="_Toc315339196"/>
      <w:bookmarkStart w:id="310" w:name="_Toc315342233"/>
      <w:bookmarkStart w:id="311" w:name="_Toc315344668"/>
      <w:bookmarkStart w:id="312" w:name="_Toc315349159"/>
      <w:bookmarkStart w:id="313" w:name="_Toc315349263"/>
      <w:bookmarkStart w:id="314" w:name="_Toc315349685"/>
      <w:bookmarkStart w:id="315" w:name="_Toc315351075"/>
      <w:bookmarkStart w:id="316" w:name="_Toc315352151"/>
      <w:bookmarkStart w:id="317" w:name="_Toc315443507"/>
      <w:bookmarkStart w:id="318" w:name="_Toc316028534"/>
      <w:bookmarkStart w:id="319" w:name="_Toc316030649"/>
      <w:bookmarkStart w:id="320" w:name="_Toc316032475"/>
      <w:bookmarkStart w:id="321" w:name="_Toc316033671"/>
      <w:bookmarkStart w:id="322" w:name="_Toc316036945"/>
      <w:bookmarkStart w:id="323" w:name="_Toc316037210"/>
      <w:bookmarkStart w:id="324" w:name="_Toc316038243"/>
      <w:bookmarkStart w:id="325" w:name="_Toc316038431"/>
      <w:bookmarkStart w:id="326" w:name="_Toc316038523"/>
      <w:bookmarkStart w:id="327" w:name="_Toc316041868"/>
      <w:bookmarkStart w:id="328" w:name="_Toc316043731"/>
      <w:bookmarkStart w:id="329" w:name="_Toc316059787"/>
      <w:bookmarkStart w:id="330" w:name="_Toc316060922"/>
      <w:bookmarkStart w:id="331" w:name="_Toc316392536"/>
      <w:bookmarkStart w:id="332" w:name="_Toc316393242"/>
      <w:bookmarkStart w:id="333" w:name="_Toc316393408"/>
      <w:bookmarkStart w:id="334" w:name="_Toc316394201"/>
      <w:bookmarkStart w:id="335" w:name="_Toc316396188"/>
      <w:bookmarkStart w:id="336" w:name="_Toc316987342"/>
      <w:bookmarkStart w:id="337" w:name="_Toc316987901"/>
      <w:bookmarkStart w:id="338" w:name="_Toc316992259"/>
      <w:bookmarkStart w:id="339" w:name="_Toc316999197"/>
      <w:bookmarkStart w:id="340" w:name="_Toc317002560"/>
      <w:bookmarkStart w:id="341" w:name="_Toc317161291"/>
      <w:bookmarkStart w:id="342" w:name="_Toc317164375"/>
      <w:bookmarkStart w:id="343" w:name="_Toc317168463"/>
      <w:bookmarkStart w:id="344" w:name="_Toc317174470"/>
      <w:bookmarkStart w:id="345" w:name="_Toc317239998"/>
      <w:bookmarkStart w:id="346" w:name="_Toc317240445"/>
      <w:bookmarkStart w:id="347" w:name="_Toc317263566"/>
      <w:bookmarkStart w:id="348" w:name="_Toc317759402"/>
      <w:bookmarkStart w:id="349" w:name="_Toc317764585"/>
      <w:bookmarkStart w:id="350" w:name="_Toc317769078"/>
      <w:bookmarkStart w:id="351" w:name="_Toc317775705"/>
      <w:bookmarkStart w:id="352" w:name="_Toc317775775"/>
      <w:bookmarkStart w:id="353" w:name="_Toc317775894"/>
      <w:bookmarkStart w:id="354" w:name="_Toc317781332"/>
      <w:bookmarkStart w:id="355" w:name="_Toc317781484"/>
      <w:bookmarkStart w:id="356" w:name="_Toc317785084"/>
      <w:bookmarkStart w:id="357" w:name="_Toc317785238"/>
      <w:bookmarkStart w:id="358" w:name="_Toc317786297"/>
      <w:bookmarkStart w:id="359" w:name="_Toc317786508"/>
      <w:bookmarkStart w:id="360" w:name="_Toc318119544"/>
      <w:bookmarkStart w:id="361" w:name="_Toc318119670"/>
      <w:bookmarkStart w:id="362" w:name="_Toc318120625"/>
      <w:bookmarkStart w:id="363" w:name="_Toc318121408"/>
      <w:bookmarkStart w:id="364" w:name="_Toc318136709"/>
      <w:bookmarkStart w:id="365" w:name="_Toc318213885"/>
      <w:bookmarkStart w:id="366" w:name="_Toc318286480"/>
      <w:bookmarkStart w:id="367" w:name="_Toc318296591"/>
      <w:bookmarkStart w:id="368" w:name="_Ref318894595"/>
      <w:bookmarkStart w:id="369" w:name="_Ref318894612"/>
      <w:bookmarkStart w:id="370" w:name="_Ref318900581"/>
      <w:bookmarkStart w:id="371" w:name="_Ref318900584"/>
      <w:bookmarkStart w:id="372" w:name="_Toc319056110"/>
      <w:bookmarkStart w:id="373" w:name="_Toc319073331"/>
      <w:bookmarkStart w:id="374" w:name="_Toc319077492"/>
      <w:bookmarkStart w:id="375" w:name="_Toc319316403"/>
      <w:bookmarkStart w:id="376" w:name="_Toc319402094"/>
      <w:bookmarkStart w:id="377" w:name="_Toc319571053"/>
      <w:bookmarkStart w:id="378" w:name="_Toc319573090"/>
      <w:bookmarkStart w:id="379" w:name="_Toc319947285"/>
      <w:bookmarkStart w:id="380" w:name="_Toc320013924"/>
      <w:bookmarkStart w:id="381" w:name="_Toc320085405"/>
      <w:bookmarkStart w:id="382" w:name="_Toc321909807"/>
      <w:bookmarkStart w:id="383" w:name="_Toc321911076"/>
      <w:bookmarkStart w:id="384" w:name="_Toc336527123"/>
      <w:bookmarkStart w:id="385" w:name="_Toc336535111"/>
      <w:bookmarkStart w:id="386" w:name="_Toc336976872"/>
      <w:bookmarkStart w:id="387" w:name="_Toc336978502"/>
      <w:bookmarkStart w:id="388" w:name="_Toc336979672"/>
      <w:bookmarkStart w:id="389" w:name="_Toc338259101"/>
      <w:bookmarkStart w:id="390" w:name="_Toc338260413"/>
      <w:bookmarkStart w:id="391" w:name="_Toc338450258"/>
      <w:bookmarkStart w:id="392" w:name="_Toc338452164"/>
      <w:bookmarkStart w:id="393" w:name="_Toc338839490"/>
      <w:bookmarkStart w:id="394" w:name="_Toc339028156"/>
      <w:bookmarkStart w:id="395" w:name="_Toc339028268"/>
      <w:bookmarkStart w:id="396" w:name="_Toc339038177"/>
      <w:bookmarkStart w:id="397" w:name="_Toc339039590"/>
      <w:bookmarkStart w:id="398" w:name="_Toc339040554"/>
      <w:bookmarkStart w:id="399" w:name="_Toc339638439"/>
      <w:bookmarkStart w:id="400" w:name="_Toc339644066"/>
      <w:bookmarkStart w:id="401" w:name="_Toc339901490"/>
      <w:bookmarkStart w:id="402" w:name="_Toc340239253"/>
      <w:bookmarkStart w:id="403" w:name="_Toc340691137"/>
      <w:bookmarkStart w:id="404" w:name="_Toc341128020"/>
      <w:bookmarkStart w:id="405" w:name="_Toc341131221"/>
      <w:bookmarkStart w:id="406" w:name="_Toc342914529"/>
      <w:bookmarkStart w:id="407" w:name="_Toc342916172"/>
      <w:bookmarkStart w:id="408" w:name="_Toc343261732"/>
      <w:r w:rsidRPr="004F1BB4">
        <w:rPr>
          <w:rFonts w:ascii="Times New Roman" w:hAnsi="Times New Roman"/>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BD26E4" w:rsidRPr="00B66661" w:rsidRDefault="00C91D3D" w:rsidP="00B66661">
      <w:pPr>
        <w:pStyle w:val="ParaNum"/>
        <w:widowControl/>
        <w:tabs>
          <w:tab w:val="clear" w:pos="1080"/>
          <w:tab w:val="num" w:pos="1440"/>
        </w:tabs>
        <w:rPr>
          <w:color w:val="000000"/>
        </w:rPr>
      </w:pPr>
      <w:r>
        <w:rPr>
          <w:color w:val="000000"/>
        </w:rPr>
        <w:t xml:space="preserve">By this </w:t>
      </w:r>
      <w:r>
        <w:rPr>
          <w:i/>
          <w:color w:val="000000"/>
        </w:rPr>
        <w:t>Order of Modification</w:t>
      </w:r>
      <w:r>
        <w:rPr>
          <w:color w:val="000000"/>
        </w:rPr>
        <w:t xml:space="preserve">, we modify the Mobile Satellite Service (MSS) </w:t>
      </w:r>
      <w:r w:rsidR="00DB6892">
        <w:rPr>
          <w:color w:val="000000"/>
        </w:rPr>
        <w:t xml:space="preserve">earth station and Ancillary Terrestrial Component (ATC) </w:t>
      </w:r>
      <w:r>
        <w:rPr>
          <w:color w:val="000000"/>
        </w:rPr>
        <w:t xml:space="preserve">licenses of Gamma Acquisition L.L.C. </w:t>
      </w:r>
      <w:r w:rsidR="00B66661">
        <w:rPr>
          <w:color w:val="000000"/>
        </w:rPr>
        <w:t xml:space="preserve">(Gamma) </w:t>
      </w:r>
      <w:r>
        <w:rPr>
          <w:color w:val="000000"/>
        </w:rPr>
        <w:t>(call sign E060</w:t>
      </w:r>
      <w:r w:rsidR="00AA6836">
        <w:rPr>
          <w:color w:val="000000"/>
        </w:rPr>
        <w:t>4</w:t>
      </w:r>
      <w:r>
        <w:rPr>
          <w:color w:val="000000"/>
        </w:rPr>
        <w:t xml:space="preserve">30) and of New DBSD Satellite Services G.P. </w:t>
      </w:r>
      <w:r w:rsidR="00B66661">
        <w:rPr>
          <w:color w:val="000000"/>
        </w:rPr>
        <w:t xml:space="preserve">(New DBSD) </w:t>
      </w:r>
      <w:r>
        <w:rPr>
          <w:color w:val="000000"/>
        </w:rPr>
        <w:t>(call sign E070272)</w:t>
      </w:r>
      <w:r w:rsidR="00DB6892">
        <w:rPr>
          <w:color w:val="000000"/>
        </w:rPr>
        <w:t xml:space="preserve"> in order to</w:t>
      </w:r>
      <w:r>
        <w:rPr>
          <w:color w:val="000000"/>
        </w:rPr>
        <w:t xml:space="preserve"> </w:t>
      </w:r>
      <w:r w:rsidR="00B66661">
        <w:rPr>
          <w:color w:val="000000"/>
        </w:rPr>
        <w:t xml:space="preserve">authorize </w:t>
      </w:r>
      <w:r w:rsidR="00A53F91">
        <w:rPr>
          <w:color w:val="000000"/>
        </w:rPr>
        <w:t>Gamma and New DBSD</w:t>
      </w:r>
      <w:r w:rsidR="00B66661">
        <w:rPr>
          <w:color w:val="000000"/>
        </w:rPr>
        <w:t xml:space="preserve"> to provide</w:t>
      </w:r>
      <w:r>
        <w:rPr>
          <w:color w:val="000000"/>
        </w:rPr>
        <w:t xml:space="preserve"> Advanced Wireless Service (AWS) </w:t>
      </w:r>
      <w:r w:rsidR="00B66661">
        <w:rPr>
          <w:color w:val="000000"/>
        </w:rPr>
        <w:t>in the AWS-4 spectrum band (2000-2020 MHz and 2180-2200 MHz)</w:t>
      </w:r>
      <w:r w:rsidR="00DB6892">
        <w:rPr>
          <w:color w:val="000000"/>
        </w:rPr>
        <w:t>.</w:t>
      </w:r>
      <w:r w:rsidR="00B66661">
        <w:rPr>
          <w:color w:val="000000"/>
        </w:rPr>
        <w:t xml:space="preserve">  We take this action pursuant to the </w:t>
      </w:r>
      <w:r w:rsidR="00B66661">
        <w:rPr>
          <w:i/>
          <w:color w:val="000000"/>
        </w:rPr>
        <w:t>AWS-4 Report and Order and Order of Proposed Modification</w:t>
      </w:r>
      <w:r w:rsidR="00B66661">
        <w:rPr>
          <w:color w:val="000000"/>
        </w:rPr>
        <w:t>.</w:t>
      </w:r>
      <w:r w:rsidR="00B66661">
        <w:rPr>
          <w:rStyle w:val="FootnoteReference"/>
        </w:rPr>
        <w:footnoteReference w:id="1"/>
      </w:r>
      <w:r w:rsidR="00BD26E4" w:rsidRPr="00B66661">
        <w:rPr>
          <w:color w:val="000000"/>
        </w:rPr>
        <w:t xml:space="preserve"> </w:t>
      </w:r>
    </w:p>
    <w:p w:rsidR="00BD26E4" w:rsidRPr="004F1BB4" w:rsidRDefault="00BD26E4" w:rsidP="00BD26E4">
      <w:pPr>
        <w:pStyle w:val="Heading1"/>
        <w:widowControl/>
        <w:rPr>
          <w:rFonts w:ascii="Times New Roman" w:hAnsi="Times New Roman"/>
        </w:rPr>
      </w:pPr>
      <w:bookmarkStart w:id="409" w:name="_Ref318896618"/>
      <w:bookmarkStart w:id="410" w:name="_Toc319056111"/>
      <w:bookmarkStart w:id="411" w:name="_Toc319073332"/>
      <w:bookmarkStart w:id="412" w:name="_Toc319077493"/>
      <w:bookmarkStart w:id="413" w:name="_Toc319316404"/>
      <w:bookmarkStart w:id="414" w:name="_Toc319402095"/>
      <w:bookmarkStart w:id="415" w:name="_Toc319571054"/>
      <w:bookmarkStart w:id="416" w:name="_Toc319573091"/>
      <w:bookmarkStart w:id="417" w:name="_Toc319947286"/>
      <w:bookmarkStart w:id="418" w:name="_Toc320013925"/>
      <w:bookmarkStart w:id="419" w:name="_Toc320085406"/>
      <w:bookmarkStart w:id="420" w:name="_Toc321909808"/>
      <w:bookmarkStart w:id="421" w:name="_Toc321911077"/>
      <w:bookmarkStart w:id="422" w:name="_Toc336527124"/>
      <w:bookmarkStart w:id="423" w:name="_Toc336535112"/>
      <w:bookmarkStart w:id="424" w:name="_Toc336976873"/>
      <w:bookmarkStart w:id="425" w:name="_Toc336978503"/>
      <w:bookmarkStart w:id="426" w:name="_Toc336979673"/>
      <w:bookmarkStart w:id="427" w:name="_Toc338259102"/>
      <w:bookmarkStart w:id="428" w:name="_Toc338260414"/>
      <w:bookmarkStart w:id="429" w:name="_Toc338450259"/>
      <w:bookmarkStart w:id="430" w:name="_Toc338452165"/>
      <w:bookmarkStart w:id="431" w:name="_Toc338839491"/>
      <w:bookmarkStart w:id="432" w:name="_Toc339028157"/>
      <w:bookmarkStart w:id="433" w:name="_Toc339028269"/>
      <w:bookmarkStart w:id="434" w:name="_Toc339038178"/>
      <w:bookmarkStart w:id="435" w:name="_Toc339039591"/>
      <w:bookmarkStart w:id="436" w:name="_Toc339040555"/>
      <w:bookmarkStart w:id="437" w:name="_Toc339638440"/>
      <w:bookmarkStart w:id="438" w:name="_Toc339644067"/>
      <w:bookmarkStart w:id="439" w:name="_Toc339901491"/>
      <w:bookmarkStart w:id="440" w:name="_Toc340239254"/>
      <w:bookmarkStart w:id="441" w:name="_Toc340691138"/>
      <w:bookmarkStart w:id="442" w:name="_Toc341128021"/>
      <w:bookmarkStart w:id="443" w:name="_Toc341131222"/>
      <w:bookmarkStart w:id="444" w:name="_Toc342914530"/>
      <w:bookmarkStart w:id="445" w:name="_Toc342916173"/>
      <w:bookmarkStart w:id="446" w:name="_Toc343261733"/>
      <w:r w:rsidRPr="004F1BB4">
        <w:rPr>
          <w:rFonts w:ascii="Times New Roman" w:hAnsi="Times New Roman"/>
        </w:rPr>
        <w:lastRenderedPageBreak/>
        <w:t>Background</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4F1BB4">
        <w:rPr>
          <w:rFonts w:ascii="Times New Roman" w:hAnsi="Times New Roman"/>
        </w:rPr>
        <w:t xml:space="preserve">   </w:t>
      </w:r>
    </w:p>
    <w:p w:rsidR="00610CB0" w:rsidRDefault="00CB21AD" w:rsidP="00BD26E4">
      <w:pPr>
        <w:pStyle w:val="ParaNum"/>
        <w:widowControl/>
        <w:tabs>
          <w:tab w:val="clear" w:pos="1080"/>
          <w:tab w:val="num" w:pos="1440"/>
        </w:tabs>
      </w:pPr>
      <w:r>
        <w:t>T</w:t>
      </w:r>
      <w:r w:rsidR="0074620B">
        <w:t xml:space="preserve">he Commission </w:t>
      </w:r>
      <w:r w:rsidR="00071E88">
        <w:t xml:space="preserve">allocated certain spectrum in the 2 GHz band for </w:t>
      </w:r>
      <w:r w:rsidR="007D3457">
        <w:t>MSS</w:t>
      </w:r>
      <w:r w:rsidR="00071E88">
        <w:t xml:space="preserve"> in 1997 and </w:t>
      </w:r>
      <w:r>
        <w:t xml:space="preserve">adopted rules for 2 GHz </w:t>
      </w:r>
      <w:r w:rsidR="007D3457">
        <w:t>MSS systems</w:t>
      </w:r>
      <w:r>
        <w:t xml:space="preserve"> in 2000.</w:t>
      </w:r>
      <w:r>
        <w:rPr>
          <w:rStyle w:val="FootnoteReference"/>
        </w:rPr>
        <w:footnoteReference w:id="2"/>
      </w:r>
      <w:r>
        <w:t xml:space="preserve">  In 2005, </w:t>
      </w:r>
      <w:r w:rsidR="00F12BD0">
        <w:t xml:space="preserve">New </w:t>
      </w:r>
      <w:r>
        <w:t xml:space="preserve">DBSD (then known as ICO) and </w:t>
      </w:r>
      <w:r w:rsidR="00F12BD0">
        <w:t>Gamma</w:t>
      </w:r>
      <w:r>
        <w:t xml:space="preserve"> </w:t>
      </w:r>
      <w:r w:rsidR="00AA29AB">
        <w:t xml:space="preserve">(then known as TMI) </w:t>
      </w:r>
      <w:r w:rsidR="00D74388">
        <w:t xml:space="preserve">became </w:t>
      </w:r>
      <w:r>
        <w:t xml:space="preserve">the sole 2 GHz MSS </w:t>
      </w:r>
      <w:r w:rsidR="007D3457">
        <w:t>systems, each with</w:t>
      </w:r>
      <w:r>
        <w:t xml:space="preserve"> 20 megahertz of 2 GHz band spectrum.</w:t>
      </w:r>
      <w:r>
        <w:rPr>
          <w:rStyle w:val="FootnoteReference"/>
        </w:rPr>
        <w:footnoteReference w:id="3"/>
      </w:r>
      <w:r w:rsidR="00D74388">
        <w:t xml:space="preserve">  </w:t>
      </w:r>
      <w:r w:rsidR="00F12BD0">
        <w:t xml:space="preserve">Upon launching their satellites in 2008 and 2009, New </w:t>
      </w:r>
      <w:r w:rsidR="00D74388">
        <w:t>DBSD</w:t>
      </w:r>
      <w:r w:rsidR="00F12BD0">
        <w:t xml:space="preserve"> obtained the authority to use</w:t>
      </w:r>
      <w:r w:rsidR="00D74388">
        <w:t xml:space="preserve"> the 20</w:t>
      </w:r>
      <w:r w:rsidR="000814B0">
        <w:t>10-202</w:t>
      </w:r>
      <w:r w:rsidR="00D74388">
        <w:t>0 MHz and 21</w:t>
      </w:r>
      <w:r w:rsidR="000814B0">
        <w:t>8</w:t>
      </w:r>
      <w:r w:rsidR="00D74388">
        <w:t>0-2</w:t>
      </w:r>
      <w:r w:rsidR="000814B0">
        <w:t>19</w:t>
      </w:r>
      <w:r w:rsidR="00D74388">
        <w:t>0 MHz bands a</w:t>
      </w:r>
      <w:r w:rsidR="000814B0">
        <w:t xml:space="preserve">nd </w:t>
      </w:r>
      <w:r w:rsidR="00F12BD0">
        <w:t>Gamma obtained the authority to use</w:t>
      </w:r>
      <w:r w:rsidR="000814B0">
        <w:t xml:space="preserve"> the 200</w:t>
      </w:r>
      <w:r w:rsidR="00D74388">
        <w:t>0-20</w:t>
      </w:r>
      <w:r w:rsidR="000814B0">
        <w:t>1</w:t>
      </w:r>
      <w:r w:rsidR="00D74388">
        <w:t xml:space="preserve">0 MHz and </w:t>
      </w:r>
      <w:r w:rsidR="00610CB0">
        <w:t>21</w:t>
      </w:r>
      <w:r w:rsidR="000814B0">
        <w:t>9</w:t>
      </w:r>
      <w:r w:rsidR="00610CB0">
        <w:t>0-2</w:t>
      </w:r>
      <w:r w:rsidR="000814B0">
        <w:t>20</w:t>
      </w:r>
      <w:r w:rsidR="00610CB0">
        <w:t>0 MHz bands.</w:t>
      </w:r>
      <w:r w:rsidR="000814B0">
        <w:rPr>
          <w:rStyle w:val="FootnoteReference"/>
        </w:rPr>
        <w:footnoteReference w:id="4"/>
      </w:r>
      <w:r w:rsidR="00610CB0">
        <w:t xml:space="preserve">  </w:t>
      </w:r>
      <w:r w:rsidR="00071E88">
        <w:t xml:space="preserve">Thus, the 2 GHz MSS band was configured in an A-B/B-A block duplex pairing.  </w:t>
      </w:r>
      <w:r w:rsidR="00F12BD0">
        <w:t>Further</w:t>
      </w:r>
      <w:r w:rsidR="007D3457">
        <w:t xml:space="preserve">, the Commission granted </w:t>
      </w:r>
      <w:r w:rsidR="00F12BD0">
        <w:t xml:space="preserve">New </w:t>
      </w:r>
      <w:r w:rsidR="00181748">
        <w:t xml:space="preserve">DBSD and </w:t>
      </w:r>
      <w:r w:rsidR="00F12BD0">
        <w:t xml:space="preserve">Gamma </w:t>
      </w:r>
      <w:r w:rsidR="00181748">
        <w:t>ATC authority in 2009 and 2010, respectively.</w:t>
      </w:r>
      <w:r w:rsidR="00181748">
        <w:rPr>
          <w:rStyle w:val="FootnoteReference"/>
        </w:rPr>
        <w:footnoteReference w:id="5"/>
      </w:r>
      <w:r w:rsidR="00610CB0">
        <w:t xml:space="preserve">  </w:t>
      </w:r>
      <w:r w:rsidR="00610CB0" w:rsidRPr="00610CB0">
        <w:rPr>
          <w:szCs w:val="22"/>
        </w:rPr>
        <w:t xml:space="preserve">  </w:t>
      </w:r>
    </w:p>
    <w:p w:rsidR="00181748" w:rsidRDefault="00AA29AB" w:rsidP="00BD26E4">
      <w:pPr>
        <w:pStyle w:val="ParaNum"/>
        <w:widowControl/>
        <w:tabs>
          <w:tab w:val="clear" w:pos="1080"/>
          <w:tab w:val="num" w:pos="1440"/>
        </w:tabs>
      </w:pPr>
      <w:r w:rsidRPr="00610CB0">
        <w:rPr>
          <w:szCs w:val="22"/>
        </w:rPr>
        <w:t>In April 2011, the Commission added</w:t>
      </w:r>
      <w:r w:rsidR="00071E88">
        <w:rPr>
          <w:szCs w:val="22"/>
        </w:rPr>
        <w:t xml:space="preserve"> terrestrial</w:t>
      </w:r>
      <w:r w:rsidRPr="00610CB0">
        <w:rPr>
          <w:szCs w:val="22"/>
        </w:rPr>
        <w:t xml:space="preserve"> Fixed and Mobile allocations to the 2000-2020 MHz and 2180-2200 MHz bands.</w:t>
      </w:r>
      <w:r>
        <w:rPr>
          <w:rStyle w:val="FootnoteReference"/>
          <w:szCs w:val="22"/>
        </w:rPr>
        <w:footnoteReference w:id="6"/>
      </w:r>
      <w:r w:rsidR="00181748" w:rsidRPr="00610CB0">
        <w:rPr>
          <w:szCs w:val="22"/>
        </w:rPr>
        <w:t xml:space="preserve">  In December 2012, the Commission </w:t>
      </w:r>
      <w:r w:rsidR="00D31B78">
        <w:rPr>
          <w:szCs w:val="22"/>
        </w:rPr>
        <w:t>issued</w:t>
      </w:r>
      <w:r w:rsidR="00181748" w:rsidRPr="00610CB0">
        <w:rPr>
          <w:szCs w:val="22"/>
        </w:rPr>
        <w:t xml:space="preserve"> </w:t>
      </w:r>
      <w:r w:rsidR="00210A4A">
        <w:rPr>
          <w:szCs w:val="22"/>
        </w:rPr>
        <w:t xml:space="preserve">the </w:t>
      </w:r>
      <w:r w:rsidR="00210A4A" w:rsidRPr="00210A4A">
        <w:rPr>
          <w:i/>
          <w:szCs w:val="22"/>
        </w:rPr>
        <w:t>AWS-4 Report and Order</w:t>
      </w:r>
      <w:r w:rsidR="00210A4A">
        <w:rPr>
          <w:szCs w:val="22"/>
        </w:rPr>
        <w:t xml:space="preserve">, </w:t>
      </w:r>
      <w:r w:rsidR="00D31B78">
        <w:rPr>
          <w:szCs w:val="22"/>
        </w:rPr>
        <w:t xml:space="preserve">in </w:t>
      </w:r>
      <w:r w:rsidR="00210A4A">
        <w:rPr>
          <w:szCs w:val="22"/>
        </w:rPr>
        <w:t xml:space="preserve">which </w:t>
      </w:r>
      <w:r w:rsidR="00D31B78">
        <w:rPr>
          <w:szCs w:val="22"/>
        </w:rPr>
        <w:t>it</w:t>
      </w:r>
      <w:r w:rsidR="00EA585F">
        <w:rPr>
          <w:szCs w:val="22"/>
        </w:rPr>
        <w:t xml:space="preserve"> removed limitations associated with ATC by</w:t>
      </w:r>
      <w:r w:rsidR="00D31B78">
        <w:rPr>
          <w:szCs w:val="22"/>
        </w:rPr>
        <w:t xml:space="preserve"> </w:t>
      </w:r>
      <w:r w:rsidR="00210A4A">
        <w:rPr>
          <w:szCs w:val="22"/>
        </w:rPr>
        <w:t>adopt</w:t>
      </w:r>
      <w:r w:rsidR="00EA585F">
        <w:rPr>
          <w:szCs w:val="22"/>
        </w:rPr>
        <w:t>ing rules for a</w:t>
      </w:r>
      <w:r w:rsidR="00210A4A">
        <w:rPr>
          <w:szCs w:val="22"/>
        </w:rPr>
        <w:t xml:space="preserve"> </w:t>
      </w:r>
      <w:r w:rsidR="00071E88">
        <w:rPr>
          <w:szCs w:val="22"/>
        </w:rPr>
        <w:t xml:space="preserve">stand-alone </w:t>
      </w:r>
      <w:r w:rsidR="00181748" w:rsidRPr="00610CB0">
        <w:rPr>
          <w:szCs w:val="22"/>
        </w:rPr>
        <w:t>terrestrial service</w:t>
      </w:r>
      <w:r w:rsidR="00EA585F">
        <w:rPr>
          <w:szCs w:val="22"/>
        </w:rPr>
        <w:t xml:space="preserve"> in </w:t>
      </w:r>
      <w:r w:rsidR="00181748" w:rsidRPr="00610CB0">
        <w:rPr>
          <w:szCs w:val="22"/>
        </w:rPr>
        <w:t>th</w:t>
      </w:r>
      <w:r w:rsidR="00A84A0C">
        <w:rPr>
          <w:szCs w:val="22"/>
        </w:rPr>
        <w:t>ese</w:t>
      </w:r>
      <w:r w:rsidR="00071E88">
        <w:rPr>
          <w:szCs w:val="22"/>
        </w:rPr>
        <w:t xml:space="preserve"> spectrum</w:t>
      </w:r>
      <w:r w:rsidR="00A84A0C">
        <w:rPr>
          <w:szCs w:val="22"/>
        </w:rPr>
        <w:t xml:space="preserve"> bands</w:t>
      </w:r>
      <w:r w:rsidR="00570CE0">
        <w:rPr>
          <w:szCs w:val="22"/>
        </w:rPr>
        <w:t xml:space="preserve"> </w:t>
      </w:r>
      <w:r w:rsidR="00A84A0C">
        <w:rPr>
          <w:szCs w:val="22"/>
        </w:rPr>
        <w:t>termed “AWS-4</w:t>
      </w:r>
      <w:r w:rsidR="00EA585F">
        <w:rPr>
          <w:szCs w:val="22"/>
        </w:rPr>
        <w:t>.</w:t>
      </w:r>
      <w:r w:rsidR="00A84A0C">
        <w:rPr>
          <w:szCs w:val="22"/>
        </w:rPr>
        <w:t>”</w:t>
      </w:r>
      <w:r w:rsidR="00D31B78">
        <w:rPr>
          <w:rStyle w:val="FootnoteReference"/>
          <w:szCs w:val="22"/>
        </w:rPr>
        <w:footnoteReference w:id="7"/>
      </w:r>
      <w:r w:rsidR="00181748" w:rsidRPr="00610CB0">
        <w:rPr>
          <w:szCs w:val="22"/>
        </w:rPr>
        <w:t xml:space="preserve"> </w:t>
      </w:r>
      <w:r w:rsidR="00EA585F">
        <w:rPr>
          <w:szCs w:val="22"/>
        </w:rPr>
        <w:t xml:space="preserve"> As part of that action, the Commission </w:t>
      </w:r>
      <w:r w:rsidR="00181748" w:rsidRPr="00610CB0">
        <w:rPr>
          <w:szCs w:val="22"/>
        </w:rPr>
        <w:t>changed the MSS duplex pairing from A-B/B-A to A-B/A-B.</w:t>
      </w:r>
      <w:r w:rsidR="00D31B78">
        <w:rPr>
          <w:rStyle w:val="FootnoteReference"/>
          <w:szCs w:val="22"/>
        </w:rPr>
        <w:footnoteReference w:id="8"/>
      </w:r>
      <w:r w:rsidR="00210A4A">
        <w:rPr>
          <w:szCs w:val="22"/>
        </w:rPr>
        <w:t xml:space="preserve">  </w:t>
      </w:r>
      <w:r w:rsidR="00610CB0">
        <w:rPr>
          <w:szCs w:val="22"/>
        </w:rPr>
        <w:t xml:space="preserve">  </w:t>
      </w:r>
      <w:r w:rsidR="00181748" w:rsidRPr="00610CB0">
        <w:rPr>
          <w:szCs w:val="22"/>
        </w:rPr>
        <w:t xml:space="preserve">    </w:t>
      </w:r>
      <w:r>
        <w:t xml:space="preserve">  </w:t>
      </w:r>
    </w:p>
    <w:p w:rsidR="00210A4A" w:rsidRDefault="00EA585F" w:rsidP="00BD26E4">
      <w:pPr>
        <w:pStyle w:val="ParaNum"/>
        <w:widowControl/>
        <w:tabs>
          <w:tab w:val="clear" w:pos="1080"/>
          <w:tab w:val="num" w:pos="1440"/>
        </w:tabs>
      </w:pPr>
      <w:r>
        <w:rPr>
          <w:szCs w:val="22"/>
        </w:rPr>
        <w:t xml:space="preserve">The </w:t>
      </w:r>
      <w:r w:rsidRPr="00210A4A">
        <w:rPr>
          <w:i/>
          <w:szCs w:val="22"/>
        </w:rPr>
        <w:t>AWS-4 Report and Order</w:t>
      </w:r>
      <w:r>
        <w:rPr>
          <w:szCs w:val="22"/>
        </w:rPr>
        <w:t xml:space="preserve"> included an </w:t>
      </w:r>
      <w:r w:rsidRPr="00210A4A">
        <w:rPr>
          <w:i/>
          <w:szCs w:val="22"/>
        </w:rPr>
        <w:t>Order of Proposed Modification</w:t>
      </w:r>
      <w:r>
        <w:rPr>
          <w:rStyle w:val="FootnoteReference"/>
          <w:szCs w:val="22"/>
        </w:rPr>
        <w:footnoteReference w:id="9"/>
      </w:r>
      <w:r>
        <w:rPr>
          <w:szCs w:val="22"/>
        </w:rPr>
        <w:t xml:space="preserve"> </w:t>
      </w:r>
      <w:r>
        <w:t>that propos</w:t>
      </w:r>
      <w:r w:rsidR="00B66661">
        <w:t xml:space="preserve">ed </w:t>
      </w:r>
      <w:r w:rsidR="00210A4A">
        <w:t xml:space="preserve">modifications </w:t>
      </w:r>
      <w:r>
        <w:t xml:space="preserve">to </w:t>
      </w:r>
      <w:r w:rsidR="00210A4A">
        <w:t>Gamma and New DBSD</w:t>
      </w:r>
      <w:r>
        <w:t>’s licenses</w:t>
      </w:r>
      <w:r w:rsidR="00DA7262">
        <w:t xml:space="preserve"> to add AWS-4 terrestrial operating authority, to remove ATC authority, and to </w:t>
      </w:r>
      <w:r w:rsidR="00071E88">
        <w:t xml:space="preserve">modify </w:t>
      </w:r>
      <w:r w:rsidR="00210A4A">
        <w:t xml:space="preserve">the </w:t>
      </w:r>
      <w:r w:rsidR="00071E88">
        <w:t xml:space="preserve">MSS </w:t>
      </w:r>
      <w:r w:rsidR="00210A4A">
        <w:t>duplex pairing</w:t>
      </w:r>
      <w:r w:rsidR="00DA7262">
        <w:t>.</w:t>
      </w:r>
      <w:r w:rsidR="00210A4A">
        <w:rPr>
          <w:rStyle w:val="FootnoteReference"/>
        </w:rPr>
        <w:footnoteReference w:id="10"/>
      </w:r>
      <w:r w:rsidR="00611289">
        <w:t xml:space="preserve">  Furthermore, to effectuate the 2 GHz MSS band reconfiguration, the Commission directed Gamma and New DBSD to select in which bands the licensees would operate.</w:t>
      </w:r>
      <w:r w:rsidR="00611289">
        <w:rPr>
          <w:rStyle w:val="FootnoteReference"/>
        </w:rPr>
        <w:footnoteReference w:id="11"/>
      </w:r>
    </w:p>
    <w:p w:rsidR="00B66661" w:rsidRDefault="00B66661" w:rsidP="00BD26E4">
      <w:pPr>
        <w:pStyle w:val="ParaNum"/>
        <w:widowControl/>
        <w:tabs>
          <w:tab w:val="clear" w:pos="1080"/>
          <w:tab w:val="num" w:pos="1440"/>
        </w:tabs>
      </w:pPr>
      <w:r>
        <w:t xml:space="preserve">On </w:t>
      </w:r>
      <w:r w:rsidR="00E40593">
        <w:t>January 22, 2013,</w:t>
      </w:r>
      <w:r>
        <w:t xml:space="preserve"> Gamma and New DBSD stated they would not protest the proposed license modifications.</w:t>
      </w:r>
      <w:r w:rsidR="00C16D29" w:rsidRPr="00C16D29">
        <w:rPr>
          <w:rStyle w:val="FootnoteReference"/>
        </w:rPr>
        <w:t xml:space="preserve"> </w:t>
      </w:r>
      <w:r w:rsidR="00C16D29">
        <w:rPr>
          <w:rStyle w:val="FootnoteReference"/>
        </w:rPr>
        <w:footnoteReference w:id="12"/>
      </w:r>
      <w:r w:rsidR="00C16D29">
        <w:t xml:space="preserve">  </w:t>
      </w:r>
      <w:r w:rsidR="00611289">
        <w:t xml:space="preserve">Additionally, </w:t>
      </w:r>
      <w:r>
        <w:t xml:space="preserve">Gamma stated that it would operate on the new </w:t>
      </w:r>
      <w:r w:rsidR="00E40593">
        <w:t xml:space="preserve">2 GHz </w:t>
      </w:r>
      <w:r>
        <w:t xml:space="preserve">MSS </w:t>
      </w:r>
      <w:r w:rsidR="00E40593">
        <w:t xml:space="preserve">A </w:t>
      </w:r>
      <w:r>
        <w:lastRenderedPageBreak/>
        <w:t xml:space="preserve">Block </w:t>
      </w:r>
      <w:r w:rsidR="00E40593">
        <w:t>(2000-2010 MHz and 2180-2190 MHz)</w:t>
      </w:r>
      <w:r>
        <w:t xml:space="preserve">; New DBSD stated that it would operate on the new </w:t>
      </w:r>
      <w:r w:rsidR="00E40593">
        <w:t xml:space="preserve">2 GHz </w:t>
      </w:r>
      <w:r>
        <w:t xml:space="preserve">MSS </w:t>
      </w:r>
      <w:r w:rsidR="00E40593">
        <w:t xml:space="preserve">B </w:t>
      </w:r>
      <w:r>
        <w:t xml:space="preserve">Block </w:t>
      </w:r>
      <w:r w:rsidR="00E40593">
        <w:t>(2010-2020 MHz and 2190-2200 MHz)</w:t>
      </w:r>
      <w:r w:rsidR="00C16D29">
        <w:t>.</w:t>
      </w:r>
      <w:r w:rsidR="00C16D29">
        <w:rPr>
          <w:rStyle w:val="FootnoteReference"/>
        </w:rPr>
        <w:footnoteReference w:id="13"/>
      </w:r>
    </w:p>
    <w:p w:rsidR="00BD26E4" w:rsidRPr="00BD26E4" w:rsidRDefault="00BD26E4" w:rsidP="00BD26E4">
      <w:pPr>
        <w:pStyle w:val="Heading1"/>
        <w:widowControl/>
        <w:tabs>
          <w:tab w:val="left" w:pos="720"/>
        </w:tabs>
        <w:rPr>
          <w:rFonts w:ascii="Times New Roman" w:hAnsi="Times New Roman"/>
        </w:rPr>
      </w:pPr>
      <w:r w:rsidRPr="00BD26E4">
        <w:rPr>
          <w:rFonts w:ascii="Times New Roman" w:hAnsi="Times New Roman"/>
        </w:rPr>
        <w:t>Discussion</w:t>
      </w:r>
      <w:r w:rsidR="000D1B0C">
        <w:rPr>
          <w:rFonts w:ascii="Times New Roman" w:hAnsi="Times New Roman"/>
        </w:rPr>
        <w:t xml:space="preserve"> and Conclusion</w:t>
      </w:r>
    </w:p>
    <w:p w:rsidR="00BD26E4" w:rsidRPr="00181748" w:rsidRDefault="00794AB2" w:rsidP="00BD26E4">
      <w:pPr>
        <w:pStyle w:val="ParaNum"/>
        <w:widowControl/>
        <w:tabs>
          <w:tab w:val="clear" w:pos="1080"/>
          <w:tab w:val="num" w:pos="1440"/>
        </w:tabs>
      </w:pPr>
      <w:r>
        <w:rPr>
          <w:color w:val="000000"/>
        </w:rPr>
        <w:t>Based on the record in this matter</w:t>
      </w:r>
      <w:r w:rsidR="000D1B0C">
        <w:rPr>
          <w:color w:val="000000"/>
        </w:rPr>
        <w:t xml:space="preserve"> and the Commission’s decision in the </w:t>
      </w:r>
      <w:r w:rsidR="000D1B0C" w:rsidRPr="00A012E8">
        <w:rPr>
          <w:i/>
          <w:color w:val="000000"/>
        </w:rPr>
        <w:t xml:space="preserve">AWS-4 </w:t>
      </w:r>
      <w:r w:rsidR="00461E30">
        <w:rPr>
          <w:i/>
          <w:color w:val="000000"/>
        </w:rPr>
        <w:t xml:space="preserve">Report and </w:t>
      </w:r>
      <w:r w:rsidR="000D1B0C" w:rsidRPr="00A012E8">
        <w:rPr>
          <w:i/>
          <w:color w:val="000000"/>
        </w:rPr>
        <w:t>Order</w:t>
      </w:r>
      <w:r>
        <w:rPr>
          <w:color w:val="000000"/>
        </w:rPr>
        <w:t>, we</w:t>
      </w:r>
      <w:r w:rsidR="001F453E">
        <w:rPr>
          <w:color w:val="000000"/>
        </w:rPr>
        <w:t xml:space="preserve"> conclude it is in the public interest to modify</w:t>
      </w:r>
      <w:r w:rsidR="003822B8">
        <w:rPr>
          <w:color w:val="000000"/>
        </w:rPr>
        <w:t xml:space="preserve"> the</w:t>
      </w:r>
      <w:r w:rsidR="001F453E">
        <w:rPr>
          <w:color w:val="000000"/>
        </w:rPr>
        <w:t xml:space="preserve"> Gamma and New DBSD</w:t>
      </w:r>
      <w:r w:rsidR="000D1B0C">
        <w:rPr>
          <w:color w:val="000000"/>
        </w:rPr>
        <w:t xml:space="preserve"> licenses</w:t>
      </w:r>
      <w:r w:rsidR="001F453E">
        <w:rPr>
          <w:color w:val="000000"/>
        </w:rPr>
        <w:t>.</w:t>
      </w:r>
      <w:r w:rsidR="00461E30">
        <w:rPr>
          <w:rStyle w:val="FootnoteReference"/>
        </w:rPr>
        <w:footnoteReference w:id="14"/>
      </w:r>
      <w:r w:rsidR="001F453E">
        <w:rPr>
          <w:color w:val="000000"/>
        </w:rPr>
        <w:t xml:space="preserve">  </w:t>
      </w:r>
      <w:r w:rsidR="000D1B0C">
        <w:rPr>
          <w:color w:val="000000"/>
        </w:rPr>
        <w:t>T</w:t>
      </w:r>
      <w:r w:rsidR="0054404B">
        <w:rPr>
          <w:color w:val="000000"/>
        </w:rPr>
        <w:t xml:space="preserve">he license modifications </w:t>
      </w:r>
      <w:r w:rsidR="003822B8">
        <w:rPr>
          <w:color w:val="000000"/>
        </w:rPr>
        <w:t>will</w:t>
      </w:r>
      <w:r w:rsidR="0054404B">
        <w:rPr>
          <w:color w:val="000000"/>
        </w:rPr>
        <w:t xml:space="preserve"> be effective on March </w:t>
      </w:r>
      <w:r w:rsidR="00461E30" w:rsidRPr="00A012E8">
        <w:rPr>
          <w:color w:val="000000"/>
        </w:rPr>
        <w:t>7</w:t>
      </w:r>
      <w:r w:rsidR="0054404B">
        <w:rPr>
          <w:color w:val="000000"/>
        </w:rPr>
        <w:t xml:space="preserve">, 2013, the date on which the rule changes contained in the </w:t>
      </w:r>
      <w:r w:rsidR="0054404B">
        <w:rPr>
          <w:i/>
          <w:color w:val="000000"/>
        </w:rPr>
        <w:t>AWS-4 Report and Order</w:t>
      </w:r>
      <w:r w:rsidR="0054404B">
        <w:rPr>
          <w:color w:val="000000"/>
        </w:rPr>
        <w:t xml:space="preserve"> become effective (other than those requiring OMB approval).</w:t>
      </w:r>
      <w:r w:rsidR="0054404B">
        <w:rPr>
          <w:rStyle w:val="FootnoteReference"/>
        </w:rPr>
        <w:footnoteReference w:id="15"/>
      </w:r>
      <w:r w:rsidR="00AA6836">
        <w:rPr>
          <w:color w:val="000000"/>
        </w:rPr>
        <w:t xml:space="preserve"> </w:t>
      </w:r>
    </w:p>
    <w:p w:rsidR="00BD26E4" w:rsidRPr="00BD26E4" w:rsidRDefault="00BD26E4" w:rsidP="00BD26E4">
      <w:pPr>
        <w:pStyle w:val="Heading1"/>
        <w:widowControl/>
        <w:tabs>
          <w:tab w:val="left" w:pos="720"/>
        </w:tabs>
        <w:rPr>
          <w:rFonts w:ascii="Times New Roman" w:hAnsi="Times New Roman"/>
        </w:rPr>
      </w:pPr>
      <w:r w:rsidRPr="00BD26E4">
        <w:rPr>
          <w:rFonts w:ascii="Times New Roman" w:hAnsi="Times New Roman"/>
        </w:rPr>
        <w:t>Ordering Clauses</w:t>
      </w:r>
    </w:p>
    <w:p w:rsidR="007C6CCD" w:rsidRPr="007C6CCD" w:rsidRDefault="00181748" w:rsidP="00BD26E4">
      <w:pPr>
        <w:pStyle w:val="ParaNum"/>
        <w:widowControl/>
        <w:tabs>
          <w:tab w:val="clear" w:pos="1080"/>
          <w:tab w:val="num" w:pos="1440"/>
        </w:tabs>
      </w:pPr>
      <w:r>
        <w:rPr>
          <w:color w:val="000000"/>
        </w:rPr>
        <w:t>Accordingly, IT IS ORDERED</w:t>
      </w:r>
      <w:r w:rsidR="00FD47F3">
        <w:rPr>
          <w:color w:val="000000"/>
        </w:rPr>
        <w:t xml:space="preserve">, pursuant to Sections 4(i) and 316(a) of the Communications Act of 1934, 47 U.S.C. §§ 154(i), 316(a), and Section 1.87 of the </w:t>
      </w:r>
      <w:r w:rsidR="000D1B0C">
        <w:rPr>
          <w:color w:val="000000"/>
        </w:rPr>
        <w:t>C</w:t>
      </w:r>
      <w:r w:rsidR="00FD47F3">
        <w:rPr>
          <w:color w:val="000000"/>
        </w:rPr>
        <w:t>ommission’s Rules, 47 C.F.R. § 1.87,</w:t>
      </w:r>
      <w:r>
        <w:rPr>
          <w:color w:val="000000"/>
        </w:rPr>
        <w:t xml:space="preserve"> </w:t>
      </w:r>
      <w:r w:rsidR="001F453E">
        <w:rPr>
          <w:color w:val="000000"/>
        </w:rPr>
        <w:t xml:space="preserve">that </w:t>
      </w:r>
      <w:r w:rsidR="007C6CCD">
        <w:rPr>
          <w:color w:val="000000"/>
        </w:rPr>
        <w:t xml:space="preserve">the license of </w:t>
      </w:r>
      <w:r w:rsidR="001F453E">
        <w:rPr>
          <w:color w:val="000000"/>
        </w:rPr>
        <w:t>Gamma Acquisition L.L.C.</w:t>
      </w:r>
      <w:r w:rsidR="007C6CCD">
        <w:rPr>
          <w:color w:val="000000"/>
        </w:rPr>
        <w:t xml:space="preserve">, call sign E060430, </w:t>
      </w:r>
      <w:r w:rsidR="00E65D53">
        <w:rPr>
          <w:color w:val="000000"/>
        </w:rPr>
        <w:t>IS</w:t>
      </w:r>
      <w:r w:rsidR="007C6CCD">
        <w:rPr>
          <w:color w:val="000000"/>
        </w:rPr>
        <w:t xml:space="preserve"> MODIFIED to </w:t>
      </w:r>
      <w:r w:rsidR="000D1B0C">
        <w:rPr>
          <w:color w:val="000000"/>
        </w:rPr>
        <w:t>specify</w:t>
      </w:r>
      <w:r w:rsidR="007C6CCD">
        <w:rPr>
          <w:color w:val="000000"/>
        </w:rPr>
        <w:t xml:space="preserve"> </w:t>
      </w:r>
      <w:r w:rsidR="00E65D53">
        <w:rPr>
          <w:color w:val="000000"/>
        </w:rPr>
        <w:t xml:space="preserve">MSS </w:t>
      </w:r>
      <w:r w:rsidR="001F453E">
        <w:rPr>
          <w:color w:val="000000"/>
        </w:rPr>
        <w:t>operat</w:t>
      </w:r>
      <w:r w:rsidR="007C6CCD">
        <w:rPr>
          <w:color w:val="000000"/>
        </w:rPr>
        <w:t xml:space="preserve">ions in </w:t>
      </w:r>
      <w:r w:rsidR="000D1B0C">
        <w:rPr>
          <w:color w:val="000000"/>
        </w:rPr>
        <w:t xml:space="preserve">the </w:t>
      </w:r>
      <w:r w:rsidR="007C6CCD">
        <w:rPr>
          <w:color w:val="000000"/>
        </w:rPr>
        <w:t>2000-2010 MHz</w:t>
      </w:r>
      <w:r w:rsidR="000D1B0C">
        <w:rPr>
          <w:color w:val="000000"/>
        </w:rPr>
        <w:t xml:space="preserve"> and </w:t>
      </w:r>
      <w:r w:rsidR="007C6CCD">
        <w:rPr>
          <w:color w:val="000000"/>
        </w:rPr>
        <w:t>2180-2190 MHz</w:t>
      </w:r>
      <w:r w:rsidR="000D1B0C">
        <w:rPr>
          <w:color w:val="000000"/>
        </w:rPr>
        <w:t xml:space="preserve"> frequency bands, and to remove ATC authority</w:t>
      </w:r>
      <w:r w:rsidR="007C6CCD">
        <w:rPr>
          <w:color w:val="000000"/>
        </w:rPr>
        <w:t>.</w:t>
      </w:r>
    </w:p>
    <w:p w:rsidR="007C6CCD" w:rsidRPr="007C6CCD" w:rsidRDefault="007C6CCD" w:rsidP="00BD26E4">
      <w:pPr>
        <w:pStyle w:val="ParaNum"/>
        <w:widowControl/>
        <w:tabs>
          <w:tab w:val="clear" w:pos="1080"/>
          <w:tab w:val="num" w:pos="1440"/>
        </w:tabs>
      </w:pPr>
      <w:r>
        <w:rPr>
          <w:color w:val="000000"/>
        </w:rPr>
        <w:t>IT IS FURTHER ORDERED</w:t>
      </w:r>
      <w:r w:rsidR="00FD47F3">
        <w:rPr>
          <w:color w:val="000000"/>
        </w:rPr>
        <w:t xml:space="preserve">, pursuant to Sections 4(i) and 316(a) of the Communications Act of 1934, 47 U.S.C. §§ 154(i), 316(a), and Section 1.87 of the </w:t>
      </w:r>
      <w:r w:rsidR="00DE10B6">
        <w:rPr>
          <w:color w:val="000000"/>
        </w:rPr>
        <w:t>C</w:t>
      </w:r>
      <w:r w:rsidR="00FD47F3">
        <w:rPr>
          <w:color w:val="000000"/>
        </w:rPr>
        <w:t>ommission’s Rules, 47 C.F.R. § 1.87,</w:t>
      </w:r>
      <w:r>
        <w:rPr>
          <w:color w:val="000000"/>
        </w:rPr>
        <w:t xml:space="preserve"> that the license of New DBSD Satellite Services G.P., call sign E070272, </w:t>
      </w:r>
      <w:r w:rsidR="00E65D53">
        <w:rPr>
          <w:color w:val="000000"/>
        </w:rPr>
        <w:t>IS</w:t>
      </w:r>
      <w:r>
        <w:rPr>
          <w:color w:val="000000"/>
        </w:rPr>
        <w:t xml:space="preserve"> MODIFIED to </w:t>
      </w:r>
      <w:r w:rsidR="000D1B0C">
        <w:rPr>
          <w:color w:val="000000"/>
        </w:rPr>
        <w:t>specify</w:t>
      </w:r>
      <w:r>
        <w:rPr>
          <w:color w:val="000000"/>
        </w:rPr>
        <w:t xml:space="preserve"> </w:t>
      </w:r>
      <w:r w:rsidR="00E65D53">
        <w:rPr>
          <w:color w:val="000000"/>
        </w:rPr>
        <w:t xml:space="preserve">MSS </w:t>
      </w:r>
      <w:r>
        <w:rPr>
          <w:color w:val="000000"/>
        </w:rPr>
        <w:t xml:space="preserve">operations in </w:t>
      </w:r>
      <w:r w:rsidR="000D1B0C">
        <w:rPr>
          <w:color w:val="000000"/>
        </w:rPr>
        <w:t xml:space="preserve">the </w:t>
      </w:r>
      <w:r>
        <w:rPr>
          <w:color w:val="000000"/>
        </w:rPr>
        <w:t xml:space="preserve">2010-2020 MHz </w:t>
      </w:r>
      <w:r w:rsidR="000D1B0C">
        <w:rPr>
          <w:color w:val="000000"/>
        </w:rPr>
        <w:t xml:space="preserve">and </w:t>
      </w:r>
      <w:r>
        <w:rPr>
          <w:color w:val="000000"/>
        </w:rPr>
        <w:t>2190-2200 MHz</w:t>
      </w:r>
      <w:r w:rsidR="000D1B0C">
        <w:rPr>
          <w:color w:val="000000"/>
        </w:rPr>
        <w:t xml:space="preserve"> frequency bands, and to remove ATC authority.</w:t>
      </w:r>
    </w:p>
    <w:p w:rsidR="007C6CCD" w:rsidRPr="007C6CCD" w:rsidRDefault="007C6CCD" w:rsidP="00BD26E4">
      <w:pPr>
        <w:pStyle w:val="ParaNum"/>
        <w:widowControl/>
        <w:tabs>
          <w:tab w:val="clear" w:pos="1080"/>
          <w:tab w:val="num" w:pos="1440"/>
        </w:tabs>
      </w:pPr>
      <w:r>
        <w:rPr>
          <w:color w:val="000000"/>
        </w:rPr>
        <w:t>IT IS FURTHER ORDERED</w:t>
      </w:r>
      <w:r w:rsidR="00FD47F3">
        <w:rPr>
          <w:color w:val="000000"/>
        </w:rPr>
        <w:t xml:space="preserve">, pursuant to Sections 4(i) and 316(a) of the Communications Act of 1934, 47 U.S.C. §§ 154(i), 316(a), and Section 1.87 of the </w:t>
      </w:r>
      <w:r w:rsidR="00DE10B6">
        <w:rPr>
          <w:color w:val="000000"/>
        </w:rPr>
        <w:t>C</w:t>
      </w:r>
      <w:r w:rsidR="00FD47F3">
        <w:rPr>
          <w:color w:val="000000"/>
        </w:rPr>
        <w:t>ommission’s Rules, 47 C.F.R. § 1.87,</w:t>
      </w:r>
      <w:r>
        <w:rPr>
          <w:color w:val="000000"/>
        </w:rPr>
        <w:t xml:space="preserve"> that </w:t>
      </w:r>
      <w:r w:rsidR="00794AB2">
        <w:rPr>
          <w:color w:val="000000"/>
        </w:rPr>
        <w:t>AWS-4 operating authority</w:t>
      </w:r>
      <w:r>
        <w:rPr>
          <w:color w:val="000000"/>
        </w:rPr>
        <w:t xml:space="preserve"> </w:t>
      </w:r>
      <w:r w:rsidRPr="0054404B">
        <w:rPr>
          <w:caps/>
          <w:color w:val="000000"/>
        </w:rPr>
        <w:t>is</w:t>
      </w:r>
      <w:r>
        <w:rPr>
          <w:color w:val="000000"/>
        </w:rPr>
        <w:t xml:space="preserve"> GRANTED </w:t>
      </w:r>
      <w:r w:rsidR="00794AB2">
        <w:rPr>
          <w:color w:val="000000"/>
        </w:rPr>
        <w:t xml:space="preserve">to </w:t>
      </w:r>
      <w:r>
        <w:rPr>
          <w:color w:val="000000"/>
        </w:rPr>
        <w:t>Gamma Acquisition L.L.C.</w:t>
      </w:r>
    </w:p>
    <w:p w:rsidR="007C6CCD" w:rsidRPr="007C6CCD" w:rsidRDefault="007C6CCD" w:rsidP="00BD26E4">
      <w:pPr>
        <w:pStyle w:val="ParaNum"/>
        <w:widowControl/>
        <w:tabs>
          <w:tab w:val="clear" w:pos="1080"/>
          <w:tab w:val="num" w:pos="1440"/>
        </w:tabs>
      </w:pPr>
      <w:r>
        <w:rPr>
          <w:color w:val="000000"/>
        </w:rPr>
        <w:t>IT IS FURTHER ORDERED</w:t>
      </w:r>
      <w:r w:rsidR="00FD47F3">
        <w:rPr>
          <w:color w:val="000000"/>
        </w:rPr>
        <w:t xml:space="preserve">, pursuant to Sections 4(i) and 316(a) of the Communications Act of 1934, 47 U.S.C. §§ 154(i), 316(a), and Section 1.87 of the </w:t>
      </w:r>
      <w:r w:rsidR="00DE10B6">
        <w:rPr>
          <w:color w:val="000000"/>
        </w:rPr>
        <w:t>C</w:t>
      </w:r>
      <w:r w:rsidR="00FD47F3">
        <w:rPr>
          <w:color w:val="000000"/>
        </w:rPr>
        <w:t xml:space="preserve">ommission’s Rules, 47 C.F.R. § 1.87, </w:t>
      </w:r>
      <w:r>
        <w:rPr>
          <w:color w:val="000000"/>
        </w:rPr>
        <w:t xml:space="preserve"> that AWS-4 operating authority </w:t>
      </w:r>
      <w:r w:rsidRPr="0054404B">
        <w:rPr>
          <w:caps/>
          <w:color w:val="000000"/>
        </w:rPr>
        <w:t>is</w:t>
      </w:r>
      <w:r>
        <w:rPr>
          <w:color w:val="000000"/>
        </w:rPr>
        <w:t xml:space="preserve"> GRANTED to New DBSD Satellite Services G.P.</w:t>
      </w:r>
    </w:p>
    <w:p w:rsidR="00BD26E4" w:rsidRPr="00B2720B" w:rsidRDefault="00DA667E" w:rsidP="00BD26E4">
      <w:pPr>
        <w:pStyle w:val="ParaNum"/>
        <w:widowControl/>
        <w:tabs>
          <w:tab w:val="clear" w:pos="1080"/>
          <w:tab w:val="num" w:pos="1440"/>
        </w:tabs>
        <w:rPr>
          <w:b/>
          <w:color w:val="000000"/>
        </w:rPr>
      </w:pPr>
      <w:r>
        <w:t xml:space="preserve">IT IS FURTHER ORDERED that this </w:t>
      </w:r>
      <w:r>
        <w:rPr>
          <w:i/>
        </w:rPr>
        <w:t xml:space="preserve">Order of Modification </w:t>
      </w:r>
      <w:r w:rsidR="003822B8">
        <w:rPr>
          <w:caps/>
        </w:rPr>
        <w:t>will</w:t>
      </w:r>
      <w:r w:rsidRPr="0054404B">
        <w:rPr>
          <w:caps/>
        </w:rPr>
        <w:t xml:space="preserve"> be sent</w:t>
      </w:r>
      <w:r>
        <w:t xml:space="preserve"> by certified mail, return receipt requested, to </w:t>
      </w:r>
      <w:r w:rsidR="00E65D53">
        <w:t xml:space="preserve">Alison Minea, Corporate </w:t>
      </w:r>
      <w:r w:rsidR="00681868">
        <w:t>C</w:t>
      </w:r>
      <w:r w:rsidR="00E65D53">
        <w:t xml:space="preserve">ounsel, DISH Network Corporation, 1100 Vermont Avenue, NW, Suite 750, Washington, DC 20005, and to </w:t>
      </w:r>
      <w:r>
        <w:t>Mr. Pant</w:t>
      </w:r>
      <w:r w:rsidR="00C85119">
        <w:t>el</w:t>
      </w:r>
      <w:r>
        <w:t>is Michalopoulos, Steptoe &amp; Johnson LLP, 1330 Connecticut Avenue, NW, Washington, DC  20036-1795.</w:t>
      </w:r>
      <w:r w:rsidR="00A84A0C">
        <w:rPr>
          <w:rStyle w:val="FootnoteReference"/>
        </w:rPr>
        <w:footnoteReference w:id="16"/>
      </w:r>
      <w:r>
        <w:t xml:space="preserve">  </w:t>
      </w:r>
    </w:p>
    <w:p w:rsidR="00B2720B" w:rsidRDefault="00B2720B" w:rsidP="00B2720B">
      <w:pPr>
        <w:pStyle w:val="ParaNum"/>
        <w:widowControl/>
        <w:tabs>
          <w:tab w:val="clear" w:pos="1080"/>
          <w:tab w:val="num" w:pos="1440"/>
        </w:tabs>
      </w:pPr>
      <w:r>
        <w:t xml:space="preserve">IT IS FURTHER ORDERED that the licensing staffs of the International Bureau and the Wireless Telecommunications Bureau </w:t>
      </w:r>
      <w:r w:rsidR="003822B8">
        <w:t>WILL</w:t>
      </w:r>
      <w:r>
        <w:t xml:space="preserve"> UPDATE the International Bureau Filing System and the Universal Licensing System in accordance with this </w:t>
      </w:r>
      <w:r>
        <w:rPr>
          <w:i/>
        </w:rPr>
        <w:t>Order of Modification</w:t>
      </w:r>
      <w:r>
        <w:t xml:space="preserve"> and with the Commission’s rules.</w:t>
      </w:r>
    </w:p>
    <w:p w:rsidR="00B2720B" w:rsidRDefault="00B2720B" w:rsidP="00B2720B">
      <w:pPr>
        <w:pStyle w:val="ParaNum"/>
        <w:widowControl/>
        <w:tabs>
          <w:tab w:val="clear" w:pos="1080"/>
          <w:tab w:val="num" w:pos="1440"/>
        </w:tabs>
      </w:pPr>
      <w:r>
        <w:t xml:space="preserve">IT IS FURTHER ORDERED that this </w:t>
      </w:r>
      <w:r>
        <w:rPr>
          <w:i/>
        </w:rPr>
        <w:t>Order of Modification</w:t>
      </w:r>
      <w:r>
        <w:t xml:space="preserve"> </w:t>
      </w:r>
      <w:r w:rsidR="003822B8">
        <w:t>WILL</w:t>
      </w:r>
      <w:r>
        <w:t xml:space="preserve"> BE EFFECTIVE on March </w:t>
      </w:r>
      <w:r w:rsidR="00461E30">
        <w:t>7</w:t>
      </w:r>
      <w:r>
        <w:t>, 2013.</w:t>
      </w:r>
    </w:p>
    <w:p w:rsidR="00DA667E" w:rsidRDefault="00DA667E" w:rsidP="0054404B">
      <w:pPr>
        <w:pStyle w:val="ParaNum"/>
        <w:keepNext/>
        <w:widowControl/>
        <w:tabs>
          <w:tab w:val="clear" w:pos="1080"/>
          <w:tab w:val="num" w:pos="1440"/>
        </w:tabs>
      </w:pPr>
      <w:r>
        <w:t xml:space="preserve">This action is taken under delegated authority pursuant to Sections </w:t>
      </w:r>
      <w:r w:rsidR="00237AA9">
        <w:t xml:space="preserve">0.51, </w:t>
      </w:r>
      <w:r>
        <w:t>0.131</w:t>
      </w:r>
      <w:r w:rsidR="00237AA9">
        <w:t>, 0.261,</w:t>
      </w:r>
      <w:r>
        <w:t xml:space="preserve"> and 0.331 of the Commission’s Rules, 47 C.F.R. §§ </w:t>
      </w:r>
      <w:r w:rsidR="00237AA9">
        <w:t xml:space="preserve">0.51, </w:t>
      </w:r>
      <w:r>
        <w:t xml:space="preserve">0.131, </w:t>
      </w:r>
      <w:r w:rsidR="00237AA9">
        <w:t xml:space="preserve">0.261, and </w:t>
      </w:r>
      <w:r>
        <w:t>0.331.</w:t>
      </w:r>
    </w:p>
    <w:p w:rsidR="00BD26E4" w:rsidRPr="00DA667E" w:rsidRDefault="00BD26E4" w:rsidP="0054404B">
      <w:pPr>
        <w:pStyle w:val="ParaNum"/>
        <w:keepNext/>
        <w:widowControl/>
        <w:numPr>
          <w:ilvl w:val="0"/>
          <w:numId w:val="0"/>
        </w:numPr>
        <w:rPr>
          <w:color w:val="000000"/>
        </w:rPr>
      </w:pPr>
    </w:p>
    <w:p w:rsidR="00BD26E4" w:rsidRDefault="00BD26E4" w:rsidP="0054404B">
      <w:pPr>
        <w:keepNext/>
        <w:keepLines/>
        <w:widowControl/>
        <w:ind w:left="4680"/>
        <w:rPr>
          <w:caps/>
          <w:color w:val="000000"/>
          <w:szCs w:val="22"/>
        </w:rPr>
      </w:pPr>
      <w:r>
        <w:rPr>
          <w:caps/>
          <w:color w:val="000000"/>
          <w:szCs w:val="22"/>
        </w:rPr>
        <w:t>Federal Communications Commission</w:t>
      </w:r>
    </w:p>
    <w:p w:rsidR="00BD26E4" w:rsidRDefault="00BD26E4" w:rsidP="0054404B">
      <w:pPr>
        <w:keepNext/>
        <w:keepLines/>
        <w:widowControl/>
        <w:ind w:left="4680"/>
        <w:rPr>
          <w:color w:val="000000"/>
          <w:szCs w:val="22"/>
        </w:rPr>
      </w:pPr>
    </w:p>
    <w:p w:rsidR="00BD26E4" w:rsidRDefault="00BD26E4" w:rsidP="0054404B">
      <w:pPr>
        <w:keepNext/>
        <w:keepLines/>
        <w:widowControl/>
        <w:ind w:left="4680"/>
        <w:rPr>
          <w:color w:val="000000"/>
          <w:szCs w:val="22"/>
        </w:rPr>
      </w:pPr>
    </w:p>
    <w:p w:rsidR="00BD26E4" w:rsidRDefault="00BD26E4" w:rsidP="0054404B">
      <w:pPr>
        <w:keepNext/>
        <w:keepLines/>
        <w:widowControl/>
        <w:ind w:left="4680"/>
        <w:rPr>
          <w:color w:val="000000"/>
          <w:szCs w:val="22"/>
        </w:rPr>
      </w:pPr>
    </w:p>
    <w:p w:rsidR="00BD26E4" w:rsidRDefault="00DE10B6" w:rsidP="0054404B">
      <w:pPr>
        <w:keepNext/>
        <w:keepLines/>
        <w:widowControl/>
        <w:ind w:left="4680"/>
        <w:rPr>
          <w:color w:val="000000"/>
          <w:szCs w:val="22"/>
        </w:rPr>
      </w:pPr>
      <w:r>
        <w:rPr>
          <w:color w:val="000000"/>
          <w:szCs w:val="22"/>
        </w:rPr>
        <w:t>Fern J. Jarmulnek</w:t>
      </w:r>
    </w:p>
    <w:p w:rsidR="00DE10B6" w:rsidRDefault="00DE10B6" w:rsidP="0054404B">
      <w:pPr>
        <w:keepNext/>
        <w:keepLines/>
        <w:widowControl/>
        <w:ind w:left="4680"/>
        <w:rPr>
          <w:color w:val="000000"/>
          <w:szCs w:val="22"/>
        </w:rPr>
      </w:pPr>
      <w:r>
        <w:rPr>
          <w:color w:val="000000"/>
          <w:szCs w:val="22"/>
        </w:rPr>
        <w:t xml:space="preserve">Acting </w:t>
      </w:r>
      <w:r w:rsidR="00BD26E4">
        <w:rPr>
          <w:color w:val="000000"/>
          <w:szCs w:val="22"/>
        </w:rPr>
        <w:t>Chief, Satellite Division,</w:t>
      </w:r>
    </w:p>
    <w:p w:rsidR="00BD26E4" w:rsidRDefault="00BD26E4" w:rsidP="0054404B">
      <w:pPr>
        <w:keepNext/>
        <w:keepLines/>
        <w:widowControl/>
        <w:ind w:left="4680"/>
        <w:rPr>
          <w:color w:val="000000"/>
          <w:szCs w:val="22"/>
        </w:rPr>
      </w:pPr>
      <w:r>
        <w:rPr>
          <w:color w:val="000000"/>
          <w:szCs w:val="22"/>
        </w:rPr>
        <w:t>International Bureau</w:t>
      </w:r>
    </w:p>
    <w:p w:rsidR="00BD26E4" w:rsidRDefault="00BD26E4" w:rsidP="0054404B">
      <w:pPr>
        <w:keepNext/>
        <w:keepLines/>
        <w:widowControl/>
        <w:ind w:left="4680"/>
        <w:rPr>
          <w:color w:val="000000"/>
          <w:szCs w:val="22"/>
        </w:rPr>
      </w:pPr>
    </w:p>
    <w:p w:rsidR="00BD26E4" w:rsidRDefault="00BD26E4" w:rsidP="0054404B">
      <w:pPr>
        <w:keepNext/>
        <w:keepLines/>
        <w:widowControl/>
        <w:ind w:left="4680"/>
        <w:rPr>
          <w:color w:val="000000"/>
          <w:szCs w:val="22"/>
        </w:rPr>
      </w:pPr>
    </w:p>
    <w:p w:rsidR="00BD26E4" w:rsidRDefault="00BD26E4" w:rsidP="0054404B">
      <w:pPr>
        <w:keepNext/>
        <w:keepLines/>
        <w:widowControl/>
        <w:ind w:left="4680"/>
        <w:rPr>
          <w:color w:val="000000"/>
          <w:szCs w:val="22"/>
        </w:rPr>
      </w:pPr>
    </w:p>
    <w:p w:rsidR="00BD26E4" w:rsidRDefault="00BD26E4" w:rsidP="0054404B">
      <w:pPr>
        <w:keepNext/>
        <w:keepLines/>
        <w:widowControl/>
        <w:ind w:left="4680"/>
        <w:rPr>
          <w:color w:val="000000"/>
          <w:szCs w:val="22"/>
        </w:rPr>
      </w:pPr>
      <w:r>
        <w:rPr>
          <w:color w:val="000000"/>
          <w:szCs w:val="22"/>
        </w:rPr>
        <w:t>Blaise Scinto</w:t>
      </w:r>
    </w:p>
    <w:p w:rsidR="00BD26E4" w:rsidRDefault="00BD26E4" w:rsidP="0054404B">
      <w:pPr>
        <w:keepNext/>
        <w:keepLines/>
        <w:widowControl/>
        <w:ind w:left="4680"/>
        <w:rPr>
          <w:color w:val="000000"/>
          <w:szCs w:val="22"/>
        </w:rPr>
      </w:pPr>
      <w:r>
        <w:rPr>
          <w:color w:val="000000"/>
          <w:szCs w:val="22"/>
        </w:rPr>
        <w:t>Chief, Broadband Division, Wireless Telecommunications Bureau</w:t>
      </w:r>
    </w:p>
    <w:p w:rsidR="00BD26E4" w:rsidRPr="00BD26E4" w:rsidRDefault="00BD26E4" w:rsidP="00BD26E4">
      <w:pPr>
        <w:keepNext/>
        <w:keepLines/>
        <w:widowControl/>
        <w:ind w:left="4680"/>
        <w:rPr>
          <w:szCs w:val="22"/>
        </w:rPr>
      </w:pPr>
    </w:p>
    <w:sectPr w:rsidR="00BD26E4" w:rsidRPr="00BD26E4" w:rsidSect="00225C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3F" w:rsidRDefault="00C2183F" w:rsidP="00225C8C">
      <w:r>
        <w:separator/>
      </w:r>
    </w:p>
  </w:endnote>
  <w:endnote w:type="continuationSeparator" w:id="0">
    <w:p w:rsidR="00C2183F" w:rsidRDefault="00C2183F" w:rsidP="0022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Bookman Old Style"/>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32" w:rsidRDefault="00075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E4" w:rsidRDefault="00BD26E4" w:rsidP="00BD26E4">
    <w:pPr>
      <w:pStyle w:val="Footer"/>
    </w:pPr>
    <w:r>
      <w:tab/>
    </w:r>
    <w:sdt>
      <w:sdtPr>
        <w:id w:val="-18673621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0573">
          <w:rPr>
            <w:noProof/>
          </w:rPr>
          <w:t>2</w:t>
        </w:r>
        <w:r>
          <w:rPr>
            <w:noProof/>
          </w:rPr>
          <w:fldChar w:fldCharType="end"/>
        </w:r>
        <w:r>
          <w:rPr>
            <w:noProof/>
          </w:rPr>
          <w:tab/>
        </w:r>
      </w:sdtContent>
    </w:sdt>
  </w:p>
  <w:p w:rsidR="00BD26E4" w:rsidRDefault="00BD2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8C" w:rsidRDefault="00225C8C" w:rsidP="00225C8C">
    <w:pPr>
      <w:pStyle w:val="Footer"/>
    </w:pPr>
  </w:p>
  <w:p w:rsidR="00225C8C" w:rsidRDefault="00225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3F" w:rsidRDefault="00C2183F" w:rsidP="00225C8C">
      <w:r>
        <w:separator/>
      </w:r>
    </w:p>
  </w:footnote>
  <w:footnote w:type="continuationSeparator" w:id="0">
    <w:p w:rsidR="00C2183F" w:rsidRDefault="00C2183F" w:rsidP="00225C8C">
      <w:r>
        <w:continuationSeparator/>
      </w:r>
    </w:p>
  </w:footnote>
  <w:footnote w:id="1">
    <w:p w:rsidR="00B66661" w:rsidRDefault="00B66661">
      <w:pPr>
        <w:pStyle w:val="FootnoteText"/>
      </w:pPr>
      <w:r>
        <w:rPr>
          <w:rStyle w:val="FootnoteReference"/>
        </w:rPr>
        <w:footnoteRef/>
      </w:r>
      <w:r>
        <w:t xml:space="preserve"> </w:t>
      </w:r>
      <w:r w:rsidR="00DA667E">
        <w:rPr>
          <w:i/>
        </w:rPr>
        <w:t xml:space="preserve">See </w:t>
      </w:r>
      <w:r w:rsidR="00DA667E">
        <w:t xml:space="preserve">Service Rules for Advanced Wireless Services in the 2000-2020 MHz and 2180-2200 MHz Bands, WT Docket Nos. 12-70 and 04-356, ET Docket No. 10-142, </w:t>
      </w:r>
      <w:r w:rsidR="00DA667E" w:rsidRPr="006C6317">
        <w:rPr>
          <w:i/>
        </w:rPr>
        <w:t>Report and Order and Order of Proposed Modification</w:t>
      </w:r>
      <w:r w:rsidR="00DA667E">
        <w:t>,</w:t>
      </w:r>
      <w:r w:rsidR="0054404B">
        <w:t xml:space="preserve"> </w:t>
      </w:r>
      <w:r w:rsidR="00AA6836">
        <w:t>27 FCC Rcd 16102</w:t>
      </w:r>
      <w:r w:rsidR="0054404B">
        <w:t xml:space="preserve">, </w:t>
      </w:r>
      <w:r w:rsidR="00AA6836">
        <w:t xml:space="preserve">16220-22, 16224, at </w:t>
      </w:r>
      <w:r w:rsidR="0054404B">
        <w:t>¶¶ 319-22, 331-22</w:t>
      </w:r>
      <w:r w:rsidR="00DA667E">
        <w:t xml:space="preserve"> </w:t>
      </w:r>
      <w:r w:rsidR="00C16D29">
        <w:t>(</w:t>
      </w:r>
      <w:r w:rsidR="00DA667E">
        <w:t>2012) (</w:t>
      </w:r>
      <w:r w:rsidR="00DE5550">
        <w:rPr>
          <w:i/>
        </w:rPr>
        <w:t>AWS-4 Report and Order</w:t>
      </w:r>
      <w:r w:rsidR="00AA6836">
        <w:rPr>
          <w:i/>
        </w:rPr>
        <w:t xml:space="preserve"> and Order of Proposed Modification</w:t>
      </w:r>
      <w:r w:rsidR="00DA667E">
        <w:t xml:space="preserve">). </w:t>
      </w:r>
    </w:p>
  </w:footnote>
  <w:footnote w:id="2">
    <w:p w:rsidR="00CB21AD" w:rsidRDefault="00CB21AD">
      <w:pPr>
        <w:pStyle w:val="FootnoteText"/>
      </w:pPr>
      <w:r>
        <w:rPr>
          <w:rStyle w:val="FootnoteReference"/>
        </w:rPr>
        <w:footnoteRef/>
      </w:r>
      <w:r>
        <w:t xml:space="preserve"> </w:t>
      </w:r>
      <w:r w:rsidR="00071E88">
        <w:rPr>
          <w:i/>
        </w:rPr>
        <w:t xml:space="preserve">See </w:t>
      </w:r>
      <w:r w:rsidR="00071E88">
        <w:t xml:space="preserve">Amendment of Section 2.106 of the Commission’s Rules to Allocate Spectrum at 2 GHz for Use by the Mobile-Satellite Service, ET Docket No. 95-18, </w:t>
      </w:r>
      <w:r w:rsidR="00071E88">
        <w:rPr>
          <w:i/>
        </w:rPr>
        <w:t xml:space="preserve">First Report and Order and Further Notice of Proposed </w:t>
      </w:r>
      <w:r w:rsidR="00071E88" w:rsidRPr="00071E88">
        <w:rPr>
          <w:i/>
        </w:rPr>
        <w:t>Rulemaking</w:t>
      </w:r>
      <w:r w:rsidR="00071E88">
        <w:t>, 12 FCC Rcd 7388</w:t>
      </w:r>
      <w:r w:rsidR="00AA6836">
        <w:t>,</w:t>
      </w:r>
      <w:r w:rsidR="00071E88">
        <w:t xml:space="preserve"> 7391, 7395</w:t>
      </w:r>
      <w:r w:rsidR="00AA6836">
        <w:t>, at</w:t>
      </w:r>
      <w:r w:rsidR="00071E88">
        <w:t xml:space="preserve"> ¶¶ 5-6, 14 (1997); </w:t>
      </w:r>
      <w:r w:rsidRPr="00071E88">
        <w:t>Establishment</w:t>
      </w:r>
      <w:r>
        <w:t xml:space="preserve"> of Policies and Service Rules for the Mobile Satellite Service in the 2 GHz Band, IB Docket No. 99-81, </w:t>
      </w:r>
      <w:r>
        <w:rPr>
          <w:i/>
        </w:rPr>
        <w:t>Report and Order</w:t>
      </w:r>
      <w:r>
        <w:t xml:space="preserve">, </w:t>
      </w:r>
      <w:r>
        <w:rPr>
          <w:spacing w:val="-2"/>
        </w:rPr>
        <w:t>15 FCC Rcd 16127 (2000).</w:t>
      </w:r>
      <w:r w:rsidR="00237AA9">
        <w:rPr>
          <w:spacing w:val="-2"/>
        </w:rPr>
        <w:t xml:space="preserve">  </w:t>
      </w:r>
    </w:p>
  </w:footnote>
  <w:footnote w:id="3">
    <w:p w:rsidR="00CB21AD" w:rsidRDefault="00CB21AD">
      <w:pPr>
        <w:pStyle w:val="FootnoteText"/>
      </w:pPr>
      <w:r>
        <w:rPr>
          <w:rStyle w:val="FootnoteReference"/>
        </w:rPr>
        <w:footnoteRef/>
      </w:r>
      <w:r>
        <w:t xml:space="preserve"> </w:t>
      </w:r>
      <w:r>
        <w:rPr>
          <w:i/>
        </w:rPr>
        <w:t xml:space="preserve">See </w:t>
      </w:r>
      <w:r>
        <w:t xml:space="preserve">Use of Returned Spectrum in the 2 GHz Mobile Satellite Service Frequency Bands, IB Docket Nos. 05-220, 05-221, </w:t>
      </w:r>
      <w:r>
        <w:rPr>
          <w:i/>
        </w:rPr>
        <w:t>Order</w:t>
      </w:r>
      <w:r>
        <w:t>, 20 FCC Rcd 19696</w:t>
      </w:r>
      <w:r w:rsidR="00AA6836">
        <w:t>,</w:t>
      </w:r>
      <w:r>
        <w:t xml:space="preserve"> 19707</w:t>
      </w:r>
      <w:r w:rsidR="00AA6836">
        <w:t>, at</w:t>
      </w:r>
      <w:r>
        <w:t xml:space="preserve"> ¶ 26 (2005).  </w:t>
      </w:r>
    </w:p>
  </w:footnote>
  <w:footnote w:id="4">
    <w:p w:rsidR="000814B0" w:rsidRDefault="000814B0">
      <w:pPr>
        <w:pStyle w:val="FootnoteText"/>
      </w:pPr>
      <w:r>
        <w:rPr>
          <w:rStyle w:val="FootnoteReference"/>
        </w:rPr>
        <w:footnoteRef/>
      </w:r>
      <w:r>
        <w:t xml:space="preserve"> </w:t>
      </w:r>
      <w:r w:rsidRPr="00D74388">
        <w:rPr>
          <w:i/>
        </w:rPr>
        <w:t>See</w:t>
      </w:r>
      <w:r>
        <w:t xml:space="preserve"> New ICO Satellite Services G.P., Application for Blanket Authority to Operate Ancillary Terrestrial Component Base Stations and Dual-mode MSS/ATC Mobile Terminals in the 2 GHz MSS Bands, </w:t>
      </w:r>
      <w:r>
        <w:rPr>
          <w:i/>
        </w:rPr>
        <w:t>Order and Authorization,</w:t>
      </w:r>
      <w:r>
        <w:t xml:space="preserve"> </w:t>
      </w:r>
      <w:r>
        <w:rPr>
          <w:iCs/>
        </w:rPr>
        <w:t>24 FCC Rcd 171 (2009)</w:t>
      </w:r>
      <w:r>
        <w:t xml:space="preserve"> (</w:t>
      </w:r>
      <w:r>
        <w:rPr>
          <w:i/>
        </w:rPr>
        <w:t>ICO Waiver Order</w:t>
      </w:r>
      <w:r>
        <w:t>)</w:t>
      </w:r>
      <w:r>
        <w:rPr>
          <w:iCs/>
        </w:rPr>
        <w:t xml:space="preserve">; </w:t>
      </w:r>
      <w:r>
        <w:t xml:space="preserve">TerreStar Networks Inc., </w:t>
      </w:r>
      <w:r>
        <w:rPr>
          <w:spacing w:val="-2"/>
        </w:rPr>
        <w:t xml:space="preserve">Application for </w:t>
      </w:r>
      <w:r>
        <w:t>Blanket</w:t>
      </w:r>
      <w:r>
        <w:rPr>
          <w:spacing w:val="-2"/>
        </w:rPr>
        <w:t xml:space="preserve"> Authority to O</w:t>
      </w:r>
      <w:r>
        <w:t xml:space="preserve">perate Ancillary Terrestrial Component Base Stations and Dual-Mode MSS/ATC Mobile Terminals in the 2 GHz MSS Bands, </w:t>
      </w:r>
      <w:r>
        <w:rPr>
          <w:i/>
        </w:rPr>
        <w:t>Order and Authorization,</w:t>
      </w:r>
      <w:r>
        <w:t xml:space="preserve"> 25 FCC Rcd 228 (2010) (</w:t>
      </w:r>
      <w:r>
        <w:rPr>
          <w:i/>
        </w:rPr>
        <w:t>TerreStar Waiver Order</w:t>
      </w:r>
      <w:r>
        <w:t>).</w:t>
      </w:r>
    </w:p>
  </w:footnote>
  <w:footnote w:id="5">
    <w:p w:rsidR="00181748" w:rsidRDefault="00181748">
      <w:pPr>
        <w:pStyle w:val="FootnoteText"/>
      </w:pPr>
      <w:r>
        <w:rPr>
          <w:rStyle w:val="FootnoteReference"/>
        </w:rPr>
        <w:footnoteRef/>
      </w:r>
      <w:r>
        <w:t xml:space="preserve"> </w:t>
      </w:r>
      <w:r w:rsidR="00D74388" w:rsidRPr="00D74388">
        <w:rPr>
          <w:i/>
        </w:rPr>
        <w:t>See</w:t>
      </w:r>
      <w:r w:rsidR="00F164F5">
        <w:rPr>
          <w:i/>
        </w:rPr>
        <w:t xml:space="preserve"> generally</w:t>
      </w:r>
      <w:r w:rsidR="00D74388">
        <w:t xml:space="preserve"> </w:t>
      </w:r>
      <w:r w:rsidR="00D74388">
        <w:rPr>
          <w:i/>
        </w:rPr>
        <w:t>ICO Waiver Order</w:t>
      </w:r>
      <w:r w:rsidR="00F164F5">
        <w:t>, 24 FCC Rcd 171</w:t>
      </w:r>
      <w:r w:rsidR="00D74388">
        <w:rPr>
          <w:iCs/>
        </w:rPr>
        <w:t xml:space="preserve">; </w:t>
      </w:r>
      <w:r w:rsidR="00D74388">
        <w:rPr>
          <w:i/>
        </w:rPr>
        <w:t>TerreStar Waiver Order</w:t>
      </w:r>
      <w:r w:rsidR="00F164F5">
        <w:t>, 25 FCC Rcd 228</w:t>
      </w:r>
      <w:r w:rsidR="00D74388">
        <w:t>.</w:t>
      </w:r>
    </w:p>
  </w:footnote>
  <w:footnote w:id="6">
    <w:p w:rsidR="00181748" w:rsidRDefault="00AA29AB" w:rsidP="0054404B">
      <w:pPr>
        <w:pStyle w:val="FootnoteText"/>
      </w:pPr>
      <w:r>
        <w:rPr>
          <w:rStyle w:val="FootnoteReference"/>
        </w:rPr>
        <w:footnoteRef/>
      </w:r>
      <w:r>
        <w:t xml:space="preserve"> </w:t>
      </w:r>
      <w:r>
        <w:rPr>
          <w:i/>
        </w:rPr>
        <w:t xml:space="preserve">See </w:t>
      </w:r>
      <w:r>
        <w:t xml:space="preserve">Fixed and Mobile Services in the Mobile Satellite Service Bands at 1525-1559 MHz and 1626.5-1660.5 MHz, 1610-1626.5 MHz and 2483.5-2500 MHz, and 2000-2020 MHz and 2180-2200 MHz, ET Docket No. 10-142, </w:t>
      </w:r>
      <w:r>
        <w:rPr>
          <w:i/>
        </w:rPr>
        <w:t>Report and Order</w:t>
      </w:r>
      <w:r>
        <w:t>, 26 FCC Rcd 5710 ¶ 2 (2011).</w:t>
      </w:r>
    </w:p>
  </w:footnote>
  <w:footnote w:id="7">
    <w:p w:rsidR="00D31B78" w:rsidRPr="00D31B78" w:rsidRDefault="00D31B78">
      <w:pPr>
        <w:pStyle w:val="FootnoteText"/>
      </w:pPr>
      <w:r>
        <w:rPr>
          <w:rStyle w:val="FootnoteReference"/>
        </w:rPr>
        <w:footnoteRef/>
      </w:r>
      <w:r>
        <w:t xml:space="preserve"> </w:t>
      </w:r>
      <w:r>
        <w:rPr>
          <w:i/>
        </w:rPr>
        <w:t xml:space="preserve">See </w:t>
      </w:r>
      <w:r w:rsidR="00BF1FC2">
        <w:rPr>
          <w:i/>
        </w:rPr>
        <w:t xml:space="preserve">generally </w:t>
      </w:r>
      <w:r>
        <w:rPr>
          <w:i/>
        </w:rPr>
        <w:t>AWS-4 Report and Order and Order of Proposed Modification</w:t>
      </w:r>
      <w:r>
        <w:t>, 27 FCC Rcd at 16102, ¶ 1.</w:t>
      </w:r>
    </w:p>
  </w:footnote>
  <w:footnote w:id="8">
    <w:p w:rsidR="00D31B78" w:rsidRDefault="00D31B78">
      <w:pPr>
        <w:pStyle w:val="FootnoteText"/>
      </w:pPr>
      <w:r>
        <w:rPr>
          <w:rStyle w:val="FootnoteReference"/>
        </w:rPr>
        <w:footnoteRef/>
      </w:r>
      <w:r>
        <w:t xml:space="preserve"> </w:t>
      </w:r>
      <w:r w:rsidR="005E5119">
        <w:rPr>
          <w:i/>
        </w:rPr>
        <w:t xml:space="preserve">Id. </w:t>
      </w:r>
      <w:r>
        <w:t>at 16120, 16168-69, 16220, ¶¶ 45, 175, 319</w:t>
      </w:r>
      <w:r w:rsidR="004F60B7">
        <w:t>.</w:t>
      </w:r>
    </w:p>
  </w:footnote>
  <w:footnote w:id="9">
    <w:p w:rsidR="00EA585F" w:rsidRPr="0054404B" w:rsidRDefault="00EA585F" w:rsidP="00EA585F">
      <w:pPr>
        <w:pStyle w:val="FootnoteText"/>
      </w:pPr>
      <w:r>
        <w:rPr>
          <w:rStyle w:val="FootnoteReference"/>
        </w:rPr>
        <w:footnoteRef/>
      </w:r>
      <w:r>
        <w:t xml:space="preserve"> </w:t>
      </w:r>
      <w:r w:rsidR="005E5119">
        <w:rPr>
          <w:i/>
        </w:rPr>
        <w:t>Id.</w:t>
      </w:r>
      <w:r>
        <w:t xml:space="preserve"> at 16220-22, 16224, ¶¶ 319-22, 331-32.</w:t>
      </w:r>
    </w:p>
  </w:footnote>
  <w:footnote w:id="10">
    <w:p w:rsidR="00210A4A" w:rsidRDefault="00210A4A">
      <w:pPr>
        <w:pStyle w:val="FootnoteText"/>
      </w:pPr>
      <w:r>
        <w:rPr>
          <w:rStyle w:val="FootnoteReference"/>
        </w:rPr>
        <w:footnoteRef/>
      </w:r>
      <w:r>
        <w:t xml:space="preserve"> </w:t>
      </w:r>
      <w:r w:rsidR="005E5119">
        <w:rPr>
          <w:i/>
        </w:rPr>
        <w:t>Id.</w:t>
      </w:r>
      <w:r w:rsidR="005E5119">
        <w:t xml:space="preserve"> </w:t>
      </w:r>
      <w:r w:rsidR="002149CB">
        <w:t>at 16220-22</w:t>
      </w:r>
      <w:r w:rsidR="00F164F5">
        <w:t xml:space="preserve">, </w:t>
      </w:r>
      <w:r>
        <w:t>¶¶ 319-321.</w:t>
      </w:r>
      <w:r w:rsidR="00DA7262">
        <w:t xml:space="preserve">  </w:t>
      </w:r>
    </w:p>
  </w:footnote>
  <w:footnote w:id="11">
    <w:p w:rsidR="00611289" w:rsidRDefault="00611289">
      <w:pPr>
        <w:pStyle w:val="FootnoteText"/>
      </w:pPr>
      <w:r>
        <w:rPr>
          <w:rStyle w:val="FootnoteReference"/>
        </w:rPr>
        <w:footnoteRef/>
      </w:r>
      <w:r>
        <w:t xml:space="preserve"> </w:t>
      </w:r>
      <w:r w:rsidR="005E5119">
        <w:rPr>
          <w:i/>
        </w:rPr>
        <w:t>Id.</w:t>
      </w:r>
      <w:r w:rsidR="005E5119">
        <w:t xml:space="preserve"> </w:t>
      </w:r>
      <w:r w:rsidR="002149CB">
        <w:t xml:space="preserve">at </w:t>
      </w:r>
      <w:r w:rsidR="005561E4">
        <w:t xml:space="preserve">16120, </w:t>
      </w:r>
      <w:r w:rsidR="002149CB">
        <w:t>16168-69, 16220,</w:t>
      </w:r>
      <w:r w:rsidR="00F164F5">
        <w:t xml:space="preserve"> </w:t>
      </w:r>
      <w:r>
        <w:t>¶</w:t>
      </w:r>
      <w:r w:rsidR="002149CB">
        <w:t>¶</w:t>
      </w:r>
      <w:r>
        <w:t xml:space="preserve"> </w:t>
      </w:r>
      <w:r w:rsidR="005561E4">
        <w:t xml:space="preserve">45, </w:t>
      </w:r>
      <w:r>
        <w:t>175</w:t>
      </w:r>
      <w:r w:rsidR="002149CB">
        <w:t>, 319</w:t>
      </w:r>
      <w:r>
        <w:t>.</w:t>
      </w:r>
    </w:p>
  </w:footnote>
  <w:footnote w:id="12">
    <w:p w:rsidR="00C16D29" w:rsidRPr="00DF4D0B" w:rsidRDefault="00C16D29" w:rsidP="00C16D29">
      <w:pPr>
        <w:pStyle w:val="FootnoteText"/>
      </w:pPr>
      <w:r>
        <w:rPr>
          <w:rStyle w:val="FootnoteReference"/>
        </w:rPr>
        <w:footnoteRef/>
      </w:r>
      <w:r>
        <w:t xml:space="preserve"> Letter from Jeffrey H. Blum, Senior Vice President &amp; Deputy General Counsel, DISH, to Marlene H. Dor</w:t>
      </w:r>
      <w:r w:rsidR="00C85119">
        <w:t>t</w:t>
      </w:r>
      <w:r>
        <w:t>ch, Sec’y, Federal Communications Commission, WT Docket Nos. 12-70 and 04-356, ET Docket No. 10-142 (filed Jan.</w:t>
      </w:r>
      <w:r w:rsidR="00DF4D0B">
        <w:t> </w:t>
      </w:r>
      <w:r>
        <w:t>22, 2013)</w:t>
      </w:r>
      <w:r w:rsidR="00DF4D0B">
        <w:t xml:space="preserve"> (Gamma/New DBSD January 22 Letter)</w:t>
      </w:r>
      <w:r>
        <w:t>.</w:t>
      </w:r>
      <w:r w:rsidR="00461E30">
        <w:t xml:space="preserve">  Gamma and New DBSD are each wholly owned subsidiaries of DISH Network Corporation.</w:t>
      </w:r>
      <w:r w:rsidR="00DF4D0B">
        <w:t xml:space="preserve">  </w:t>
      </w:r>
      <w:r w:rsidR="00DF4D0B">
        <w:rPr>
          <w:i/>
        </w:rPr>
        <w:t>See AWS-4 Report and Order and Order of Proposed Modification</w:t>
      </w:r>
      <w:r w:rsidR="00DF4D0B">
        <w:t>, 27 FCC Rcd at 16109-10, ¶ 14.</w:t>
      </w:r>
    </w:p>
  </w:footnote>
  <w:footnote w:id="13">
    <w:p w:rsidR="00C16D29" w:rsidRPr="005E5119" w:rsidRDefault="00C16D29" w:rsidP="00C16D29">
      <w:pPr>
        <w:pStyle w:val="FootnoteText"/>
      </w:pPr>
      <w:r>
        <w:rPr>
          <w:rStyle w:val="FootnoteReference"/>
        </w:rPr>
        <w:footnoteRef/>
      </w:r>
      <w:r>
        <w:t xml:space="preserve"> </w:t>
      </w:r>
      <w:r w:rsidRPr="00C16D29">
        <w:rPr>
          <w:i/>
        </w:rPr>
        <w:t>See</w:t>
      </w:r>
      <w:r w:rsidR="004F60B7">
        <w:t xml:space="preserve"> </w:t>
      </w:r>
      <w:r w:rsidR="00DF4D0B">
        <w:t>Gamma/New DBSD January 22 Letter</w:t>
      </w:r>
      <w:r w:rsidR="005E5119">
        <w:rPr>
          <w:i/>
        </w:rPr>
        <w:t>.</w:t>
      </w:r>
    </w:p>
  </w:footnote>
  <w:footnote w:id="14">
    <w:p w:rsidR="00461E30" w:rsidRDefault="00461E30">
      <w:pPr>
        <w:pStyle w:val="FootnoteText"/>
      </w:pPr>
      <w:r>
        <w:rPr>
          <w:rStyle w:val="FootnoteReference"/>
        </w:rPr>
        <w:footnoteRef/>
      </w:r>
      <w:r>
        <w:t xml:space="preserve"> </w:t>
      </w:r>
      <w:r w:rsidRPr="0056392D">
        <w:rPr>
          <w:i/>
        </w:rPr>
        <w:t>See</w:t>
      </w:r>
      <w:r>
        <w:t xml:space="preserve"> 47 C.F.R. § 1.87.</w:t>
      </w:r>
    </w:p>
  </w:footnote>
  <w:footnote w:id="15">
    <w:p w:rsidR="0054404B" w:rsidRPr="00A012E8" w:rsidRDefault="0054404B">
      <w:pPr>
        <w:pStyle w:val="FootnoteText"/>
      </w:pPr>
      <w:r>
        <w:rPr>
          <w:rStyle w:val="FootnoteReference"/>
        </w:rPr>
        <w:footnoteRef/>
      </w:r>
      <w:r>
        <w:t xml:space="preserve"> </w:t>
      </w:r>
      <w:r w:rsidR="00461E30" w:rsidRPr="00A012E8">
        <w:rPr>
          <w:i/>
        </w:rPr>
        <w:t>See</w:t>
      </w:r>
      <w:r w:rsidR="00461E30">
        <w:t xml:space="preserve"> 78 FR 8229 (Feb. 5, 2013).</w:t>
      </w:r>
    </w:p>
  </w:footnote>
  <w:footnote w:id="16">
    <w:p w:rsidR="00A84A0C" w:rsidRPr="00A84A0C" w:rsidRDefault="00A84A0C">
      <w:pPr>
        <w:pStyle w:val="FootnoteText"/>
        <w:rPr>
          <w:i/>
        </w:rPr>
      </w:pPr>
      <w:r>
        <w:rPr>
          <w:rStyle w:val="FootnoteReference"/>
        </w:rPr>
        <w:footnoteRef/>
      </w:r>
      <w:r>
        <w:t xml:space="preserve"> </w:t>
      </w:r>
      <w:r>
        <w:rPr>
          <w:i/>
        </w:rPr>
        <w:t xml:space="preserve">See </w:t>
      </w:r>
      <w:r w:rsidRPr="00A84A0C">
        <w:t>Letter from Pantelis Michalopoulos</w:t>
      </w:r>
      <w:r>
        <w:t>, Counsel for DISH Network Corporation, New DBSD Satellite Services G.P., and Gamma Acquisition L.L.C., to Marlene H. Dortch, Sec’y, Federal Communications Commission</w:t>
      </w:r>
      <w:r w:rsidR="00C85119">
        <w:t xml:space="preserve"> (dated Jan. 29, 2013) (notifying the Commission that Gamma and New DBSD updated their contact information in the CORES database).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32" w:rsidRDefault="00075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8C" w:rsidRDefault="00225C8C" w:rsidP="00225C8C">
    <w:pPr>
      <w:pStyle w:val="Header"/>
      <w:rPr>
        <w:b/>
      </w:rPr>
    </w:pPr>
    <w:r>
      <w:tab/>
      <w:t>Federal Com</w:t>
    </w:r>
    <w:r w:rsidR="0011355E">
      <w:t>munications Commission</w:t>
    </w:r>
    <w:r w:rsidR="0011355E">
      <w:tab/>
      <w:t>DA 13-231</w:t>
    </w:r>
  </w:p>
  <w:p w:rsidR="00225C8C" w:rsidRDefault="00225C8C" w:rsidP="00225C8C">
    <w:pPr>
      <w:pStyle w:val="Header"/>
    </w:pPr>
    <w:r>
      <w:rPr>
        <w:noProof/>
        <w:snapToGrid/>
      </w:rPr>
      <mc:AlternateContent>
        <mc:Choice Requires="wps">
          <w:drawing>
            <wp:anchor distT="0" distB="0" distL="114300" distR="114300" simplePos="0" relativeHeight="251659264" behindDoc="0" locked="0" layoutInCell="0" allowOverlap="1" wp14:anchorId="75DC3E92" wp14:editId="1D594FA4">
              <wp:simplePos x="0" y="0"/>
              <wp:positionH relativeFrom="column">
                <wp:posOffset>0</wp:posOffset>
              </wp:positionH>
              <wp:positionV relativeFrom="paragraph">
                <wp:posOffset>22225</wp:posOffset>
              </wp:positionV>
              <wp:extent cx="5943600" cy="0"/>
              <wp:effectExtent l="9525" t="12700" r="9525" b="1587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o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HStehsSAgAA&#10;KQQAAA4AAAAAAAAAAAAAAAAALgIAAGRycy9lMm9Eb2MueG1sUEsBAi0AFAAGAAgAAAAhAO4pKK7Y&#10;AAAABAEAAA8AAAAAAAAAAAAAAAAAbAQAAGRycy9kb3ducmV2LnhtbFBLBQYAAAAABAAEAPMAAABx&#10;BQAAAAA=&#10;" o:allowincell="f" strokeweight="1.5pt"/>
          </w:pict>
        </mc:Fallback>
      </mc:AlternateContent>
    </w:r>
  </w:p>
  <w:p w:rsidR="00225C8C" w:rsidRDefault="00225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8C" w:rsidRDefault="00225C8C" w:rsidP="00225C8C">
    <w:pPr>
      <w:pStyle w:val="Header"/>
      <w:rPr>
        <w:b/>
      </w:rPr>
    </w:pPr>
    <w:r>
      <w:tab/>
      <w:t>Federal Co</w:t>
    </w:r>
    <w:r w:rsidR="0011355E">
      <w:t>mmunications Commission</w:t>
    </w:r>
    <w:r w:rsidR="0011355E">
      <w:tab/>
      <w:t>DA 13-231</w:t>
    </w:r>
    <w:r>
      <w:t xml:space="preserve"> </w:t>
    </w:r>
  </w:p>
  <w:p w:rsidR="00225C8C" w:rsidRDefault="00225C8C">
    <w:pPr>
      <w:pStyle w:val="Header"/>
    </w:pPr>
    <w:r>
      <w:rPr>
        <w:noProof/>
        <w:snapToGrid/>
      </w:rPr>
      <mc:AlternateContent>
        <mc:Choice Requires="wps">
          <w:drawing>
            <wp:anchor distT="0" distB="0" distL="114300" distR="114300" simplePos="0" relativeHeight="251661312" behindDoc="0" locked="0" layoutInCell="0" allowOverlap="1" wp14:anchorId="0F1C4D92" wp14:editId="4BD88CB1">
              <wp:simplePos x="0" y="0"/>
              <wp:positionH relativeFrom="column">
                <wp:posOffset>0</wp:posOffset>
              </wp:positionH>
              <wp:positionV relativeFrom="paragraph">
                <wp:posOffset>22225</wp:posOffset>
              </wp:positionV>
              <wp:extent cx="5943600" cy="0"/>
              <wp:effectExtent l="9525" t="12700" r="9525" b="158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61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Kq3utR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DCE2864C"/>
    <w:lvl w:ilvl="0">
      <w:start w:val="1"/>
      <w:numFmt w:val="decimal"/>
      <w:pStyle w:val="ParaNum"/>
      <w:lvlText w:val="%1."/>
      <w:lvlJc w:val="left"/>
      <w:pPr>
        <w:tabs>
          <w:tab w:val="num" w:pos="1080"/>
        </w:tabs>
        <w:ind w:left="0" w:firstLine="720"/>
      </w:pPr>
      <w:rPr>
        <w:b w:val="0"/>
      </w:rPr>
    </w:lvl>
  </w:abstractNum>
  <w:abstractNum w:abstractNumId="2">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75993104"/>
    <w:multiLevelType w:val="singleLevel"/>
    <w:tmpl w:val="8612C2A2"/>
    <w:lvl w:ilvl="0">
      <w:start w:val="1"/>
      <w:numFmt w:val="decimal"/>
      <w:lvlText w:val="%1."/>
      <w:lvlJc w:val="left"/>
      <w:pPr>
        <w:tabs>
          <w:tab w:val="num" w:pos="1080"/>
        </w:tabs>
        <w:ind w:left="0" w:firstLine="720"/>
      </w:pPr>
      <w:rPr>
        <w:b w:val="0"/>
        <w:i w:val="0"/>
      </w:rPr>
    </w:lvl>
  </w:abstractNum>
  <w:num w:numId="1">
    <w:abstractNumId w:val="1"/>
  </w:num>
  <w:num w:numId="2">
    <w:abstractNumId w:val="0"/>
  </w:num>
  <w:num w:numId="3">
    <w:abstractNumId w:val="1"/>
  </w:num>
  <w:num w:numId="4">
    <w:abstractNumId w:val="0"/>
  </w:num>
  <w:num w:numId="5">
    <w:abstractNumId w:val="0"/>
  </w:num>
  <w:num w:numId="6">
    <w:abstractNumId w:val="1"/>
  </w:num>
  <w:num w:numId="7">
    <w:abstractNumId w:val="1"/>
  </w:num>
  <w:num w:numId="8">
    <w:abstractNumId w:val="1"/>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8C"/>
    <w:rsid w:val="00041AF7"/>
    <w:rsid w:val="00071E88"/>
    <w:rsid w:val="00075532"/>
    <w:rsid w:val="000814B0"/>
    <w:rsid w:val="000D1B0C"/>
    <w:rsid w:val="000F5669"/>
    <w:rsid w:val="0011355E"/>
    <w:rsid w:val="00156A92"/>
    <w:rsid w:val="00181748"/>
    <w:rsid w:val="001A1293"/>
    <w:rsid w:val="001B7731"/>
    <w:rsid w:val="001C74B9"/>
    <w:rsid w:val="001F453E"/>
    <w:rsid w:val="00210A4A"/>
    <w:rsid w:val="002149CB"/>
    <w:rsid w:val="00225C8C"/>
    <w:rsid w:val="00235FFF"/>
    <w:rsid w:val="00237AA9"/>
    <w:rsid w:val="002501B9"/>
    <w:rsid w:val="0025793F"/>
    <w:rsid w:val="00274BA7"/>
    <w:rsid w:val="0029556C"/>
    <w:rsid w:val="002D11C8"/>
    <w:rsid w:val="002E0573"/>
    <w:rsid w:val="002F371B"/>
    <w:rsid w:val="003822B8"/>
    <w:rsid w:val="00400FBB"/>
    <w:rsid w:val="00461E30"/>
    <w:rsid w:val="00486623"/>
    <w:rsid w:val="004F60B7"/>
    <w:rsid w:val="0054404B"/>
    <w:rsid w:val="005561E4"/>
    <w:rsid w:val="00557541"/>
    <w:rsid w:val="0056392D"/>
    <w:rsid w:val="00570CE0"/>
    <w:rsid w:val="00572C6E"/>
    <w:rsid w:val="005E5119"/>
    <w:rsid w:val="005F397B"/>
    <w:rsid w:val="00610CB0"/>
    <w:rsid w:val="00611289"/>
    <w:rsid w:val="00681868"/>
    <w:rsid w:val="006A63E6"/>
    <w:rsid w:val="006B6E61"/>
    <w:rsid w:val="006E769D"/>
    <w:rsid w:val="0074620B"/>
    <w:rsid w:val="00794AB2"/>
    <w:rsid w:val="007B36A6"/>
    <w:rsid w:val="007C6CCD"/>
    <w:rsid w:val="007D3457"/>
    <w:rsid w:val="00831C7C"/>
    <w:rsid w:val="00846935"/>
    <w:rsid w:val="008C3E8E"/>
    <w:rsid w:val="00994C84"/>
    <w:rsid w:val="00A012E8"/>
    <w:rsid w:val="00A53F91"/>
    <w:rsid w:val="00A84A0C"/>
    <w:rsid w:val="00AA29AB"/>
    <w:rsid w:val="00AA6836"/>
    <w:rsid w:val="00AF3AD0"/>
    <w:rsid w:val="00B113DC"/>
    <w:rsid w:val="00B12C40"/>
    <w:rsid w:val="00B2720B"/>
    <w:rsid w:val="00B66661"/>
    <w:rsid w:val="00B807DA"/>
    <w:rsid w:val="00BA0118"/>
    <w:rsid w:val="00BD26E4"/>
    <w:rsid w:val="00BF1FC2"/>
    <w:rsid w:val="00BF6892"/>
    <w:rsid w:val="00C16D29"/>
    <w:rsid w:val="00C2183F"/>
    <w:rsid w:val="00C6133A"/>
    <w:rsid w:val="00C73DB2"/>
    <w:rsid w:val="00C81C23"/>
    <w:rsid w:val="00C85119"/>
    <w:rsid w:val="00C86452"/>
    <w:rsid w:val="00C91D3D"/>
    <w:rsid w:val="00CB21AD"/>
    <w:rsid w:val="00CE3EC9"/>
    <w:rsid w:val="00D31B78"/>
    <w:rsid w:val="00D74388"/>
    <w:rsid w:val="00DA667E"/>
    <w:rsid w:val="00DA7262"/>
    <w:rsid w:val="00DB6892"/>
    <w:rsid w:val="00DE10B6"/>
    <w:rsid w:val="00DE5550"/>
    <w:rsid w:val="00DF4D0B"/>
    <w:rsid w:val="00E40593"/>
    <w:rsid w:val="00E65D53"/>
    <w:rsid w:val="00EA0D04"/>
    <w:rsid w:val="00EA43C4"/>
    <w:rsid w:val="00EA585F"/>
    <w:rsid w:val="00F12BD0"/>
    <w:rsid w:val="00F164F5"/>
    <w:rsid w:val="00F560D1"/>
    <w:rsid w:val="00FC0050"/>
    <w:rsid w:val="00FD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8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BD26E4"/>
    <w:pPr>
      <w:keepNext/>
      <w:numPr>
        <w:numId w:val="2"/>
      </w:numPr>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BD26E4"/>
    <w:pPr>
      <w:keepNext/>
      <w:numPr>
        <w:ilvl w:val="1"/>
        <w:numId w:val="2"/>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BD26E4"/>
    <w:pPr>
      <w:keepNext/>
      <w:numPr>
        <w:ilvl w:val="2"/>
        <w:numId w:val="2"/>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BD26E4"/>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D26E4"/>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BD26E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D26E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D26E4"/>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BD26E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8C"/>
    <w:pPr>
      <w:tabs>
        <w:tab w:val="center" w:pos="4680"/>
        <w:tab w:val="right" w:pos="9360"/>
      </w:tabs>
    </w:pPr>
  </w:style>
  <w:style w:type="character" w:customStyle="1" w:styleId="HeaderChar">
    <w:name w:val="Header Char"/>
    <w:basedOn w:val="DefaultParagraphFont"/>
    <w:link w:val="Header"/>
    <w:uiPriority w:val="99"/>
    <w:rsid w:val="00225C8C"/>
  </w:style>
  <w:style w:type="paragraph" w:styleId="Footer">
    <w:name w:val="footer"/>
    <w:basedOn w:val="Normal"/>
    <w:link w:val="FooterChar"/>
    <w:uiPriority w:val="99"/>
    <w:unhideWhenUsed/>
    <w:rsid w:val="00225C8C"/>
    <w:pPr>
      <w:tabs>
        <w:tab w:val="center" w:pos="4680"/>
        <w:tab w:val="right" w:pos="9360"/>
      </w:tabs>
    </w:pPr>
  </w:style>
  <w:style w:type="character" w:customStyle="1" w:styleId="FooterChar">
    <w:name w:val="Footer Char"/>
    <w:basedOn w:val="DefaultParagraphFont"/>
    <w:link w:val="Footer"/>
    <w:uiPriority w:val="99"/>
    <w:rsid w:val="00225C8C"/>
  </w:style>
  <w:style w:type="paragraph" w:styleId="TOAHeading">
    <w:name w:val="toa heading"/>
    <w:basedOn w:val="Normal"/>
    <w:next w:val="Normal"/>
    <w:semiHidden/>
    <w:rsid w:val="00225C8C"/>
    <w:pPr>
      <w:tabs>
        <w:tab w:val="right" w:pos="9360"/>
      </w:tabs>
      <w:suppressAutoHyphens/>
    </w:pPr>
  </w:style>
  <w:style w:type="paragraph" w:customStyle="1" w:styleId="StyleBoldCentered">
    <w:name w:val="Style Bold Centered"/>
    <w:basedOn w:val="Normal"/>
    <w:rsid w:val="00225C8C"/>
    <w:pPr>
      <w:jc w:val="center"/>
    </w:pPr>
    <w:rPr>
      <w:rFonts w:ascii="Times New Roman Bold" w:hAnsi="Times New Roman Bold"/>
      <w:b/>
      <w:bCs/>
      <w:caps/>
      <w:szCs w:val="22"/>
    </w:rPr>
  </w:style>
  <w:style w:type="character" w:customStyle="1" w:styleId="Heading1Char">
    <w:name w:val="Heading 1 Char"/>
    <w:basedOn w:val="DefaultParagraphFont"/>
    <w:uiPriority w:val="9"/>
    <w:rsid w:val="00BD26E4"/>
    <w:rPr>
      <w:rFonts w:asciiTheme="majorHAnsi" w:eastAsiaTheme="majorEastAsia" w:hAnsiTheme="majorHAnsi" w:cstheme="majorBidi"/>
      <w:b/>
      <w:bCs/>
      <w:snapToGrid w:val="0"/>
      <w:color w:val="365F91" w:themeColor="accent1" w:themeShade="BF"/>
      <w:kern w:val="28"/>
      <w:sz w:val="28"/>
      <w:szCs w:val="28"/>
    </w:rPr>
  </w:style>
  <w:style w:type="character" w:customStyle="1" w:styleId="Heading2Char">
    <w:name w:val="Heading 2 Char"/>
    <w:basedOn w:val="DefaultParagraphFont"/>
    <w:uiPriority w:val="9"/>
    <w:semiHidden/>
    <w:rsid w:val="00BD26E4"/>
    <w:rPr>
      <w:rFonts w:asciiTheme="majorHAnsi" w:eastAsiaTheme="majorEastAsia" w:hAnsiTheme="majorHAnsi" w:cstheme="majorBidi"/>
      <w:b/>
      <w:bCs/>
      <w:snapToGrid w:val="0"/>
      <w:color w:val="4F81BD" w:themeColor="accent1"/>
      <w:kern w:val="28"/>
      <w:sz w:val="26"/>
      <w:szCs w:val="26"/>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BD26E4"/>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BD26E4"/>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BD26E4"/>
    <w:rPr>
      <w:rFonts w:ascii="Times New Roman" w:eastAsia="Times New Roman" w:hAnsi="Times New Roman" w:cs="Times New Roman"/>
      <w:b/>
      <w:snapToGrid w:val="0"/>
      <w:kern w:val="28"/>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BD26E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BD26E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BD26E4"/>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BD26E4"/>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BD26E4"/>
    <w:pPr>
      <w:numPr>
        <w:numId w:val="1"/>
      </w:numPr>
      <w:spacing w:after="120"/>
    </w:pPr>
  </w:style>
  <w:style w:type="character" w:customStyle="1" w:styleId="ParaNumChar">
    <w:name w:val="ParaNum Char"/>
    <w:link w:val="ParaNum"/>
    <w:rsid w:val="00BD26E4"/>
    <w:rPr>
      <w:rFonts w:ascii="Times New Roman" w:eastAsia="Times New Roman" w:hAnsi="Times New Roman" w:cs="Times New Roman"/>
      <w:snapToGrid w:val="0"/>
      <w:kern w:val="28"/>
      <w:szCs w:val="20"/>
    </w:rPr>
  </w:style>
  <w:style w:type="character" w:customStyle="1" w:styleId="Heading1Char1">
    <w:name w:val="Heading 1 Char1"/>
    <w:aliases w:val="Heading 1 Char2 Char,Heading 1 Char1 Char Char,Heading 1 Char Char Char Char,Heading 1 Char Char1 Char1,Heading 1 Char Char1 Char Char,Heading 1 Char2 Char Char1 Char Char,Heading 1 Char1 Char Char Char2 Char Char"/>
    <w:link w:val="Heading1"/>
    <w:rsid w:val="00BD26E4"/>
    <w:rPr>
      <w:rFonts w:ascii="Times New Roman Bold" w:eastAsia="Times New Roman" w:hAnsi="Times New Roman Bold" w:cs="Times New Roman"/>
      <w:b/>
      <w:caps/>
      <w:snapToGrid w:val="0"/>
      <w:kern w:val="28"/>
      <w:szCs w:val="20"/>
    </w:rPr>
  </w:style>
  <w:style w:type="character" w:customStyle="1" w:styleId="Heading2Char1">
    <w:name w:val="Heading 2 Char1"/>
    <w:aliases w:val="h2 Char Char,UNDERRUBRIK 1-2 Char Char,Heading 2 Char Char1 Char,Heading 2 Char1 Char Char Char1,Heading 2 Char Char1 Char Char Char,Heading 2 Char Char2 Char,Heading 2 Char1 Char Char1,Heading 2 Char Char3 Char Char,Heading 2 Char2 Char"/>
    <w:link w:val="Heading2"/>
    <w:rsid w:val="00BD26E4"/>
    <w:rPr>
      <w:rFonts w:ascii="Times New Roman" w:eastAsia="Times New Roman" w:hAnsi="Times New Roman" w:cs="Times New Roman"/>
      <w:b/>
      <w:snapToGrid w:val="0"/>
      <w:kern w:val="28"/>
      <w:szCs w:val="20"/>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
    <w:link w:val="FootnoteTextChar1"/>
    <w:rsid w:val="00BD26E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BD26E4"/>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rsid w:val="00BD26E4"/>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
    <w:basedOn w:val="DefaultParagraphFont"/>
    <w:rsid w:val="00BD26E4"/>
    <w:rPr>
      <w:rFonts w:ascii="Times New Roman" w:hAnsi="Times New Roman"/>
      <w:dstrike w:val="0"/>
      <w:color w:val="auto"/>
      <w:sz w:val="22"/>
      <w:vertAlign w:val="superscript"/>
    </w:rPr>
  </w:style>
  <w:style w:type="character" w:customStyle="1" w:styleId="EquationCaption">
    <w:name w:val="_Equation Caption"/>
    <w:rsid w:val="00DA667E"/>
  </w:style>
  <w:style w:type="character" w:styleId="Hyperlink">
    <w:name w:val="Hyperlink"/>
    <w:basedOn w:val="DefaultParagraphFont"/>
    <w:rsid w:val="00610CB0"/>
    <w:rPr>
      <w:color w:val="0000FF"/>
      <w:u w:val="single"/>
    </w:rPr>
  </w:style>
  <w:style w:type="paragraph" w:styleId="BalloonText">
    <w:name w:val="Balloon Text"/>
    <w:basedOn w:val="Normal"/>
    <w:link w:val="BalloonTextChar"/>
    <w:uiPriority w:val="99"/>
    <w:semiHidden/>
    <w:unhideWhenUsed/>
    <w:rsid w:val="00237AA9"/>
    <w:rPr>
      <w:rFonts w:ascii="Tahoma" w:hAnsi="Tahoma" w:cs="Tahoma"/>
      <w:sz w:val="16"/>
      <w:szCs w:val="16"/>
    </w:rPr>
  </w:style>
  <w:style w:type="character" w:customStyle="1" w:styleId="BalloonTextChar">
    <w:name w:val="Balloon Text Char"/>
    <w:basedOn w:val="DefaultParagraphFont"/>
    <w:link w:val="BalloonText"/>
    <w:uiPriority w:val="99"/>
    <w:semiHidden/>
    <w:rsid w:val="00237AA9"/>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DE10B6"/>
    <w:rPr>
      <w:sz w:val="16"/>
      <w:szCs w:val="16"/>
    </w:rPr>
  </w:style>
  <w:style w:type="paragraph" w:styleId="CommentText">
    <w:name w:val="annotation text"/>
    <w:basedOn w:val="Normal"/>
    <w:link w:val="CommentTextChar"/>
    <w:uiPriority w:val="99"/>
    <w:semiHidden/>
    <w:unhideWhenUsed/>
    <w:rsid w:val="00DE10B6"/>
    <w:rPr>
      <w:sz w:val="20"/>
    </w:rPr>
  </w:style>
  <w:style w:type="character" w:customStyle="1" w:styleId="CommentTextChar">
    <w:name w:val="Comment Text Char"/>
    <w:basedOn w:val="DefaultParagraphFont"/>
    <w:link w:val="CommentText"/>
    <w:uiPriority w:val="99"/>
    <w:semiHidden/>
    <w:rsid w:val="00DE10B6"/>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E10B6"/>
    <w:rPr>
      <w:b/>
      <w:bCs/>
    </w:rPr>
  </w:style>
  <w:style w:type="character" w:customStyle="1" w:styleId="CommentSubjectChar">
    <w:name w:val="Comment Subject Char"/>
    <w:basedOn w:val="CommentTextChar"/>
    <w:link w:val="CommentSubject"/>
    <w:uiPriority w:val="99"/>
    <w:semiHidden/>
    <w:rsid w:val="00DE10B6"/>
    <w:rPr>
      <w:rFonts w:ascii="Times New Roman" w:eastAsia="Times New Roman" w:hAnsi="Times New Roman" w:cs="Times New Roman"/>
      <w:b/>
      <w:bCs/>
      <w:snapToGrid w:val="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8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BD26E4"/>
    <w:pPr>
      <w:keepNext/>
      <w:numPr>
        <w:numId w:val="2"/>
      </w:numPr>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BD26E4"/>
    <w:pPr>
      <w:keepNext/>
      <w:numPr>
        <w:ilvl w:val="1"/>
        <w:numId w:val="2"/>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BD26E4"/>
    <w:pPr>
      <w:keepNext/>
      <w:numPr>
        <w:ilvl w:val="2"/>
        <w:numId w:val="2"/>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BD26E4"/>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D26E4"/>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BD26E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D26E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D26E4"/>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BD26E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8C"/>
    <w:pPr>
      <w:tabs>
        <w:tab w:val="center" w:pos="4680"/>
        <w:tab w:val="right" w:pos="9360"/>
      </w:tabs>
    </w:pPr>
  </w:style>
  <w:style w:type="character" w:customStyle="1" w:styleId="HeaderChar">
    <w:name w:val="Header Char"/>
    <w:basedOn w:val="DefaultParagraphFont"/>
    <w:link w:val="Header"/>
    <w:uiPriority w:val="99"/>
    <w:rsid w:val="00225C8C"/>
  </w:style>
  <w:style w:type="paragraph" w:styleId="Footer">
    <w:name w:val="footer"/>
    <w:basedOn w:val="Normal"/>
    <w:link w:val="FooterChar"/>
    <w:uiPriority w:val="99"/>
    <w:unhideWhenUsed/>
    <w:rsid w:val="00225C8C"/>
    <w:pPr>
      <w:tabs>
        <w:tab w:val="center" w:pos="4680"/>
        <w:tab w:val="right" w:pos="9360"/>
      </w:tabs>
    </w:pPr>
  </w:style>
  <w:style w:type="character" w:customStyle="1" w:styleId="FooterChar">
    <w:name w:val="Footer Char"/>
    <w:basedOn w:val="DefaultParagraphFont"/>
    <w:link w:val="Footer"/>
    <w:uiPriority w:val="99"/>
    <w:rsid w:val="00225C8C"/>
  </w:style>
  <w:style w:type="paragraph" w:styleId="TOAHeading">
    <w:name w:val="toa heading"/>
    <w:basedOn w:val="Normal"/>
    <w:next w:val="Normal"/>
    <w:semiHidden/>
    <w:rsid w:val="00225C8C"/>
    <w:pPr>
      <w:tabs>
        <w:tab w:val="right" w:pos="9360"/>
      </w:tabs>
      <w:suppressAutoHyphens/>
    </w:pPr>
  </w:style>
  <w:style w:type="paragraph" w:customStyle="1" w:styleId="StyleBoldCentered">
    <w:name w:val="Style Bold Centered"/>
    <w:basedOn w:val="Normal"/>
    <w:rsid w:val="00225C8C"/>
    <w:pPr>
      <w:jc w:val="center"/>
    </w:pPr>
    <w:rPr>
      <w:rFonts w:ascii="Times New Roman Bold" w:hAnsi="Times New Roman Bold"/>
      <w:b/>
      <w:bCs/>
      <w:caps/>
      <w:szCs w:val="22"/>
    </w:rPr>
  </w:style>
  <w:style w:type="character" w:customStyle="1" w:styleId="Heading1Char">
    <w:name w:val="Heading 1 Char"/>
    <w:basedOn w:val="DefaultParagraphFont"/>
    <w:uiPriority w:val="9"/>
    <w:rsid w:val="00BD26E4"/>
    <w:rPr>
      <w:rFonts w:asciiTheme="majorHAnsi" w:eastAsiaTheme="majorEastAsia" w:hAnsiTheme="majorHAnsi" w:cstheme="majorBidi"/>
      <w:b/>
      <w:bCs/>
      <w:snapToGrid w:val="0"/>
      <w:color w:val="365F91" w:themeColor="accent1" w:themeShade="BF"/>
      <w:kern w:val="28"/>
      <w:sz w:val="28"/>
      <w:szCs w:val="28"/>
    </w:rPr>
  </w:style>
  <w:style w:type="character" w:customStyle="1" w:styleId="Heading2Char">
    <w:name w:val="Heading 2 Char"/>
    <w:basedOn w:val="DefaultParagraphFont"/>
    <w:uiPriority w:val="9"/>
    <w:semiHidden/>
    <w:rsid w:val="00BD26E4"/>
    <w:rPr>
      <w:rFonts w:asciiTheme="majorHAnsi" w:eastAsiaTheme="majorEastAsia" w:hAnsiTheme="majorHAnsi" w:cstheme="majorBidi"/>
      <w:b/>
      <w:bCs/>
      <w:snapToGrid w:val="0"/>
      <w:color w:val="4F81BD" w:themeColor="accent1"/>
      <w:kern w:val="28"/>
      <w:sz w:val="26"/>
      <w:szCs w:val="26"/>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BD26E4"/>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BD26E4"/>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BD26E4"/>
    <w:rPr>
      <w:rFonts w:ascii="Times New Roman" w:eastAsia="Times New Roman" w:hAnsi="Times New Roman" w:cs="Times New Roman"/>
      <w:b/>
      <w:snapToGrid w:val="0"/>
      <w:kern w:val="28"/>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BD26E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BD26E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BD26E4"/>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BD26E4"/>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BD26E4"/>
    <w:pPr>
      <w:numPr>
        <w:numId w:val="1"/>
      </w:numPr>
      <w:spacing w:after="120"/>
    </w:pPr>
  </w:style>
  <w:style w:type="character" w:customStyle="1" w:styleId="ParaNumChar">
    <w:name w:val="ParaNum Char"/>
    <w:link w:val="ParaNum"/>
    <w:rsid w:val="00BD26E4"/>
    <w:rPr>
      <w:rFonts w:ascii="Times New Roman" w:eastAsia="Times New Roman" w:hAnsi="Times New Roman" w:cs="Times New Roman"/>
      <w:snapToGrid w:val="0"/>
      <w:kern w:val="28"/>
      <w:szCs w:val="20"/>
    </w:rPr>
  </w:style>
  <w:style w:type="character" w:customStyle="1" w:styleId="Heading1Char1">
    <w:name w:val="Heading 1 Char1"/>
    <w:aliases w:val="Heading 1 Char2 Char,Heading 1 Char1 Char Char,Heading 1 Char Char Char Char,Heading 1 Char Char1 Char1,Heading 1 Char Char1 Char Char,Heading 1 Char2 Char Char1 Char Char,Heading 1 Char1 Char Char Char2 Char Char"/>
    <w:link w:val="Heading1"/>
    <w:rsid w:val="00BD26E4"/>
    <w:rPr>
      <w:rFonts w:ascii="Times New Roman Bold" w:eastAsia="Times New Roman" w:hAnsi="Times New Roman Bold" w:cs="Times New Roman"/>
      <w:b/>
      <w:caps/>
      <w:snapToGrid w:val="0"/>
      <w:kern w:val="28"/>
      <w:szCs w:val="20"/>
    </w:rPr>
  </w:style>
  <w:style w:type="character" w:customStyle="1" w:styleId="Heading2Char1">
    <w:name w:val="Heading 2 Char1"/>
    <w:aliases w:val="h2 Char Char,UNDERRUBRIK 1-2 Char Char,Heading 2 Char Char1 Char,Heading 2 Char1 Char Char Char1,Heading 2 Char Char1 Char Char Char,Heading 2 Char Char2 Char,Heading 2 Char1 Char Char1,Heading 2 Char Char3 Char Char,Heading 2 Char2 Char"/>
    <w:link w:val="Heading2"/>
    <w:rsid w:val="00BD26E4"/>
    <w:rPr>
      <w:rFonts w:ascii="Times New Roman" w:eastAsia="Times New Roman" w:hAnsi="Times New Roman" w:cs="Times New Roman"/>
      <w:b/>
      <w:snapToGrid w:val="0"/>
      <w:kern w:val="28"/>
      <w:szCs w:val="20"/>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
    <w:link w:val="FootnoteTextChar1"/>
    <w:rsid w:val="00BD26E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BD26E4"/>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rsid w:val="00BD26E4"/>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
    <w:basedOn w:val="DefaultParagraphFont"/>
    <w:rsid w:val="00BD26E4"/>
    <w:rPr>
      <w:rFonts w:ascii="Times New Roman" w:hAnsi="Times New Roman"/>
      <w:dstrike w:val="0"/>
      <w:color w:val="auto"/>
      <w:sz w:val="22"/>
      <w:vertAlign w:val="superscript"/>
    </w:rPr>
  </w:style>
  <w:style w:type="character" w:customStyle="1" w:styleId="EquationCaption">
    <w:name w:val="_Equation Caption"/>
    <w:rsid w:val="00DA667E"/>
  </w:style>
  <w:style w:type="character" w:styleId="Hyperlink">
    <w:name w:val="Hyperlink"/>
    <w:basedOn w:val="DefaultParagraphFont"/>
    <w:rsid w:val="00610CB0"/>
    <w:rPr>
      <w:color w:val="0000FF"/>
      <w:u w:val="single"/>
    </w:rPr>
  </w:style>
  <w:style w:type="paragraph" w:styleId="BalloonText">
    <w:name w:val="Balloon Text"/>
    <w:basedOn w:val="Normal"/>
    <w:link w:val="BalloonTextChar"/>
    <w:uiPriority w:val="99"/>
    <w:semiHidden/>
    <w:unhideWhenUsed/>
    <w:rsid w:val="00237AA9"/>
    <w:rPr>
      <w:rFonts w:ascii="Tahoma" w:hAnsi="Tahoma" w:cs="Tahoma"/>
      <w:sz w:val="16"/>
      <w:szCs w:val="16"/>
    </w:rPr>
  </w:style>
  <w:style w:type="character" w:customStyle="1" w:styleId="BalloonTextChar">
    <w:name w:val="Balloon Text Char"/>
    <w:basedOn w:val="DefaultParagraphFont"/>
    <w:link w:val="BalloonText"/>
    <w:uiPriority w:val="99"/>
    <w:semiHidden/>
    <w:rsid w:val="00237AA9"/>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DE10B6"/>
    <w:rPr>
      <w:sz w:val="16"/>
      <w:szCs w:val="16"/>
    </w:rPr>
  </w:style>
  <w:style w:type="paragraph" w:styleId="CommentText">
    <w:name w:val="annotation text"/>
    <w:basedOn w:val="Normal"/>
    <w:link w:val="CommentTextChar"/>
    <w:uiPriority w:val="99"/>
    <w:semiHidden/>
    <w:unhideWhenUsed/>
    <w:rsid w:val="00DE10B6"/>
    <w:rPr>
      <w:sz w:val="20"/>
    </w:rPr>
  </w:style>
  <w:style w:type="character" w:customStyle="1" w:styleId="CommentTextChar">
    <w:name w:val="Comment Text Char"/>
    <w:basedOn w:val="DefaultParagraphFont"/>
    <w:link w:val="CommentText"/>
    <w:uiPriority w:val="99"/>
    <w:semiHidden/>
    <w:rsid w:val="00DE10B6"/>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E10B6"/>
    <w:rPr>
      <w:b/>
      <w:bCs/>
    </w:rPr>
  </w:style>
  <w:style w:type="character" w:customStyle="1" w:styleId="CommentSubjectChar">
    <w:name w:val="Comment Subject Char"/>
    <w:basedOn w:val="CommentTextChar"/>
    <w:link w:val="CommentSubject"/>
    <w:uiPriority w:val="99"/>
    <w:semiHidden/>
    <w:rsid w:val="00DE10B6"/>
    <w:rPr>
      <w:rFonts w:ascii="Times New Roman" w:eastAsia="Times New Roman" w:hAnsi="Times New Roman" w:cs="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5163</Characters>
  <Application>Microsoft Office Word</Application>
  <DocSecurity>0</DocSecurity>
  <Lines>154</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2013-02-15T16:21:00Z</cp:lastPrinted>
  <dcterms:created xsi:type="dcterms:W3CDTF">2013-02-15T16:45:00Z</dcterms:created>
  <dcterms:modified xsi:type="dcterms:W3CDTF">2013-02-15T16:45:00Z</dcterms:modified>
  <cp:category> </cp:category>
  <cp:contentStatus> </cp:contentStatus>
</cp:coreProperties>
</file>