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DA" w:rsidRPr="008D4177" w:rsidRDefault="00137FDA">
      <w:pPr>
        <w:jc w:val="right"/>
        <w:rPr>
          <w:rFonts w:ascii="Times New Roman" w:hAnsi="Times New Roman"/>
          <w:b/>
          <w:snapToGrid w:val="0"/>
          <w:sz w:val="22"/>
          <w:szCs w:val="22"/>
        </w:rPr>
      </w:pPr>
      <w:bookmarkStart w:id="0" w:name="_GoBack"/>
      <w:bookmarkEnd w:id="0"/>
      <w:r w:rsidRPr="008D4177">
        <w:rPr>
          <w:rFonts w:ascii="Times New Roman" w:hAnsi="Times New Roman"/>
          <w:b/>
          <w:snapToGrid w:val="0"/>
          <w:sz w:val="22"/>
          <w:szCs w:val="22"/>
        </w:rPr>
        <w:t>DA 13-</w:t>
      </w:r>
      <w:r w:rsidR="00945470">
        <w:rPr>
          <w:rFonts w:ascii="Times New Roman" w:hAnsi="Times New Roman"/>
          <w:b/>
          <w:snapToGrid w:val="0"/>
          <w:sz w:val="22"/>
          <w:szCs w:val="22"/>
        </w:rPr>
        <w:t>2351</w:t>
      </w:r>
    </w:p>
    <w:p w:rsidR="00137FDA" w:rsidRPr="008D4177" w:rsidRDefault="00137FDA">
      <w:pPr>
        <w:jc w:val="right"/>
        <w:rPr>
          <w:rFonts w:ascii="Times New Roman" w:hAnsi="Times New Roman"/>
          <w:b/>
          <w:snapToGrid w:val="0"/>
          <w:sz w:val="22"/>
          <w:szCs w:val="22"/>
        </w:rPr>
      </w:pPr>
      <w:r>
        <w:rPr>
          <w:rFonts w:ascii="Times New Roman" w:hAnsi="Times New Roman"/>
          <w:b/>
          <w:snapToGrid w:val="0"/>
          <w:sz w:val="22"/>
          <w:szCs w:val="22"/>
        </w:rPr>
        <w:t xml:space="preserve">Released:  December </w:t>
      </w:r>
      <w:r w:rsidR="005D555D">
        <w:rPr>
          <w:rFonts w:ascii="Times New Roman" w:hAnsi="Times New Roman"/>
          <w:b/>
          <w:snapToGrid w:val="0"/>
          <w:sz w:val="22"/>
          <w:szCs w:val="22"/>
        </w:rPr>
        <w:t>11</w:t>
      </w:r>
      <w:r w:rsidRPr="008D4177">
        <w:rPr>
          <w:rFonts w:ascii="Times New Roman" w:hAnsi="Times New Roman"/>
          <w:b/>
          <w:snapToGrid w:val="0"/>
          <w:sz w:val="22"/>
          <w:szCs w:val="22"/>
        </w:rPr>
        <w:t>, 2013</w:t>
      </w:r>
    </w:p>
    <w:p w:rsidR="00137FDA" w:rsidRDefault="00137FDA" w:rsidP="00CD1024">
      <w:pPr>
        <w:rPr>
          <w:rFonts w:ascii="Times New Roman" w:hAnsi="Times New Roman"/>
          <w:b/>
          <w:sz w:val="22"/>
          <w:szCs w:val="22"/>
        </w:rPr>
      </w:pPr>
    </w:p>
    <w:p w:rsidR="00137FDA" w:rsidRPr="008D4177" w:rsidRDefault="00137FDA" w:rsidP="00CD1024">
      <w:pPr>
        <w:rPr>
          <w:rFonts w:ascii="Times New Roman" w:hAnsi="Times New Roman"/>
          <w:b/>
          <w:sz w:val="22"/>
          <w:szCs w:val="22"/>
        </w:rPr>
      </w:pPr>
    </w:p>
    <w:p w:rsidR="00E0720A" w:rsidRDefault="00137FDA" w:rsidP="00394F53">
      <w:pPr>
        <w:jc w:val="center"/>
        <w:rPr>
          <w:rFonts w:ascii="Times New Roman" w:hAnsi="Times New Roman"/>
          <w:b/>
          <w:sz w:val="22"/>
          <w:szCs w:val="22"/>
        </w:rPr>
      </w:pPr>
      <w:r>
        <w:rPr>
          <w:rFonts w:ascii="Times New Roman" w:hAnsi="Times New Roman"/>
          <w:b/>
          <w:sz w:val="22"/>
          <w:szCs w:val="22"/>
        </w:rPr>
        <w:t xml:space="preserve">WIRELESS TELECOMMUNICATIONS BUREAU SEEKS COMMENT ON </w:t>
      </w:r>
      <w:r w:rsidR="0058729C">
        <w:rPr>
          <w:rFonts w:ascii="Times New Roman" w:hAnsi="Times New Roman"/>
          <w:b/>
          <w:sz w:val="22"/>
          <w:szCs w:val="22"/>
        </w:rPr>
        <w:t xml:space="preserve">A </w:t>
      </w:r>
      <w:r w:rsidR="004E304D">
        <w:rPr>
          <w:rFonts w:ascii="Times New Roman" w:hAnsi="Times New Roman"/>
          <w:b/>
          <w:sz w:val="22"/>
          <w:szCs w:val="22"/>
        </w:rPr>
        <w:t xml:space="preserve">PROPOSAL </w:t>
      </w:r>
    </w:p>
    <w:p w:rsidR="00137FDA" w:rsidRPr="008D4177" w:rsidRDefault="004E304D" w:rsidP="00394F53">
      <w:pPr>
        <w:jc w:val="center"/>
        <w:rPr>
          <w:rFonts w:ascii="Times New Roman" w:hAnsi="Times New Roman"/>
          <w:b/>
          <w:sz w:val="22"/>
          <w:szCs w:val="22"/>
        </w:rPr>
      </w:pPr>
      <w:r>
        <w:rPr>
          <w:rFonts w:ascii="Times New Roman" w:hAnsi="Times New Roman"/>
          <w:b/>
          <w:sz w:val="22"/>
          <w:szCs w:val="22"/>
        </w:rPr>
        <w:t>TO LICENSE THE 600 MHZ BAND</w:t>
      </w:r>
      <w:r w:rsidR="00E0720A">
        <w:rPr>
          <w:rFonts w:ascii="Times New Roman" w:hAnsi="Times New Roman"/>
          <w:b/>
          <w:sz w:val="22"/>
          <w:szCs w:val="22"/>
        </w:rPr>
        <w:t xml:space="preserve"> </w:t>
      </w:r>
      <w:r w:rsidR="00137FDA">
        <w:rPr>
          <w:rFonts w:ascii="Times New Roman" w:hAnsi="Times New Roman"/>
          <w:b/>
          <w:sz w:val="22"/>
          <w:szCs w:val="22"/>
        </w:rPr>
        <w:t xml:space="preserve">USING “PARTIAL ECONOMIC AREAS” </w:t>
      </w:r>
    </w:p>
    <w:p w:rsidR="00137FDA" w:rsidRPr="008D4177" w:rsidRDefault="00137FDA" w:rsidP="00C23422">
      <w:pPr>
        <w:jc w:val="center"/>
        <w:rPr>
          <w:rFonts w:ascii="Times New Roman" w:hAnsi="Times New Roman"/>
          <w:b/>
          <w:sz w:val="22"/>
          <w:szCs w:val="22"/>
        </w:rPr>
      </w:pPr>
    </w:p>
    <w:p w:rsidR="00137FDA" w:rsidRDefault="00137FDA" w:rsidP="00C55B49">
      <w:pPr>
        <w:jc w:val="center"/>
        <w:rPr>
          <w:rFonts w:ascii="Times New Roman" w:hAnsi="Times New Roman"/>
          <w:b/>
          <w:sz w:val="22"/>
          <w:szCs w:val="22"/>
        </w:rPr>
      </w:pPr>
      <w:r w:rsidRPr="008D4177">
        <w:rPr>
          <w:rFonts w:ascii="Times New Roman" w:hAnsi="Times New Roman"/>
          <w:b/>
          <w:sz w:val="22"/>
          <w:szCs w:val="22"/>
        </w:rPr>
        <w:t>GN Docket No. 12-268</w:t>
      </w:r>
    </w:p>
    <w:p w:rsidR="003404F8" w:rsidRPr="00C55B49" w:rsidRDefault="00D0208D" w:rsidP="00C55B49">
      <w:pPr>
        <w:jc w:val="center"/>
        <w:rPr>
          <w:rFonts w:ascii="Times New Roman" w:hAnsi="Times New Roman"/>
          <w:b/>
          <w:sz w:val="22"/>
          <w:szCs w:val="22"/>
        </w:rPr>
      </w:pPr>
      <w:r>
        <w:rPr>
          <w:rFonts w:ascii="Times New Roman" w:hAnsi="Times New Roman"/>
          <w:b/>
          <w:sz w:val="22"/>
          <w:szCs w:val="22"/>
        </w:rPr>
        <w:t xml:space="preserve">GN </w:t>
      </w:r>
      <w:r w:rsidR="003404F8">
        <w:rPr>
          <w:rFonts w:ascii="Times New Roman" w:hAnsi="Times New Roman"/>
          <w:b/>
          <w:sz w:val="22"/>
          <w:szCs w:val="22"/>
        </w:rPr>
        <w:t>Docket No. 13-185</w:t>
      </w:r>
    </w:p>
    <w:p w:rsidR="00137FDA" w:rsidRPr="00C55B49" w:rsidRDefault="00137FDA" w:rsidP="00C55B49">
      <w:pPr>
        <w:rPr>
          <w:rFonts w:ascii="Times New Roman" w:hAnsi="Times New Roman"/>
          <w:b/>
          <w:sz w:val="22"/>
          <w:szCs w:val="22"/>
        </w:rPr>
      </w:pPr>
    </w:p>
    <w:p w:rsidR="00137FDA" w:rsidRPr="00C55B49" w:rsidRDefault="00137FDA" w:rsidP="00C55B49">
      <w:pPr>
        <w:rPr>
          <w:rFonts w:ascii="Times New Roman" w:hAnsi="Times New Roman"/>
          <w:b/>
          <w:sz w:val="22"/>
          <w:szCs w:val="22"/>
        </w:rPr>
      </w:pPr>
      <w:r w:rsidRPr="00C55B49">
        <w:rPr>
          <w:rFonts w:ascii="Times New Roman" w:hAnsi="Times New Roman"/>
          <w:b/>
          <w:sz w:val="22"/>
          <w:szCs w:val="22"/>
        </w:rPr>
        <w:t xml:space="preserve">Comment Date: </w:t>
      </w:r>
      <w:r>
        <w:rPr>
          <w:rFonts w:ascii="Times New Roman" w:hAnsi="Times New Roman"/>
          <w:b/>
          <w:sz w:val="22"/>
          <w:szCs w:val="22"/>
        </w:rPr>
        <w:t xml:space="preserve"> </w:t>
      </w:r>
      <w:r w:rsidR="006D4C36">
        <w:rPr>
          <w:rFonts w:ascii="Times New Roman" w:hAnsi="Times New Roman"/>
          <w:sz w:val="22"/>
          <w:szCs w:val="22"/>
        </w:rPr>
        <w:t xml:space="preserve">January </w:t>
      </w:r>
      <w:r w:rsidR="009747D5">
        <w:rPr>
          <w:rFonts w:ascii="Times New Roman" w:hAnsi="Times New Roman"/>
          <w:sz w:val="22"/>
          <w:szCs w:val="22"/>
        </w:rPr>
        <w:t>9</w:t>
      </w:r>
      <w:r w:rsidRPr="00EF56F6">
        <w:rPr>
          <w:rFonts w:ascii="Times New Roman" w:hAnsi="Times New Roman"/>
          <w:sz w:val="22"/>
          <w:szCs w:val="22"/>
        </w:rPr>
        <w:t>, 201</w:t>
      </w:r>
      <w:r w:rsidR="006D4C36">
        <w:rPr>
          <w:rFonts w:ascii="Times New Roman" w:hAnsi="Times New Roman"/>
          <w:sz w:val="22"/>
          <w:szCs w:val="22"/>
        </w:rPr>
        <w:t>4</w:t>
      </w:r>
      <w:r w:rsidR="009747D5">
        <w:rPr>
          <w:rFonts w:ascii="Times New Roman" w:hAnsi="Times New Roman"/>
          <w:sz w:val="22"/>
          <w:szCs w:val="22"/>
        </w:rPr>
        <w:t xml:space="preserve"> </w:t>
      </w:r>
    </w:p>
    <w:p w:rsidR="00137FDA" w:rsidRPr="00C55B49" w:rsidRDefault="00137FDA" w:rsidP="00C55B49">
      <w:pPr>
        <w:rPr>
          <w:rFonts w:ascii="Times New Roman" w:hAnsi="Times New Roman"/>
          <w:b/>
          <w:sz w:val="22"/>
          <w:szCs w:val="22"/>
        </w:rPr>
      </w:pPr>
      <w:r w:rsidRPr="00C55B49">
        <w:rPr>
          <w:rFonts w:ascii="Times New Roman" w:hAnsi="Times New Roman"/>
          <w:b/>
          <w:sz w:val="22"/>
          <w:szCs w:val="22"/>
        </w:rPr>
        <w:t>Reply Comment Date:</w:t>
      </w:r>
      <w:r>
        <w:rPr>
          <w:rFonts w:ascii="Times New Roman" w:hAnsi="Times New Roman"/>
          <w:b/>
          <w:sz w:val="22"/>
          <w:szCs w:val="22"/>
        </w:rPr>
        <w:t xml:space="preserve"> </w:t>
      </w:r>
      <w:r w:rsidRPr="00C55B49">
        <w:rPr>
          <w:rFonts w:ascii="Times New Roman" w:hAnsi="Times New Roman"/>
          <w:b/>
          <w:sz w:val="22"/>
          <w:szCs w:val="22"/>
        </w:rPr>
        <w:t xml:space="preserve"> </w:t>
      </w:r>
      <w:r>
        <w:rPr>
          <w:rFonts w:ascii="Times New Roman" w:hAnsi="Times New Roman"/>
          <w:sz w:val="22"/>
          <w:szCs w:val="22"/>
        </w:rPr>
        <w:t>January</w:t>
      </w:r>
      <w:r w:rsidRPr="00EF56F6">
        <w:rPr>
          <w:rFonts w:ascii="Times New Roman" w:hAnsi="Times New Roman"/>
          <w:sz w:val="22"/>
          <w:szCs w:val="22"/>
        </w:rPr>
        <w:t xml:space="preserve"> </w:t>
      </w:r>
      <w:r w:rsidR="009747D5">
        <w:rPr>
          <w:rFonts w:ascii="Times New Roman" w:hAnsi="Times New Roman"/>
          <w:sz w:val="22"/>
          <w:szCs w:val="22"/>
        </w:rPr>
        <w:t>23</w:t>
      </w:r>
      <w:r w:rsidRPr="00EF56F6">
        <w:rPr>
          <w:rFonts w:ascii="Times New Roman" w:hAnsi="Times New Roman"/>
          <w:sz w:val="22"/>
          <w:szCs w:val="22"/>
        </w:rPr>
        <w:t>, 201</w:t>
      </w:r>
      <w:r>
        <w:rPr>
          <w:rFonts w:ascii="Times New Roman" w:hAnsi="Times New Roman"/>
          <w:sz w:val="22"/>
          <w:szCs w:val="22"/>
        </w:rPr>
        <w:t>4</w:t>
      </w:r>
      <w:r w:rsidR="004E304D">
        <w:rPr>
          <w:rFonts w:ascii="Times New Roman" w:hAnsi="Times New Roman"/>
          <w:sz w:val="22"/>
          <w:szCs w:val="22"/>
        </w:rPr>
        <w:t xml:space="preserve"> </w:t>
      </w:r>
      <w:r w:rsidR="009747D5">
        <w:rPr>
          <w:rFonts w:ascii="Times New Roman" w:hAnsi="Times New Roman"/>
          <w:sz w:val="22"/>
          <w:szCs w:val="22"/>
        </w:rPr>
        <w:t xml:space="preserve">  </w:t>
      </w:r>
    </w:p>
    <w:p w:rsidR="00137FDA" w:rsidRDefault="00137FDA" w:rsidP="00CD1024">
      <w:pPr>
        <w:ind w:firstLine="720"/>
        <w:rPr>
          <w:rFonts w:ascii="Times New Roman" w:hAnsi="Times New Roman"/>
          <w:sz w:val="22"/>
          <w:szCs w:val="22"/>
        </w:rPr>
      </w:pPr>
    </w:p>
    <w:p w:rsidR="00137FDA" w:rsidRPr="00906AC4" w:rsidRDefault="00297323" w:rsidP="00AF6695">
      <w:pPr>
        <w:ind w:firstLine="720"/>
        <w:rPr>
          <w:rFonts w:ascii="Times New Roman" w:hAnsi="Times New Roman"/>
          <w:sz w:val="22"/>
          <w:szCs w:val="22"/>
        </w:rPr>
      </w:pPr>
      <w:r w:rsidRPr="008D4177">
        <w:rPr>
          <w:rFonts w:ascii="Times New Roman" w:hAnsi="Times New Roman"/>
          <w:sz w:val="22"/>
          <w:szCs w:val="22"/>
        </w:rPr>
        <w:t>In the</w:t>
      </w:r>
      <w:r>
        <w:rPr>
          <w:rFonts w:ascii="Times New Roman" w:hAnsi="Times New Roman"/>
          <w:sz w:val="22"/>
          <w:szCs w:val="22"/>
        </w:rPr>
        <w:t xml:space="preserve"> </w:t>
      </w:r>
      <w:r>
        <w:rPr>
          <w:rFonts w:ascii="Times New Roman" w:hAnsi="Times New Roman"/>
          <w:i/>
          <w:sz w:val="22"/>
          <w:szCs w:val="22"/>
        </w:rPr>
        <w:t xml:space="preserve">Broadcast Television </w:t>
      </w:r>
      <w:r w:rsidRPr="00951053">
        <w:rPr>
          <w:rFonts w:ascii="Times New Roman" w:hAnsi="Times New Roman"/>
          <w:i/>
          <w:sz w:val="22"/>
          <w:szCs w:val="22"/>
        </w:rPr>
        <w:t>Incentive Auction</w:t>
      </w:r>
      <w:r w:rsidRPr="008D4177">
        <w:rPr>
          <w:rFonts w:ascii="Times New Roman" w:hAnsi="Times New Roman"/>
          <w:sz w:val="22"/>
          <w:szCs w:val="22"/>
        </w:rPr>
        <w:t xml:space="preserve"> </w:t>
      </w:r>
      <w:r w:rsidRPr="008D4177">
        <w:rPr>
          <w:rFonts w:ascii="Times New Roman" w:hAnsi="Times New Roman"/>
          <w:i/>
          <w:sz w:val="22"/>
          <w:szCs w:val="22"/>
        </w:rPr>
        <w:t>NPRM,</w:t>
      </w:r>
      <w:r w:rsidRPr="008D4177">
        <w:rPr>
          <w:rFonts w:ascii="Times New Roman" w:hAnsi="Times New Roman"/>
          <w:sz w:val="22"/>
          <w:szCs w:val="22"/>
        </w:rPr>
        <w:t xml:space="preserve"> </w:t>
      </w:r>
      <w:r w:rsidR="001A1544" w:rsidRPr="001A1544">
        <w:rPr>
          <w:rFonts w:ascii="Times New Roman" w:hAnsi="Times New Roman"/>
          <w:sz w:val="22"/>
          <w:szCs w:val="22"/>
        </w:rPr>
        <w:t xml:space="preserve">the Commission sought public </w:t>
      </w:r>
      <w:r w:rsidR="00AF6695">
        <w:rPr>
          <w:rFonts w:ascii="Times New Roman" w:hAnsi="Times New Roman"/>
          <w:sz w:val="22"/>
          <w:szCs w:val="22"/>
        </w:rPr>
        <w:t>comment on creating a</w:t>
      </w:r>
      <w:r w:rsidR="001A1544" w:rsidRPr="001A1544">
        <w:rPr>
          <w:rFonts w:ascii="Times New Roman" w:hAnsi="Times New Roman"/>
          <w:sz w:val="22"/>
          <w:szCs w:val="22"/>
        </w:rPr>
        <w:t xml:space="preserve"> 600 MHz band plan from the spectrum made available for flexible use through the </w:t>
      </w:r>
      <w:r w:rsidR="00AF6695">
        <w:rPr>
          <w:rFonts w:ascii="Times New Roman" w:hAnsi="Times New Roman"/>
          <w:sz w:val="22"/>
          <w:szCs w:val="22"/>
        </w:rPr>
        <w:t>broadcast television incentive auction</w:t>
      </w:r>
      <w:r w:rsidR="001A1544">
        <w:rPr>
          <w:rFonts w:ascii="Times New Roman" w:hAnsi="Times New Roman"/>
          <w:sz w:val="22"/>
          <w:szCs w:val="22"/>
        </w:rPr>
        <w:t>.</w:t>
      </w:r>
      <w:r w:rsidR="001A1544">
        <w:rPr>
          <w:rStyle w:val="FootnoteReference"/>
          <w:szCs w:val="22"/>
        </w:rPr>
        <w:footnoteReference w:id="1"/>
      </w:r>
      <w:r w:rsidR="001A1544">
        <w:rPr>
          <w:rFonts w:ascii="Times New Roman" w:hAnsi="Times New Roman"/>
          <w:sz w:val="22"/>
          <w:szCs w:val="22"/>
        </w:rPr>
        <w:t xml:space="preserve">  Specifically, it</w:t>
      </w:r>
      <w:r w:rsidRPr="008D4177">
        <w:rPr>
          <w:rFonts w:ascii="Times New Roman" w:hAnsi="Times New Roman"/>
          <w:sz w:val="22"/>
          <w:szCs w:val="22"/>
        </w:rPr>
        <w:t xml:space="preserve"> </w:t>
      </w:r>
      <w:r w:rsidR="001A1544">
        <w:rPr>
          <w:rFonts w:ascii="Times New Roman" w:hAnsi="Times New Roman"/>
          <w:sz w:val="22"/>
          <w:szCs w:val="22"/>
        </w:rPr>
        <w:t>proposed to use</w:t>
      </w:r>
      <w:r w:rsidR="001A1544" w:rsidRPr="00906AC4">
        <w:rPr>
          <w:rFonts w:ascii="Times New Roman" w:hAnsi="Times New Roman"/>
          <w:sz w:val="22"/>
          <w:szCs w:val="22"/>
        </w:rPr>
        <w:t xml:space="preserve"> geographic area licensing </w:t>
      </w:r>
      <w:r w:rsidR="001A1544">
        <w:rPr>
          <w:rFonts w:ascii="Times New Roman" w:hAnsi="Times New Roman"/>
          <w:sz w:val="22"/>
          <w:szCs w:val="22"/>
        </w:rPr>
        <w:t>to</w:t>
      </w:r>
      <w:r w:rsidR="001A1544" w:rsidRPr="00906AC4">
        <w:rPr>
          <w:rFonts w:ascii="Times New Roman" w:hAnsi="Times New Roman"/>
          <w:sz w:val="22"/>
          <w:szCs w:val="22"/>
        </w:rPr>
        <w:t xml:space="preserve"> </w:t>
      </w:r>
      <w:r w:rsidR="001A1544">
        <w:rPr>
          <w:rFonts w:ascii="Times New Roman" w:hAnsi="Times New Roman"/>
          <w:sz w:val="22"/>
          <w:szCs w:val="22"/>
        </w:rPr>
        <w:t xml:space="preserve">license the </w:t>
      </w:r>
      <w:r w:rsidRPr="00906AC4">
        <w:rPr>
          <w:rFonts w:ascii="Times New Roman" w:hAnsi="Times New Roman"/>
          <w:sz w:val="22"/>
          <w:szCs w:val="22"/>
        </w:rPr>
        <w:t>600 MHz band using Economic Areas (EAs)</w:t>
      </w:r>
      <w:r>
        <w:rPr>
          <w:rFonts w:ascii="Times New Roman" w:hAnsi="Times New Roman"/>
          <w:sz w:val="22"/>
          <w:szCs w:val="22"/>
        </w:rPr>
        <w:t>.</w:t>
      </w:r>
      <w:r>
        <w:rPr>
          <w:rStyle w:val="FootnoteReference"/>
          <w:szCs w:val="22"/>
        </w:rPr>
        <w:footnoteReference w:id="2"/>
      </w:r>
      <w:r>
        <w:rPr>
          <w:rFonts w:ascii="Times New Roman" w:hAnsi="Times New Roman"/>
          <w:sz w:val="22"/>
          <w:szCs w:val="22"/>
        </w:rPr>
        <w:t xml:space="preserve">  </w:t>
      </w:r>
      <w:r w:rsidR="00137FDA">
        <w:rPr>
          <w:rFonts w:ascii="Times New Roman" w:hAnsi="Times New Roman"/>
          <w:sz w:val="22"/>
          <w:szCs w:val="22"/>
        </w:rPr>
        <w:t xml:space="preserve">The Commission also sought comment on whether it should use geographic areas </w:t>
      </w:r>
      <w:r w:rsidR="00DB5B52">
        <w:rPr>
          <w:rFonts w:ascii="Times New Roman" w:hAnsi="Times New Roman"/>
          <w:sz w:val="22"/>
          <w:szCs w:val="22"/>
        </w:rPr>
        <w:t xml:space="preserve">larger or </w:t>
      </w:r>
      <w:r w:rsidR="009864BE">
        <w:rPr>
          <w:rFonts w:ascii="Times New Roman" w:hAnsi="Times New Roman"/>
          <w:sz w:val="22"/>
          <w:szCs w:val="22"/>
        </w:rPr>
        <w:t xml:space="preserve">smaller </w:t>
      </w:r>
      <w:r w:rsidR="00137FDA">
        <w:rPr>
          <w:rFonts w:ascii="Times New Roman" w:hAnsi="Times New Roman"/>
          <w:sz w:val="22"/>
          <w:szCs w:val="22"/>
        </w:rPr>
        <w:t xml:space="preserve">than EAs, such as </w:t>
      </w:r>
      <w:r w:rsidR="00137FDA" w:rsidRPr="00906AC4">
        <w:rPr>
          <w:rFonts w:ascii="Times New Roman" w:hAnsi="Times New Roman"/>
          <w:sz w:val="22"/>
          <w:szCs w:val="22"/>
        </w:rPr>
        <w:t>Cellular Market Areas (CMAs)</w:t>
      </w:r>
      <w:r w:rsidR="00137FDA">
        <w:rPr>
          <w:rFonts w:ascii="Times New Roman" w:hAnsi="Times New Roman"/>
          <w:sz w:val="22"/>
          <w:szCs w:val="22"/>
        </w:rPr>
        <w:t>.</w:t>
      </w:r>
      <w:r w:rsidR="00137FDA">
        <w:rPr>
          <w:rStyle w:val="FootnoteReference"/>
          <w:szCs w:val="22"/>
        </w:rPr>
        <w:footnoteReference w:id="3"/>
      </w:r>
      <w:r w:rsidR="00137FDA">
        <w:rPr>
          <w:rFonts w:ascii="Times New Roman" w:hAnsi="Times New Roman"/>
          <w:sz w:val="22"/>
          <w:szCs w:val="22"/>
        </w:rPr>
        <w:t xml:space="preserve"> </w:t>
      </w:r>
      <w:r w:rsidR="00A000EA">
        <w:rPr>
          <w:rFonts w:ascii="Times New Roman" w:hAnsi="Times New Roman"/>
          <w:sz w:val="22"/>
          <w:szCs w:val="22"/>
        </w:rPr>
        <w:t xml:space="preserve"> </w:t>
      </w:r>
      <w:r w:rsidR="00DB5B52">
        <w:rPr>
          <w:rFonts w:ascii="Times New Roman" w:hAnsi="Times New Roman"/>
          <w:sz w:val="22"/>
          <w:szCs w:val="22"/>
        </w:rPr>
        <w:t xml:space="preserve">Although a number of commenters support the </w:t>
      </w:r>
      <w:r w:rsidR="003E093B">
        <w:rPr>
          <w:rFonts w:ascii="Times New Roman" w:hAnsi="Times New Roman"/>
          <w:sz w:val="22"/>
          <w:szCs w:val="22"/>
        </w:rPr>
        <w:t xml:space="preserve">Commission’s </w:t>
      </w:r>
      <w:r w:rsidR="00DB5B52">
        <w:rPr>
          <w:rFonts w:ascii="Times New Roman" w:hAnsi="Times New Roman"/>
          <w:sz w:val="22"/>
          <w:szCs w:val="22"/>
        </w:rPr>
        <w:t>proposal to license the 600 MHz band on an EA basis,</w:t>
      </w:r>
      <w:r w:rsidR="00DB5B52">
        <w:rPr>
          <w:rStyle w:val="FootnoteReference"/>
          <w:szCs w:val="22"/>
        </w:rPr>
        <w:footnoteReference w:id="4"/>
      </w:r>
      <w:r w:rsidR="00DB5B52" w:rsidRPr="00906AC4">
        <w:rPr>
          <w:rFonts w:ascii="Times New Roman" w:hAnsi="Times New Roman"/>
          <w:sz w:val="22"/>
          <w:szCs w:val="22"/>
        </w:rPr>
        <w:t xml:space="preserve"> </w:t>
      </w:r>
      <w:r w:rsidR="00DB5B52">
        <w:rPr>
          <w:rFonts w:ascii="Times New Roman" w:hAnsi="Times New Roman"/>
          <w:sz w:val="22"/>
          <w:szCs w:val="22"/>
        </w:rPr>
        <w:t>s</w:t>
      </w:r>
      <w:r w:rsidR="00137FDA" w:rsidRPr="00906AC4">
        <w:rPr>
          <w:rFonts w:ascii="Times New Roman" w:hAnsi="Times New Roman"/>
          <w:sz w:val="22"/>
          <w:szCs w:val="22"/>
        </w:rPr>
        <w:t xml:space="preserve">ome commenters </w:t>
      </w:r>
      <w:r w:rsidR="00C61A2B">
        <w:rPr>
          <w:rFonts w:ascii="Times New Roman" w:hAnsi="Times New Roman"/>
          <w:sz w:val="22"/>
          <w:szCs w:val="22"/>
        </w:rPr>
        <w:t>argue that EA licenses are too large for small and rural operators to obtain at auction or deploy</w:t>
      </w:r>
      <w:r w:rsidR="00137FDA" w:rsidRPr="00906AC4">
        <w:rPr>
          <w:rFonts w:ascii="Times New Roman" w:hAnsi="Times New Roman"/>
          <w:sz w:val="22"/>
          <w:szCs w:val="22"/>
        </w:rPr>
        <w:t>.</w:t>
      </w:r>
      <w:r w:rsidR="00137FDA">
        <w:rPr>
          <w:rStyle w:val="FootnoteReference"/>
          <w:szCs w:val="22"/>
        </w:rPr>
        <w:footnoteReference w:id="5"/>
      </w:r>
      <w:r w:rsidR="00137FDA" w:rsidRPr="00906AC4">
        <w:rPr>
          <w:rFonts w:ascii="Times New Roman" w:hAnsi="Times New Roman"/>
          <w:sz w:val="22"/>
          <w:szCs w:val="22"/>
        </w:rPr>
        <w:t xml:space="preserve">  </w:t>
      </w:r>
      <w:r w:rsidR="00C5469C">
        <w:rPr>
          <w:rFonts w:ascii="Times New Roman" w:hAnsi="Times New Roman"/>
          <w:sz w:val="22"/>
          <w:szCs w:val="22"/>
        </w:rPr>
        <w:t xml:space="preserve">Consequently, </w:t>
      </w:r>
      <w:r w:rsidR="00137FDA" w:rsidRPr="00906AC4">
        <w:rPr>
          <w:rFonts w:ascii="Times New Roman" w:hAnsi="Times New Roman"/>
          <w:sz w:val="22"/>
          <w:szCs w:val="22"/>
        </w:rPr>
        <w:t xml:space="preserve">these commenters </w:t>
      </w:r>
      <w:r w:rsidR="00C61A2B">
        <w:rPr>
          <w:rFonts w:ascii="Times New Roman" w:hAnsi="Times New Roman"/>
          <w:sz w:val="22"/>
          <w:szCs w:val="22"/>
        </w:rPr>
        <w:lastRenderedPageBreak/>
        <w:t xml:space="preserve">support </w:t>
      </w:r>
      <w:r w:rsidR="00C5469C">
        <w:rPr>
          <w:rFonts w:ascii="Times New Roman" w:hAnsi="Times New Roman"/>
          <w:sz w:val="22"/>
          <w:szCs w:val="22"/>
        </w:rPr>
        <w:t xml:space="preserve">licensing </w:t>
      </w:r>
      <w:r w:rsidR="00137FDA">
        <w:rPr>
          <w:rFonts w:ascii="Times New Roman" w:hAnsi="Times New Roman"/>
          <w:sz w:val="22"/>
          <w:szCs w:val="22"/>
        </w:rPr>
        <w:t>the 600 MHz band</w:t>
      </w:r>
      <w:r w:rsidR="00C61A2B">
        <w:rPr>
          <w:rFonts w:ascii="Times New Roman" w:hAnsi="Times New Roman"/>
          <w:sz w:val="22"/>
          <w:szCs w:val="22"/>
        </w:rPr>
        <w:t xml:space="preserve"> using CMAs</w:t>
      </w:r>
      <w:r w:rsidR="00137FDA">
        <w:rPr>
          <w:rFonts w:ascii="Times New Roman" w:hAnsi="Times New Roman"/>
          <w:sz w:val="22"/>
          <w:szCs w:val="22"/>
        </w:rPr>
        <w:t>.</w:t>
      </w:r>
      <w:r w:rsidR="00137FDA">
        <w:rPr>
          <w:rStyle w:val="FootnoteReference"/>
          <w:szCs w:val="22"/>
        </w:rPr>
        <w:footnoteReference w:id="6"/>
      </w:r>
      <w:r w:rsidR="00137FDA">
        <w:rPr>
          <w:rFonts w:ascii="Times New Roman" w:hAnsi="Times New Roman"/>
          <w:sz w:val="22"/>
          <w:szCs w:val="22"/>
        </w:rPr>
        <w:t xml:space="preserve"> </w:t>
      </w:r>
      <w:r w:rsidR="00137FDA" w:rsidRPr="00906AC4">
        <w:rPr>
          <w:rFonts w:ascii="Times New Roman" w:hAnsi="Times New Roman"/>
          <w:sz w:val="22"/>
          <w:szCs w:val="22"/>
        </w:rPr>
        <w:t xml:space="preserve"> </w:t>
      </w:r>
      <w:r w:rsidR="00C5469C">
        <w:rPr>
          <w:rFonts w:ascii="Times New Roman" w:hAnsi="Times New Roman"/>
          <w:sz w:val="22"/>
          <w:szCs w:val="22"/>
        </w:rPr>
        <w:t xml:space="preserve">Others oppose </w:t>
      </w:r>
      <w:r w:rsidR="00B57A10">
        <w:rPr>
          <w:rFonts w:ascii="Times New Roman" w:hAnsi="Times New Roman"/>
          <w:sz w:val="22"/>
          <w:szCs w:val="22"/>
        </w:rPr>
        <w:t>using</w:t>
      </w:r>
      <w:r w:rsidR="00C5469C">
        <w:rPr>
          <w:rFonts w:ascii="Times New Roman" w:hAnsi="Times New Roman"/>
          <w:sz w:val="22"/>
          <w:szCs w:val="22"/>
        </w:rPr>
        <w:t xml:space="preserve"> CMAs because they do not “nest” </w:t>
      </w:r>
      <w:r w:rsidR="004D1487">
        <w:rPr>
          <w:rFonts w:ascii="Times New Roman" w:hAnsi="Times New Roman"/>
          <w:sz w:val="22"/>
          <w:szCs w:val="22"/>
        </w:rPr>
        <w:t>(</w:t>
      </w:r>
      <w:r w:rsidR="004D1487" w:rsidRPr="003324B2">
        <w:rPr>
          <w:rFonts w:ascii="Times New Roman" w:hAnsi="Times New Roman"/>
          <w:i/>
          <w:sz w:val="22"/>
          <w:szCs w:val="22"/>
        </w:rPr>
        <w:t>i.e.</w:t>
      </w:r>
      <w:r w:rsidR="004D1487">
        <w:rPr>
          <w:rFonts w:ascii="Times New Roman" w:hAnsi="Times New Roman"/>
          <w:sz w:val="22"/>
          <w:szCs w:val="22"/>
        </w:rPr>
        <w:t xml:space="preserve">, fit neatly) </w:t>
      </w:r>
      <w:r w:rsidR="00C5469C">
        <w:rPr>
          <w:rFonts w:ascii="Times New Roman" w:hAnsi="Times New Roman"/>
          <w:sz w:val="22"/>
          <w:szCs w:val="22"/>
        </w:rPr>
        <w:t xml:space="preserve">within larger </w:t>
      </w:r>
      <w:r w:rsidR="00830600">
        <w:rPr>
          <w:rFonts w:ascii="Times New Roman" w:hAnsi="Times New Roman"/>
          <w:sz w:val="22"/>
          <w:szCs w:val="22"/>
        </w:rPr>
        <w:t xml:space="preserve">EA-based </w:t>
      </w:r>
      <w:r w:rsidR="00C5469C">
        <w:rPr>
          <w:rFonts w:ascii="Times New Roman" w:hAnsi="Times New Roman"/>
          <w:sz w:val="22"/>
          <w:szCs w:val="22"/>
        </w:rPr>
        <w:t xml:space="preserve">license areas and </w:t>
      </w:r>
      <w:r w:rsidR="00830600">
        <w:rPr>
          <w:rFonts w:ascii="Times New Roman" w:hAnsi="Times New Roman"/>
          <w:sz w:val="22"/>
          <w:szCs w:val="22"/>
        </w:rPr>
        <w:t xml:space="preserve">because using smaller license areas </w:t>
      </w:r>
      <w:r w:rsidR="008C7152">
        <w:rPr>
          <w:rFonts w:ascii="Times New Roman" w:hAnsi="Times New Roman"/>
          <w:sz w:val="22"/>
          <w:szCs w:val="22"/>
        </w:rPr>
        <w:t>can frustrate a</w:t>
      </w:r>
      <w:r w:rsidR="003D09FE">
        <w:rPr>
          <w:rFonts w:ascii="Times New Roman" w:hAnsi="Times New Roman"/>
          <w:sz w:val="22"/>
          <w:szCs w:val="22"/>
        </w:rPr>
        <w:t xml:space="preserve"> carrier</w:t>
      </w:r>
      <w:r w:rsidR="004A73A7">
        <w:rPr>
          <w:rFonts w:ascii="Times New Roman" w:hAnsi="Times New Roman"/>
          <w:sz w:val="22"/>
          <w:szCs w:val="22"/>
        </w:rPr>
        <w:t>’</w:t>
      </w:r>
      <w:r w:rsidR="003D09FE">
        <w:rPr>
          <w:rFonts w:ascii="Times New Roman" w:hAnsi="Times New Roman"/>
          <w:sz w:val="22"/>
          <w:szCs w:val="22"/>
        </w:rPr>
        <w:t>s</w:t>
      </w:r>
      <w:r w:rsidR="008C7152">
        <w:rPr>
          <w:rFonts w:ascii="Times New Roman" w:hAnsi="Times New Roman"/>
          <w:sz w:val="22"/>
          <w:szCs w:val="22"/>
        </w:rPr>
        <w:t xml:space="preserve"> ability to</w:t>
      </w:r>
      <w:r w:rsidR="003D09FE">
        <w:rPr>
          <w:rFonts w:ascii="Times New Roman" w:hAnsi="Times New Roman"/>
          <w:sz w:val="22"/>
          <w:szCs w:val="22"/>
        </w:rPr>
        <w:t xml:space="preserve"> acquir</w:t>
      </w:r>
      <w:r w:rsidR="008C7152">
        <w:rPr>
          <w:rFonts w:ascii="Times New Roman" w:hAnsi="Times New Roman"/>
          <w:sz w:val="22"/>
          <w:szCs w:val="22"/>
        </w:rPr>
        <w:t>e a</w:t>
      </w:r>
      <w:r w:rsidR="009D0DA1">
        <w:rPr>
          <w:rFonts w:ascii="Times New Roman" w:hAnsi="Times New Roman"/>
          <w:sz w:val="22"/>
          <w:szCs w:val="22"/>
        </w:rPr>
        <w:t xml:space="preserve"> larger </w:t>
      </w:r>
      <w:r w:rsidR="00C5469C">
        <w:rPr>
          <w:rFonts w:ascii="Times New Roman" w:hAnsi="Times New Roman"/>
          <w:sz w:val="22"/>
          <w:szCs w:val="22"/>
        </w:rPr>
        <w:t>footprint.</w:t>
      </w:r>
      <w:r w:rsidR="00C5469C">
        <w:rPr>
          <w:rStyle w:val="FootnoteReference"/>
          <w:szCs w:val="22"/>
        </w:rPr>
        <w:footnoteReference w:id="7"/>
      </w:r>
    </w:p>
    <w:p w:rsidR="00137FDA" w:rsidRPr="00906AC4" w:rsidRDefault="00137FDA" w:rsidP="00906AC4">
      <w:pPr>
        <w:ind w:firstLine="720"/>
        <w:rPr>
          <w:rFonts w:ascii="Times New Roman" w:hAnsi="Times New Roman"/>
          <w:sz w:val="22"/>
          <w:szCs w:val="22"/>
        </w:rPr>
      </w:pPr>
    </w:p>
    <w:p w:rsidR="00BD3913" w:rsidRDefault="00137FDA" w:rsidP="008C47E4">
      <w:pPr>
        <w:ind w:firstLine="720"/>
        <w:rPr>
          <w:rFonts w:ascii="Times New Roman" w:hAnsi="Times New Roman"/>
          <w:sz w:val="22"/>
          <w:szCs w:val="22"/>
        </w:rPr>
      </w:pPr>
      <w:r w:rsidRPr="00906AC4">
        <w:rPr>
          <w:rFonts w:ascii="Times New Roman" w:hAnsi="Times New Roman"/>
          <w:sz w:val="22"/>
          <w:szCs w:val="22"/>
        </w:rPr>
        <w:t>On November 27, 2013</w:t>
      </w:r>
      <w:r w:rsidR="00A000EA">
        <w:rPr>
          <w:rFonts w:ascii="Times New Roman" w:hAnsi="Times New Roman"/>
          <w:sz w:val="22"/>
          <w:szCs w:val="22"/>
        </w:rPr>
        <w:t>,</w:t>
      </w:r>
      <w:r w:rsidRPr="00906AC4">
        <w:rPr>
          <w:rFonts w:ascii="Times New Roman" w:hAnsi="Times New Roman"/>
          <w:sz w:val="22"/>
          <w:szCs w:val="22"/>
        </w:rPr>
        <w:t xml:space="preserve"> </w:t>
      </w:r>
      <w:r>
        <w:rPr>
          <w:rFonts w:ascii="Times New Roman" w:hAnsi="Times New Roman"/>
          <w:sz w:val="22"/>
          <w:szCs w:val="22"/>
        </w:rPr>
        <w:t>the Competitive Carriers Association</w:t>
      </w:r>
      <w:r w:rsidRPr="00906AC4">
        <w:rPr>
          <w:rFonts w:ascii="Times New Roman" w:hAnsi="Times New Roman"/>
          <w:sz w:val="22"/>
          <w:szCs w:val="22"/>
        </w:rPr>
        <w:t xml:space="preserve"> </w:t>
      </w:r>
      <w:r>
        <w:rPr>
          <w:rFonts w:ascii="Times New Roman" w:hAnsi="Times New Roman"/>
          <w:sz w:val="22"/>
          <w:szCs w:val="22"/>
        </w:rPr>
        <w:t>(CCA)</w:t>
      </w:r>
      <w:r w:rsidR="00843B2D">
        <w:rPr>
          <w:rStyle w:val="FootnoteReference"/>
          <w:szCs w:val="22"/>
        </w:rPr>
        <w:footnoteReference w:id="8"/>
      </w:r>
      <w:r>
        <w:rPr>
          <w:rFonts w:ascii="Times New Roman" w:hAnsi="Times New Roman"/>
          <w:sz w:val="22"/>
          <w:szCs w:val="22"/>
        </w:rPr>
        <w:t xml:space="preserve"> </w:t>
      </w:r>
      <w:r w:rsidRPr="00906AC4">
        <w:rPr>
          <w:rFonts w:ascii="Times New Roman" w:hAnsi="Times New Roman"/>
          <w:sz w:val="22"/>
          <w:szCs w:val="22"/>
        </w:rPr>
        <w:t>submitted a</w:t>
      </w:r>
      <w:r w:rsidR="003E093B">
        <w:rPr>
          <w:rFonts w:ascii="Times New Roman" w:hAnsi="Times New Roman"/>
          <w:sz w:val="22"/>
          <w:szCs w:val="22"/>
        </w:rPr>
        <w:t xml:space="preserve">n alternative </w:t>
      </w:r>
      <w:r w:rsidR="003C48A2">
        <w:rPr>
          <w:rFonts w:ascii="Times New Roman" w:hAnsi="Times New Roman"/>
          <w:sz w:val="22"/>
          <w:szCs w:val="22"/>
        </w:rPr>
        <w:t xml:space="preserve">proposed </w:t>
      </w:r>
      <w:r w:rsidR="00830600">
        <w:rPr>
          <w:rFonts w:ascii="Times New Roman" w:hAnsi="Times New Roman"/>
          <w:sz w:val="22"/>
          <w:szCs w:val="22"/>
        </w:rPr>
        <w:t>scheme for smaller license areas based on</w:t>
      </w:r>
      <w:r w:rsidR="003E093B">
        <w:rPr>
          <w:rFonts w:ascii="Times New Roman" w:hAnsi="Times New Roman"/>
          <w:sz w:val="22"/>
          <w:szCs w:val="22"/>
        </w:rPr>
        <w:t xml:space="preserve"> </w:t>
      </w:r>
      <w:r w:rsidRPr="00906AC4">
        <w:rPr>
          <w:rFonts w:ascii="Times New Roman" w:hAnsi="Times New Roman"/>
          <w:sz w:val="22"/>
          <w:szCs w:val="22"/>
        </w:rPr>
        <w:t xml:space="preserve">a new geographic area </w:t>
      </w:r>
      <w:r>
        <w:rPr>
          <w:rFonts w:ascii="Times New Roman" w:hAnsi="Times New Roman"/>
          <w:sz w:val="22"/>
          <w:szCs w:val="22"/>
        </w:rPr>
        <w:t xml:space="preserve">size </w:t>
      </w:r>
      <w:r w:rsidR="005D5104">
        <w:rPr>
          <w:rFonts w:ascii="Times New Roman" w:hAnsi="Times New Roman"/>
          <w:sz w:val="22"/>
          <w:szCs w:val="22"/>
        </w:rPr>
        <w:t xml:space="preserve">that CCA calls </w:t>
      </w:r>
      <w:r w:rsidRPr="00906AC4">
        <w:rPr>
          <w:rFonts w:ascii="Times New Roman" w:hAnsi="Times New Roman"/>
          <w:sz w:val="22"/>
          <w:szCs w:val="22"/>
        </w:rPr>
        <w:t>Partial Economic Areas (PEAs)</w:t>
      </w:r>
      <w:r w:rsidR="00617649">
        <w:rPr>
          <w:rFonts w:ascii="Times New Roman" w:hAnsi="Times New Roman"/>
          <w:sz w:val="22"/>
          <w:szCs w:val="22"/>
        </w:rPr>
        <w:t>.</w:t>
      </w:r>
      <w:r w:rsidR="00617649">
        <w:rPr>
          <w:rStyle w:val="FootnoteReference"/>
          <w:szCs w:val="22"/>
        </w:rPr>
        <w:footnoteReference w:id="9"/>
      </w:r>
      <w:r w:rsidRPr="00906AC4">
        <w:rPr>
          <w:rFonts w:ascii="Times New Roman" w:hAnsi="Times New Roman"/>
          <w:sz w:val="22"/>
          <w:szCs w:val="22"/>
        </w:rPr>
        <w:t xml:space="preserve">  PEAs</w:t>
      </w:r>
      <w:r w:rsidR="00B3137C">
        <w:rPr>
          <w:rFonts w:ascii="Times New Roman" w:hAnsi="Times New Roman"/>
          <w:sz w:val="22"/>
          <w:szCs w:val="22"/>
        </w:rPr>
        <w:t>, as described by CCA,</w:t>
      </w:r>
      <w:r w:rsidRPr="00906AC4">
        <w:rPr>
          <w:rFonts w:ascii="Times New Roman" w:hAnsi="Times New Roman"/>
          <w:sz w:val="22"/>
          <w:szCs w:val="22"/>
        </w:rPr>
        <w:t xml:space="preserve"> are a subdivision of EAs based on the CMA boundaries</w:t>
      </w:r>
      <w:r w:rsidR="00E30124">
        <w:rPr>
          <w:rFonts w:ascii="Times New Roman" w:hAnsi="Times New Roman"/>
          <w:sz w:val="22"/>
          <w:szCs w:val="22"/>
        </w:rPr>
        <w:t xml:space="preserve">, which </w:t>
      </w:r>
      <w:r>
        <w:rPr>
          <w:rFonts w:ascii="Times New Roman" w:hAnsi="Times New Roman"/>
          <w:sz w:val="22"/>
          <w:szCs w:val="22"/>
        </w:rPr>
        <w:t>“</w:t>
      </w:r>
      <w:r w:rsidRPr="009A4D8A">
        <w:rPr>
          <w:rFonts w:ascii="Times New Roman" w:hAnsi="Times New Roman"/>
          <w:sz w:val="22"/>
          <w:szCs w:val="22"/>
        </w:rPr>
        <w:t>ensure that some licenses consist of large population centers while other PEAs consist of less populous areas</w:t>
      </w:r>
      <w:r>
        <w:rPr>
          <w:rFonts w:ascii="Times New Roman" w:hAnsi="Times New Roman"/>
          <w:sz w:val="22"/>
          <w:szCs w:val="22"/>
        </w:rPr>
        <w:t>.”</w:t>
      </w:r>
      <w:r>
        <w:rPr>
          <w:rStyle w:val="FootnoteReference"/>
          <w:szCs w:val="22"/>
        </w:rPr>
        <w:footnoteReference w:id="10"/>
      </w:r>
      <w:r w:rsidRPr="00906AC4">
        <w:rPr>
          <w:rFonts w:ascii="Times New Roman" w:hAnsi="Times New Roman"/>
          <w:sz w:val="22"/>
          <w:szCs w:val="22"/>
        </w:rPr>
        <w:t xml:space="preserve">  As a result, PEAs are smaller than EAs</w:t>
      </w:r>
      <w:r w:rsidR="000454D0">
        <w:rPr>
          <w:rFonts w:ascii="Times New Roman" w:hAnsi="Times New Roman"/>
          <w:sz w:val="22"/>
          <w:szCs w:val="22"/>
        </w:rPr>
        <w:t>,</w:t>
      </w:r>
      <w:r w:rsidRPr="00906AC4">
        <w:rPr>
          <w:rFonts w:ascii="Times New Roman" w:hAnsi="Times New Roman"/>
          <w:sz w:val="22"/>
          <w:szCs w:val="22"/>
        </w:rPr>
        <w:t xml:space="preserve"> and separate rural </w:t>
      </w:r>
      <w:r w:rsidR="00A000EA">
        <w:rPr>
          <w:rFonts w:ascii="Times New Roman" w:hAnsi="Times New Roman"/>
          <w:sz w:val="22"/>
          <w:szCs w:val="22"/>
        </w:rPr>
        <w:t>from</w:t>
      </w:r>
      <w:r w:rsidR="00A000EA" w:rsidRPr="00906AC4">
        <w:rPr>
          <w:rFonts w:ascii="Times New Roman" w:hAnsi="Times New Roman"/>
          <w:sz w:val="22"/>
          <w:szCs w:val="22"/>
        </w:rPr>
        <w:t xml:space="preserve"> </w:t>
      </w:r>
      <w:r w:rsidRPr="00906AC4">
        <w:rPr>
          <w:rFonts w:ascii="Times New Roman" w:hAnsi="Times New Roman"/>
          <w:sz w:val="22"/>
          <w:szCs w:val="22"/>
        </w:rPr>
        <w:t>urban markets to a greater degree than EAs</w:t>
      </w:r>
      <w:r w:rsidR="00A000EA">
        <w:rPr>
          <w:rFonts w:ascii="Times New Roman" w:hAnsi="Times New Roman"/>
          <w:sz w:val="22"/>
          <w:szCs w:val="22"/>
        </w:rPr>
        <w:t>.</w:t>
      </w:r>
      <w:r w:rsidR="00F96983">
        <w:rPr>
          <w:rStyle w:val="FootnoteReference"/>
          <w:szCs w:val="22"/>
        </w:rPr>
        <w:footnoteReference w:id="11"/>
      </w:r>
      <w:r w:rsidRPr="00906AC4">
        <w:rPr>
          <w:rFonts w:ascii="Times New Roman" w:hAnsi="Times New Roman"/>
          <w:sz w:val="22"/>
          <w:szCs w:val="22"/>
        </w:rPr>
        <w:t xml:space="preserve"> </w:t>
      </w:r>
      <w:r w:rsidR="000454D0">
        <w:rPr>
          <w:rFonts w:ascii="Times New Roman" w:hAnsi="Times New Roman"/>
          <w:sz w:val="22"/>
          <w:szCs w:val="22"/>
        </w:rPr>
        <w:t xml:space="preserve"> </w:t>
      </w:r>
      <w:r w:rsidRPr="00906AC4">
        <w:rPr>
          <w:rFonts w:ascii="Times New Roman" w:hAnsi="Times New Roman"/>
          <w:sz w:val="22"/>
          <w:szCs w:val="22"/>
        </w:rPr>
        <w:t>Unlike CMAs, the geographic boundaries are set so that they “nest”</w:t>
      </w:r>
      <w:r w:rsidR="003324B2">
        <w:rPr>
          <w:rFonts w:ascii="Times New Roman" w:hAnsi="Times New Roman"/>
          <w:sz w:val="22"/>
          <w:szCs w:val="22"/>
        </w:rPr>
        <w:t xml:space="preserve"> </w:t>
      </w:r>
      <w:r w:rsidRPr="00906AC4">
        <w:rPr>
          <w:rFonts w:ascii="Times New Roman" w:hAnsi="Times New Roman"/>
          <w:sz w:val="22"/>
          <w:szCs w:val="22"/>
        </w:rPr>
        <w:t>into the larger EAs.</w:t>
      </w:r>
      <w:r>
        <w:rPr>
          <w:rStyle w:val="FootnoteReference"/>
          <w:szCs w:val="22"/>
        </w:rPr>
        <w:footnoteReference w:id="12"/>
      </w:r>
      <w:r w:rsidRPr="00906AC4">
        <w:rPr>
          <w:rFonts w:ascii="Times New Roman" w:hAnsi="Times New Roman"/>
          <w:sz w:val="22"/>
          <w:szCs w:val="22"/>
        </w:rPr>
        <w:t xml:space="preserve"> </w:t>
      </w:r>
      <w:r>
        <w:rPr>
          <w:rFonts w:ascii="Times New Roman" w:hAnsi="Times New Roman"/>
          <w:sz w:val="22"/>
          <w:szCs w:val="22"/>
        </w:rPr>
        <w:t xml:space="preserve"> </w:t>
      </w:r>
      <w:r w:rsidR="00617649">
        <w:rPr>
          <w:rFonts w:ascii="Times New Roman" w:hAnsi="Times New Roman"/>
          <w:sz w:val="22"/>
          <w:szCs w:val="22"/>
        </w:rPr>
        <w:t>A</w:t>
      </w:r>
      <w:r w:rsidR="00E30124">
        <w:rPr>
          <w:rFonts w:ascii="Times New Roman" w:hAnsi="Times New Roman"/>
          <w:sz w:val="22"/>
          <w:szCs w:val="22"/>
        </w:rPr>
        <w:t>lthough</w:t>
      </w:r>
      <w:r w:rsidR="00617649">
        <w:rPr>
          <w:rFonts w:ascii="Times New Roman" w:hAnsi="Times New Roman"/>
          <w:sz w:val="22"/>
          <w:szCs w:val="22"/>
        </w:rPr>
        <w:t xml:space="preserve"> CCA continues to support</w:t>
      </w:r>
      <w:r w:rsidR="00E30124">
        <w:rPr>
          <w:rFonts w:ascii="Times New Roman" w:hAnsi="Times New Roman"/>
          <w:sz w:val="22"/>
          <w:szCs w:val="22"/>
        </w:rPr>
        <w:t xml:space="preserve"> CMAs as the optimal license size,</w:t>
      </w:r>
      <w:r>
        <w:rPr>
          <w:rFonts w:ascii="Times New Roman" w:hAnsi="Times New Roman"/>
          <w:sz w:val="22"/>
          <w:szCs w:val="22"/>
        </w:rPr>
        <w:t xml:space="preserve"> </w:t>
      </w:r>
      <w:r w:rsidR="00617649">
        <w:rPr>
          <w:rFonts w:ascii="Times New Roman" w:hAnsi="Times New Roman"/>
          <w:sz w:val="22"/>
          <w:szCs w:val="22"/>
        </w:rPr>
        <w:t xml:space="preserve">it argues that </w:t>
      </w:r>
      <w:r>
        <w:rPr>
          <w:rFonts w:ascii="Times New Roman" w:hAnsi="Times New Roman"/>
          <w:sz w:val="22"/>
          <w:szCs w:val="22"/>
        </w:rPr>
        <w:t xml:space="preserve">PEAs are </w:t>
      </w:r>
      <w:r w:rsidR="00E30124">
        <w:rPr>
          <w:rFonts w:ascii="Times New Roman" w:hAnsi="Times New Roman"/>
          <w:sz w:val="22"/>
          <w:szCs w:val="22"/>
        </w:rPr>
        <w:t xml:space="preserve">preferable to EAs in </w:t>
      </w:r>
      <w:r>
        <w:rPr>
          <w:rFonts w:ascii="Times New Roman" w:hAnsi="Times New Roman"/>
          <w:sz w:val="22"/>
          <w:szCs w:val="22"/>
        </w:rPr>
        <w:t>the 600 MHz band because PEAs “</w:t>
      </w:r>
      <w:r w:rsidRPr="00127933">
        <w:rPr>
          <w:rFonts w:ascii="Times New Roman" w:hAnsi="Times New Roman"/>
          <w:sz w:val="22"/>
          <w:szCs w:val="22"/>
        </w:rPr>
        <w:t>would enable smaller and rural carriers to bid on portions of EAs to obtain more efficiently sized spectrum licenses</w:t>
      </w:r>
      <w:r>
        <w:rPr>
          <w:rFonts w:ascii="Times New Roman" w:hAnsi="Times New Roman"/>
          <w:sz w:val="22"/>
          <w:szCs w:val="22"/>
        </w:rPr>
        <w:t>.”</w:t>
      </w:r>
      <w:r>
        <w:rPr>
          <w:rStyle w:val="FootnoteReference"/>
          <w:szCs w:val="22"/>
        </w:rPr>
        <w:footnoteReference w:id="13"/>
      </w:r>
      <w:r w:rsidR="00BA192B">
        <w:rPr>
          <w:rFonts w:ascii="Times New Roman" w:hAnsi="Times New Roman"/>
          <w:sz w:val="22"/>
          <w:szCs w:val="22"/>
        </w:rPr>
        <w:t xml:space="preserve"> </w:t>
      </w:r>
      <w:r w:rsidR="00F804A4">
        <w:rPr>
          <w:rFonts w:ascii="Times New Roman" w:hAnsi="Times New Roman"/>
          <w:sz w:val="22"/>
          <w:szCs w:val="22"/>
        </w:rPr>
        <w:t xml:space="preserve"> On December 3, 2013, </w:t>
      </w:r>
      <w:r w:rsidR="008C47E4" w:rsidRPr="008C47E4">
        <w:rPr>
          <w:rFonts w:ascii="Times New Roman" w:hAnsi="Times New Roman"/>
          <w:sz w:val="22"/>
          <w:szCs w:val="22"/>
        </w:rPr>
        <w:t>AT&amp;T</w:t>
      </w:r>
      <w:r w:rsidR="008C47E4">
        <w:rPr>
          <w:rFonts w:ascii="Times New Roman" w:hAnsi="Times New Roman"/>
          <w:sz w:val="22"/>
          <w:szCs w:val="22"/>
        </w:rPr>
        <w:t xml:space="preserve"> </w:t>
      </w:r>
      <w:r w:rsidR="00F804A4">
        <w:rPr>
          <w:rFonts w:ascii="Times New Roman" w:hAnsi="Times New Roman"/>
          <w:sz w:val="22"/>
          <w:szCs w:val="22"/>
        </w:rPr>
        <w:t xml:space="preserve">filed an </w:t>
      </w:r>
      <w:r w:rsidR="00F804A4" w:rsidRPr="003B5BF3">
        <w:rPr>
          <w:rFonts w:ascii="Times New Roman" w:hAnsi="Times New Roman"/>
          <w:i/>
          <w:sz w:val="22"/>
          <w:szCs w:val="22"/>
        </w:rPr>
        <w:t>ex parte</w:t>
      </w:r>
      <w:r w:rsidR="00F804A4">
        <w:rPr>
          <w:rFonts w:ascii="Times New Roman" w:hAnsi="Times New Roman"/>
          <w:sz w:val="22"/>
          <w:szCs w:val="22"/>
        </w:rPr>
        <w:t xml:space="preserve"> letter </w:t>
      </w:r>
      <w:r w:rsidR="008C47E4" w:rsidRPr="008C47E4">
        <w:rPr>
          <w:rFonts w:ascii="Times New Roman" w:hAnsi="Times New Roman"/>
          <w:sz w:val="22"/>
          <w:szCs w:val="22"/>
        </w:rPr>
        <w:t>urg</w:t>
      </w:r>
      <w:r w:rsidR="00F804A4">
        <w:rPr>
          <w:rFonts w:ascii="Times New Roman" w:hAnsi="Times New Roman"/>
          <w:sz w:val="22"/>
          <w:szCs w:val="22"/>
        </w:rPr>
        <w:t>ing</w:t>
      </w:r>
      <w:r w:rsidR="008C47E4" w:rsidRPr="008C47E4">
        <w:rPr>
          <w:rFonts w:ascii="Times New Roman" w:hAnsi="Times New Roman"/>
          <w:sz w:val="22"/>
          <w:szCs w:val="22"/>
        </w:rPr>
        <w:t xml:space="preserve"> the Commission to seek </w:t>
      </w:r>
      <w:r w:rsidR="00F804A4">
        <w:rPr>
          <w:rFonts w:ascii="Times New Roman" w:hAnsi="Times New Roman"/>
          <w:sz w:val="22"/>
          <w:szCs w:val="22"/>
        </w:rPr>
        <w:t xml:space="preserve">public </w:t>
      </w:r>
      <w:r w:rsidR="008C47E4" w:rsidRPr="008C47E4">
        <w:rPr>
          <w:rFonts w:ascii="Times New Roman" w:hAnsi="Times New Roman"/>
          <w:sz w:val="22"/>
          <w:szCs w:val="22"/>
        </w:rPr>
        <w:t xml:space="preserve">comment on </w:t>
      </w:r>
      <w:r w:rsidR="00F804A4">
        <w:rPr>
          <w:rFonts w:ascii="Times New Roman" w:hAnsi="Times New Roman"/>
          <w:sz w:val="22"/>
          <w:szCs w:val="22"/>
        </w:rPr>
        <w:t>the</w:t>
      </w:r>
      <w:r w:rsidR="008C47E4" w:rsidRPr="008C47E4">
        <w:rPr>
          <w:rFonts w:ascii="Times New Roman" w:hAnsi="Times New Roman"/>
          <w:sz w:val="22"/>
          <w:szCs w:val="22"/>
        </w:rPr>
        <w:t xml:space="preserve"> PEA proposal and</w:t>
      </w:r>
      <w:r w:rsidR="00F804A4">
        <w:rPr>
          <w:rFonts w:ascii="Times New Roman" w:hAnsi="Times New Roman"/>
          <w:sz w:val="22"/>
          <w:szCs w:val="22"/>
        </w:rPr>
        <w:t>, as described further below, seek comment on</w:t>
      </w:r>
      <w:r w:rsidR="008C47E4" w:rsidRPr="008C47E4">
        <w:rPr>
          <w:rFonts w:ascii="Times New Roman" w:hAnsi="Times New Roman"/>
          <w:sz w:val="22"/>
          <w:szCs w:val="22"/>
        </w:rPr>
        <w:t xml:space="preserve"> </w:t>
      </w:r>
      <w:r w:rsidR="00F804A4">
        <w:rPr>
          <w:rFonts w:ascii="Times New Roman" w:hAnsi="Times New Roman"/>
          <w:sz w:val="22"/>
          <w:szCs w:val="22"/>
        </w:rPr>
        <w:t>“</w:t>
      </w:r>
      <w:r w:rsidR="008C47E4" w:rsidRPr="008C47E4">
        <w:rPr>
          <w:rFonts w:ascii="Times New Roman" w:hAnsi="Times New Roman"/>
          <w:sz w:val="22"/>
          <w:szCs w:val="22"/>
        </w:rPr>
        <w:t>how that proposal</w:t>
      </w:r>
      <w:r w:rsidR="008C47E4">
        <w:rPr>
          <w:rFonts w:ascii="Times New Roman" w:hAnsi="Times New Roman"/>
          <w:sz w:val="22"/>
          <w:szCs w:val="22"/>
        </w:rPr>
        <w:t xml:space="preserve"> </w:t>
      </w:r>
      <w:r w:rsidR="008C47E4" w:rsidRPr="008C47E4">
        <w:rPr>
          <w:rFonts w:ascii="Times New Roman" w:hAnsi="Times New Roman"/>
          <w:sz w:val="22"/>
          <w:szCs w:val="22"/>
        </w:rPr>
        <w:t>could be effectuated within a package-bidding framework.</w:t>
      </w:r>
      <w:r w:rsidR="00F804A4">
        <w:rPr>
          <w:rFonts w:ascii="Times New Roman" w:hAnsi="Times New Roman"/>
          <w:sz w:val="22"/>
          <w:szCs w:val="22"/>
        </w:rPr>
        <w:t>”</w:t>
      </w:r>
      <w:r w:rsidR="00F804A4">
        <w:rPr>
          <w:rStyle w:val="FootnoteReference"/>
          <w:szCs w:val="22"/>
        </w:rPr>
        <w:footnoteReference w:id="14"/>
      </w:r>
      <w:r w:rsidR="008C47E4">
        <w:rPr>
          <w:rFonts w:ascii="Times New Roman" w:hAnsi="Times New Roman"/>
          <w:sz w:val="22"/>
          <w:szCs w:val="22"/>
        </w:rPr>
        <w:t xml:space="preserve"> </w:t>
      </w:r>
      <w:r w:rsidR="00BE4B49">
        <w:rPr>
          <w:rFonts w:ascii="Times New Roman" w:hAnsi="Times New Roman"/>
          <w:sz w:val="22"/>
          <w:szCs w:val="22"/>
        </w:rPr>
        <w:t xml:space="preserve"> </w:t>
      </w:r>
    </w:p>
    <w:p w:rsidR="00BD3913" w:rsidRDefault="00BD3913" w:rsidP="008C47E4">
      <w:pPr>
        <w:ind w:firstLine="720"/>
        <w:rPr>
          <w:rFonts w:ascii="Times New Roman" w:hAnsi="Times New Roman"/>
          <w:sz w:val="22"/>
          <w:szCs w:val="22"/>
        </w:rPr>
      </w:pPr>
    </w:p>
    <w:p w:rsidR="004D1487" w:rsidRPr="004D1487" w:rsidRDefault="003C48A2" w:rsidP="004D1487">
      <w:pPr>
        <w:ind w:firstLine="720"/>
        <w:rPr>
          <w:rFonts w:ascii="Times New Roman" w:hAnsi="Times New Roman"/>
          <w:sz w:val="22"/>
          <w:szCs w:val="22"/>
        </w:rPr>
      </w:pPr>
      <w:r>
        <w:rPr>
          <w:rFonts w:ascii="Times New Roman" w:hAnsi="Times New Roman"/>
          <w:sz w:val="22"/>
          <w:szCs w:val="22"/>
        </w:rPr>
        <w:t>The Wireless Telecommunications Bureau (WTB) hereby</w:t>
      </w:r>
      <w:r w:rsidR="00BA192B">
        <w:rPr>
          <w:rFonts w:ascii="Times New Roman" w:hAnsi="Times New Roman"/>
          <w:sz w:val="22"/>
          <w:szCs w:val="22"/>
        </w:rPr>
        <w:t xml:space="preserve"> seek</w:t>
      </w:r>
      <w:r>
        <w:rPr>
          <w:rFonts w:ascii="Times New Roman" w:hAnsi="Times New Roman"/>
          <w:sz w:val="22"/>
          <w:szCs w:val="22"/>
        </w:rPr>
        <w:t>s</w:t>
      </w:r>
      <w:r w:rsidR="00BA192B">
        <w:rPr>
          <w:rFonts w:ascii="Times New Roman" w:hAnsi="Times New Roman"/>
          <w:sz w:val="22"/>
          <w:szCs w:val="22"/>
        </w:rPr>
        <w:t xml:space="preserve"> comment on</w:t>
      </w:r>
      <w:r w:rsidR="003E3AF2">
        <w:rPr>
          <w:rFonts w:ascii="Times New Roman" w:hAnsi="Times New Roman"/>
          <w:sz w:val="22"/>
          <w:szCs w:val="22"/>
        </w:rPr>
        <w:t xml:space="preserve"> </w:t>
      </w:r>
      <w:r>
        <w:rPr>
          <w:rFonts w:ascii="Times New Roman" w:hAnsi="Times New Roman"/>
          <w:sz w:val="22"/>
          <w:szCs w:val="22"/>
        </w:rPr>
        <w:t xml:space="preserve">CCA’s proposed </w:t>
      </w:r>
      <w:r w:rsidR="00830600">
        <w:rPr>
          <w:rFonts w:ascii="Times New Roman" w:hAnsi="Times New Roman"/>
          <w:sz w:val="22"/>
          <w:szCs w:val="22"/>
        </w:rPr>
        <w:t xml:space="preserve">PEA licensing scheme, </w:t>
      </w:r>
      <w:r w:rsidR="00F40884">
        <w:rPr>
          <w:rFonts w:ascii="Times New Roman" w:hAnsi="Times New Roman"/>
          <w:sz w:val="22"/>
          <w:szCs w:val="22"/>
        </w:rPr>
        <w:t xml:space="preserve">including </w:t>
      </w:r>
      <w:r w:rsidR="00291960">
        <w:rPr>
          <w:rFonts w:ascii="Times New Roman" w:hAnsi="Times New Roman"/>
          <w:sz w:val="22"/>
          <w:szCs w:val="22"/>
        </w:rPr>
        <w:t xml:space="preserve">the specific </w:t>
      </w:r>
      <w:r w:rsidR="00830600">
        <w:rPr>
          <w:rFonts w:ascii="Times New Roman" w:hAnsi="Times New Roman"/>
          <w:sz w:val="22"/>
          <w:szCs w:val="22"/>
        </w:rPr>
        <w:t xml:space="preserve">makeup and </w:t>
      </w:r>
      <w:r w:rsidR="00291960">
        <w:rPr>
          <w:rFonts w:ascii="Times New Roman" w:hAnsi="Times New Roman"/>
          <w:sz w:val="22"/>
          <w:szCs w:val="22"/>
        </w:rPr>
        <w:t xml:space="preserve">boundaries </w:t>
      </w:r>
      <w:r w:rsidR="00F40884">
        <w:rPr>
          <w:rFonts w:ascii="Times New Roman" w:hAnsi="Times New Roman"/>
          <w:sz w:val="22"/>
          <w:szCs w:val="22"/>
        </w:rPr>
        <w:t>of the individual PEAs</w:t>
      </w:r>
      <w:r w:rsidR="00830600">
        <w:rPr>
          <w:rFonts w:ascii="Times New Roman" w:hAnsi="Times New Roman"/>
          <w:sz w:val="22"/>
          <w:szCs w:val="22"/>
        </w:rPr>
        <w:t xml:space="preserve"> </w:t>
      </w:r>
      <w:r w:rsidR="00291960">
        <w:rPr>
          <w:rFonts w:ascii="Times New Roman" w:hAnsi="Times New Roman"/>
          <w:sz w:val="22"/>
          <w:szCs w:val="22"/>
        </w:rPr>
        <w:t>proposed by CCA</w:t>
      </w:r>
      <w:r w:rsidR="00BA192B">
        <w:rPr>
          <w:rFonts w:ascii="Times New Roman" w:hAnsi="Times New Roman"/>
          <w:sz w:val="22"/>
          <w:szCs w:val="22"/>
        </w:rPr>
        <w:t>.</w:t>
      </w:r>
      <w:r w:rsidR="00830600">
        <w:rPr>
          <w:rFonts w:ascii="Times New Roman" w:hAnsi="Times New Roman"/>
          <w:sz w:val="22"/>
          <w:szCs w:val="22"/>
        </w:rPr>
        <w:t xml:space="preserve"> </w:t>
      </w:r>
      <w:r w:rsidR="002D3886">
        <w:rPr>
          <w:rFonts w:ascii="Times New Roman" w:hAnsi="Times New Roman"/>
          <w:sz w:val="22"/>
          <w:szCs w:val="22"/>
        </w:rPr>
        <w:t xml:space="preserve"> </w:t>
      </w:r>
      <w:r w:rsidR="00C3046C" w:rsidRPr="00C3046C">
        <w:rPr>
          <w:rFonts w:ascii="Times New Roman" w:hAnsi="Times New Roman"/>
          <w:sz w:val="22"/>
          <w:szCs w:val="22"/>
        </w:rPr>
        <w:t xml:space="preserve">WTB encourages commenters to address the geographic area licensing issues raised in the </w:t>
      </w:r>
      <w:r w:rsidR="00C3046C" w:rsidRPr="00C3046C">
        <w:rPr>
          <w:rFonts w:ascii="Times New Roman" w:hAnsi="Times New Roman"/>
          <w:i/>
          <w:sz w:val="22"/>
          <w:szCs w:val="22"/>
        </w:rPr>
        <w:t>NPRM</w:t>
      </w:r>
      <w:r w:rsidR="00C3046C" w:rsidRPr="00C3046C">
        <w:rPr>
          <w:rFonts w:ascii="Times New Roman" w:hAnsi="Times New Roman"/>
          <w:sz w:val="22"/>
          <w:szCs w:val="22"/>
        </w:rPr>
        <w:t xml:space="preserve">, including the importance of using </w:t>
      </w:r>
      <w:r w:rsidR="00AB6566">
        <w:rPr>
          <w:rFonts w:ascii="Times New Roman" w:hAnsi="Times New Roman"/>
          <w:sz w:val="22"/>
          <w:szCs w:val="22"/>
        </w:rPr>
        <w:t xml:space="preserve">a license </w:t>
      </w:r>
      <w:r w:rsidR="001862C9">
        <w:rPr>
          <w:rFonts w:ascii="Times New Roman" w:hAnsi="Times New Roman"/>
          <w:sz w:val="22"/>
          <w:szCs w:val="22"/>
        </w:rPr>
        <w:t>scheme</w:t>
      </w:r>
      <w:r w:rsidR="00C3046C" w:rsidRPr="00C3046C">
        <w:rPr>
          <w:rFonts w:ascii="Times New Roman" w:hAnsi="Times New Roman"/>
          <w:sz w:val="22"/>
          <w:szCs w:val="22"/>
        </w:rPr>
        <w:t xml:space="preserve"> that “nest</w:t>
      </w:r>
      <w:r w:rsidR="001862C9">
        <w:rPr>
          <w:rFonts w:ascii="Times New Roman" w:hAnsi="Times New Roman"/>
          <w:sz w:val="22"/>
          <w:szCs w:val="22"/>
        </w:rPr>
        <w:t>s</w:t>
      </w:r>
      <w:r w:rsidR="00C3046C" w:rsidRPr="00C3046C">
        <w:rPr>
          <w:rFonts w:ascii="Times New Roman" w:hAnsi="Times New Roman"/>
          <w:sz w:val="22"/>
          <w:szCs w:val="22"/>
        </w:rPr>
        <w:t xml:space="preserve">” into </w:t>
      </w:r>
      <w:r w:rsidR="0069504A">
        <w:rPr>
          <w:rFonts w:ascii="Times New Roman" w:hAnsi="Times New Roman"/>
          <w:sz w:val="22"/>
          <w:szCs w:val="22"/>
        </w:rPr>
        <w:t>EAs</w:t>
      </w:r>
      <w:r w:rsidR="00B3137C">
        <w:rPr>
          <w:rFonts w:ascii="Times New Roman" w:hAnsi="Times New Roman"/>
          <w:sz w:val="22"/>
          <w:szCs w:val="22"/>
        </w:rPr>
        <w:t xml:space="preserve">. </w:t>
      </w:r>
      <w:r w:rsidR="00200147">
        <w:rPr>
          <w:rFonts w:ascii="Times New Roman" w:hAnsi="Times New Roman"/>
          <w:sz w:val="22"/>
          <w:szCs w:val="22"/>
        </w:rPr>
        <w:t xml:space="preserve"> </w:t>
      </w:r>
      <w:r w:rsidR="00B3137C">
        <w:rPr>
          <w:rFonts w:ascii="Times New Roman" w:hAnsi="Times New Roman"/>
          <w:sz w:val="22"/>
          <w:szCs w:val="22"/>
        </w:rPr>
        <w:t xml:space="preserve">We also seek comment on </w:t>
      </w:r>
      <w:r w:rsidR="00AC1917" w:rsidRPr="00AC1917">
        <w:rPr>
          <w:rFonts w:ascii="Times New Roman" w:hAnsi="Times New Roman"/>
          <w:sz w:val="22"/>
          <w:szCs w:val="22"/>
        </w:rPr>
        <w:t xml:space="preserve">other new </w:t>
      </w:r>
      <w:r w:rsidR="00B3137C">
        <w:rPr>
          <w:rFonts w:ascii="Times New Roman" w:hAnsi="Times New Roman"/>
          <w:sz w:val="22"/>
          <w:szCs w:val="22"/>
        </w:rPr>
        <w:t xml:space="preserve">geographic </w:t>
      </w:r>
      <w:r w:rsidR="00B3137C">
        <w:rPr>
          <w:rFonts w:ascii="Times New Roman" w:hAnsi="Times New Roman"/>
          <w:sz w:val="22"/>
          <w:szCs w:val="22"/>
        </w:rPr>
        <w:lastRenderedPageBreak/>
        <w:t xml:space="preserve">licensing </w:t>
      </w:r>
      <w:r w:rsidR="00AC1917" w:rsidRPr="00AC1917">
        <w:rPr>
          <w:rFonts w:ascii="Times New Roman" w:hAnsi="Times New Roman"/>
          <w:sz w:val="22"/>
          <w:szCs w:val="22"/>
        </w:rPr>
        <w:t>proposals that</w:t>
      </w:r>
      <w:r w:rsidR="00AC1917">
        <w:rPr>
          <w:rFonts w:ascii="Times New Roman" w:hAnsi="Times New Roman"/>
          <w:sz w:val="22"/>
          <w:szCs w:val="22"/>
        </w:rPr>
        <w:t xml:space="preserve"> </w:t>
      </w:r>
      <w:r w:rsidR="00AC1917" w:rsidRPr="00AC1917">
        <w:rPr>
          <w:rFonts w:ascii="Times New Roman" w:hAnsi="Times New Roman"/>
          <w:sz w:val="22"/>
          <w:szCs w:val="22"/>
        </w:rPr>
        <w:t xml:space="preserve">address </w:t>
      </w:r>
      <w:r w:rsidR="00B3137C">
        <w:rPr>
          <w:rFonts w:ascii="Times New Roman" w:hAnsi="Times New Roman"/>
          <w:sz w:val="22"/>
          <w:szCs w:val="22"/>
        </w:rPr>
        <w:t xml:space="preserve">the issues under consideration in this </w:t>
      </w:r>
      <w:r w:rsidR="00B3137C">
        <w:rPr>
          <w:rFonts w:ascii="Times New Roman" w:hAnsi="Times New Roman"/>
          <w:i/>
          <w:sz w:val="22"/>
          <w:szCs w:val="22"/>
        </w:rPr>
        <w:t>Public Notice</w:t>
      </w:r>
      <w:r w:rsidR="00F40884">
        <w:rPr>
          <w:rFonts w:ascii="Times New Roman" w:hAnsi="Times New Roman"/>
          <w:sz w:val="22"/>
          <w:szCs w:val="22"/>
        </w:rPr>
        <w:t>.</w:t>
      </w:r>
      <w:r w:rsidR="002745FD">
        <w:rPr>
          <w:rStyle w:val="FootnoteReference"/>
          <w:szCs w:val="22"/>
        </w:rPr>
        <w:footnoteReference w:id="15"/>
      </w:r>
      <w:r w:rsidR="00BA192B">
        <w:rPr>
          <w:rFonts w:ascii="Times New Roman" w:hAnsi="Times New Roman"/>
          <w:sz w:val="22"/>
          <w:szCs w:val="22"/>
        </w:rPr>
        <w:t xml:space="preserve"> </w:t>
      </w:r>
      <w:r w:rsidR="00F60814">
        <w:rPr>
          <w:rFonts w:ascii="Times New Roman" w:hAnsi="Times New Roman"/>
          <w:sz w:val="22"/>
          <w:szCs w:val="22"/>
        </w:rPr>
        <w:t xml:space="preserve"> </w:t>
      </w:r>
      <w:r w:rsidR="004D1487" w:rsidRPr="004D1487">
        <w:rPr>
          <w:rFonts w:ascii="Times New Roman" w:hAnsi="Times New Roman"/>
          <w:sz w:val="22"/>
          <w:szCs w:val="22"/>
        </w:rPr>
        <w:t>In addition, to the extent parties may be interested in applying the PEA construct to other bands in which we are considering the issue of geographic license size, such as AWS-3,</w:t>
      </w:r>
      <w:r w:rsidR="004D1487">
        <w:rPr>
          <w:rStyle w:val="FootnoteReference"/>
          <w:szCs w:val="22"/>
        </w:rPr>
        <w:footnoteReference w:id="16"/>
      </w:r>
      <w:r w:rsidR="004D1487" w:rsidRPr="004D1487">
        <w:rPr>
          <w:rFonts w:ascii="Times New Roman" w:hAnsi="Times New Roman"/>
          <w:sz w:val="22"/>
          <w:szCs w:val="22"/>
        </w:rPr>
        <w:t xml:space="preserve"> WTB seeks comment</w:t>
      </w:r>
      <w:r w:rsidR="004D1487">
        <w:rPr>
          <w:rFonts w:ascii="Times New Roman" w:hAnsi="Times New Roman"/>
          <w:sz w:val="22"/>
          <w:szCs w:val="22"/>
        </w:rPr>
        <w:t xml:space="preserve"> on applying this approach.</w:t>
      </w:r>
    </w:p>
    <w:p w:rsidR="00137FDA" w:rsidRDefault="00137FDA" w:rsidP="004D1487">
      <w:pPr>
        <w:rPr>
          <w:rFonts w:ascii="Times New Roman" w:hAnsi="Times New Roman"/>
          <w:sz w:val="22"/>
          <w:szCs w:val="22"/>
        </w:rPr>
      </w:pPr>
    </w:p>
    <w:p w:rsidR="00897534" w:rsidRDefault="00BD3913" w:rsidP="009A6A2D">
      <w:pPr>
        <w:ind w:firstLine="720"/>
        <w:rPr>
          <w:rFonts w:ascii="Times New Roman" w:hAnsi="Times New Roman"/>
          <w:sz w:val="22"/>
          <w:szCs w:val="22"/>
        </w:rPr>
      </w:pPr>
      <w:r>
        <w:rPr>
          <w:rFonts w:ascii="Times New Roman" w:hAnsi="Times New Roman"/>
          <w:sz w:val="22"/>
          <w:szCs w:val="22"/>
        </w:rPr>
        <w:t xml:space="preserve"> </w:t>
      </w:r>
      <w:r w:rsidR="00BD43AC" w:rsidRPr="00BD43AC">
        <w:rPr>
          <w:rFonts w:ascii="Times New Roman" w:hAnsi="Times New Roman"/>
          <w:sz w:val="22"/>
          <w:szCs w:val="22"/>
        </w:rPr>
        <w:t xml:space="preserve">As discussed above, larger carriers express concern that it is more difficult to </w:t>
      </w:r>
      <w:r w:rsidR="009A6A2D">
        <w:rPr>
          <w:rFonts w:ascii="Times New Roman" w:hAnsi="Times New Roman"/>
          <w:sz w:val="22"/>
          <w:szCs w:val="22"/>
        </w:rPr>
        <w:t>acquire</w:t>
      </w:r>
      <w:r w:rsidR="00BD43AC" w:rsidRPr="00BD43AC">
        <w:rPr>
          <w:rFonts w:ascii="Times New Roman" w:hAnsi="Times New Roman"/>
          <w:sz w:val="22"/>
          <w:szCs w:val="22"/>
        </w:rPr>
        <w:t xml:space="preserve"> a national or regional footprint using smaller geographic area licenses</w:t>
      </w:r>
      <w:r>
        <w:rPr>
          <w:rFonts w:ascii="Times New Roman" w:hAnsi="Times New Roman"/>
          <w:sz w:val="22"/>
          <w:szCs w:val="22"/>
        </w:rPr>
        <w:t>.  To address such concerns, and c</w:t>
      </w:r>
      <w:r w:rsidR="004E5382">
        <w:rPr>
          <w:rFonts w:ascii="Times New Roman" w:hAnsi="Times New Roman"/>
          <w:sz w:val="22"/>
          <w:szCs w:val="22"/>
        </w:rPr>
        <w:t>onsistent with th</w:t>
      </w:r>
      <w:r>
        <w:rPr>
          <w:rFonts w:ascii="Times New Roman" w:hAnsi="Times New Roman"/>
          <w:sz w:val="22"/>
          <w:szCs w:val="22"/>
        </w:rPr>
        <w:t>e statutory</w:t>
      </w:r>
      <w:r w:rsidR="004E5382">
        <w:rPr>
          <w:rFonts w:ascii="Times New Roman" w:hAnsi="Times New Roman"/>
          <w:sz w:val="22"/>
          <w:szCs w:val="22"/>
        </w:rPr>
        <w:t xml:space="preserve"> directive</w:t>
      </w:r>
      <w:r>
        <w:rPr>
          <w:rFonts w:ascii="Times New Roman" w:hAnsi="Times New Roman"/>
          <w:sz w:val="22"/>
          <w:szCs w:val="22"/>
        </w:rPr>
        <w:t xml:space="preserve"> to “consider assigning licenses that cover geographic areas of difference sizes,”</w:t>
      </w:r>
      <w:r w:rsidR="006301A1">
        <w:rPr>
          <w:rStyle w:val="FootnoteReference"/>
          <w:szCs w:val="22"/>
        </w:rPr>
        <w:footnoteReference w:id="17"/>
      </w:r>
      <w:r w:rsidR="004E5382">
        <w:rPr>
          <w:rFonts w:ascii="Times New Roman" w:hAnsi="Times New Roman"/>
          <w:sz w:val="22"/>
          <w:szCs w:val="22"/>
        </w:rPr>
        <w:t xml:space="preserve"> we seek comment on approaches that might enable interested parties to seek packages of 600 MHz licenses covering multiple PEAs.  CCA and smaller carriers oppose the use of package bidding generally, and specifically with respect to a package of populous PEAs, contend</w:t>
      </w:r>
      <w:r>
        <w:rPr>
          <w:rFonts w:ascii="Times New Roman" w:hAnsi="Times New Roman"/>
          <w:sz w:val="22"/>
          <w:szCs w:val="22"/>
        </w:rPr>
        <w:t>ing</w:t>
      </w:r>
      <w:r w:rsidR="004E5382">
        <w:rPr>
          <w:rFonts w:ascii="Times New Roman" w:hAnsi="Times New Roman"/>
          <w:sz w:val="22"/>
          <w:szCs w:val="22"/>
        </w:rPr>
        <w:t xml:space="preserve"> that </w:t>
      </w:r>
      <w:r w:rsidR="0052408A">
        <w:rPr>
          <w:rFonts w:ascii="Times New Roman" w:hAnsi="Times New Roman"/>
          <w:sz w:val="22"/>
          <w:szCs w:val="22"/>
        </w:rPr>
        <w:t>most packages</w:t>
      </w:r>
      <w:r w:rsidR="004E5382">
        <w:rPr>
          <w:rFonts w:ascii="Times New Roman" w:hAnsi="Times New Roman"/>
          <w:sz w:val="22"/>
          <w:szCs w:val="22"/>
        </w:rPr>
        <w:t xml:space="preserve"> would “disproportionately burden rural and regional competitive carriers and undermine the benefits of the PEA hybrid proposal.”</w:t>
      </w:r>
      <w:r w:rsidR="004E5382">
        <w:rPr>
          <w:rStyle w:val="FootnoteReference"/>
          <w:szCs w:val="22"/>
        </w:rPr>
        <w:footnoteReference w:id="18"/>
      </w:r>
      <w:r w:rsidR="004E5382">
        <w:rPr>
          <w:rFonts w:ascii="Times New Roman" w:hAnsi="Times New Roman"/>
          <w:sz w:val="22"/>
          <w:szCs w:val="22"/>
        </w:rPr>
        <w:t xml:space="preserve">  CCA proposes that if the Commission adopts package bidding</w:t>
      </w:r>
      <w:r>
        <w:rPr>
          <w:rFonts w:ascii="Times New Roman" w:hAnsi="Times New Roman"/>
          <w:sz w:val="22"/>
          <w:szCs w:val="22"/>
        </w:rPr>
        <w:t xml:space="preserve"> in conjunction with a PEA-based licensing approach</w:t>
      </w:r>
      <w:r w:rsidR="004E5382">
        <w:rPr>
          <w:rFonts w:ascii="Times New Roman" w:hAnsi="Times New Roman"/>
          <w:sz w:val="22"/>
          <w:szCs w:val="22"/>
        </w:rPr>
        <w:t>, any package should be “no more than the</w:t>
      </w:r>
      <w:r w:rsidR="009A6A2D">
        <w:rPr>
          <w:rFonts w:ascii="Times New Roman" w:hAnsi="Times New Roman"/>
          <w:sz w:val="22"/>
          <w:szCs w:val="22"/>
        </w:rPr>
        <w:t xml:space="preserve"> ten largest PEAs by population</w:t>
      </w:r>
      <w:r w:rsidR="004E5382">
        <w:rPr>
          <w:rFonts w:ascii="Times New Roman" w:hAnsi="Times New Roman"/>
          <w:sz w:val="22"/>
          <w:szCs w:val="22"/>
        </w:rPr>
        <w:t>.”</w:t>
      </w:r>
      <w:r w:rsidR="004E5382">
        <w:rPr>
          <w:rStyle w:val="FootnoteReference"/>
          <w:szCs w:val="22"/>
        </w:rPr>
        <w:footnoteReference w:id="19"/>
      </w:r>
      <w:r w:rsidR="004E5382">
        <w:rPr>
          <w:rFonts w:ascii="Times New Roman" w:hAnsi="Times New Roman"/>
          <w:sz w:val="22"/>
          <w:szCs w:val="22"/>
        </w:rPr>
        <w:t xml:space="preserve">  AT&amp;T, on the other hand, supports a national package bidding approach</w:t>
      </w:r>
      <w:r>
        <w:rPr>
          <w:rFonts w:ascii="Times New Roman" w:hAnsi="Times New Roman"/>
          <w:sz w:val="22"/>
          <w:szCs w:val="22"/>
        </w:rPr>
        <w:t xml:space="preserve"> in conjunction with a PEA-based licensing approach</w:t>
      </w:r>
      <w:r w:rsidR="004E5382">
        <w:rPr>
          <w:rFonts w:ascii="Times New Roman" w:hAnsi="Times New Roman"/>
          <w:sz w:val="22"/>
          <w:szCs w:val="22"/>
        </w:rPr>
        <w:t>, or at a minimum, a package that consists of the top 100 markets.</w:t>
      </w:r>
      <w:r w:rsidR="004E5382">
        <w:rPr>
          <w:rStyle w:val="FootnoteReference"/>
          <w:szCs w:val="22"/>
        </w:rPr>
        <w:footnoteReference w:id="20"/>
      </w:r>
      <w:r w:rsidR="004E5382">
        <w:rPr>
          <w:rFonts w:ascii="Times New Roman" w:hAnsi="Times New Roman"/>
          <w:sz w:val="22"/>
          <w:szCs w:val="22"/>
        </w:rPr>
        <w:t xml:space="preserve">  Should </w:t>
      </w:r>
      <w:r>
        <w:rPr>
          <w:rFonts w:ascii="Times New Roman" w:hAnsi="Times New Roman"/>
          <w:sz w:val="22"/>
          <w:szCs w:val="22"/>
        </w:rPr>
        <w:t>the Commission</w:t>
      </w:r>
      <w:r w:rsidR="004E5382">
        <w:rPr>
          <w:rFonts w:ascii="Times New Roman" w:hAnsi="Times New Roman"/>
          <w:sz w:val="22"/>
          <w:szCs w:val="22"/>
        </w:rPr>
        <w:t xml:space="preserve"> offer geographic package bidding to 600 MHz auction bidders</w:t>
      </w:r>
      <w:r>
        <w:rPr>
          <w:rFonts w:ascii="Times New Roman" w:hAnsi="Times New Roman"/>
          <w:sz w:val="22"/>
          <w:szCs w:val="22"/>
        </w:rPr>
        <w:t xml:space="preserve"> in conjunction with a PEA-based licensing approach</w:t>
      </w:r>
      <w:r w:rsidR="004E5382">
        <w:rPr>
          <w:rFonts w:ascii="Times New Roman" w:hAnsi="Times New Roman"/>
          <w:sz w:val="22"/>
          <w:szCs w:val="22"/>
        </w:rPr>
        <w:t xml:space="preserve">?  </w:t>
      </w:r>
      <w:r w:rsidR="0039035C">
        <w:rPr>
          <w:rFonts w:ascii="Times New Roman" w:hAnsi="Times New Roman"/>
          <w:sz w:val="22"/>
          <w:szCs w:val="22"/>
        </w:rPr>
        <w:t xml:space="preserve">If so, how should the package(s) be composed? </w:t>
      </w:r>
      <w:r>
        <w:rPr>
          <w:rFonts w:ascii="Times New Roman" w:hAnsi="Times New Roman"/>
          <w:sz w:val="22"/>
          <w:szCs w:val="22"/>
        </w:rPr>
        <w:t xml:space="preserve"> WTB </w:t>
      </w:r>
      <w:r w:rsidR="004E5382">
        <w:rPr>
          <w:rFonts w:ascii="Times New Roman" w:hAnsi="Times New Roman"/>
          <w:sz w:val="22"/>
          <w:szCs w:val="22"/>
        </w:rPr>
        <w:t>seek</w:t>
      </w:r>
      <w:r>
        <w:rPr>
          <w:rFonts w:ascii="Times New Roman" w:hAnsi="Times New Roman"/>
          <w:sz w:val="22"/>
          <w:szCs w:val="22"/>
        </w:rPr>
        <w:t>s</w:t>
      </w:r>
      <w:r w:rsidR="004E5382">
        <w:rPr>
          <w:rFonts w:ascii="Times New Roman" w:hAnsi="Times New Roman"/>
          <w:sz w:val="22"/>
          <w:szCs w:val="22"/>
        </w:rPr>
        <w:t xml:space="preserve"> comment on these issues</w:t>
      </w:r>
      <w:r w:rsidR="0039035C">
        <w:rPr>
          <w:rFonts w:ascii="Times New Roman" w:hAnsi="Times New Roman"/>
          <w:sz w:val="22"/>
          <w:szCs w:val="22"/>
        </w:rPr>
        <w:t xml:space="preserve"> and, in particular, on the concept of a single package containing </w:t>
      </w:r>
      <w:r w:rsidR="0057112F">
        <w:rPr>
          <w:rFonts w:ascii="Times New Roman" w:hAnsi="Times New Roman"/>
          <w:sz w:val="22"/>
          <w:szCs w:val="22"/>
        </w:rPr>
        <w:t xml:space="preserve">the </w:t>
      </w:r>
      <w:r w:rsidR="0039035C">
        <w:rPr>
          <w:rFonts w:ascii="Times New Roman" w:hAnsi="Times New Roman"/>
          <w:sz w:val="22"/>
          <w:szCs w:val="22"/>
        </w:rPr>
        <w:t>top markets</w:t>
      </w:r>
      <w:r w:rsidR="004E5382">
        <w:rPr>
          <w:rFonts w:ascii="Times New Roman" w:hAnsi="Times New Roman"/>
          <w:sz w:val="22"/>
          <w:szCs w:val="22"/>
        </w:rPr>
        <w:t>.</w:t>
      </w:r>
      <w:r w:rsidR="00B3137C">
        <w:rPr>
          <w:rFonts w:ascii="Times New Roman" w:hAnsi="Times New Roman"/>
          <w:sz w:val="22"/>
          <w:szCs w:val="22"/>
        </w:rPr>
        <w:t xml:space="preserve"> </w:t>
      </w:r>
      <w:r w:rsidR="001A143F">
        <w:rPr>
          <w:rFonts w:ascii="Times New Roman" w:hAnsi="Times New Roman"/>
          <w:sz w:val="22"/>
          <w:szCs w:val="22"/>
        </w:rPr>
        <w:t xml:space="preserve"> </w:t>
      </w:r>
      <w:r w:rsidR="00B3137C">
        <w:rPr>
          <w:rFonts w:ascii="Times New Roman" w:hAnsi="Times New Roman"/>
          <w:sz w:val="22"/>
          <w:szCs w:val="22"/>
        </w:rPr>
        <w:t xml:space="preserve">WTB also seeks comment on the extent to which </w:t>
      </w:r>
      <w:r w:rsidR="00B3137C" w:rsidRPr="00223A27">
        <w:rPr>
          <w:rFonts w:ascii="Times New Roman" w:hAnsi="Times New Roman"/>
          <w:sz w:val="22"/>
          <w:szCs w:val="22"/>
        </w:rPr>
        <w:t>the licensing and package bidding concepts discussed herein</w:t>
      </w:r>
      <w:r w:rsidR="00B3137C">
        <w:rPr>
          <w:rFonts w:ascii="Times New Roman" w:hAnsi="Times New Roman"/>
          <w:sz w:val="22"/>
          <w:szCs w:val="22"/>
        </w:rPr>
        <w:t xml:space="preserve"> may or may not affect the design of the incentive auction.</w:t>
      </w:r>
      <w:r w:rsidR="00B3137C" w:rsidRPr="004D1487">
        <w:t xml:space="preserve"> </w:t>
      </w:r>
      <w:r w:rsidR="00B3137C">
        <w:t xml:space="preserve"> </w:t>
      </w:r>
    </w:p>
    <w:p w:rsidR="003324B2" w:rsidRDefault="003324B2" w:rsidP="009A6A2D">
      <w:pPr>
        <w:ind w:firstLine="720"/>
        <w:rPr>
          <w:rFonts w:ascii="Times New Roman" w:hAnsi="Times New Roman"/>
          <w:sz w:val="22"/>
          <w:szCs w:val="22"/>
        </w:rPr>
      </w:pPr>
    </w:p>
    <w:p w:rsidR="009A6A2D" w:rsidRDefault="00137FDA" w:rsidP="009621B1">
      <w:pPr>
        <w:pStyle w:val="Paranum0"/>
        <w:widowControl/>
        <w:spacing w:after="0"/>
        <w:ind w:firstLine="0"/>
        <w:jc w:val="center"/>
      </w:pPr>
      <w:r>
        <w:t>***</w:t>
      </w:r>
    </w:p>
    <w:p w:rsidR="003E6370" w:rsidRDefault="003E6370" w:rsidP="009A6A2D">
      <w:pPr>
        <w:pStyle w:val="Paranum0"/>
        <w:widowControl/>
        <w:spacing w:after="0"/>
      </w:pPr>
    </w:p>
    <w:p w:rsidR="00137FDA" w:rsidRDefault="00137FDA" w:rsidP="009A6A2D">
      <w:pPr>
        <w:pStyle w:val="Paranum0"/>
        <w:widowControl/>
        <w:spacing w:after="0"/>
      </w:pPr>
      <w:r>
        <w:t xml:space="preserve">Interested parties may file comments and reply comments on or before </w:t>
      </w:r>
      <w:r>
        <w:rPr>
          <w:bCs/>
        </w:rPr>
        <w:t>the dates indicated on the first page of this document</w:t>
      </w:r>
      <w:r>
        <w:t xml:space="preserve">.  When filing comments, please reference </w:t>
      </w:r>
      <w:r>
        <w:rPr>
          <w:b/>
        </w:rPr>
        <w:t>GN Docket No</w:t>
      </w:r>
      <w:r w:rsidR="00BE1BE5">
        <w:rPr>
          <w:b/>
        </w:rPr>
        <w:t>s</w:t>
      </w:r>
      <w:r>
        <w:rPr>
          <w:b/>
        </w:rPr>
        <w:t>. 12-268</w:t>
      </w:r>
      <w:r w:rsidR="009621B1">
        <w:rPr>
          <w:b/>
        </w:rPr>
        <w:t xml:space="preserve"> </w:t>
      </w:r>
      <w:r w:rsidR="009621B1" w:rsidRPr="009621B1">
        <w:t>and</w:t>
      </w:r>
      <w:r w:rsidR="009621B1">
        <w:rPr>
          <w:b/>
        </w:rPr>
        <w:t xml:space="preserve"> 13-185</w:t>
      </w:r>
      <w:r>
        <w:t>.</w:t>
      </w:r>
      <w:r>
        <w:rPr>
          <w:rStyle w:val="FootnoteReference"/>
        </w:rPr>
        <w:footnoteReference w:id="21"/>
      </w:r>
    </w:p>
    <w:p w:rsidR="008E709C" w:rsidRDefault="008E709C" w:rsidP="009A6A2D">
      <w:pPr>
        <w:pStyle w:val="Paranum0"/>
        <w:widowControl/>
        <w:spacing w:after="0"/>
      </w:pPr>
    </w:p>
    <w:p w:rsidR="00137FDA" w:rsidRDefault="00137FDA" w:rsidP="001C3090">
      <w:pPr>
        <w:pStyle w:val="Paranum0"/>
        <w:widowControl/>
      </w:pPr>
      <w:r>
        <w:t>Comments may be filed using the Commission’s Electronic Comment Filing System (ECFS) or by filing paper copies.</w:t>
      </w:r>
      <w:r>
        <w:rPr>
          <w:vertAlign w:val="superscript"/>
        </w:rPr>
        <w:footnoteReference w:id="22"/>
      </w:r>
      <w:r>
        <w:rPr>
          <w:vertAlign w:val="superscript"/>
        </w:rPr>
        <w:t xml:space="preserve"> </w:t>
      </w:r>
      <w:r>
        <w:t xml:space="preserve"> Comments filed through the ECFS can be sent as an electronic file via the Internet to http://www.fcc.gov/cgb/ecfs/.  Generally, only one copy of an electronic submission must be filed.  If multiple docket or rulemaking numbers appear in the caption of the proceeding,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numbers.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  Parties who choose to file by paper must file an original and four copies of each filing.  If more than one docket or rulemaking number appears in the caption of this proceeding, commenters must submit two additional copies for each additional docket or rulemaking number.</w:t>
      </w:r>
    </w:p>
    <w:p w:rsidR="00137FDA" w:rsidRDefault="00137FDA" w:rsidP="001C3090">
      <w:pPr>
        <w:pStyle w:val="Paranum0"/>
        <w:widowControl/>
      </w:pPr>
      <w:r>
        <w:t xml:space="preserve">Filings can be sent by hand or messenger delivery, by commercial overnight courier, or by first-class or overnight U.S. Postal Service mail (although </w:t>
      </w:r>
      <w:r w:rsidR="00BD3913">
        <w:t>the Commission</w:t>
      </w:r>
      <w:r>
        <w:t xml:space="preserve"> continue</w:t>
      </w:r>
      <w:r w:rsidR="00BD3913">
        <w:t>s</w:t>
      </w:r>
      <w:r>
        <w:t xml:space="preserve"> to experience delays in receiving U.S. Postal Service mail).  Parties are strongly encouraged to file comments electronically using the Commission’s ECFS.  All filings must be addressed to the Commission’s Secretary, Office of the Secretary, Federal Communications Commission, 445 12th Street, S.W., Washington, D.C. 20554.  </w:t>
      </w:r>
    </w:p>
    <w:p w:rsidR="00137FDA" w:rsidRDefault="00137FDA" w:rsidP="001C3090">
      <w:pPr>
        <w:pStyle w:val="Paranum0"/>
        <w:widowControl/>
        <w:numPr>
          <w:ilvl w:val="0"/>
          <w:numId w:val="20"/>
        </w:numPr>
      </w:pPr>
      <w:r>
        <w:t>Effective December 28, 2009, all hand-delivered or messenger-delivered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Any envelopes must be disposed of </w:t>
      </w:r>
      <w:r>
        <w:rPr>
          <w:u w:val="single"/>
        </w:rPr>
        <w:t>before</w:t>
      </w:r>
      <w:r>
        <w:t xml:space="preserve"> entering the building.  The filing hours at this location are 8:00 a.m. to 7:00 p.m.</w:t>
      </w:r>
    </w:p>
    <w:p w:rsidR="00137FDA" w:rsidRDefault="00137FDA" w:rsidP="001C3090">
      <w:pPr>
        <w:pStyle w:val="Paranum0"/>
        <w:widowControl/>
        <w:numPr>
          <w:ilvl w:val="0"/>
          <w:numId w:val="20"/>
        </w:numPr>
      </w:pPr>
      <w:r>
        <w:t>Commercial overnight mail (other than U.S. Postal Service Express Mail and Priority Mail) must be sent to 9300 East Hampton Drive, Capitol Heights, MD  20743.</w:t>
      </w:r>
    </w:p>
    <w:p w:rsidR="00137FDA" w:rsidRDefault="00137FDA" w:rsidP="001C3090">
      <w:pPr>
        <w:pStyle w:val="Paranum0"/>
        <w:widowControl/>
        <w:numPr>
          <w:ilvl w:val="0"/>
          <w:numId w:val="20"/>
        </w:numPr>
      </w:pPr>
      <w:r>
        <w:t>U.S. Postal Service first-class, Express, and Priority mail must be addressed to 445 12</w:t>
      </w:r>
      <w:r>
        <w:rPr>
          <w:vertAlign w:val="superscript"/>
        </w:rPr>
        <w:t>th</w:t>
      </w:r>
      <w:r>
        <w:t xml:space="preserve"> Street, SW, Washington DC  20554.</w:t>
      </w:r>
    </w:p>
    <w:p w:rsidR="00137FDA" w:rsidRDefault="00137FDA" w:rsidP="001C3090">
      <w:pPr>
        <w:pStyle w:val="Paranum0"/>
        <w:widowControl/>
      </w:pPr>
      <w:r>
        <w:t>Parties shall also serve one copy with the Commission’s copy contractor, Best Copy and Printing, Inc. (BCPI), Portals II, 445 12th Street, S.W., Room CY-B402, Washington, D.C. 20554, (202) 488-5300, or via e-mail to fcc@bcpiweb.com.</w:t>
      </w:r>
    </w:p>
    <w:p w:rsidR="00137FDA" w:rsidRDefault="00137FDA" w:rsidP="001C3090">
      <w:pPr>
        <w:pStyle w:val="Paranum0"/>
        <w:widowControl/>
      </w:pPr>
      <w:r>
        <w:t>Documents in GN Docket No</w:t>
      </w:r>
      <w:r w:rsidR="00014DDC">
        <w:t>s</w:t>
      </w:r>
      <w:r>
        <w:t>. 12-268</w:t>
      </w:r>
      <w:r w:rsidR="00014DDC">
        <w:t xml:space="preserve"> and 13-185</w:t>
      </w:r>
      <w:r>
        <w:t xml:space="preserve"> will be available for public inspection and copying during business hours at the FCC Reference Information Center, Portals II, 445 12</w:t>
      </w:r>
      <w:r>
        <w:rPr>
          <w:vertAlign w:val="superscript"/>
        </w:rPr>
        <w:t>th</w:t>
      </w:r>
      <w:r>
        <w:t xml:space="preserve"> St. S.W., Room CY-A257, Washington, DC 20554.  The documents may also be purchased from BCPI, telephone (202) 488-5300, facsimile (202) 488-5563, TTY (202) 488-5562, e-mail fcc@bcpiweb.com.</w:t>
      </w:r>
    </w:p>
    <w:p w:rsidR="00137FDA" w:rsidRDefault="00137FDA" w:rsidP="001C3090">
      <w:pPr>
        <w:pStyle w:val="Paranum0"/>
        <w:widowControl/>
      </w:pPr>
      <w:r>
        <w:t>To request materials in accessible formats for people with disabilities (Braille, large print, electronic files, audio format), send an e-mail to fcc504@fcc.gov or call the Consumer &amp; Governmental Affairs Bureau at 202-418-0530 (voice), 202-418-0432 (tty).</w:t>
      </w:r>
    </w:p>
    <w:p w:rsidR="00137FDA" w:rsidRDefault="00137FDA" w:rsidP="00BA1C7D">
      <w:pPr>
        <w:pStyle w:val="Paranum0"/>
        <w:widowControl/>
      </w:pPr>
      <w:r>
        <w:t xml:space="preserve">This matter shall be treated as a “permit-but-disclose” proceeding in accordance with the </w:t>
      </w:r>
      <w:r>
        <w:rPr>
          <w:i/>
        </w:rPr>
        <w:t>ex parte</w:t>
      </w:r>
      <w:r>
        <w:t xml:space="preserve"> rules.</w:t>
      </w:r>
      <w:r>
        <w:rPr>
          <w:vertAlign w:val="superscript"/>
        </w:rPr>
        <w:footnoteReference w:id="23"/>
      </w:r>
      <w:r>
        <w:t xml:space="preserve">  Persons making oral </w:t>
      </w:r>
      <w:r>
        <w:rPr>
          <w:i/>
        </w:rPr>
        <w:t>ex parte</w:t>
      </w:r>
      <w: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Pr>
          <w:vertAlign w:val="superscript"/>
        </w:rPr>
        <w:footnoteReference w:id="24"/>
      </w:r>
      <w:r>
        <w:t xml:space="preserve">  Other requirements pertaining to oral and written presentations are set forth in section 1.1206(b) of the rules.</w:t>
      </w:r>
      <w:r>
        <w:rPr>
          <w:vertAlign w:val="superscript"/>
        </w:rPr>
        <w:footnoteReference w:id="25"/>
      </w:r>
    </w:p>
    <w:p w:rsidR="00137FDA" w:rsidRDefault="00137FDA" w:rsidP="00BA1C7D">
      <w:pPr>
        <w:pStyle w:val="Paranum0"/>
        <w:widowControl/>
      </w:pPr>
      <w:r>
        <w:t xml:space="preserve">For </w:t>
      </w:r>
      <w:r w:rsidRPr="008D4177">
        <w:t xml:space="preserve">further </w:t>
      </w:r>
      <w:r w:rsidRPr="00003158">
        <w:t>information, contact Paul Malmud at 202-418-0006, or via e-mail at</w:t>
      </w:r>
      <w:r w:rsidR="00BE4B49">
        <w:t xml:space="preserve"> </w:t>
      </w:r>
      <w:hyperlink r:id="rId8" w:history="1">
        <w:r w:rsidR="00BE4B49" w:rsidRPr="001833F6">
          <w:rPr>
            <w:rStyle w:val="Hyperlink"/>
          </w:rPr>
          <w:t>Paul.Malmud@fcc.gov</w:t>
        </w:r>
      </w:hyperlink>
      <w:r w:rsidR="00BE4B49">
        <w:t xml:space="preserve">.  </w:t>
      </w:r>
    </w:p>
    <w:p w:rsidR="00137FDA" w:rsidRPr="008D4177" w:rsidRDefault="00137FDA" w:rsidP="00BA1C7D">
      <w:pPr>
        <w:pStyle w:val="Paranum0"/>
        <w:widowControl/>
      </w:pPr>
    </w:p>
    <w:p w:rsidR="00137FDA" w:rsidRPr="00186B77" w:rsidRDefault="00137FDA" w:rsidP="00950CA5">
      <w:pPr>
        <w:tabs>
          <w:tab w:val="left" w:pos="6960"/>
        </w:tabs>
        <w:spacing w:after="120"/>
        <w:ind w:left="792"/>
        <w:jc w:val="center"/>
        <w:rPr>
          <w:rFonts w:ascii="Times New Roman" w:hAnsi="Times New Roman"/>
          <w:b/>
          <w:sz w:val="22"/>
          <w:szCs w:val="22"/>
        </w:rPr>
      </w:pPr>
      <w:r w:rsidRPr="00186B77">
        <w:rPr>
          <w:rFonts w:ascii="Times New Roman" w:hAnsi="Times New Roman"/>
          <w:b/>
          <w:sz w:val="22"/>
          <w:szCs w:val="22"/>
        </w:rPr>
        <w:t>-FCC-</w:t>
      </w:r>
    </w:p>
    <w:sectPr w:rsidR="00137FDA" w:rsidRPr="00186B77" w:rsidSect="00F0605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24" w:rsidRDefault="00162224">
      <w:r>
        <w:separator/>
      </w:r>
    </w:p>
  </w:endnote>
  <w:endnote w:type="continuationSeparator" w:id="0">
    <w:p w:rsidR="00162224" w:rsidRDefault="0016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04" w:rsidRDefault="001A5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DA" w:rsidRPr="00A02D3B" w:rsidRDefault="00C850EB">
    <w:pPr>
      <w:pStyle w:val="Footer"/>
      <w:jc w:val="center"/>
      <w:rPr>
        <w:rFonts w:ascii="Times New Roman" w:hAnsi="Times New Roman"/>
        <w:sz w:val="20"/>
      </w:rPr>
    </w:pPr>
    <w:r>
      <w:fldChar w:fldCharType="begin"/>
    </w:r>
    <w:r>
      <w:instrText xml:space="preserve"> PAGE   \* MERGEFORMAT </w:instrText>
    </w:r>
    <w:r>
      <w:fldChar w:fldCharType="separate"/>
    </w:r>
    <w:r w:rsidR="009A594B" w:rsidRPr="009A594B">
      <w:rPr>
        <w:rFonts w:ascii="Times New Roman" w:hAnsi="Times New Roman"/>
        <w:noProof/>
        <w:sz w:val="20"/>
      </w:rPr>
      <w:t>2</w:t>
    </w:r>
    <w:r>
      <w:rPr>
        <w:rFonts w:ascii="Times New Roman" w:hAnsi="Times New Roman"/>
        <w:noProof/>
        <w:sz w:val="20"/>
      </w:rPr>
      <w:fldChar w:fldCharType="end"/>
    </w:r>
  </w:p>
  <w:p w:rsidR="00137FDA" w:rsidRDefault="00137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04" w:rsidRDefault="001A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24" w:rsidRDefault="00162224">
      <w:r>
        <w:separator/>
      </w:r>
    </w:p>
  </w:footnote>
  <w:footnote w:type="continuationSeparator" w:id="0">
    <w:p w:rsidR="00162224" w:rsidRDefault="00162224">
      <w:r>
        <w:continuationSeparator/>
      </w:r>
    </w:p>
  </w:footnote>
  <w:footnote w:id="1">
    <w:p w:rsidR="001A1544" w:rsidRDefault="001A1544" w:rsidP="006301A1">
      <w:pPr>
        <w:pStyle w:val="FootnoteText"/>
        <w:spacing w:before="120"/>
      </w:pPr>
      <w:r>
        <w:rPr>
          <w:rStyle w:val="FootnoteReference"/>
        </w:rPr>
        <w:footnoteRef/>
      </w:r>
      <w:r>
        <w:t xml:space="preserve"> </w:t>
      </w:r>
      <w:r w:rsidR="00E122BC" w:rsidRPr="00832CC3">
        <w:rPr>
          <w:i/>
          <w:spacing w:val="-2"/>
        </w:rPr>
        <w:t>Expanding the Economic and Innovation Opportunities of Spectrum Through Incentive Auctions</w:t>
      </w:r>
      <w:r w:rsidR="00E122BC" w:rsidRPr="00FA0083">
        <w:rPr>
          <w:spacing w:val="-2"/>
        </w:rPr>
        <w:t xml:space="preserve">, </w:t>
      </w:r>
      <w:r w:rsidR="00EC1C34">
        <w:rPr>
          <w:spacing w:val="-2"/>
        </w:rPr>
        <w:t xml:space="preserve">GN Docket No. 12-268, </w:t>
      </w:r>
      <w:r w:rsidR="00E122BC" w:rsidRPr="00832CC3">
        <w:rPr>
          <w:spacing w:val="-2"/>
        </w:rPr>
        <w:t>Notice of Proposed Rulemaking</w:t>
      </w:r>
      <w:r w:rsidR="00E122BC" w:rsidRPr="00FA0083">
        <w:rPr>
          <w:spacing w:val="-2"/>
        </w:rPr>
        <w:t>, 27 FCC Rcd 12357 (2012) (</w:t>
      </w:r>
      <w:r w:rsidR="00E122BC" w:rsidRPr="00FA0083">
        <w:rPr>
          <w:i/>
          <w:spacing w:val="-2"/>
        </w:rPr>
        <w:t>NPRM</w:t>
      </w:r>
      <w:r w:rsidR="00E122BC" w:rsidRPr="00FA0083">
        <w:rPr>
          <w:spacing w:val="-2"/>
        </w:rPr>
        <w:t>).</w:t>
      </w:r>
      <w:r w:rsidR="00E122BC">
        <w:rPr>
          <w:spacing w:val="-2"/>
        </w:rPr>
        <w:t xml:space="preserve">  </w:t>
      </w:r>
    </w:p>
  </w:footnote>
  <w:footnote w:id="2">
    <w:p w:rsidR="00297323" w:rsidRDefault="00297323" w:rsidP="006301A1">
      <w:pPr>
        <w:pStyle w:val="FootnoteText"/>
        <w:spacing w:before="120"/>
      </w:pPr>
      <w:r>
        <w:rPr>
          <w:rStyle w:val="FootnoteReference"/>
        </w:rPr>
        <w:footnoteRef/>
      </w:r>
      <w:r>
        <w:t xml:space="preserve"> </w:t>
      </w:r>
      <w:r w:rsidR="00E122BC" w:rsidRPr="00FA0083">
        <w:rPr>
          <w:i/>
          <w:spacing w:val="-2"/>
        </w:rPr>
        <w:t>NPRM</w:t>
      </w:r>
      <w:r w:rsidR="00E122BC">
        <w:rPr>
          <w:spacing w:val="-2"/>
        </w:rPr>
        <w:t xml:space="preserve">, </w:t>
      </w:r>
      <w:r w:rsidR="00E122BC" w:rsidRPr="00FA0083">
        <w:rPr>
          <w:spacing w:val="-2"/>
        </w:rPr>
        <w:t xml:space="preserve">27 FCC Rcd </w:t>
      </w:r>
      <w:r w:rsidR="00E122BC">
        <w:rPr>
          <w:spacing w:val="-2"/>
        </w:rPr>
        <w:t>at 12411, para. 148.</w:t>
      </w:r>
      <w:r w:rsidR="00E122BC" w:rsidRPr="00FA0083">
        <w:rPr>
          <w:spacing w:val="-2"/>
        </w:rPr>
        <w:t xml:space="preserve"> </w:t>
      </w:r>
      <w:r w:rsidR="00E122BC" w:rsidRPr="00C51786">
        <w:t xml:space="preserve">The </w:t>
      </w:r>
      <w:r w:rsidR="00E122BC">
        <w:t xml:space="preserve">United States Department of Commerce </w:t>
      </w:r>
      <w:r w:rsidR="00E122BC" w:rsidRPr="00C51786">
        <w:t>Bureau of Economic Analysis</w:t>
      </w:r>
      <w:r w:rsidR="00E122BC">
        <w:t xml:space="preserve"> (BEA)</w:t>
      </w:r>
      <w:r w:rsidR="00E122BC" w:rsidRPr="00C51786">
        <w:t xml:space="preserve"> defines EAs as “one or more economic nodes—metropolitan areas or similar areas that serve as centers of economic activity—and the surrounding counties that are economically related to the nodes.” Final Redefinition of the BEA Economic Areas, 60 Fed. Reg. 13,114 (Mar. 10, 1995).  There are 172 EAs</w:t>
      </w:r>
      <w:r w:rsidR="00E122BC">
        <w:t xml:space="preserve"> in the United States, as defined by </w:t>
      </w:r>
      <w:r w:rsidR="001D4416">
        <w:t xml:space="preserve">the </w:t>
      </w:r>
      <w:r w:rsidR="00E122BC">
        <w:t>BEA</w:t>
      </w:r>
      <w:r w:rsidR="00E122BC" w:rsidRPr="00C51786">
        <w:t xml:space="preserve">.  </w:t>
      </w:r>
      <w:r w:rsidR="00E122BC">
        <w:rPr>
          <w:i/>
        </w:rPr>
        <w:t>See</w:t>
      </w:r>
      <w:r w:rsidR="00E122BC" w:rsidRPr="00C51786">
        <w:t xml:space="preserve"> </w:t>
      </w:r>
      <w:r w:rsidR="00E122BC" w:rsidRPr="003D3676">
        <w:rPr>
          <w:i/>
        </w:rPr>
        <w:t>also</w:t>
      </w:r>
      <w:r w:rsidR="00E122BC">
        <w:t xml:space="preserve"> </w:t>
      </w:r>
      <w:r w:rsidR="00E122BC" w:rsidRPr="00C51786">
        <w:t>47 C.F.R. § 27.6(a)</w:t>
      </w:r>
      <w:r w:rsidR="00E122BC">
        <w:t xml:space="preserve">.  </w:t>
      </w:r>
      <w:r w:rsidR="00E122BC" w:rsidRPr="00C51786">
        <w:t xml:space="preserve">In addition, the Commission separately licenses Guam and the Northern Mariana Islands, Puerto Rico and the United States Virgin Islands, American Samoa, and the Gulf of Mexico, which have been assigned Commission-created EA numbers 173-176, respectively.  </w:t>
      </w:r>
      <w:r w:rsidR="00E122BC" w:rsidRPr="00E3459A">
        <w:rPr>
          <w:i/>
        </w:rPr>
        <w:t>Amendment of the Commission’s Rules to Establish Part 27, the Wireless Communications Service (“WCS”)</w:t>
      </w:r>
      <w:r w:rsidR="00E122BC">
        <w:t xml:space="preserve">, GN Docket No. 96-228, Report and Order, </w:t>
      </w:r>
      <w:r w:rsidR="00E122BC" w:rsidRPr="00C9294D">
        <w:t>12 FCC Rcd 1078</w:t>
      </w:r>
      <w:r w:rsidR="00E122BC">
        <w:t xml:space="preserve">5, 10900, </w:t>
      </w:r>
      <w:r w:rsidR="00E122BC" w:rsidRPr="00C51786">
        <w:t>§</w:t>
      </w:r>
      <w:r w:rsidR="00E122BC">
        <w:t xml:space="preserve"> 27.6 Service areas (licensing Guam and the Northern Mariana Islands, Puerto Rico and the United States Virgin Islands, American Samoa, and the Gulf of Mexico as Commission created EA numbers 173-176)</w:t>
      </w:r>
      <w:r w:rsidR="00E122BC" w:rsidRPr="00C51786">
        <w:t>.</w:t>
      </w:r>
    </w:p>
  </w:footnote>
  <w:footnote w:id="3">
    <w:p w:rsidR="00137FDA" w:rsidRDefault="00137FDA" w:rsidP="006301A1">
      <w:pPr>
        <w:pStyle w:val="FootnoteText"/>
        <w:spacing w:before="120"/>
      </w:pPr>
      <w:r>
        <w:rPr>
          <w:rStyle w:val="FootnoteReference"/>
        </w:rPr>
        <w:footnoteRef/>
      </w:r>
      <w:r>
        <w:t xml:space="preserve"> </w:t>
      </w:r>
      <w:r w:rsidR="00E122BC" w:rsidRPr="00C51786">
        <w:rPr>
          <w:i/>
        </w:rPr>
        <w:t>NPRM</w:t>
      </w:r>
      <w:r w:rsidR="00E122BC" w:rsidRPr="00C51786">
        <w:t>, 27 FCC Rcd at 12411, para</w:t>
      </w:r>
      <w:r w:rsidR="00E122BC">
        <w:t>.</w:t>
      </w:r>
      <w:r w:rsidR="00E122BC" w:rsidRPr="00C51786">
        <w:t xml:space="preserve"> 14</w:t>
      </w:r>
      <w:r w:rsidR="00E122BC">
        <w:t>9</w:t>
      </w:r>
      <w:r w:rsidR="00E122BC" w:rsidRPr="00C51786">
        <w:t>.</w:t>
      </w:r>
      <w:r w:rsidR="00E122BC">
        <w:t xml:space="preserve">  </w:t>
      </w:r>
      <w:r w:rsidR="00E122BC" w:rsidRPr="00C51786">
        <w:t xml:space="preserve">CMAs are standard geographic areas used for the licensing of cellular systems and are comprised of Metropolitan Statistical Areas (MSAs) and Rural Service Areas (RSAs).  </w:t>
      </w:r>
      <w:r w:rsidR="00E122BC" w:rsidRPr="00C51786">
        <w:rPr>
          <w:i/>
        </w:rPr>
        <w:t>See</w:t>
      </w:r>
      <w:r w:rsidR="00E122BC" w:rsidRPr="00C51786">
        <w:t xml:space="preserve"> 47 C.F.R. § 22.909; </w:t>
      </w:r>
      <w:r w:rsidR="00E122BC" w:rsidRPr="00526840">
        <w:rPr>
          <w:i/>
        </w:rPr>
        <w:t>Common Carrier Public Mobile Services Information, Cellular MSA/RSA Markets and Counties</w:t>
      </w:r>
      <w:r w:rsidR="00E122BC" w:rsidRPr="00C51786">
        <w:t xml:space="preserve">, </w:t>
      </w:r>
      <w:r w:rsidR="00E122BC" w:rsidRPr="00526840">
        <w:t>Public Notice</w:t>
      </w:r>
      <w:r w:rsidR="00E122BC" w:rsidRPr="00C51786">
        <w:t>, 7 FCC Rcd 742 (1992).</w:t>
      </w:r>
    </w:p>
  </w:footnote>
  <w:footnote w:id="4">
    <w:p w:rsidR="00DB5B52" w:rsidRDefault="00DB5B52" w:rsidP="006301A1">
      <w:pPr>
        <w:pStyle w:val="FootnoteText"/>
        <w:spacing w:before="120"/>
      </w:pPr>
      <w:r>
        <w:rPr>
          <w:rStyle w:val="FootnoteReference"/>
        </w:rPr>
        <w:footnoteRef/>
      </w:r>
      <w:r>
        <w:t xml:space="preserve"> </w:t>
      </w:r>
      <w:r w:rsidR="00E122BC" w:rsidRPr="002E06F2">
        <w:rPr>
          <w:i/>
        </w:rPr>
        <w:t>See, e.g.,</w:t>
      </w:r>
      <w:r w:rsidR="00E122BC">
        <w:t xml:space="preserve"> </w:t>
      </w:r>
      <w:r w:rsidR="00E122BC" w:rsidRPr="00C51786">
        <w:t xml:space="preserve">Comments </w:t>
      </w:r>
      <w:r w:rsidR="00E122BC">
        <w:t xml:space="preserve">of AT&amp;T Inc. at 54; Comments of MetroPCS Communications, Inc. at 18; Comments of Verizon and Verizon Wireless </w:t>
      </w:r>
      <w:r w:rsidR="00E122BC" w:rsidRPr="00C51786">
        <w:t>at 6</w:t>
      </w:r>
      <w:r w:rsidR="00E122BC">
        <w:t>0-62</w:t>
      </w:r>
      <w:r w:rsidR="00E122BC" w:rsidRPr="00C51786">
        <w:t>.</w:t>
      </w:r>
    </w:p>
  </w:footnote>
  <w:footnote w:id="5">
    <w:p w:rsidR="00137FDA" w:rsidRDefault="00137FDA" w:rsidP="006301A1">
      <w:pPr>
        <w:pStyle w:val="FootnoteText"/>
        <w:spacing w:before="120"/>
      </w:pPr>
      <w:r>
        <w:rPr>
          <w:rStyle w:val="FootnoteReference"/>
        </w:rPr>
        <w:footnoteRef/>
      </w:r>
      <w:r>
        <w:t xml:space="preserve"> </w:t>
      </w:r>
      <w:r w:rsidR="00E122BC" w:rsidRPr="0060129F">
        <w:rPr>
          <w:i/>
        </w:rPr>
        <w:t>See</w:t>
      </w:r>
      <w:r w:rsidR="00E122BC">
        <w:rPr>
          <w:i/>
        </w:rPr>
        <w:t>,</w:t>
      </w:r>
      <w:r w:rsidR="00E122BC" w:rsidRPr="0060129F">
        <w:rPr>
          <w:i/>
        </w:rPr>
        <w:t xml:space="preserve"> e.g.</w:t>
      </w:r>
      <w:r w:rsidR="00E122BC">
        <w:t xml:space="preserve">, Comments of the National Telecommunications Cooperative Association at 4 (NTCA Comments) (asserting that “[t]he </w:t>
      </w:r>
      <w:r w:rsidR="00E122BC" w:rsidRPr="00D4294E">
        <w:t>current plan to license the spectrum according to EAs all but ensures that no truly small carriers will succeed at auction</w:t>
      </w:r>
      <w:r w:rsidR="00E122BC">
        <w:t xml:space="preserve"> . . . </w:t>
      </w:r>
      <w:r w:rsidR="00E122BC" w:rsidRPr="00D4294E">
        <w:t>ultimately harming rural consumers and the objectives of competition, to deny rural carriers t</w:t>
      </w:r>
      <w:r w:rsidR="00E122BC">
        <w:t>he opportunity to offer service”).</w:t>
      </w:r>
      <w:r w:rsidR="00E122BC" w:rsidRPr="00A000EA">
        <w:t xml:space="preserve"> </w:t>
      </w:r>
      <w:r w:rsidR="00E122BC">
        <w:t xml:space="preserve"> The </w:t>
      </w:r>
      <w:r w:rsidR="00E122BC" w:rsidRPr="00A000EA">
        <w:t>Rural Telecommunications Group states that EAs would inherently shut out rural companies in violation of Section 309(j) of the Communications Act because EAs often include densely populated urban areas and typically cover larger geographic areas than the rural are</w:t>
      </w:r>
      <w:r w:rsidR="00E122BC">
        <w:t xml:space="preserve">as that rural carriers serve.  </w:t>
      </w:r>
      <w:r w:rsidR="00E122BC" w:rsidRPr="00C51786">
        <w:t xml:space="preserve">Comments </w:t>
      </w:r>
      <w:r w:rsidR="00E122BC">
        <w:t xml:space="preserve">of the Rural Telecommunications Group, Inc. </w:t>
      </w:r>
      <w:r w:rsidR="00E122BC" w:rsidRPr="00C51786">
        <w:t>at 2</w:t>
      </w:r>
      <w:r w:rsidR="00E122BC">
        <w:t xml:space="preserve"> (RTG Comments)</w:t>
      </w:r>
      <w:r w:rsidR="00E122BC" w:rsidRPr="00C51786">
        <w:t>.</w:t>
      </w:r>
      <w:r w:rsidR="00E122BC">
        <w:t xml:space="preserve">  </w:t>
      </w:r>
      <w:r w:rsidR="00E122BC" w:rsidRPr="00C51786">
        <w:t>Section 309(j) requires the Commission to “prescribe area designations and bandwidt</w:t>
      </w:r>
      <w:r w:rsidR="00E122BC">
        <w:t xml:space="preserve">h assignments that promote . . . </w:t>
      </w:r>
      <w:r w:rsidR="00E122BC" w:rsidRPr="00C51786">
        <w:t>economic opportunity for a wide variety of applicants, including small businesses</w:t>
      </w:r>
      <w:r w:rsidR="00E122BC">
        <w:t>, rural telephone companies . . .</w:t>
      </w:r>
      <w:r w:rsidR="00E122BC" w:rsidRPr="00C51786">
        <w:t xml:space="preserve"> </w:t>
      </w:r>
      <w:r w:rsidR="00E122BC">
        <w:t>[</w:t>
      </w:r>
      <w:r w:rsidR="00E122BC" w:rsidRPr="00C51786">
        <w:t>and</w:t>
      </w:r>
      <w:r w:rsidR="00E122BC">
        <w:t xml:space="preserve">] </w:t>
      </w:r>
      <w:r w:rsidR="00E122BC" w:rsidRPr="00C51786">
        <w:t>ensure that small businesses</w:t>
      </w:r>
      <w:r w:rsidR="00E122BC">
        <w:t xml:space="preserve">, rural telephone companies . . . </w:t>
      </w:r>
      <w:r w:rsidR="00E122BC" w:rsidRPr="00C51786">
        <w:t>are given the opportunity to participate in the provision of spectrum-based services.” 47 U.S.C. § 309(j)(4).</w:t>
      </w:r>
    </w:p>
  </w:footnote>
  <w:footnote w:id="6">
    <w:p w:rsidR="00137FDA" w:rsidRDefault="00137FDA" w:rsidP="006301A1">
      <w:pPr>
        <w:pStyle w:val="FootnoteText"/>
        <w:spacing w:before="120"/>
      </w:pPr>
      <w:r>
        <w:rPr>
          <w:rStyle w:val="FootnoteReference"/>
        </w:rPr>
        <w:footnoteRef/>
      </w:r>
      <w:r>
        <w:t xml:space="preserve"> </w:t>
      </w:r>
      <w:r w:rsidR="00E122BC" w:rsidRPr="00C51786">
        <w:rPr>
          <w:i/>
        </w:rPr>
        <w:t>See, e.g.</w:t>
      </w:r>
      <w:r w:rsidR="00E122BC" w:rsidRPr="00C51786">
        <w:t xml:space="preserve">, NTCA Comments at </w:t>
      </w:r>
      <w:r w:rsidR="00E122BC">
        <w:t>4</w:t>
      </w:r>
      <w:r w:rsidR="00E122BC" w:rsidRPr="00C51786">
        <w:t xml:space="preserve"> (</w:t>
      </w:r>
      <w:r w:rsidR="00E122BC">
        <w:t>“I</w:t>
      </w:r>
      <w:r w:rsidR="00E122BC" w:rsidRPr="00C51786">
        <w:t xml:space="preserve">t is appropriate and in the public’s interest for the Commission to license significant portions of the 600 MHz spectrum </w:t>
      </w:r>
      <w:r w:rsidR="00E122BC">
        <w:t>according to [</w:t>
      </w:r>
      <w:r w:rsidR="00E122BC" w:rsidRPr="00C51786">
        <w:t>MSAs/RSAs</w:t>
      </w:r>
      <w:r w:rsidR="00E122BC">
        <w:t>].”</w:t>
      </w:r>
      <w:r w:rsidR="00E122BC" w:rsidRPr="00C51786">
        <w:t>); RTG Comments at 2 (supports licensing the 600 MHz band on the basis of MSAs and RSAs).</w:t>
      </w:r>
    </w:p>
  </w:footnote>
  <w:footnote w:id="7">
    <w:p w:rsidR="00C5469C" w:rsidRDefault="00C5469C" w:rsidP="006301A1">
      <w:pPr>
        <w:pStyle w:val="FootnoteText"/>
        <w:spacing w:before="120"/>
      </w:pPr>
      <w:r>
        <w:rPr>
          <w:rStyle w:val="FootnoteReference"/>
        </w:rPr>
        <w:footnoteRef/>
      </w:r>
      <w:r>
        <w:t xml:space="preserve"> </w:t>
      </w:r>
      <w:r w:rsidR="00A4039D" w:rsidRPr="00190C77">
        <w:rPr>
          <w:i/>
        </w:rPr>
        <w:t>See</w:t>
      </w:r>
      <w:r w:rsidR="00A4039D">
        <w:t xml:space="preserve"> </w:t>
      </w:r>
      <w:r w:rsidR="00A4039D" w:rsidRPr="00C51786">
        <w:t xml:space="preserve">Reply Comments </w:t>
      </w:r>
      <w:r w:rsidR="00A4039D">
        <w:t xml:space="preserve">of </w:t>
      </w:r>
      <w:r w:rsidR="00A4039D" w:rsidRPr="00C51786">
        <w:t xml:space="preserve">T-Mobile </w:t>
      </w:r>
      <w:r w:rsidR="00A4039D">
        <w:t xml:space="preserve">USA, Inc. </w:t>
      </w:r>
      <w:r w:rsidR="00A4039D" w:rsidRPr="00C51786">
        <w:t>at 58-60.</w:t>
      </w:r>
      <w:r w:rsidR="00687E22">
        <w:t xml:space="preserve"> </w:t>
      </w:r>
      <w:r w:rsidR="00A4039D" w:rsidRPr="00DB5B52">
        <w:t xml:space="preserve"> </w:t>
      </w:r>
      <w:r w:rsidR="00A4039D">
        <w:t>N</w:t>
      </w:r>
      <w:r w:rsidR="00A4039D" w:rsidRPr="00DB5B52">
        <w:t>ationwide carriers</w:t>
      </w:r>
      <w:r w:rsidR="00A4039D">
        <w:t xml:space="preserve"> </w:t>
      </w:r>
      <w:r w:rsidR="00A4039D" w:rsidRPr="00DB5B52">
        <w:t>argue that the Commission should not adopt service areas smaller than EAs, because doing so would increase the risks to forward auction participants in aggregating a national or regional footprint without materially increasing the quantity of spectrum that can be repurposed in the auction</w:t>
      </w:r>
      <w:r w:rsidR="00A4039D">
        <w:t>.</w:t>
      </w:r>
      <w:r w:rsidR="00F233E7">
        <w:t xml:space="preserve">  </w:t>
      </w:r>
      <w:r w:rsidR="00F233E7" w:rsidRPr="002E3221">
        <w:rPr>
          <w:i/>
        </w:rPr>
        <w:t>See also</w:t>
      </w:r>
      <w:r w:rsidR="00F233E7">
        <w:t xml:space="preserve"> Reply Comments of Verizon and Verizon Wireless </w:t>
      </w:r>
      <w:r w:rsidR="00F233E7" w:rsidRPr="00C51786">
        <w:t xml:space="preserve">at </w:t>
      </w:r>
      <w:r w:rsidR="002E3221">
        <w:t>43-44</w:t>
      </w:r>
      <w:r w:rsidR="00F233E7" w:rsidRPr="00C51786">
        <w:t>.</w:t>
      </w:r>
    </w:p>
  </w:footnote>
  <w:footnote w:id="8">
    <w:p w:rsidR="00843B2D" w:rsidRDefault="00843B2D" w:rsidP="006301A1">
      <w:pPr>
        <w:pStyle w:val="FootnoteText"/>
        <w:spacing w:before="120"/>
      </w:pPr>
      <w:r>
        <w:rPr>
          <w:rStyle w:val="FootnoteReference"/>
        </w:rPr>
        <w:footnoteRef/>
      </w:r>
      <w:r>
        <w:t xml:space="preserve"> CCA states that it </w:t>
      </w:r>
      <w:r w:rsidR="007F3C09">
        <w:t>“</w:t>
      </w:r>
      <w:r w:rsidR="007F3C09" w:rsidRPr="007F3C09">
        <w:t>represents the interests of more than 100 competitive wireless carriers, including rural and regional carriers as well as national providers.</w:t>
      </w:r>
      <w:r w:rsidR="007F3C09">
        <w:t xml:space="preserve">”  Comments of </w:t>
      </w:r>
      <w:r w:rsidR="00046B7E" w:rsidRPr="00046B7E">
        <w:t xml:space="preserve">Competitive Carriers Association </w:t>
      </w:r>
      <w:r w:rsidR="007F3C09">
        <w:t xml:space="preserve">at 1.  </w:t>
      </w:r>
    </w:p>
  </w:footnote>
  <w:footnote w:id="9">
    <w:p w:rsidR="00617649" w:rsidRDefault="00617649" w:rsidP="006301A1">
      <w:pPr>
        <w:pStyle w:val="FootnoteText"/>
        <w:spacing w:before="120"/>
      </w:pPr>
      <w:r>
        <w:rPr>
          <w:rStyle w:val="FootnoteReference"/>
        </w:rPr>
        <w:footnoteRef/>
      </w:r>
      <w:r>
        <w:t xml:space="preserve"> Letter from </w:t>
      </w:r>
      <w:r w:rsidRPr="002C1B59">
        <w:t>Rebecca Murphy Thompson</w:t>
      </w:r>
      <w:r>
        <w:t xml:space="preserve">, </w:t>
      </w:r>
      <w:r w:rsidRPr="002C1B59">
        <w:t>Competitive Carriers Association</w:t>
      </w:r>
      <w:r>
        <w:t xml:space="preserve">, to Marlene Dortch, Secretary, FCC (Nov. 27, 2013) (CCA </w:t>
      </w:r>
      <w:r w:rsidRPr="004E304D">
        <w:rPr>
          <w:i/>
        </w:rPr>
        <w:t>ex parte</w:t>
      </w:r>
      <w:r>
        <w:t xml:space="preserve">).  </w:t>
      </w:r>
      <w:r w:rsidR="007A0D95" w:rsidRPr="007A0D95">
        <w:t>In its filing, CCA emphasized that it still supports licensing by CMAs, but offers the PEA proposal as an alternat</w:t>
      </w:r>
      <w:r w:rsidR="00687B44">
        <w:t xml:space="preserve">ive to the proposed EA regime. </w:t>
      </w:r>
      <w:r w:rsidR="007A0D95" w:rsidRPr="004F6C0B">
        <w:rPr>
          <w:i/>
        </w:rPr>
        <w:t>Id</w:t>
      </w:r>
      <w:r w:rsidR="007A0D95">
        <w:t xml:space="preserve">. </w:t>
      </w:r>
      <w:r w:rsidR="007A0D95" w:rsidRPr="007A0D95">
        <w:t>at 2.</w:t>
      </w:r>
    </w:p>
  </w:footnote>
  <w:footnote w:id="10">
    <w:p w:rsidR="00137FDA" w:rsidRDefault="00137FDA" w:rsidP="006301A1">
      <w:pPr>
        <w:pStyle w:val="FootnoteText"/>
        <w:spacing w:before="120"/>
      </w:pPr>
      <w:r>
        <w:rPr>
          <w:rStyle w:val="FootnoteReference"/>
        </w:rPr>
        <w:footnoteRef/>
      </w:r>
      <w:r>
        <w:t xml:space="preserve"> </w:t>
      </w:r>
      <w:r w:rsidR="004E12FA" w:rsidRPr="004F6C0B">
        <w:rPr>
          <w:i/>
        </w:rPr>
        <w:t>Id</w:t>
      </w:r>
      <w:r w:rsidR="004E12FA" w:rsidRPr="007A0D95">
        <w:t>.</w:t>
      </w:r>
      <w:r w:rsidR="002257AE">
        <w:t xml:space="preserve">  </w:t>
      </w:r>
      <w:r w:rsidR="008D264D">
        <w:t>A</w:t>
      </w:r>
      <w:r>
        <w:t xml:space="preserve"> </w:t>
      </w:r>
      <w:r w:rsidR="003C48A2">
        <w:t xml:space="preserve">proposed </w:t>
      </w:r>
      <w:r>
        <w:t>map of PEAs</w:t>
      </w:r>
      <w:r w:rsidR="00C61F8E">
        <w:t xml:space="preserve"> along with a list of </w:t>
      </w:r>
      <w:r w:rsidR="00A000EA">
        <w:t>the counties contained in each</w:t>
      </w:r>
      <w:r w:rsidR="00C61F8E">
        <w:t xml:space="preserve"> PEA is attached to the CCA </w:t>
      </w:r>
      <w:r w:rsidR="00C61F8E" w:rsidRPr="003D3676">
        <w:rPr>
          <w:i/>
        </w:rPr>
        <w:t>ex parte</w:t>
      </w:r>
      <w:r w:rsidR="004A39E4">
        <w:t xml:space="preserve">.  </w:t>
      </w:r>
      <w:r w:rsidR="005F608F">
        <w:t>The</w:t>
      </w:r>
      <w:r w:rsidR="004A39E4">
        <w:t xml:space="preserve"> </w:t>
      </w:r>
      <w:r w:rsidR="003C48A2">
        <w:t xml:space="preserve">proposed </w:t>
      </w:r>
      <w:r w:rsidR="004A39E4">
        <w:t>m</w:t>
      </w:r>
      <w:r w:rsidR="005F608F">
        <w:t xml:space="preserve">ap and the list of counties </w:t>
      </w:r>
      <w:r w:rsidR="00C61F8E">
        <w:t>are</w:t>
      </w:r>
      <w:r w:rsidR="00243569">
        <w:t xml:space="preserve"> also</w:t>
      </w:r>
      <w:r w:rsidR="00C61F8E">
        <w:t xml:space="preserve"> </w:t>
      </w:r>
      <w:r w:rsidR="005F608F">
        <w:t>included in this Public Notice</w:t>
      </w:r>
      <w:r>
        <w:t>.</w:t>
      </w:r>
      <w:r w:rsidR="007F3C09">
        <w:t xml:space="preserve">  </w:t>
      </w:r>
      <w:r w:rsidR="003C48A2">
        <w:t>CCA emphasizes that t</w:t>
      </w:r>
      <w:r w:rsidR="007F3C09">
        <w:t>his “map represents CCA’s first draft proposal for a PEA licensing scheme</w:t>
      </w:r>
      <w:r w:rsidR="007A0D95">
        <w:t>.</w:t>
      </w:r>
      <w:r w:rsidR="007F3C09">
        <w:t xml:space="preserve">” </w:t>
      </w:r>
      <w:r w:rsidR="00CE6BBE">
        <w:t xml:space="preserve"> </w:t>
      </w:r>
      <w:r w:rsidR="007F3C09" w:rsidRPr="004F6C0B">
        <w:rPr>
          <w:i/>
        </w:rPr>
        <w:t>Id</w:t>
      </w:r>
      <w:r w:rsidR="007F3C09">
        <w:t xml:space="preserve">.  </w:t>
      </w:r>
    </w:p>
  </w:footnote>
  <w:footnote w:id="11">
    <w:p w:rsidR="00F96983" w:rsidRDefault="00F96983" w:rsidP="006301A1">
      <w:pPr>
        <w:pStyle w:val="FootnoteText"/>
        <w:spacing w:before="120"/>
      </w:pPr>
      <w:r>
        <w:rPr>
          <w:rStyle w:val="FootnoteReference"/>
        </w:rPr>
        <w:footnoteRef/>
      </w:r>
      <w:r>
        <w:t xml:space="preserve"> Pursuant to CCA’s </w:t>
      </w:r>
      <w:r w:rsidR="00186132" w:rsidRPr="00200147">
        <w:rPr>
          <w:i/>
        </w:rPr>
        <w:t>ex parte</w:t>
      </w:r>
      <w:r w:rsidR="00186132">
        <w:t xml:space="preserve"> filing</w:t>
      </w:r>
      <w:r>
        <w:t xml:space="preserve">, there are 348 PEA licenses in the continental United States as compared with 170 EA licenses. </w:t>
      </w:r>
      <w:r w:rsidRPr="00200147">
        <w:rPr>
          <w:i/>
        </w:rPr>
        <w:t>Compare</w:t>
      </w:r>
      <w:r>
        <w:t xml:space="preserve"> CCA </w:t>
      </w:r>
      <w:r w:rsidRPr="003D3676">
        <w:rPr>
          <w:i/>
        </w:rPr>
        <w:t>ex parte</w:t>
      </w:r>
      <w:r>
        <w:t xml:space="preserve"> Att. </w:t>
      </w:r>
      <w:r w:rsidR="00256F06" w:rsidRPr="00200147">
        <w:rPr>
          <w:i/>
        </w:rPr>
        <w:t>with</w:t>
      </w:r>
      <w:r w:rsidR="00256F06">
        <w:t xml:space="preserve"> </w:t>
      </w:r>
      <w:r w:rsidRPr="00C51786">
        <w:t>47 C.F.R. § 27.6(a)</w:t>
      </w:r>
      <w:r>
        <w:t>.</w:t>
      </w:r>
    </w:p>
  </w:footnote>
  <w:footnote w:id="12">
    <w:p w:rsidR="00137FDA" w:rsidRDefault="00137FDA" w:rsidP="006301A1">
      <w:pPr>
        <w:pStyle w:val="FootnoteText"/>
        <w:spacing w:before="120"/>
      </w:pPr>
      <w:r>
        <w:rPr>
          <w:rStyle w:val="FootnoteReference"/>
        </w:rPr>
        <w:footnoteRef/>
      </w:r>
      <w:r>
        <w:t xml:space="preserve"> </w:t>
      </w:r>
      <w:r w:rsidR="00B77070">
        <w:t xml:space="preserve">CCA </w:t>
      </w:r>
      <w:r w:rsidR="00B77070" w:rsidRPr="003D3676">
        <w:rPr>
          <w:i/>
        </w:rPr>
        <w:t>ex parte</w:t>
      </w:r>
      <w:r w:rsidR="00B77070">
        <w:t xml:space="preserve"> at 2.</w:t>
      </w:r>
      <w:r w:rsidR="006A020F">
        <w:t xml:space="preserve"> </w:t>
      </w:r>
    </w:p>
  </w:footnote>
  <w:footnote w:id="13">
    <w:p w:rsidR="00137FDA" w:rsidRDefault="00137FDA" w:rsidP="006301A1">
      <w:pPr>
        <w:pStyle w:val="FootnoteText"/>
        <w:spacing w:before="120"/>
      </w:pPr>
      <w:r>
        <w:rPr>
          <w:rStyle w:val="FootnoteReference"/>
        </w:rPr>
        <w:footnoteRef/>
      </w:r>
      <w:r>
        <w:t xml:space="preserve"> </w:t>
      </w:r>
      <w:r w:rsidR="00256F06" w:rsidRPr="004F6C0B">
        <w:rPr>
          <w:i/>
        </w:rPr>
        <w:t>Id</w:t>
      </w:r>
      <w:r w:rsidR="00256F06" w:rsidRPr="007A0D95">
        <w:t>.</w:t>
      </w:r>
      <w:r w:rsidR="00256F06">
        <w:t xml:space="preserve">  </w:t>
      </w:r>
    </w:p>
  </w:footnote>
  <w:footnote w:id="14">
    <w:p w:rsidR="00F804A4" w:rsidRPr="003B5BF3" w:rsidRDefault="00F804A4" w:rsidP="006301A1">
      <w:pPr>
        <w:pStyle w:val="FootnoteText"/>
        <w:spacing w:before="120"/>
        <w:rPr>
          <w:i/>
        </w:rPr>
      </w:pPr>
      <w:r>
        <w:rPr>
          <w:rStyle w:val="FootnoteReference"/>
        </w:rPr>
        <w:footnoteRef/>
      </w:r>
      <w:r>
        <w:t xml:space="preserve"> Letter from Joan Marsh, AT&amp;T, to Marlene Dortch, Secretary, FCC (Dec. 3, 2013) (AT&amp;T </w:t>
      </w:r>
      <w:r w:rsidRPr="004E304D">
        <w:rPr>
          <w:i/>
        </w:rPr>
        <w:t>ex parte</w:t>
      </w:r>
      <w:r>
        <w:t>) at 3.</w:t>
      </w:r>
      <w:r w:rsidR="007F3C09">
        <w:t xml:space="preserve"> </w:t>
      </w:r>
      <w:r w:rsidRPr="00F804A4">
        <w:t xml:space="preserve"> AT&amp;T notes it “currently has no position on CCA’s PEA proposal as we have only just begun our review of CCA’s filing.”</w:t>
      </w:r>
      <w:r>
        <w:t xml:space="preserve">  </w:t>
      </w:r>
      <w:r>
        <w:rPr>
          <w:i/>
        </w:rPr>
        <w:t>Id.</w:t>
      </w:r>
    </w:p>
  </w:footnote>
  <w:footnote w:id="15">
    <w:p w:rsidR="002745FD" w:rsidRDefault="002745FD" w:rsidP="009A7506">
      <w:pPr>
        <w:pStyle w:val="FootnoteText"/>
        <w:spacing w:before="120"/>
      </w:pPr>
      <w:r>
        <w:rPr>
          <w:rStyle w:val="FootnoteReference"/>
        </w:rPr>
        <w:footnoteRef/>
      </w:r>
      <w:r>
        <w:t xml:space="preserve"> </w:t>
      </w:r>
      <w:r w:rsidRPr="009A7506">
        <w:rPr>
          <w:i/>
        </w:rPr>
        <w:t>See, e.g.,</w:t>
      </w:r>
      <w:r>
        <w:t xml:space="preserve"> </w:t>
      </w:r>
      <w:r w:rsidR="00D20765">
        <w:t>Letter from Caressa Bennet, Rural Wireless Association, and Jill Canfield, National Telecommunications Cooperative Association to Marlene Dortch, Secretary, FCC (Dec. 6, 2013).</w:t>
      </w:r>
    </w:p>
  </w:footnote>
  <w:footnote w:id="16">
    <w:p w:rsidR="004D1487" w:rsidRDefault="004D1487" w:rsidP="004D1487">
      <w:pPr>
        <w:pStyle w:val="FootnoteText"/>
        <w:spacing w:before="120"/>
      </w:pPr>
      <w:r>
        <w:rPr>
          <w:rStyle w:val="FootnoteReference"/>
        </w:rPr>
        <w:footnoteRef/>
      </w:r>
      <w:r>
        <w:t xml:space="preserve"> </w:t>
      </w:r>
      <w:r w:rsidRPr="00200147">
        <w:rPr>
          <w:i/>
        </w:rPr>
        <w:t>Amendment of the Commission’s Rules with Regard to Commercial Operations in the 1695-1710 MHz, 1755-1780 MHz, and 2155-2180 MHz Bands</w:t>
      </w:r>
      <w:r>
        <w:t xml:space="preserve">, </w:t>
      </w:r>
      <w:r w:rsidR="00D0208D">
        <w:t xml:space="preserve">GN </w:t>
      </w:r>
      <w:r>
        <w:t>Docket No. 13-185</w:t>
      </w:r>
      <w:r w:rsidRPr="005A502D">
        <w:t xml:space="preserve">, </w:t>
      </w:r>
      <w:r w:rsidRPr="00200147">
        <w:t>Notice of Proposed Rulemaking</w:t>
      </w:r>
      <w:r w:rsidRPr="005A502D">
        <w:t>, 2</w:t>
      </w:r>
      <w:r>
        <w:t>8</w:t>
      </w:r>
      <w:r w:rsidRPr="005A502D">
        <w:t xml:space="preserve"> FCC Rcd 1</w:t>
      </w:r>
      <w:r>
        <w:t>1479</w:t>
      </w:r>
      <w:r w:rsidRPr="005A502D">
        <w:t xml:space="preserve"> (</w:t>
      </w:r>
      <w:r w:rsidR="00D0208D" w:rsidRPr="005A502D">
        <w:t>201</w:t>
      </w:r>
      <w:r w:rsidR="00D0208D">
        <w:t>3</w:t>
      </w:r>
      <w:r w:rsidRPr="005A502D">
        <w:t>) (</w:t>
      </w:r>
      <w:r w:rsidRPr="0024751E">
        <w:rPr>
          <w:i/>
        </w:rPr>
        <w:t>AWS-3 NPRM</w:t>
      </w:r>
      <w:r w:rsidRPr="005A502D">
        <w:t xml:space="preserve">).  </w:t>
      </w:r>
      <w:r w:rsidRPr="004D1487">
        <w:t xml:space="preserve">Commenters addressing this issue with respect to the AWS-3 proceeding should file comments in </w:t>
      </w:r>
      <w:r w:rsidR="009C6D9F">
        <w:t>GN</w:t>
      </w:r>
      <w:r w:rsidR="009C6D9F" w:rsidRPr="004D1487">
        <w:t xml:space="preserve"> </w:t>
      </w:r>
      <w:r w:rsidRPr="004D1487">
        <w:t xml:space="preserve">Docket </w:t>
      </w:r>
      <w:r>
        <w:t xml:space="preserve">No. </w:t>
      </w:r>
      <w:r w:rsidRPr="004D1487">
        <w:t>13-185.</w:t>
      </w:r>
    </w:p>
  </w:footnote>
  <w:footnote w:id="17">
    <w:p w:rsidR="006301A1" w:rsidRDefault="006301A1" w:rsidP="006301A1">
      <w:pPr>
        <w:pStyle w:val="FootnoteText"/>
        <w:spacing w:before="120"/>
      </w:pPr>
      <w:r>
        <w:rPr>
          <w:rStyle w:val="FootnoteReference"/>
        </w:rPr>
        <w:footnoteRef/>
      </w:r>
      <w:r>
        <w:t xml:space="preserve"> </w:t>
      </w:r>
      <w:r w:rsidR="00FA410A" w:rsidRPr="00C51786">
        <w:rPr>
          <w:i/>
        </w:rPr>
        <w:t>NPRM</w:t>
      </w:r>
      <w:r w:rsidR="00FA410A" w:rsidRPr="00C51786">
        <w:t xml:space="preserve">, 27 FCC Rcd at 12410, para. 145.  Section 6403(c)(3) of the </w:t>
      </w:r>
      <w:r w:rsidR="00F92CBE">
        <w:t xml:space="preserve">Middle Class Tax Relief and Job Creation Act of 2012 </w:t>
      </w:r>
      <w:r w:rsidR="00FA410A" w:rsidRPr="00C51786">
        <w:t xml:space="preserve">directs the Commission to “consider assigning licenses that cover geographic areas of a variety of different sizes.” </w:t>
      </w:r>
      <w:r w:rsidR="002E3316">
        <w:t xml:space="preserve">Middle Class Tax Relief and Job Creation Act of 2012, Pub. L. No. 112-96, </w:t>
      </w:r>
      <w:r w:rsidR="002E3316" w:rsidRPr="00C51786">
        <w:t>§ 6403(c)(3)</w:t>
      </w:r>
      <w:r w:rsidR="002E3316">
        <w:t xml:space="preserve"> (2012).</w:t>
      </w:r>
      <w:r w:rsidR="00FA410A" w:rsidRPr="00C51786">
        <w:t xml:space="preserve"> </w:t>
      </w:r>
    </w:p>
  </w:footnote>
  <w:footnote w:id="18">
    <w:p w:rsidR="004E5382" w:rsidRDefault="004E5382" w:rsidP="006301A1">
      <w:pPr>
        <w:pStyle w:val="FootnoteText"/>
        <w:spacing w:before="120"/>
      </w:pPr>
      <w:r>
        <w:rPr>
          <w:rStyle w:val="FootnoteReference"/>
        </w:rPr>
        <w:footnoteRef/>
      </w:r>
      <w:r>
        <w:t xml:space="preserve"> CCA </w:t>
      </w:r>
      <w:r w:rsidRPr="003D3676">
        <w:rPr>
          <w:i/>
        </w:rPr>
        <w:t>ex parte</w:t>
      </w:r>
      <w:r>
        <w:t xml:space="preserve"> at 2.</w:t>
      </w:r>
      <w:r w:rsidR="00A7358D">
        <w:t xml:space="preserve">  </w:t>
      </w:r>
      <w:r w:rsidR="00A7358D">
        <w:rPr>
          <w:i/>
        </w:rPr>
        <w:t>S</w:t>
      </w:r>
      <w:r w:rsidR="00A7358D" w:rsidRPr="00190C77">
        <w:rPr>
          <w:i/>
        </w:rPr>
        <w:t>ee also</w:t>
      </w:r>
      <w:r w:rsidR="00A7358D">
        <w:t xml:space="preserve"> Reply Comments of Cellular South, Inc. at 4-5; Reply Comments of </w:t>
      </w:r>
      <w:r w:rsidR="00A7358D" w:rsidRPr="00541B67">
        <w:t>King Street Wireless, L.P.</w:t>
      </w:r>
      <w:r w:rsidR="00A7358D">
        <w:t xml:space="preserve"> at 6-7</w:t>
      </w:r>
      <w:r w:rsidR="0070724E">
        <w:t>.</w:t>
      </w:r>
    </w:p>
  </w:footnote>
  <w:footnote w:id="19">
    <w:p w:rsidR="004E5382" w:rsidRDefault="004E5382" w:rsidP="006301A1">
      <w:pPr>
        <w:pStyle w:val="FootnoteText"/>
        <w:spacing w:before="120"/>
      </w:pPr>
      <w:r>
        <w:rPr>
          <w:rStyle w:val="FootnoteReference"/>
        </w:rPr>
        <w:footnoteRef/>
      </w:r>
      <w:r>
        <w:t xml:space="preserve"> CCA </w:t>
      </w:r>
      <w:r w:rsidRPr="003D3676">
        <w:rPr>
          <w:i/>
        </w:rPr>
        <w:t>ex parte</w:t>
      </w:r>
      <w:r>
        <w:t xml:space="preserve"> at 2.</w:t>
      </w:r>
    </w:p>
  </w:footnote>
  <w:footnote w:id="20">
    <w:p w:rsidR="004E5382" w:rsidRDefault="004E5382" w:rsidP="006301A1">
      <w:pPr>
        <w:pStyle w:val="FootnoteText"/>
        <w:spacing w:before="120"/>
      </w:pPr>
      <w:r>
        <w:rPr>
          <w:rStyle w:val="FootnoteReference"/>
        </w:rPr>
        <w:footnoteRef/>
      </w:r>
      <w:r>
        <w:t xml:space="preserve"> AT&amp;T </w:t>
      </w:r>
      <w:r w:rsidRPr="002E06F2">
        <w:rPr>
          <w:i/>
        </w:rPr>
        <w:t>ex parte</w:t>
      </w:r>
      <w:r>
        <w:t xml:space="preserve"> at 3.</w:t>
      </w:r>
      <w:r w:rsidR="0057112F">
        <w:t xml:space="preserve"> </w:t>
      </w:r>
      <w:r w:rsidR="0057112F" w:rsidRPr="00A16F7A">
        <w:t>In its</w:t>
      </w:r>
      <w:r w:rsidR="0057112F">
        <w:t xml:space="preserve"> </w:t>
      </w:r>
      <w:r w:rsidR="0057112F" w:rsidRPr="00A26358">
        <w:rPr>
          <w:i/>
        </w:rPr>
        <w:t>ex parte</w:t>
      </w:r>
      <w:r w:rsidR="0057112F" w:rsidRPr="00A16F7A">
        <w:t xml:space="preserve"> filing, AT&amp;T expresses continued support for EAs and geographic package bidding, noting that package bidding is even more imperative for AT&amp;T if the Commission adopts PEAs instead of EAs</w:t>
      </w:r>
      <w:r w:rsidR="0057112F">
        <w:t>.</w:t>
      </w:r>
      <w:r w:rsidR="00302A55">
        <w:t xml:space="preserve"> </w:t>
      </w:r>
      <w:r w:rsidR="0057112F">
        <w:t xml:space="preserve"> </w:t>
      </w:r>
      <w:r w:rsidR="00302A55">
        <w:t xml:space="preserve">AT&amp;T </w:t>
      </w:r>
      <w:r w:rsidR="00302A55" w:rsidRPr="002E06F2">
        <w:rPr>
          <w:i/>
        </w:rPr>
        <w:t>ex parte</w:t>
      </w:r>
      <w:r w:rsidR="00302A55">
        <w:t xml:space="preserve"> at 1.</w:t>
      </w:r>
    </w:p>
  </w:footnote>
  <w:footnote w:id="21">
    <w:p w:rsidR="00137FDA" w:rsidRDefault="00137FDA" w:rsidP="006301A1">
      <w:pPr>
        <w:pStyle w:val="FootnoteText"/>
        <w:spacing w:before="120"/>
      </w:pPr>
      <w:r>
        <w:rPr>
          <w:rStyle w:val="FootnoteReference"/>
        </w:rPr>
        <w:footnoteRef/>
      </w:r>
      <w:r>
        <w:t xml:space="preserve"> </w:t>
      </w:r>
      <w:r w:rsidR="00DC5F43">
        <w:t xml:space="preserve">These </w:t>
      </w:r>
      <w:r w:rsidRPr="0078627B">
        <w:t>proceeding</w:t>
      </w:r>
      <w:r w:rsidR="00DC5F43">
        <w:t>s</w:t>
      </w:r>
      <w:r w:rsidRPr="0078627B">
        <w:t xml:space="preserve"> included Initial Regulatory Flexibility Analysis (IRFA) pursuant to 5 U.S.C. § 603, exploring the potential impact of the Commission’s proposal on small entities. </w:t>
      </w:r>
      <w:r w:rsidRPr="00A77484">
        <w:rPr>
          <w:i/>
        </w:rPr>
        <w:t>NPRM</w:t>
      </w:r>
      <w:r>
        <w:t>, 27 FCC Rcd at 12523-44</w:t>
      </w:r>
      <w:r w:rsidR="00DC5F43">
        <w:t xml:space="preserve">; </w:t>
      </w:r>
      <w:r w:rsidR="00BB244A" w:rsidRPr="00BB244A">
        <w:rPr>
          <w:i/>
        </w:rPr>
        <w:t>AWS-3 NPRM</w:t>
      </w:r>
      <w:r w:rsidR="00BB244A">
        <w:t>, 28 FCC Rcd at 1</w:t>
      </w:r>
      <w:r w:rsidR="0041139F">
        <w:t>1568</w:t>
      </w:r>
      <w:r w:rsidR="00BB244A">
        <w:t>-</w:t>
      </w:r>
      <w:r w:rsidR="00014DDC">
        <w:t>75</w:t>
      </w:r>
      <w:r>
        <w:t>.</w:t>
      </w:r>
      <w:r w:rsidR="00062EDE">
        <w:t xml:space="preserve"> </w:t>
      </w:r>
      <w:r>
        <w:t xml:space="preserve"> </w:t>
      </w:r>
      <w:r w:rsidRPr="0078627B">
        <w:t>The matters discussed in this notice do not modify in any way the previously issued</w:t>
      </w:r>
      <w:r w:rsidR="007D6783">
        <w:t xml:space="preserve"> </w:t>
      </w:r>
      <w:r w:rsidR="007D6783" w:rsidRPr="0078627B">
        <w:t>IRFA</w:t>
      </w:r>
      <w:r w:rsidR="007D6783">
        <w:t>s</w:t>
      </w:r>
      <w:r w:rsidRPr="0078627B">
        <w:t>.</w:t>
      </w:r>
      <w:r w:rsidR="00AE28F9">
        <w:t xml:space="preserve"> </w:t>
      </w:r>
    </w:p>
  </w:footnote>
  <w:footnote w:id="22">
    <w:p w:rsidR="00137FDA" w:rsidRDefault="00137FDA" w:rsidP="006301A1">
      <w:pPr>
        <w:pStyle w:val="FootnoteText"/>
        <w:tabs>
          <w:tab w:val="left" w:pos="450"/>
        </w:tabs>
        <w:spacing w:before="120"/>
      </w:pPr>
      <w:r>
        <w:rPr>
          <w:rStyle w:val="FootnoteReference"/>
        </w:rPr>
        <w:footnoteRef/>
      </w:r>
      <w:r>
        <w:t xml:space="preserve"> </w:t>
      </w:r>
      <w:r>
        <w:rPr>
          <w:i/>
        </w:rPr>
        <w:t xml:space="preserve">See </w:t>
      </w:r>
      <w:r w:rsidRPr="003E6370">
        <w:rPr>
          <w:i/>
        </w:rPr>
        <w:t>Electronic Filing of Documents in Rulemaking Proceedings</w:t>
      </w:r>
      <w:r>
        <w:t xml:space="preserve">, GC Docket No. 97-113, </w:t>
      </w:r>
      <w:r w:rsidRPr="003E6370">
        <w:t>Report and Order</w:t>
      </w:r>
      <w:r>
        <w:t>, 13 FCC Rcd 11322 (1998).</w:t>
      </w:r>
    </w:p>
  </w:footnote>
  <w:footnote w:id="23">
    <w:p w:rsidR="00137FDA" w:rsidRDefault="00137FDA" w:rsidP="006301A1">
      <w:pPr>
        <w:pStyle w:val="FootnoteText"/>
        <w:spacing w:before="120"/>
      </w:pPr>
      <w:r>
        <w:rPr>
          <w:rStyle w:val="FootnoteReference"/>
        </w:rPr>
        <w:footnoteRef/>
      </w:r>
      <w:r>
        <w:t xml:space="preserve"> </w:t>
      </w:r>
      <w:r w:rsidRPr="00941414">
        <w:rPr>
          <w:i/>
        </w:rPr>
        <w:t>NPRM</w:t>
      </w:r>
      <w:r>
        <w:t>, 27 FCC Rcd at 12494-95, para. 417;</w:t>
      </w:r>
      <w:r w:rsidR="00606475">
        <w:t xml:space="preserve"> </w:t>
      </w:r>
      <w:r w:rsidR="00606475" w:rsidRPr="00606475">
        <w:rPr>
          <w:i/>
        </w:rPr>
        <w:t>AWS-3 NPRM</w:t>
      </w:r>
      <w:r w:rsidR="00606475">
        <w:t>, 28 FCC Rcd at 11553-</w:t>
      </w:r>
      <w:r w:rsidR="00F55CAD">
        <w:t>54</w:t>
      </w:r>
      <w:r w:rsidR="00606475">
        <w:t xml:space="preserve">, para. </w:t>
      </w:r>
      <w:r w:rsidR="00F55CAD">
        <w:t>188</w:t>
      </w:r>
      <w:r w:rsidR="006D3E93">
        <w:t>;</w:t>
      </w:r>
      <w:r>
        <w:t xml:space="preserve"> </w:t>
      </w:r>
      <w:r w:rsidRPr="00A77484">
        <w:rPr>
          <w:i/>
        </w:rPr>
        <w:t>see also</w:t>
      </w:r>
      <w:r>
        <w:t xml:space="preserve">, 47 C.F.R. § 1.1200 </w:t>
      </w:r>
      <w:r>
        <w:rPr>
          <w:i/>
        </w:rPr>
        <w:t xml:space="preserve">et seq. </w:t>
      </w:r>
    </w:p>
  </w:footnote>
  <w:footnote w:id="24">
    <w:p w:rsidR="00137FDA" w:rsidRDefault="00137FDA" w:rsidP="006301A1">
      <w:pPr>
        <w:pStyle w:val="FootnoteText"/>
        <w:spacing w:before="120"/>
      </w:pPr>
      <w:r>
        <w:rPr>
          <w:rStyle w:val="FootnoteReference"/>
        </w:rPr>
        <w:footnoteRef/>
      </w:r>
      <w:r>
        <w:t xml:space="preserve"> </w:t>
      </w:r>
      <w:r>
        <w:rPr>
          <w:i/>
        </w:rPr>
        <w:t>See</w:t>
      </w:r>
      <w:r>
        <w:t xml:space="preserve"> 47 C.F.R. § 1.1206(b)(2).</w:t>
      </w:r>
    </w:p>
  </w:footnote>
  <w:footnote w:id="25">
    <w:p w:rsidR="00137FDA" w:rsidRDefault="00137FDA" w:rsidP="006301A1">
      <w:pPr>
        <w:pStyle w:val="FootnoteText"/>
        <w:spacing w:before="120"/>
      </w:pPr>
      <w:r>
        <w:rPr>
          <w:rStyle w:val="FootnoteReference"/>
        </w:rPr>
        <w:footnoteRef/>
      </w:r>
      <w: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04" w:rsidRDefault="001A5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04" w:rsidRDefault="001A5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DA" w:rsidRPr="00190C77" w:rsidRDefault="001C3417">
    <w:pPr>
      <w:pStyle w:val="Header"/>
      <w:tabs>
        <w:tab w:val="clear" w:pos="4320"/>
        <w:tab w:val="clear" w:pos="8640"/>
      </w:tabs>
      <w:spacing w:before="40"/>
      <w:ind w:firstLine="1080"/>
      <w:rPr>
        <w:rFonts w:cs="Arial"/>
        <w:b/>
        <w:kern w:val="28"/>
        <w:sz w:val="96"/>
      </w:rPr>
    </w:pPr>
    <w:r w:rsidRPr="004E304D">
      <w:rPr>
        <w:rFonts w:cs="Arial"/>
        <w:noProof/>
      </w:rPr>
      <w:drawing>
        <wp:anchor distT="0" distB="0" distL="114300" distR="114300" simplePos="0" relativeHeight="251659264" behindDoc="0" locked="0" layoutInCell="0" allowOverlap="1" wp14:anchorId="6221079C" wp14:editId="282DCBF5">
          <wp:simplePos x="0" y="0"/>
          <wp:positionH relativeFrom="column">
            <wp:posOffset>30480</wp:posOffset>
          </wp:positionH>
          <wp:positionV relativeFrom="paragraph">
            <wp:posOffset>107950</wp:posOffset>
          </wp:positionV>
          <wp:extent cx="530225" cy="530225"/>
          <wp:effectExtent l="2540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0225" cy="530225"/>
                  </a:xfrm>
                  <a:prstGeom prst="rect">
                    <a:avLst/>
                  </a:prstGeom>
                  <a:noFill/>
                </pic:spPr>
              </pic:pic>
            </a:graphicData>
          </a:graphic>
        </wp:anchor>
      </w:drawing>
    </w:r>
    <w:r w:rsidR="00137FDA" w:rsidRPr="00190C77">
      <w:rPr>
        <w:rFonts w:cs="Arial"/>
        <w:b/>
        <w:kern w:val="28"/>
        <w:sz w:val="96"/>
      </w:rPr>
      <w:t>PUBLIC NOTICE</w:t>
    </w:r>
  </w:p>
  <w:p w:rsidR="00137FDA" w:rsidRDefault="00036B8D">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8240" behindDoc="0" locked="0" layoutInCell="0" allowOverlap="1" wp14:anchorId="7FF63923" wp14:editId="23FAEA54">
              <wp:simplePos x="0" y="0"/>
              <wp:positionH relativeFrom="column">
                <wp:posOffset>3733165</wp:posOffset>
              </wp:positionH>
              <wp:positionV relativeFrom="paragraph">
                <wp:posOffset>96520</wp:posOffset>
              </wp:positionV>
              <wp:extent cx="2640965" cy="548640"/>
              <wp:effectExtent l="0" t="0" r="698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FDA" w:rsidRDefault="00137FDA">
                          <w:pPr>
                            <w:spacing w:before="40"/>
                            <w:jc w:val="right"/>
                            <w:rPr>
                              <w:b/>
                              <w:sz w:val="16"/>
                            </w:rPr>
                          </w:pPr>
                          <w:r>
                            <w:rPr>
                              <w:b/>
                              <w:sz w:val="16"/>
                            </w:rPr>
                            <w:t>News Media Information 202 / 418-0500</w:t>
                          </w:r>
                        </w:p>
                        <w:p w:rsidR="00137FDA" w:rsidRDefault="00137FDA">
                          <w:pPr>
                            <w:jc w:val="right"/>
                            <w:rPr>
                              <w:b/>
                              <w:sz w:val="16"/>
                            </w:rPr>
                          </w:pPr>
                          <w:r>
                            <w:rPr>
                              <w:b/>
                              <w:sz w:val="16"/>
                            </w:rPr>
                            <w:tab/>
                            <w:t xml:space="preserve">Internet: </w:t>
                          </w:r>
                          <w:bookmarkStart w:id="1" w:name="_Hlt233824"/>
                          <w:r>
                            <w:rPr>
                              <w:b/>
                              <w:sz w:val="16"/>
                            </w:rPr>
                            <w:t>h</w:t>
                          </w:r>
                          <w:bookmarkEnd w:id="1"/>
                          <w:r>
                            <w:rPr>
                              <w:b/>
                              <w:sz w:val="16"/>
                            </w:rPr>
                            <w:t>ttp://www.fcc.gov</w:t>
                          </w:r>
                        </w:p>
                        <w:p w:rsidR="00137FDA" w:rsidRDefault="00137FDA">
                          <w:pPr>
                            <w:jc w:val="right"/>
                            <w:rPr>
                              <w:b/>
                              <w:sz w:val="16"/>
                            </w:rPr>
                          </w:pPr>
                          <w:r>
                            <w:rPr>
                              <w:b/>
                              <w:sz w:val="16"/>
                            </w:rPr>
                            <w:t>TTY: 1-888-835-5322</w:t>
                          </w:r>
                        </w:p>
                        <w:p w:rsidR="00137FDA" w:rsidRDefault="00137FD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F63923"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3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e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" o:allowincell="f" stroked="f">
              <v:textbox inset=",0,,0">
                <w:txbxContent>
                  <w:p w:rsidR="00137FDA" w:rsidRDefault="00137FDA">
                    <w:pPr>
                      <w:spacing w:before="40"/>
                      <w:jc w:val="right"/>
                      <w:rPr>
                        <w:b/>
                        <w:sz w:val="16"/>
                      </w:rPr>
                    </w:pPr>
                    <w:r>
                      <w:rPr>
                        <w:b/>
                        <w:sz w:val="16"/>
                      </w:rPr>
                      <w:t>News Media Information 202 / 418-0500</w:t>
                    </w:r>
                  </w:p>
                  <w:p w:rsidR="00137FDA" w:rsidRDefault="00137FDA">
                    <w:pPr>
                      <w:jc w:val="right"/>
                      <w:rPr>
                        <w:b/>
                        <w:sz w:val="16"/>
                      </w:rPr>
                    </w:pPr>
                    <w:r>
                      <w:rPr>
                        <w:b/>
                        <w:sz w:val="16"/>
                      </w:rPr>
                      <w:tab/>
                      <w:t xml:space="preserve">Internet: </w:t>
                    </w:r>
                    <w:bookmarkStart w:id="2" w:name="_Hlt233824"/>
                    <w:r>
                      <w:rPr>
                        <w:b/>
                        <w:sz w:val="16"/>
                      </w:rPr>
                      <w:t>h</w:t>
                    </w:r>
                    <w:bookmarkEnd w:id="2"/>
                    <w:r>
                      <w:rPr>
                        <w:b/>
                        <w:sz w:val="16"/>
                      </w:rPr>
                      <w:t>ttp://www.fcc.gov</w:t>
                    </w:r>
                  </w:p>
                  <w:p w:rsidR="00137FDA" w:rsidRDefault="00137FDA">
                    <w:pPr>
                      <w:jc w:val="right"/>
                      <w:rPr>
                        <w:b/>
                        <w:sz w:val="16"/>
                      </w:rPr>
                    </w:pPr>
                    <w:r>
                      <w:rPr>
                        <w:b/>
                        <w:sz w:val="16"/>
                      </w:rPr>
                      <w:t>TTY: 1-888-835-5322</w:t>
                    </w:r>
                  </w:p>
                  <w:p w:rsidR="00137FDA" w:rsidRDefault="00137FDA">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6BFC60AB" wp14:editId="4C157D40">
              <wp:simplePos x="0" y="0"/>
              <wp:positionH relativeFrom="column">
                <wp:posOffset>0</wp:posOffset>
              </wp:positionH>
              <wp:positionV relativeFrom="paragraph">
                <wp:posOffset>5080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FDA" w:rsidRDefault="00137FDA">
                          <w:pPr>
                            <w:jc w:val="both"/>
                            <w:rPr>
                              <w:b/>
                            </w:rPr>
                          </w:pPr>
                          <w:r>
                            <w:rPr>
                              <w:b/>
                            </w:rPr>
                            <w:t>Federal Communications Commission</w:t>
                          </w:r>
                        </w:p>
                        <w:p w:rsidR="00137FDA" w:rsidRDefault="00137FDA">
                          <w:pPr>
                            <w:rPr>
                              <w:b/>
                            </w:rPr>
                          </w:pPr>
                          <w:r>
                            <w:rPr>
                              <w:b/>
                            </w:rPr>
                            <w:t>445 12</w:t>
                          </w:r>
                          <w:r>
                            <w:rPr>
                              <w:b/>
                              <w:vertAlign w:val="superscript"/>
                            </w:rPr>
                            <w:t>th</w:t>
                          </w:r>
                          <w:r>
                            <w:rPr>
                              <w:b/>
                            </w:rPr>
                            <w:t xml:space="preserve"> St., S.W.</w:t>
                          </w:r>
                        </w:p>
                        <w:p w:rsidR="00137FDA" w:rsidRDefault="00137FDA">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FC60AB"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EghQIAABY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" o:allowincell="f" stroked="f">
              <v:textbox>
                <w:txbxContent>
                  <w:p w:rsidR="00137FDA" w:rsidRDefault="00137FDA">
                    <w:pPr>
                      <w:jc w:val="both"/>
                      <w:rPr>
                        <w:b/>
                      </w:rPr>
                    </w:pPr>
                    <w:r>
                      <w:rPr>
                        <w:b/>
                      </w:rPr>
                      <w:t>Federal Communications Commission</w:t>
                    </w:r>
                  </w:p>
                  <w:p w:rsidR="00137FDA" w:rsidRDefault="00137FDA">
                    <w:pPr>
                      <w:rPr>
                        <w:b/>
                      </w:rPr>
                    </w:pPr>
                    <w:r>
                      <w:rPr>
                        <w:b/>
                      </w:rPr>
                      <w:t>445 12</w:t>
                    </w:r>
                    <w:r>
                      <w:rPr>
                        <w:b/>
                        <w:vertAlign w:val="superscript"/>
                      </w:rPr>
                      <w:t>th</w:t>
                    </w:r>
                    <w:r>
                      <w:rPr>
                        <w:b/>
                      </w:rPr>
                      <w:t xml:space="preserve"> St., S.W.</w:t>
                    </w:r>
                  </w:p>
                  <w:p w:rsidR="00137FDA" w:rsidRDefault="00137FDA">
                    <w:r>
                      <w:rPr>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6F72E746" wp14:editId="261F5F4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F6D93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137FDA" w:rsidRDefault="00137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5">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7">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1">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cs="Times New Roman" w:hint="default"/>
      </w:rPr>
    </w:lvl>
    <w:lvl w:ilvl="2" w:tplc="04090005">
      <w:start w:val="1"/>
      <w:numFmt w:val="lowerRoman"/>
      <w:lvlText w:val="%3."/>
      <w:lvlJc w:val="right"/>
      <w:pPr>
        <w:tabs>
          <w:tab w:val="num" w:pos="2790"/>
        </w:tabs>
        <w:ind w:left="2790" w:hanging="180"/>
      </w:pPr>
      <w:rPr>
        <w:rFonts w:cs="Times New Roman"/>
      </w:rPr>
    </w:lvl>
    <w:lvl w:ilvl="3" w:tplc="04090001">
      <w:numFmt w:val="bullet"/>
      <w:lvlText w:val="-"/>
      <w:lvlJc w:val="left"/>
      <w:pPr>
        <w:tabs>
          <w:tab w:val="num" w:pos="1350"/>
        </w:tabs>
        <w:ind w:left="1350" w:hanging="360"/>
      </w:pPr>
      <w:rPr>
        <w:rFonts w:ascii="Times New Roman" w:eastAsia="Times New Roman" w:hAnsi="Times New Roman" w:hint="default"/>
      </w:rPr>
    </w:lvl>
    <w:lvl w:ilvl="4" w:tplc="04090003">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num w:numId="1">
    <w:abstractNumId w:val="5"/>
  </w:num>
  <w:num w:numId="2">
    <w:abstractNumId w:val="9"/>
  </w:num>
  <w:num w:numId="3">
    <w:abstractNumId w:val="2"/>
  </w:num>
  <w:num w:numId="4">
    <w:abstractNumId w:val="12"/>
  </w:num>
  <w:num w:numId="5">
    <w:abstractNumId w:val="15"/>
  </w:num>
  <w:num w:numId="6">
    <w:abstractNumId w:val="6"/>
  </w:num>
  <w:num w:numId="7">
    <w:abstractNumId w:val="16"/>
  </w:num>
  <w:num w:numId="8">
    <w:abstractNumId w:val="18"/>
  </w:num>
  <w:num w:numId="9">
    <w:abstractNumId w:val="1"/>
  </w:num>
  <w:num w:numId="10">
    <w:abstractNumId w:val="13"/>
  </w:num>
  <w:num w:numId="11">
    <w:abstractNumId w:val="7"/>
  </w:num>
  <w:num w:numId="12">
    <w:abstractNumId w:val="3"/>
  </w:num>
  <w:num w:numId="13">
    <w:abstractNumId w:val="14"/>
  </w:num>
  <w:num w:numId="14">
    <w:abstractNumId w:val="4"/>
  </w:num>
  <w:num w:numId="15">
    <w:abstractNumId w:val="10"/>
  </w:num>
  <w:num w:numId="16">
    <w:abstractNumId w:val="0"/>
  </w:num>
  <w:num w:numId="17">
    <w:abstractNumId w:val="17"/>
  </w:num>
  <w:num w:numId="18">
    <w:abstractNumId w:val="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3158"/>
    <w:rsid w:val="00003A72"/>
    <w:rsid w:val="00003CE3"/>
    <w:rsid w:val="000041F5"/>
    <w:rsid w:val="000121E7"/>
    <w:rsid w:val="00014DDC"/>
    <w:rsid w:val="0001536F"/>
    <w:rsid w:val="00016159"/>
    <w:rsid w:val="00025824"/>
    <w:rsid w:val="00025AF3"/>
    <w:rsid w:val="00026CA9"/>
    <w:rsid w:val="00031498"/>
    <w:rsid w:val="0003261B"/>
    <w:rsid w:val="000330A7"/>
    <w:rsid w:val="00036B8D"/>
    <w:rsid w:val="00036DBA"/>
    <w:rsid w:val="0004084B"/>
    <w:rsid w:val="00041901"/>
    <w:rsid w:val="00041C63"/>
    <w:rsid w:val="00041F17"/>
    <w:rsid w:val="000441B3"/>
    <w:rsid w:val="0004476F"/>
    <w:rsid w:val="000451E7"/>
    <w:rsid w:val="000454D0"/>
    <w:rsid w:val="00046B7E"/>
    <w:rsid w:val="00046C6E"/>
    <w:rsid w:val="00056589"/>
    <w:rsid w:val="0006080F"/>
    <w:rsid w:val="00062EDE"/>
    <w:rsid w:val="000635BF"/>
    <w:rsid w:val="00066C6E"/>
    <w:rsid w:val="00070524"/>
    <w:rsid w:val="00074270"/>
    <w:rsid w:val="000766C8"/>
    <w:rsid w:val="0007681E"/>
    <w:rsid w:val="0008210D"/>
    <w:rsid w:val="00084433"/>
    <w:rsid w:val="00084DB9"/>
    <w:rsid w:val="00085A50"/>
    <w:rsid w:val="00086AB6"/>
    <w:rsid w:val="00090C0B"/>
    <w:rsid w:val="00091A13"/>
    <w:rsid w:val="000929FA"/>
    <w:rsid w:val="000944A3"/>
    <w:rsid w:val="000946B6"/>
    <w:rsid w:val="000A0166"/>
    <w:rsid w:val="000A273B"/>
    <w:rsid w:val="000A2EB5"/>
    <w:rsid w:val="000A3EB1"/>
    <w:rsid w:val="000A51AC"/>
    <w:rsid w:val="000A54E2"/>
    <w:rsid w:val="000A56F9"/>
    <w:rsid w:val="000B25D6"/>
    <w:rsid w:val="000B50F4"/>
    <w:rsid w:val="000B71A5"/>
    <w:rsid w:val="000C3692"/>
    <w:rsid w:val="000C410E"/>
    <w:rsid w:val="000C5403"/>
    <w:rsid w:val="000D14CF"/>
    <w:rsid w:val="000D188A"/>
    <w:rsid w:val="000D460F"/>
    <w:rsid w:val="000D76C0"/>
    <w:rsid w:val="000E0284"/>
    <w:rsid w:val="000E286A"/>
    <w:rsid w:val="000E43C8"/>
    <w:rsid w:val="000E68B9"/>
    <w:rsid w:val="000E704B"/>
    <w:rsid w:val="000E78C1"/>
    <w:rsid w:val="000F13BD"/>
    <w:rsid w:val="000F2420"/>
    <w:rsid w:val="000F242E"/>
    <w:rsid w:val="000F5922"/>
    <w:rsid w:val="000F7944"/>
    <w:rsid w:val="00105CFE"/>
    <w:rsid w:val="00107E01"/>
    <w:rsid w:val="00113662"/>
    <w:rsid w:val="00114F70"/>
    <w:rsid w:val="0011556C"/>
    <w:rsid w:val="00121770"/>
    <w:rsid w:val="00123596"/>
    <w:rsid w:val="00124B75"/>
    <w:rsid w:val="00125E5C"/>
    <w:rsid w:val="00127316"/>
    <w:rsid w:val="00127933"/>
    <w:rsid w:val="001322EC"/>
    <w:rsid w:val="00134E84"/>
    <w:rsid w:val="001355B9"/>
    <w:rsid w:val="0013636D"/>
    <w:rsid w:val="00137776"/>
    <w:rsid w:val="00137FDA"/>
    <w:rsid w:val="00140F89"/>
    <w:rsid w:val="00143835"/>
    <w:rsid w:val="00143921"/>
    <w:rsid w:val="00143AB2"/>
    <w:rsid w:val="00143D89"/>
    <w:rsid w:val="00145785"/>
    <w:rsid w:val="00150F68"/>
    <w:rsid w:val="00153B8C"/>
    <w:rsid w:val="00157202"/>
    <w:rsid w:val="001573F1"/>
    <w:rsid w:val="00160CB0"/>
    <w:rsid w:val="00162224"/>
    <w:rsid w:val="001628A9"/>
    <w:rsid w:val="00163890"/>
    <w:rsid w:val="00172317"/>
    <w:rsid w:val="00172BCB"/>
    <w:rsid w:val="00175F74"/>
    <w:rsid w:val="00181189"/>
    <w:rsid w:val="001815A5"/>
    <w:rsid w:val="0018236C"/>
    <w:rsid w:val="00183CE9"/>
    <w:rsid w:val="0018414C"/>
    <w:rsid w:val="00186132"/>
    <w:rsid w:val="001862C9"/>
    <w:rsid w:val="00186497"/>
    <w:rsid w:val="00186B77"/>
    <w:rsid w:val="00186CAE"/>
    <w:rsid w:val="00190C77"/>
    <w:rsid w:val="00191D2C"/>
    <w:rsid w:val="0019418E"/>
    <w:rsid w:val="00194402"/>
    <w:rsid w:val="0019642F"/>
    <w:rsid w:val="00196686"/>
    <w:rsid w:val="001A092A"/>
    <w:rsid w:val="001A143F"/>
    <w:rsid w:val="001A1544"/>
    <w:rsid w:val="001A1700"/>
    <w:rsid w:val="001A4A1B"/>
    <w:rsid w:val="001A5704"/>
    <w:rsid w:val="001A74F1"/>
    <w:rsid w:val="001B2F8A"/>
    <w:rsid w:val="001B5A36"/>
    <w:rsid w:val="001C034D"/>
    <w:rsid w:val="001C0A04"/>
    <w:rsid w:val="001C1965"/>
    <w:rsid w:val="001C3090"/>
    <w:rsid w:val="001C3417"/>
    <w:rsid w:val="001C3905"/>
    <w:rsid w:val="001C6DC8"/>
    <w:rsid w:val="001D0385"/>
    <w:rsid w:val="001D4416"/>
    <w:rsid w:val="001D560D"/>
    <w:rsid w:val="001D5D85"/>
    <w:rsid w:val="001D6963"/>
    <w:rsid w:val="001E3929"/>
    <w:rsid w:val="001E3E4A"/>
    <w:rsid w:val="001E49D2"/>
    <w:rsid w:val="001E4B94"/>
    <w:rsid w:val="001E4F50"/>
    <w:rsid w:val="001E60AE"/>
    <w:rsid w:val="001F41A4"/>
    <w:rsid w:val="001F4A48"/>
    <w:rsid w:val="001F4AEA"/>
    <w:rsid w:val="001F4B3D"/>
    <w:rsid w:val="001F7585"/>
    <w:rsid w:val="00200147"/>
    <w:rsid w:val="00200661"/>
    <w:rsid w:val="00200673"/>
    <w:rsid w:val="00200875"/>
    <w:rsid w:val="00204C42"/>
    <w:rsid w:val="0020628B"/>
    <w:rsid w:val="00210F28"/>
    <w:rsid w:val="002117A9"/>
    <w:rsid w:val="00214A26"/>
    <w:rsid w:val="00221BEE"/>
    <w:rsid w:val="00222F09"/>
    <w:rsid w:val="00223A27"/>
    <w:rsid w:val="002245AC"/>
    <w:rsid w:val="00224CD7"/>
    <w:rsid w:val="002257AE"/>
    <w:rsid w:val="00225FDB"/>
    <w:rsid w:val="00226F59"/>
    <w:rsid w:val="0023022E"/>
    <w:rsid w:val="002341CB"/>
    <w:rsid w:val="00235831"/>
    <w:rsid w:val="00242F63"/>
    <w:rsid w:val="00243569"/>
    <w:rsid w:val="00244716"/>
    <w:rsid w:val="0024751E"/>
    <w:rsid w:val="00247FBF"/>
    <w:rsid w:val="0025221D"/>
    <w:rsid w:val="00253C66"/>
    <w:rsid w:val="00255763"/>
    <w:rsid w:val="00255CB7"/>
    <w:rsid w:val="00256F06"/>
    <w:rsid w:val="00257602"/>
    <w:rsid w:val="00260AEC"/>
    <w:rsid w:val="002626F1"/>
    <w:rsid w:val="00264590"/>
    <w:rsid w:val="00264D39"/>
    <w:rsid w:val="00266FA9"/>
    <w:rsid w:val="00267385"/>
    <w:rsid w:val="00270ADD"/>
    <w:rsid w:val="00270B94"/>
    <w:rsid w:val="00271176"/>
    <w:rsid w:val="002715E9"/>
    <w:rsid w:val="002745FD"/>
    <w:rsid w:val="00274D43"/>
    <w:rsid w:val="00275C4A"/>
    <w:rsid w:val="00276182"/>
    <w:rsid w:val="0027718C"/>
    <w:rsid w:val="002800FC"/>
    <w:rsid w:val="002805A5"/>
    <w:rsid w:val="00282708"/>
    <w:rsid w:val="0028557E"/>
    <w:rsid w:val="00286E98"/>
    <w:rsid w:val="00290D25"/>
    <w:rsid w:val="00290E8E"/>
    <w:rsid w:val="00291960"/>
    <w:rsid w:val="00292C7D"/>
    <w:rsid w:val="00292F02"/>
    <w:rsid w:val="00293205"/>
    <w:rsid w:val="00293E9B"/>
    <w:rsid w:val="00293F9A"/>
    <w:rsid w:val="002949E7"/>
    <w:rsid w:val="002961A3"/>
    <w:rsid w:val="00296220"/>
    <w:rsid w:val="00296818"/>
    <w:rsid w:val="00296D88"/>
    <w:rsid w:val="00296EF9"/>
    <w:rsid w:val="00297323"/>
    <w:rsid w:val="002A16BF"/>
    <w:rsid w:val="002A21FA"/>
    <w:rsid w:val="002A2D63"/>
    <w:rsid w:val="002A31CD"/>
    <w:rsid w:val="002A47EF"/>
    <w:rsid w:val="002A6CFE"/>
    <w:rsid w:val="002B031C"/>
    <w:rsid w:val="002B0E35"/>
    <w:rsid w:val="002B1ED3"/>
    <w:rsid w:val="002B22D1"/>
    <w:rsid w:val="002B308B"/>
    <w:rsid w:val="002C0548"/>
    <w:rsid w:val="002C1AAC"/>
    <w:rsid w:val="002C1B59"/>
    <w:rsid w:val="002C32C6"/>
    <w:rsid w:val="002C7052"/>
    <w:rsid w:val="002D05AD"/>
    <w:rsid w:val="002D1FC0"/>
    <w:rsid w:val="002D3066"/>
    <w:rsid w:val="002D3886"/>
    <w:rsid w:val="002D4C20"/>
    <w:rsid w:val="002D77B5"/>
    <w:rsid w:val="002E0131"/>
    <w:rsid w:val="002E06F2"/>
    <w:rsid w:val="002E074D"/>
    <w:rsid w:val="002E1F85"/>
    <w:rsid w:val="002E3221"/>
    <w:rsid w:val="002E3316"/>
    <w:rsid w:val="002E4911"/>
    <w:rsid w:val="002E4CBF"/>
    <w:rsid w:val="002E6A4A"/>
    <w:rsid w:val="002E7DE3"/>
    <w:rsid w:val="002F1CE2"/>
    <w:rsid w:val="002F2BAA"/>
    <w:rsid w:val="002F48F5"/>
    <w:rsid w:val="0030080E"/>
    <w:rsid w:val="003016C5"/>
    <w:rsid w:val="00302A55"/>
    <w:rsid w:val="00303828"/>
    <w:rsid w:val="00305010"/>
    <w:rsid w:val="0030540C"/>
    <w:rsid w:val="0030683C"/>
    <w:rsid w:val="00307EBA"/>
    <w:rsid w:val="00310320"/>
    <w:rsid w:val="0031253D"/>
    <w:rsid w:val="00313A4C"/>
    <w:rsid w:val="00320581"/>
    <w:rsid w:val="0032146B"/>
    <w:rsid w:val="00323079"/>
    <w:rsid w:val="003230BA"/>
    <w:rsid w:val="00323B64"/>
    <w:rsid w:val="00324832"/>
    <w:rsid w:val="00324D28"/>
    <w:rsid w:val="00324FF7"/>
    <w:rsid w:val="00330CF7"/>
    <w:rsid w:val="0033182A"/>
    <w:rsid w:val="003324B2"/>
    <w:rsid w:val="00332A48"/>
    <w:rsid w:val="00332DC1"/>
    <w:rsid w:val="00333197"/>
    <w:rsid w:val="00333B46"/>
    <w:rsid w:val="00334128"/>
    <w:rsid w:val="0033431A"/>
    <w:rsid w:val="0033450F"/>
    <w:rsid w:val="00334919"/>
    <w:rsid w:val="00335FFE"/>
    <w:rsid w:val="00336008"/>
    <w:rsid w:val="00337888"/>
    <w:rsid w:val="003404F8"/>
    <w:rsid w:val="003405F3"/>
    <w:rsid w:val="0034232B"/>
    <w:rsid w:val="003477AE"/>
    <w:rsid w:val="0035031B"/>
    <w:rsid w:val="00351187"/>
    <w:rsid w:val="00351B57"/>
    <w:rsid w:val="00353874"/>
    <w:rsid w:val="0035389A"/>
    <w:rsid w:val="00355D3D"/>
    <w:rsid w:val="00360A3E"/>
    <w:rsid w:val="00361ABA"/>
    <w:rsid w:val="00363BEB"/>
    <w:rsid w:val="00366834"/>
    <w:rsid w:val="003708C1"/>
    <w:rsid w:val="00373DFE"/>
    <w:rsid w:val="00375B34"/>
    <w:rsid w:val="003761F2"/>
    <w:rsid w:val="00376239"/>
    <w:rsid w:val="003807F8"/>
    <w:rsid w:val="00380C17"/>
    <w:rsid w:val="00381A78"/>
    <w:rsid w:val="00381EE8"/>
    <w:rsid w:val="003833A5"/>
    <w:rsid w:val="00383D30"/>
    <w:rsid w:val="0038497A"/>
    <w:rsid w:val="00384B70"/>
    <w:rsid w:val="0039035C"/>
    <w:rsid w:val="00392222"/>
    <w:rsid w:val="0039240A"/>
    <w:rsid w:val="00393004"/>
    <w:rsid w:val="003936CE"/>
    <w:rsid w:val="00394BF1"/>
    <w:rsid w:val="00394F53"/>
    <w:rsid w:val="00395FA8"/>
    <w:rsid w:val="003A1F53"/>
    <w:rsid w:val="003A49CD"/>
    <w:rsid w:val="003A68F7"/>
    <w:rsid w:val="003A6FDB"/>
    <w:rsid w:val="003B3536"/>
    <w:rsid w:val="003B361A"/>
    <w:rsid w:val="003B3A38"/>
    <w:rsid w:val="003B53F4"/>
    <w:rsid w:val="003B59B5"/>
    <w:rsid w:val="003B59BC"/>
    <w:rsid w:val="003B5BF3"/>
    <w:rsid w:val="003B7510"/>
    <w:rsid w:val="003C1606"/>
    <w:rsid w:val="003C16D9"/>
    <w:rsid w:val="003C2A28"/>
    <w:rsid w:val="003C37A7"/>
    <w:rsid w:val="003C390D"/>
    <w:rsid w:val="003C48A2"/>
    <w:rsid w:val="003C4BB4"/>
    <w:rsid w:val="003C5358"/>
    <w:rsid w:val="003C677F"/>
    <w:rsid w:val="003C7D95"/>
    <w:rsid w:val="003D093B"/>
    <w:rsid w:val="003D09FE"/>
    <w:rsid w:val="003D13AB"/>
    <w:rsid w:val="003D498B"/>
    <w:rsid w:val="003D60E8"/>
    <w:rsid w:val="003D7B57"/>
    <w:rsid w:val="003E0713"/>
    <w:rsid w:val="003E093B"/>
    <w:rsid w:val="003E107D"/>
    <w:rsid w:val="003E2733"/>
    <w:rsid w:val="003E324E"/>
    <w:rsid w:val="003E37BA"/>
    <w:rsid w:val="003E3AF2"/>
    <w:rsid w:val="003E512C"/>
    <w:rsid w:val="003E5352"/>
    <w:rsid w:val="003E6370"/>
    <w:rsid w:val="003E7889"/>
    <w:rsid w:val="003F3B4E"/>
    <w:rsid w:val="003F62A7"/>
    <w:rsid w:val="004001B1"/>
    <w:rsid w:val="00400812"/>
    <w:rsid w:val="00401DFE"/>
    <w:rsid w:val="0040278C"/>
    <w:rsid w:val="0040331F"/>
    <w:rsid w:val="0040654B"/>
    <w:rsid w:val="00406B5A"/>
    <w:rsid w:val="0041139F"/>
    <w:rsid w:val="004115D6"/>
    <w:rsid w:val="00412769"/>
    <w:rsid w:val="00413FE1"/>
    <w:rsid w:val="00415315"/>
    <w:rsid w:val="00416F32"/>
    <w:rsid w:val="004178B4"/>
    <w:rsid w:val="00417FD8"/>
    <w:rsid w:val="00420DE2"/>
    <w:rsid w:val="00420EAB"/>
    <w:rsid w:val="00424B03"/>
    <w:rsid w:val="00424C7A"/>
    <w:rsid w:val="00425AE7"/>
    <w:rsid w:val="00426E49"/>
    <w:rsid w:val="00427485"/>
    <w:rsid w:val="00427E75"/>
    <w:rsid w:val="00431EF3"/>
    <w:rsid w:val="00435030"/>
    <w:rsid w:val="00436DEC"/>
    <w:rsid w:val="0044051C"/>
    <w:rsid w:val="00440FAE"/>
    <w:rsid w:val="00442B7D"/>
    <w:rsid w:val="00444625"/>
    <w:rsid w:val="00444ECE"/>
    <w:rsid w:val="00445F85"/>
    <w:rsid w:val="004466DC"/>
    <w:rsid w:val="00446BB9"/>
    <w:rsid w:val="00447210"/>
    <w:rsid w:val="004475AD"/>
    <w:rsid w:val="00447D79"/>
    <w:rsid w:val="00447FF5"/>
    <w:rsid w:val="004507CE"/>
    <w:rsid w:val="00460FFD"/>
    <w:rsid w:val="0046213E"/>
    <w:rsid w:val="00462770"/>
    <w:rsid w:val="00463AE3"/>
    <w:rsid w:val="00463F08"/>
    <w:rsid w:val="004647CF"/>
    <w:rsid w:val="0046737F"/>
    <w:rsid w:val="00467411"/>
    <w:rsid w:val="0047122E"/>
    <w:rsid w:val="00474EFA"/>
    <w:rsid w:val="00476E3D"/>
    <w:rsid w:val="00477396"/>
    <w:rsid w:val="00480667"/>
    <w:rsid w:val="00480FF4"/>
    <w:rsid w:val="00481437"/>
    <w:rsid w:val="0048161F"/>
    <w:rsid w:val="00481F1A"/>
    <w:rsid w:val="004839D9"/>
    <w:rsid w:val="004866DF"/>
    <w:rsid w:val="00486CBB"/>
    <w:rsid w:val="00487F3F"/>
    <w:rsid w:val="004930E7"/>
    <w:rsid w:val="0049554F"/>
    <w:rsid w:val="00496938"/>
    <w:rsid w:val="004A0B8F"/>
    <w:rsid w:val="004A364F"/>
    <w:rsid w:val="004A39E4"/>
    <w:rsid w:val="004A6793"/>
    <w:rsid w:val="004A7370"/>
    <w:rsid w:val="004A73A7"/>
    <w:rsid w:val="004B004D"/>
    <w:rsid w:val="004B01B1"/>
    <w:rsid w:val="004B11A0"/>
    <w:rsid w:val="004B24E2"/>
    <w:rsid w:val="004B4C8B"/>
    <w:rsid w:val="004B50B8"/>
    <w:rsid w:val="004B5E07"/>
    <w:rsid w:val="004C34D2"/>
    <w:rsid w:val="004C5A3D"/>
    <w:rsid w:val="004C617D"/>
    <w:rsid w:val="004D1487"/>
    <w:rsid w:val="004D2D20"/>
    <w:rsid w:val="004D34AF"/>
    <w:rsid w:val="004D3725"/>
    <w:rsid w:val="004D379B"/>
    <w:rsid w:val="004D4C56"/>
    <w:rsid w:val="004D6635"/>
    <w:rsid w:val="004E12FA"/>
    <w:rsid w:val="004E21BB"/>
    <w:rsid w:val="004E304D"/>
    <w:rsid w:val="004E5382"/>
    <w:rsid w:val="004E5BC8"/>
    <w:rsid w:val="004F5997"/>
    <w:rsid w:val="004F5FC0"/>
    <w:rsid w:val="004F74C7"/>
    <w:rsid w:val="005014BD"/>
    <w:rsid w:val="00501650"/>
    <w:rsid w:val="00501A46"/>
    <w:rsid w:val="00501D29"/>
    <w:rsid w:val="00504DD4"/>
    <w:rsid w:val="005064BC"/>
    <w:rsid w:val="00506B3D"/>
    <w:rsid w:val="005102D6"/>
    <w:rsid w:val="00511BF8"/>
    <w:rsid w:val="005124F5"/>
    <w:rsid w:val="00512D3E"/>
    <w:rsid w:val="005157DC"/>
    <w:rsid w:val="00521B9B"/>
    <w:rsid w:val="0052408A"/>
    <w:rsid w:val="00530933"/>
    <w:rsid w:val="00532D9F"/>
    <w:rsid w:val="00532F1B"/>
    <w:rsid w:val="00541B67"/>
    <w:rsid w:val="005424BA"/>
    <w:rsid w:val="00545045"/>
    <w:rsid w:val="005462A6"/>
    <w:rsid w:val="00546E3A"/>
    <w:rsid w:val="005473A6"/>
    <w:rsid w:val="005510A6"/>
    <w:rsid w:val="00551537"/>
    <w:rsid w:val="00552E6D"/>
    <w:rsid w:val="0055576A"/>
    <w:rsid w:val="00560C10"/>
    <w:rsid w:val="00563C31"/>
    <w:rsid w:val="00567A8B"/>
    <w:rsid w:val="0057112F"/>
    <w:rsid w:val="0057266F"/>
    <w:rsid w:val="005739BC"/>
    <w:rsid w:val="0057589D"/>
    <w:rsid w:val="00576FEE"/>
    <w:rsid w:val="005779AD"/>
    <w:rsid w:val="005817AC"/>
    <w:rsid w:val="00581A5D"/>
    <w:rsid w:val="00585733"/>
    <w:rsid w:val="0058729C"/>
    <w:rsid w:val="00590D69"/>
    <w:rsid w:val="00591F65"/>
    <w:rsid w:val="005923B1"/>
    <w:rsid w:val="00593748"/>
    <w:rsid w:val="00594DA7"/>
    <w:rsid w:val="005A0B7E"/>
    <w:rsid w:val="005A0DE8"/>
    <w:rsid w:val="005A0EBB"/>
    <w:rsid w:val="005A1FCF"/>
    <w:rsid w:val="005A2264"/>
    <w:rsid w:val="005A2686"/>
    <w:rsid w:val="005A2F0B"/>
    <w:rsid w:val="005A502D"/>
    <w:rsid w:val="005B0002"/>
    <w:rsid w:val="005B08E2"/>
    <w:rsid w:val="005B176D"/>
    <w:rsid w:val="005B5F38"/>
    <w:rsid w:val="005C314F"/>
    <w:rsid w:val="005C3ED1"/>
    <w:rsid w:val="005C51C8"/>
    <w:rsid w:val="005C554B"/>
    <w:rsid w:val="005C77CA"/>
    <w:rsid w:val="005C7A4C"/>
    <w:rsid w:val="005D04C2"/>
    <w:rsid w:val="005D2FCE"/>
    <w:rsid w:val="005D3B94"/>
    <w:rsid w:val="005D4A5E"/>
    <w:rsid w:val="005D4AA9"/>
    <w:rsid w:val="005D4F17"/>
    <w:rsid w:val="005D5104"/>
    <w:rsid w:val="005D555D"/>
    <w:rsid w:val="005D6ECC"/>
    <w:rsid w:val="005D6FE6"/>
    <w:rsid w:val="005D74F6"/>
    <w:rsid w:val="005D783B"/>
    <w:rsid w:val="005E066C"/>
    <w:rsid w:val="005E1008"/>
    <w:rsid w:val="005E2F8D"/>
    <w:rsid w:val="005E417A"/>
    <w:rsid w:val="005E4D02"/>
    <w:rsid w:val="005E63B9"/>
    <w:rsid w:val="005F1184"/>
    <w:rsid w:val="005F1515"/>
    <w:rsid w:val="005F1E3D"/>
    <w:rsid w:val="005F260F"/>
    <w:rsid w:val="005F3BE8"/>
    <w:rsid w:val="005F608F"/>
    <w:rsid w:val="005F6287"/>
    <w:rsid w:val="006001A5"/>
    <w:rsid w:val="0060129F"/>
    <w:rsid w:val="00603755"/>
    <w:rsid w:val="006037EF"/>
    <w:rsid w:val="006052CB"/>
    <w:rsid w:val="00606475"/>
    <w:rsid w:val="00613C4A"/>
    <w:rsid w:val="00614153"/>
    <w:rsid w:val="00614CAB"/>
    <w:rsid w:val="00614DD1"/>
    <w:rsid w:val="00617649"/>
    <w:rsid w:val="00620A97"/>
    <w:rsid w:val="006217DC"/>
    <w:rsid w:val="0062678C"/>
    <w:rsid w:val="006301A1"/>
    <w:rsid w:val="0063038D"/>
    <w:rsid w:val="00630A5B"/>
    <w:rsid w:val="00634472"/>
    <w:rsid w:val="00637AE4"/>
    <w:rsid w:val="00643A3C"/>
    <w:rsid w:val="00647A61"/>
    <w:rsid w:val="00647FE4"/>
    <w:rsid w:val="006518BF"/>
    <w:rsid w:val="00654A28"/>
    <w:rsid w:val="0065535C"/>
    <w:rsid w:val="00656004"/>
    <w:rsid w:val="006578B7"/>
    <w:rsid w:val="00660286"/>
    <w:rsid w:val="00661E3B"/>
    <w:rsid w:val="00662837"/>
    <w:rsid w:val="006650F6"/>
    <w:rsid w:val="00666277"/>
    <w:rsid w:val="006679CB"/>
    <w:rsid w:val="00670DB8"/>
    <w:rsid w:val="006744D4"/>
    <w:rsid w:val="00675DB1"/>
    <w:rsid w:val="006776FB"/>
    <w:rsid w:val="0068038A"/>
    <w:rsid w:val="00680991"/>
    <w:rsid w:val="00683D95"/>
    <w:rsid w:val="006852FD"/>
    <w:rsid w:val="00685C07"/>
    <w:rsid w:val="0068613B"/>
    <w:rsid w:val="0068703E"/>
    <w:rsid w:val="00687B44"/>
    <w:rsid w:val="00687E22"/>
    <w:rsid w:val="00690749"/>
    <w:rsid w:val="00691FD0"/>
    <w:rsid w:val="0069210A"/>
    <w:rsid w:val="00692A9D"/>
    <w:rsid w:val="0069504A"/>
    <w:rsid w:val="00696EB1"/>
    <w:rsid w:val="00697041"/>
    <w:rsid w:val="006A020F"/>
    <w:rsid w:val="006A1230"/>
    <w:rsid w:val="006A2468"/>
    <w:rsid w:val="006A2C04"/>
    <w:rsid w:val="006A2FEC"/>
    <w:rsid w:val="006A3793"/>
    <w:rsid w:val="006A646D"/>
    <w:rsid w:val="006A74BA"/>
    <w:rsid w:val="006B0E1B"/>
    <w:rsid w:val="006B58A7"/>
    <w:rsid w:val="006B65D5"/>
    <w:rsid w:val="006C027B"/>
    <w:rsid w:val="006C20F2"/>
    <w:rsid w:val="006C691D"/>
    <w:rsid w:val="006D2030"/>
    <w:rsid w:val="006D39D5"/>
    <w:rsid w:val="006D3E93"/>
    <w:rsid w:val="006D466A"/>
    <w:rsid w:val="006D4C36"/>
    <w:rsid w:val="006D561D"/>
    <w:rsid w:val="006D5C36"/>
    <w:rsid w:val="006D7601"/>
    <w:rsid w:val="006E16AF"/>
    <w:rsid w:val="006F0692"/>
    <w:rsid w:val="006F2E10"/>
    <w:rsid w:val="006F3DC5"/>
    <w:rsid w:val="00703178"/>
    <w:rsid w:val="00704335"/>
    <w:rsid w:val="0070601F"/>
    <w:rsid w:val="0070650B"/>
    <w:rsid w:val="0070724E"/>
    <w:rsid w:val="00710A27"/>
    <w:rsid w:val="00712573"/>
    <w:rsid w:val="00714578"/>
    <w:rsid w:val="007164E9"/>
    <w:rsid w:val="00717924"/>
    <w:rsid w:val="0072016E"/>
    <w:rsid w:val="00721640"/>
    <w:rsid w:val="00722CB4"/>
    <w:rsid w:val="00724869"/>
    <w:rsid w:val="007249FA"/>
    <w:rsid w:val="00730AB6"/>
    <w:rsid w:val="00730BC7"/>
    <w:rsid w:val="00730D1C"/>
    <w:rsid w:val="00731079"/>
    <w:rsid w:val="00732169"/>
    <w:rsid w:val="007326A0"/>
    <w:rsid w:val="00732B7E"/>
    <w:rsid w:val="00734F44"/>
    <w:rsid w:val="007352ED"/>
    <w:rsid w:val="00735B9C"/>
    <w:rsid w:val="00737CA6"/>
    <w:rsid w:val="0074224D"/>
    <w:rsid w:val="007474F3"/>
    <w:rsid w:val="00747913"/>
    <w:rsid w:val="00750D01"/>
    <w:rsid w:val="00754CE5"/>
    <w:rsid w:val="00755A2C"/>
    <w:rsid w:val="007602C0"/>
    <w:rsid w:val="00762B52"/>
    <w:rsid w:val="00763898"/>
    <w:rsid w:val="00765C73"/>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5614"/>
    <w:rsid w:val="00795CCF"/>
    <w:rsid w:val="00796EE8"/>
    <w:rsid w:val="007A0D95"/>
    <w:rsid w:val="007A16FD"/>
    <w:rsid w:val="007A352D"/>
    <w:rsid w:val="007A4D7C"/>
    <w:rsid w:val="007A728B"/>
    <w:rsid w:val="007A7764"/>
    <w:rsid w:val="007B210C"/>
    <w:rsid w:val="007B2DFB"/>
    <w:rsid w:val="007B30B2"/>
    <w:rsid w:val="007B3170"/>
    <w:rsid w:val="007B39E2"/>
    <w:rsid w:val="007B44F8"/>
    <w:rsid w:val="007B4C6F"/>
    <w:rsid w:val="007B79CD"/>
    <w:rsid w:val="007B7EFE"/>
    <w:rsid w:val="007C11D4"/>
    <w:rsid w:val="007C202C"/>
    <w:rsid w:val="007C4525"/>
    <w:rsid w:val="007C77BF"/>
    <w:rsid w:val="007C7C80"/>
    <w:rsid w:val="007D3834"/>
    <w:rsid w:val="007D52CD"/>
    <w:rsid w:val="007D562C"/>
    <w:rsid w:val="007D6783"/>
    <w:rsid w:val="007E0A95"/>
    <w:rsid w:val="007E0B23"/>
    <w:rsid w:val="007E4068"/>
    <w:rsid w:val="007E6EA4"/>
    <w:rsid w:val="007E6FEE"/>
    <w:rsid w:val="007E7121"/>
    <w:rsid w:val="007E7DA0"/>
    <w:rsid w:val="007F363D"/>
    <w:rsid w:val="007F3C09"/>
    <w:rsid w:val="007F42AE"/>
    <w:rsid w:val="007F527B"/>
    <w:rsid w:val="007F6C83"/>
    <w:rsid w:val="007F728D"/>
    <w:rsid w:val="007F7307"/>
    <w:rsid w:val="007F7C67"/>
    <w:rsid w:val="008033BA"/>
    <w:rsid w:val="00811AEE"/>
    <w:rsid w:val="00812DD6"/>
    <w:rsid w:val="008139F5"/>
    <w:rsid w:val="00814A14"/>
    <w:rsid w:val="00814FFC"/>
    <w:rsid w:val="008155BD"/>
    <w:rsid w:val="008230E8"/>
    <w:rsid w:val="00825A60"/>
    <w:rsid w:val="00827C24"/>
    <w:rsid w:val="00827D04"/>
    <w:rsid w:val="00830600"/>
    <w:rsid w:val="00834494"/>
    <w:rsid w:val="00834C4E"/>
    <w:rsid w:val="00834F43"/>
    <w:rsid w:val="0083578E"/>
    <w:rsid w:val="00837CA5"/>
    <w:rsid w:val="0084010B"/>
    <w:rsid w:val="00842E5C"/>
    <w:rsid w:val="008439C5"/>
    <w:rsid w:val="00843B2D"/>
    <w:rsid w:val="00844D3C"/>
    <w:rsid w:val="00847EAB"/>
    <w:rsid w:val="00851564"/>
    <w:rsid w:val="0085356C"/>
    <w:rsid w:val="00857D1F"/>
    <w:rsid w:val="00857D28"/>
    <w:rsid w:val="008617A7"/>
    <w:rsid w:val="0086605D"/>
    <w:rsid w:val="00870971"/>
    <w:rsid w:val="008723BF"/>
    <w:rsid w:val="00873EE7"/>
    <w:rsid w:val="00874F52"/>
    <w:rsid w:val="0087638F"/>
    <w:rsid w:val="0087740E"/>
    <w:rsid w:val="008809C6"/>
    <w:rsid w:val="00880FD0"/>
    <w:rsid w:val="0088348D"/>
    <w:rsid w:val="008855D0"/>
    <w:rsid w:val="00886330"/>
    <w:rsid w:val="0088681E"/>
    <w:rsid w:val="008868B7"/>
    <w:rsid w:val="0089039B"/>
    <w:rsid w:val="0089241B"/>
    <w:rsid w:val="008964D8"/>
    <w:rsid w:val="0089750B"/>
    <w:rsid w:val="00897534"/>
    <w:rsid w:val="008A04F3"/>
    <w:rsid w:val="008A2B26"/>
    <w:rsid w:val="008A3680"/>
    <w:rsid w:val="008A4581"/>
    <w:rsid w:val="008A6BAD"/>
    <w:rsid w:val="008A7DCF"/>
    <w:rsid w:val="008B13D3"/>
    <w:rsid w:val="008B1DFF"/>
    <w:rsid w:val="008B1EB3"/>
    <w:rsid w:val="008B3205"/>
    <w:rsid w:val="008B51C7"/>
    <w:rsid w:val="008C02D6"/>
    <w:rsid w:val="008C343B"/>
    <w:rsid w:val="008C47E4"/>
    <w:rsid w:val="008C7152"/>
    <w:rsid w:val="008D0F0F"/>
    <w:rsid w:val="008D264D"/>
    <w:rsid w:val="008D29C3"/>
    <w:rsid w:val="008D29DF"/>
    <w:rsid w:val="008D4177"/>
    <w:rsid w:val="008D6EF1"/>
    <w:rsid w:val="008E2D61"/>
    <w:rsid w:val="008E5A44"/>
    <w:rsid w:val="008E6A79"/>
    <w:rsid w:val="008E709C"/>
    <w:rsid w:val="008F0614"/>
    <w:rsid w:val="008F0AD2"/>
    <w:rsid w:val="008F351D"/>
    <w:rsid w:val="008F39A2"/>
    <w:rsid w:val="008F4964"/>
    <w:rsid w:val="008F5AD1"/>
    <w:rsid w:val="008F78EB"/>
    <w:rsid w:val="00904363"/>
    <w:rsid w:val="009059C0"/>
    <w:rsid w:val="009069EF"/>
    <w:rsid w:val="00906AC4"/>
    <w:rsid w:val="00915ADA"/>
    <w:rsid w:val="00916148"/>
    <w:rsid w:val="00916DCE"/>
    <w:rsid w:val="00924DBF"/>
    <w:rsid w:val="009269DA"/>
    <w:rsid w:val="00933EE6"/>
    <w:rsid w:val="00935050"/>
    <w:rsid w:val="0093572E"/>
    <w:rsid w:val="0094095C"/>
    <w:rsid w:val="00941414"/>
    <w:rsid w:val="00941D5D"/>
    <w:rsid w:val="00942B6D"/>
    <w:rsid w:val="0094347C"/>
    <w:rsid w:val="0094501A"/>
    <w:rsid w:val="00945470"/>
    <w:rsid w:val="00945BD9"/>
    <w:rsid w:val="00947B90"/>
    <w:rsid w:val="00950CA5"/>
    <w:rsid w:val="00951053"/>
    <w:rsid w:val="00954CA4"/>
    <w:rsid w:val="009552FF"/>
    <w:rsid w:val="00961CC4"/>
    <w:rsid w:val="009621A7"/>
    <w:rsid w:val="009621B1"/>
    <w:rsid w:val="00964C90"/>
    <w:rsid w:val="00965138"/>
    <w:rsid w:val="009661C2"/>
    <w:rsid w:val="0097078D"/>
    <w:rsid w:val="009747D5"/>
    <w:rsid w:val="00974C3C"/>
    <w:rsid w:val="00975733"/>
    <w:rsid w:val="00975812"/>
    <w:rsid w:val="00976A16"/>
    <w:rsid w:val="009808E7"/>
    <w:rsid w:val="009819E8"/>
    <w:rsid w:val="00981E4E"/>
    <w:rsid w:val="00982105"/>
    <w:rsid w:val="00984869"/>
    <w:rsid w:val="009864BE"/>
    <w:rsid w:val="0098792D"/>
    <w:rsid w:val="00987B0B"/>
    <w:rsid w:val="00987F7B"/>
    <w:rsid w:val="00992F93"/>
    <w:rsid w:val="0099347D"/>
    <w:rsid w:val="009956BE"/>
    <w:rsid w:val="00996ED9"/>
    <w:rsid w:val="009970C7"/>
    <w:rsid w:val="00997B25"/>
    <w:rsid w:val="009A1089"/>
    <w:rsid w:val="009A4D8A"/>
    <w:rsid w:val="009A594B"/>
    <w:rsid w:val="009A6A2D"/>
    <w:rsid w:val="009A7506"/>
    <w:rsid w:val="009B01AD"/>
    <w:rsid w:val="009B0A68"/>
    <w:rsid w:val="009B1E7F"/>
    <w:rsid w:val="009B3ABD"/>
    <w:rsid w:val="009B48FA"/>
    <w:rsid w:val="009B7462"/>
    <w:rsid w:val="009C0F45"/>
    <w:rsid w:val="009C0FC1"/>
    <w:rsid w:val="009C2ACC"/>
    <w:rsid w:val="009C53FF"/>
    <w:rsid w:val="009C6D9F"/>
    <w:rsid w:val="009C6E6A"/>
    <w:rsid w:val="009D0DA1"/>
    <w:rsid w:val="009E06E4"/>
    <w:rsid w:val="009E070A"/>
    <w:rsid w:val="009E3265"/>
    <w:rsid w:val="009E4EFE"/>
    <w:rsid w:val="009E5507"/>
    <w:rsid w:val="009F41C1"/>
    <w:rsid w:val="009F5972"/>
    <w:rsid w:val="00A000EA"/>
    <w:rsid w:val="00A02A00"/>
    <w:rsid w:val="00A02D3B"/>
    <w:rsid w:val="00A03B72"/>
    <w:rsid w:val="00A047A9"/>
    <w:rsid w:val="00A10B24"/>
    <w:rsid w:val="00A122ED"/>
    <w:rsid w:val="00A16598"/>
    <w:rsid w:val="00A16F7A"/>
    <w:rsid w:val="00A20F89"/>
    <w:rsid w:val="00A2738B"/>
    <w:rsid w:val="00A30238"/>
    <w:rsid w:val="00A30FD1"/>
    <w:rsid w:val="00A319BD"/>
    <w:rsid w:val="00A33059"/>
    <w:rsid w:val="00A4039D"/>
    <w:rsid w:val="00A40825"/>
    <w:rsid w:val="00A416BE"/>
    <w:rsid w:val="00A41F6E"/>
    <w:rsid w:val="00A437B6"/>
    <w:rsid w:val="00A47BB0"/>
    <w:rsid w:val="00A47FD3"/>
    <w:rsid w:val="00A5303B"/>
    <w:rsid w:val="00A55A93"/>
    <w:rsid w:val="00A55F35"/>
    <w:rsid w:val="00A566C8"/>
    <w:rsid w:val="00A6184A"/>
    <w:rsid w:val="00A62AAD"/>
    <w:rsid w:val="00A65D2A"/>
    <w:rsid w:val="00A70888"/>
    <w:rsid w:val="00A70CBA"/>
    <w:rsid w:val="00A7286C"/>
    <w:rsid w:val="00A72D78"/>
    <w:rsid w:val="00A72DEF"/>
    <w:rsid w:val="00A72F4F"/>
    <w:rsid w:val="00A73498"/>
    <w:rsid w:val="00A7358D"/>
    <w:rsid w:val="00A75414"/>
    <w:rsid w:val="00A7670A"/>
    <w:rsid w:val="00A77484"/>
    <w:rsid w:val="00A82145"/>
    <w:rsid w:val="00A82464"/>
    <w:rsid w:val="00A83F5C"/>
    <w:rsid w:val="00A85A0A"/>
    <w:rsid w:val="00A909DA"/>
    <w:rsid w:val="00A90F1D"/>
    <w:rsid w:val="00A91CE4"/>
    <w:rsid w:val="00A93BC2"/>
    <w:rsid w:val="00A953DD"/>
    <w:rsid w:val="00A95C00"/>
    <w:rsid w:val="00A966F6"/>
    <w:rsid w:val="00AA191A"/>
    <w:rsid w:val="00AA23AA"/>
    <w:rsid w:val="00AA5119"/>
    <w:rsid w:val="00AA76BF"/>
    <w:rsid w:val="00AB15DD"/>
    <w:rsid w:val="00AB179B"/>
    <w:rsid w:val="00AB2BB0"/>
    <w:rsid w:val="00AB37FE"/>
    <w:rsid w:val="00AB4E76"/>
    <w:rsid w:val="00AB567E"/>
    <w:rsid w:val="00AB6566"/>
    <w:rsid w:val="00AB69A8"/>
    <w:rsid w:val="00AB74B3"/>
    <w:rsid w:val="00AC01FB"/>
    <w:rsid w:val="00AC100E"/>
    <w:rsid w:val="00AC1917"/>
    <w:rsid w:val="00AC1C79"/>
    <w:rsid w:val="00AC1F9A"/>
    <w:rsid w:val="00AC3157"/>
    <w:rsid w:val="00AC32FD"/>
    <w:rsid w:val="00AC4BD4"/>
    <w:rsid w:val="00AC6B75"/>
    <w:rsid w:val="00AD0BCB"/>
    <w:rsid w:val="00AD29F4"/>
    <w:rsid w:val="00AD5637"/>
    <w:rsid w:val="00AD5832"/>
    <w:rsid w:val="00AE07AC"/>
    <w:rsid w:val="00AE0BEB"/>
    <w:rsid w:val="00AE1C48"/>
    <w:rsid w:val="00AE28F9"/>
    <w:rsid w:val="00AE59F2"/>
    <w:rsid w:val="00AF24A6"/>
    <w:rsid w:val="00AF3575"/>
    <w:rsid w:val="00AF4843"/>
    <w:rsid w:val="00AF6695"/>
    <w:rsid w:val="00AF77AA"/>
    <w:rsid w:val="00B00052"/>
    <w:rsid w:val="00B014C8"/>
    <w:rsid w:val="00B03C3F"/>
    <w:rsid w:val="00B04661"/>
    <w:rsid w:val="00B04C0A"/>
    <w:rsid w:val="00B05DE5"/>
    <w:rsid w:val="00B102D3"/>
    <w:rsid w:val="00B113B1"/>
    <w:rsid w:val="00B12E98"/>
    <w:rsid w:val="00B14B02"/>
    <w:rsid w:val="00B1514C"/>
    <w:rsid w:val="00B22144"/>
    <w:rsid w:val="00B228B8"/>
    <w:rsid w:val="00B30D5B"/>
    <w:rsid w:val="00B3137C"/>
    <w:rsid w:val="00B41381"/>
    <w:rsid w:val="00B42902"/>
    <w:rsid w:val="00B43CEC"/>
    <w:rsid w:val="00B45725"/>
    <w:rsid w:val="00B50277"/>
    <w:rsid w:val="00B50968"/>
    <w:rsid w:val="00B53807"/>
    <w:rsid w:val="00B55D96"/>
    <w:rsid w:val="00B57A10"/>
    <w:rsid w:val="00B57AA6"/>
    <w:rsid w:val="00B643B3"/>
    <w:rsid w:val="00B648F7"/>
    <w:rsid w:val="00B73159"/>
    <w:rsid w:val="00B73B9F"/>
    <w:rsid w:val="00B74580"/>
    <w:rsid w:val="00B77070"/>
    <w:rsid w:val="00B771E1"/>
    <w:rsid w:val="00B77399"/>
    <w:rsid w:val="00B77BD1"/>
    <w:rsid w:val="00B80556"/>
    <w:rsid w:val="00B81340"/>
    <w:rsid w:val="00B817C6"/>
    <w:rsid w:val="00B854D8"/>
    <w:rsid w:val="00B860E4"/>
    <w:rsid w:val="00B872FB"/>
    <w:rsid w:val="00B90EFA"/>
    <w:rsid w:val="00B917CC"/>
    <w:rsid w:val="00B930F6"/>
    <w:rsid w:val="00B9424E"/>
    <w:rsid w:val="00B94297"/>
    <w:rsid w:val="00B943AB"/>
    <w:rsid w:val="00B94ED7"/>
    <w:rsid w:val="00B95539"/>
    <w:rsid w:val="00BA192B"/>
    <w:rsid w:val="00BA1C7D"/>
    <w:rsid w:val="00BA247E"/>
    <w:rsid w:val="00BA3B75"/>
    <w:rsid w:val="00BA4735"/>
    <w:rsid w:val="00BA74D0"/>
    <w:rsid w:val="00BB244A"/>
    <w:rsid w:val="00BB26E8"/>
    <w:rsid w:val="00BB5E79"/>
    <w:rsid w:val="00BC2CAF"/>
    <w:rsid w:val="00BC3BDF"/>
    <w:rsid w:val="00BC4B05"/>
    <w:rsid w:val="00BC5607"/>
    <w:rsid w:val="00BC5DB4"/>
    <w:rsid w:val="00BD034E"/>
    <w:rsid w:val="00BD11AD"/>
    <w:rsid w:val="00BD2747"/>
    <w:rsid w:val="00BD290E"/>
    <w:rsid w:val="00BD3913"/>
    <w:rsid w:val="00BD43AC"/>
    <w:rsid w:val="00BD4815"/>
    <w:rsid w:val="00BD5202"/>
    <w:rsid w:val="00BD5A7B"/>
    <w:rsid w:val="00BD6178"/>
    <w:rsid w:val="00BE0A4B"/>
    <w:rsid w:val="00BE0FA0"/>
    <w:rsid w:val="00BE158B"/>
    <w:rsid w:val="00BE1BE5"/>
    <w:rsid w:val="00BE352B"/>
    <w:rsid w:val="00BE4725"/>
    <w:rsid w:val="00BE4B49"/>
    <w:rsid w:val="00BE6E84"/>
    <w:rsid w:val="00BF1AC6"/>
    <w:rsid w:val="00BF5790"/>
    <w:rsid w:val="00BF68B2"/>
    <w:rsid w:val="00C010F4"/>
    <w:rsid w:val="00C07926"/>
    <w:rsid w:val="00C07960"/>
    <w:rsid w:val="00C07D04"/>
    <w:rsid w:val="00C13781"/>
    <w:rsid w:val="00C149FE"/>
    <w:rsid w:val="00C14E99"/>
    <w:rsid w:val="00C157ED"/>
    <w:rsid w:val="00C174E9"/>
    <w:rsid w:val="00C17A9D"/>
    <w:rsid w:val="00C2006A"/>
    <w:rsid w:val="00C217F1"/>
    <w:rsid w:val="00C225EC"/>
    <w:rsid w:val="00C23422"/>
    <w:rsid w:val="00C25497"/>
    <w:rsid w:val="00C3046C"/>
    <w:rsid w:val="00C33A05"/>
    <w:rsid w:val="00C355F3"/>
    <w:rsid w:val="00C36D27"/>
    <w:rsid w:val="00C42B1F"/>
    <w:rsid w:val="00C44FCA"/>
    <w:rsid w:val="00C45782"/>
    <w:rsid w:val="00C50BA2"/>
    <w:rsid w:val="00C51786"/>
    <w:rsid w:val="00C5469C"/>
    <w:rsid w:val="00C548D8"/>
    <w:rsid w:val="00C5496A"/>
    <w:rsid w:val="00C55B49"/>
    <w:rsid w:val="00C56313"/>
    <w:rsid w:val="00C56746"/>
    <w:rsid w:val="00C61A2B"/>
    <w:rsid w:val="00C61F8E"/>
    <w:rsid w:val="00C63578"/>
    <w:rsid w:val="00C67311"/>
    <w:rsid w:val="00C701A3"/>
    <w:rsid w:val="00C76546"/>
    <w:rsid w:val="00C768DA"/>
    <w:rsid w:val="00C80BD4"/>
    <w:rsid w:val="00C81D79"/>
    <w:rsid w:val="00C81EA2"/>
    <w:rsid w:val="00C8338D"/>
    <w:rsid w:val="00C835C5"/>
    <w:rsid w:val="00C846DD"/>
    <w:rsid w:val="00C850EB"/>
    <w:rsid w:val="00C865A8"/>
    <w:rsid w:val="00C904C0"/>
    <w:rsid w:val="00C9294D"/>
    <w:rsid w:val="00C93770"/>
    <w:rsid w:val="00C964D1"/>
    <w:rsid w:val="00C96A3B"/>
    <w:rsid w:val="00C9759D"/>
    <w:rsid w:val="00CA10A1"/>
    <w:rsid w:val="00CA1EA3"/>
    <w:rsid w:val="00CA2372"/>
    <w:rsid w:val="00CA2EAF"/>
    <w:rsid w:val="00CA5487"/>
    <w:rsid w:val="00CB06CC"/>
    <w:rsid w:val="00CB0B35"/>
    <w:rsid w:val="00CB1239"/>
    <w:rsid w:val="00CB229E"/>
    <w:rsid w:val="00CB26B9"/>
    <w:rsid w:val="00CB3690"/>
    <w:rsid w:val="00CB48A0"/>
    <w:rsid w:val="00CB63C0"/>
    <w:rsid w:val="00CB74DF"/>
    <w:rsid w:val="00CC3165"/>
    <w:rsid w:val="00CC4B18"/>
    <w:rsid w:val="00CC6B1D"/>
    <w:rsid w:val="00CD1024"/>
    <w:rsid w:val="00CD2381"/>
    <w:rsid w:val="00CD31B8"/>
    <w:rsid w:val="00CD5731"/>
    <w:rsid w:val="00CD6D8A"/>
    <w:rsid w:val="00CE0976"/>
    <w:rsid w:val="00CE6BBE"/>
    <w:rsid w:val="00CF0DD8"/>
    <w:rsid w:val="00CF14EC"/>
    <w:rsid w:val="00CF209E"/>
    <w:rsid w:val="00CF49A5"/>
    <w:rsid w:val="00CF5407"/>
    <w:rsid w:val="00CF65D0"/>
    <w:rsid w:val="00CF69D7"/>
    <w:rsid w:val="00D001AD"/>
    <w:rsid w:val="00D00784"/>
    <w:rsid w:val="00D01385"/>
    <w:rsid w:val="00D0208D"/>
    <w:rsid w:val="00D024B1"/>
    <w:rsid w:val="00D060B2"/>
    <w:rsid w:val="00D064DF"/>
    <w:rsid w:val="00D12EAC"/>
    <w:rsid w:val="00D144F9"/>
    <w:rsid w:val="00D15231"/>
    <w:rsid w:val="00D15A64"/>
    <w:rsid w:val="00D15D46"/>
    <w:rsid w:val="00D16150"/>
    <w:rsid w:val="00D20765"/>
    <w:rsid w:val="00D21A60"/>
    <w:rsid w:val="00D2326D"/>
    <w:rsid w:val="00D2402C"/>
    <w:rsid w:val="00D30D4A"/>
    <w:rsid w:val="00D4065D"/>
    <w:rsid w:val="00D4294E"/>
    <w:rsid w:val="00D46F89"/>
    <w:rsid w:val="00D517FB"/>
    <w:rsid w:val="00D52C3B"/>
    <w:rsid w:val="00D54BC6"/>
    <w:rsid w:val="00D54D67"/>
    <w:rsid w:val="00D557E9"/>
    <w:rsid w:val="00D55DDA"/>
    <w:rsid w:val="00D55DDE"/>
    <w:rsid w:val="00D5602C"/>
    <w:rsid w:val="00D57D17"/>
    <w:rsid w:val="00D6069E"/>
    <w:rsid w:val="00D60CB8"/>
    <w:rsid w:val="00D6148F"/>
    <w:rsid w:val="00D61C1C"/>
    <w:rsid w:val="00D61C42"/>
    <w:rsid w:val="00D62475"/>
    <w:rsid w:val="00D66CBA"/>
    <w:rsid w:val="00D72DDF"/>
    <w:rsid w:val="00D73609"/>
    <w:rsid w:val="00D74932"/>
    <w:rsid w:val="00D7543E"/>
    <w:rsid w:val="00D77CF6"/>
    <w:rsid w:val="00D83564"/>
    <w:rsid w:val="00D86562"/>
    <w:rsid w:val="00D8760C"/>
    <w:rsid w:val="00D920E1"/>
    <w:rsid w:val="00D933A3"/>
    <w:rsid w:val="00D938C0"/>
    <w:rsid w:val="00DA04C9"/>
    <w:rsid w:val="00DA577E"/>
    <w:rsid w:val="00DB0F88"/>
    <w:rsid w:val="00DB12E9"/>
    <w:rsid w:val="00DB1EB4"/>
    <w:rsid w:val="00DB1EFF"/>
    <w:rsid w:val="00DB48CA"/>
    <w:rsid w:val="00DB5B52"/>
    <w:rsid w:val="00DC0779"/>
    <w:rsid w:val="00DC331B"/>
    <w:rsid w:val="00DC5749"/>
    <w:rsid w:val="00DC5F43"/>
    <w:rsid w:val="00DC688D"/>
    <w:rsid w:val="00DC6C3F"/>
    <w:rsid w:val="00DC7818"/>
    <w:rsid w:val="00DD0345"/>
    <w:rsid w:val="00DD44D7"/>
    <w:rsid w:val="00DD52A5"/>
    <w:rsid w:val="00DD7675"/>
    <w:rsid w:val="00DE7878"/>
    <w:rsid w:val="00DF6259"/>
    <w:rsid w:val="00DF7302"/>
    <w:rsid w:val="00DF7D59"/>
    <w:rsid w:val="00E00406"/>
    <w:rsid w:val="00E03D91"/>
    <w:rsid w:val="00E046BA"/>
    <w:rsid w:val="00E05A7C"/>
    <w:rsid w:val="00E05C0B"/>
    <w:rsid w:val="00E063EB"/>
    <w:rsid w:val="00E065AB"/>
    <w:rsid w:val="00E06A89"/>
    <w:rsid w:val="00E0720A"/>
    <w:rsid w:val="00E11631"/>
    <w:rsid w:val="00E122BC"/>
    <w:rsid w:val="00E15D11"/>
    <w:rsid w:val="00E16AD8"/>
    <w:rsid w:val="00E23161"/>
    <w:rsid w:val="00E239BC"/>
    <w:rsid w:val="00E23FF7"/>
    <w:rsid w:val="00E24AA3"/>
    <w:rsid w:val="00E30124"/>
    <w:rsid w:val="00E31A41"/>
    <w:rsid w:val="00E3303E"/>
    <w:rsid w:val="00E34348"/>
    <w:rsid w:val="00E3459A"/>
    <w:rsid w:val="00E36A1C"/>
    <w:rsid w:val="00E36F1E"/>
    <w:rsid w:val="00E4023A"/>
    <w:rsid w:val="00E411C3"/>
    <w:rsid w:val="00E42F7B"/>
    <w:rsid w:val="00E46CED"/>
    <w:rsid w:val="00E50681"/>
    <w:rsid w:val="00E51DBB"/>
    <w:rsid w:val="00E54C13"/>
    <w:rsid w:val="00E55D16"/>
    <w:rsid w:val="00E5741D"/>
    <w:rsid w:val="00E61933"/>
    <w:rsid w:val="00E6303C"/>
    <w:rsid w:val="00E64964"/>
    <w:rsid w:val="00E6599A"/>
    <w:rsid w:val="00E67890"/>
    <w:rsid w:val="00E713E4"/>
    <w:rsid w:val="00E71C24"/>
    <w:rsid w:val="00E71EA3"/>
    <w:rsid w:val="00E7400E"/>
    <w:rsid w:val="00E77D4E"/>
    <w:rsid w:val="00E77F69"/>
    <w:rsid w:val="00E80BB7"/>
    <w:rsid w:val="00E80C74"/>
    <w:rsid w:val="00E812C2"/>
    <w:rsid w:val="00E82F52"/>
    <w:rsid w:val="00E83A29"/>
    <w:rsid w:val="00E878C4"/>
    <w:rsid w:val="00E87DBB"/>
    <w:rsid w:val="00E90AA9"/>
    <w:rsid w:val="00E95334"/>
    <w:rsid w:val="00E96DDF"/>
    <w:rsid w:val="00E976C6"/>
    <w:rsid w:val="00E97995"/>
    <w:rsid w:val="00E97D92"/>
    <w:rsid w:val="00EA003C"/>
    <w:rsid w:val="00EA08CF"/>
    <w:rsid w:val="00EA093A"/>
    <w:rsid w:val="00EA1C9A"/>
    <w:rsid w:val="00EA3AE7"/>
    <w:rsid w:val="00EA481C"/>
    <w:rsid w:val="00EA4C21"/>
    <w:rsid w:val="00EA5DB4"/>
    <w:rsid w:val="00EA6188"/>
    <w:rsid w:val="00EA6AC0"/>
    <w:rsid w:val="00EB0BCB"/>
    <w:rsid w:val="00EB312A"/>
    <w:rsid w:val="00EB43B1"/>
    <w:rsid w:val="00EB4AD1"/>
    <w:rsid w:val="00EB4C17"/>
    <w:rsid w:val="00EB559B"/>
    <w:rsid w:val="00EC1C34"/>
    <w:rsid w:val="00EC3CDE"/>
    <w:rsid w:val="00EC48B8"/>
    <w:rsid w:val="00ED346A"/>
    <w:rsid w:val="00ED7A06"/>
    <w:rsid w:val="00ED7ADC"/>
    <w:rsid w:val="00EE051B"/>
    <w:rsid w:val="00EE073D"/>
    <w:rsid w:val="00EE44A8"/>
    <w:rsid w:val="00EE5167"/>
    <w:rsid w:val="00EE5B62"/>
    <w:rsid w:val="00EE6DB3"/>
    <w:rsid w:val="00EE7106"/>
    <w:rsid w:val="00EF0A78"/>
    <w:rsid w:val="00EF56F6"/>
    <w:rsid w:val="00EF6CC4"/>
    <w:rsid w:val="00EF75AC"/>
    <w:rsid w:val="00EF7E4B"/>
    <w:rsid w:val="00EF7FF2"/>
    <w:rsid w:val="00F00BFC"/>
    <w:rsid w:val="00F01890"/>
    <w:rsid w:val="00F033F8"/>
    <w:rsid w:val="00F03712"/>
    <w:rsid w:val="00F03A22"/>
    <w:rsid w:val="00F03E93"/>
    <w:rsid w:val="00F06050"/>
    <w:rsid w:val="00F06052"/>
    <w:rsid w:val="00F07015"/>
    <w:rsid w:val="00F071BE"/>
    <w:rsid w:val="00F11523"/>
    <w:rsid w:val="00F126D2"/>
    <w:rsid w:val="00F12DC5"/>
    <w:rsid w:val="00F135D0"/>
    <w:rsid w:val="00F13A0D"/>
    <w:rsid w:val="00F1456F"/>
    <w:rsid w:val="00F16DC9"/>
    <w:rsid w:val="00F173F8"/>
    <w:rsid w:val="00F17647"/>
    <w:rsid w:val="00F206C5"/>
    <w:rsid w:val="00F233E7"/>
    <w:rsid w:val="00F26658"/>
    <w:rsid w:val="00F31EB0"/>
    <w:rsid w:val="00F3390D"/>
    <w:rsid w:val="00F34D0B"/>
    <w:rsid w:val="00F366D2"/>
    <w:rsid w:val="00F37144"/>
    <w:rsid w:val="00F40243"/>
    <w:rsid w:val="00F40884"/>
    <w:rsid w:val="00F4457E"/>
    <w:rsid w:val="00F46C29"/>
    <w:rsid w:val="00F46FF1"/>
    <w:rsid w:val="00F476FA"/>
    <w:rsid w:val="00F47AEE"/>
    <w:rsid w:val="00F531EB"/>
    <w:rsid w:val="00F54E03"/>
    <w:rsid w:val="00F55CAD"/>
    <w:rsid w:val="00F60814"/>
    <w:rsid w:val="00F6418B"/>
    <w:rsid w:val="00F64D0B"/>
    <w:rsid w:val="00F6627D"/>
    <w:rsid w:val="00F66DFC"/>
    <w:rsid w:val="00F71852"/>
    <w:rsid w:val="00F733E4"/>
    <w:rsid w:val="00F74496"/>
    <w:rsid w:val="00F7539D"/>
    <w:rsid w:val="00F804A4"/>
    <w:rsid w:val="00F81590"/>
    <w:rsid w:val="00F8329A"/>
    <w:rsid w:val="00F839CD"/>
    <w:rsid w:val="00F8754C"/>
    <w:rsid w:val="00F8761C"/>
    <w:rsid w:val="00F87686"/>
    <w:rsid w:val="00F8781D"/>
    <w:rsid w:val="00F9044E"/>
    <w:rsid w:val="00F9060F"/>
    <w:rsid w:val="00F92B65"/>
    <w:rsid w:val="00F92CBE"/>
    <w:rsid w:val="00F94D5B"/>
    <w:rsid w:val="00F96983"/>
    <w:rsid w:val="00F97D59"/>
    <w:rsid w:val="00FA0083"/>
    <w:rsid w:val="00FA1234"/>
    <w:rsid w:val="00FA1586"/>
    <w:rsid w:val="00FA3C26"/>
    <w:rsid w:val="00FA410A"/>
    <w:rsid w:val="00FA459F"/>
    <w:rsid w:val="00FA6909"/>
    <w:rsid w:val="00FA6935"/>
    <w:rsid w:val="00FA75D8"/>
    <w:rsid w:val="00FA79D8"/>
    <w:rsid w:val="00FB049E"/>
    <w:rsid w:val="00FB1A1C"/>
    <w:rsid w:val="00FB6CC1"/>
    <w:rsid w:val="00FC1FF7"/>
    <w:rsid w:val="00FC2B99"/>
    <w:rsid w:val="00FC339B"/>
    <w:rsid w:val="00FC48A0"/>
    <w:rsid w:val="00FC5DDF"/>
    <w:rsid w:val="00FC7220"/>
    <w:rsid w:val="00FC75FD"/>
    <w:rsid w:val="00FD1DF1"/>
    <w:rsid w:val="00FD3262"/>
    <w:rsid w:val="00FD46D8"/>
    <w:rsid w:val="00FE04FF"/>
    <w:rsid w:val="00FE0D48"/>
    <w:rsid w:val="00FE2E30"/>
    <w:rsid w:val="00FE6D87"/>
    <w:rsid w:val="00FE7671"/>
    <w:rsid w:val="00FE77CF"/>
    <w:rsid w:val="00FF257C"/>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Footnote Text Char Char2,Footnote Text Char2 Char3 Char1,Footnote Text Char Char6 Char Char1,Footnote Text Char6 Char Char Char Char1,Footnote Text Char Char6 Char Char1 Char1 Char1"/>
    <w:basedOn w:val="Normal"/>
    <w:link w:val="FootnoteTextChar"/>
    <w:uiPriority w:val="99"/>
    <w:rsid w:val="00296D88"/>
    <w:pPr>
      <w:widowControl w:val="0"/>
    </w:pPr>
    <w:rPr>
      <w:rFonts w:ascii="Times New Roman" w:hAnsi="Times New Roman"/>
      <w:sz w:val="20"/>
    </w:rPr>
  </w:style>
  <w:style w:type="character" w:customStyle="1" w:styleId="FootnoteTextChar">
    <w:name w:val="Footnote Text Char"/>
    <w:aliases w:val="Footnote Text Char2 Char,Footnote Text Char Char2 Char,Footnote Text Char2 Char3 Char1 Char,Footnote Text Char Char6 Char Char1 Char,Footnote Text Char6 Char Char Char Char1 Char,Footnote Text Char Char6 Char Char1 Char1 Char1 Char"/>
    <w:basedOn w:val="DefaultParagraphFont"/>
    <w:link w:val="FootnoteText"/>
    <w:uiPriority w:val="99"/>
    <w:semiHidden/>
    <w:rsid w:val="002D671A"/>
    <w:rPr>
      <w:rFonts w:ascii="Arial" w:hAnsi="Arial"/>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paragraph" w:customStyle="1" w:styleId="Paranum0">
    <w:name w:val="Paranum"/>
    <w:basedOn w:val="Normal"/>
    <w:autoRedefine/>
    <w:uiPriority w:val="99"/>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uiPriority w:val="99"/>
    <w:semiHidden/>
    <w:locked/>
    <w:rsid w:val="001C3090"/>
    <w:rPr>
      <w:rFonts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uiPriority w:val="99"/>
    <w:rsid w:val="00296D88"/>
    <w:rPr>
      <w:rFonts w:ascii="Times New Roman" w:hAnsi="Times New Roman" w:cs="Times New Roman"/>
      <w:spacing w:val="-2"/>
      <w:sz w:val="22"/>
      <w:vertAlign w:val="superscript"/>
    </w:rPr>
  </w:style>
  <w:style w:type="paragraph" w:styleId="FootnoteText">
    <w:name w:val="footnote text"/>
    <w:aliases w:val="Footnote Text Char2,Footnote Text Char Char2,Footnote Text Char2 Char3 Char1,Footnote Text Char Char6 Char Char1,Footnote Text Char6 Char Char Char Char1,Footnote Text Char Char6 Char Char1 Char1 Char1"/>
    <w:basedOn w:val="Normal"/>
    <w:link w:val="FootnoteTextChar"/>
    <w:uiPriority w:val="99"/>
    <w:rsid w:val="00296D88"/>
    <w:pPr>
      <w:widowControl w:val="0"/>
    </w:pPr>
    <w:rPr>
      <w:rFonts w:ascii="Times New Roman" w:hAnsi="Times New Roman"/>
      <w:sz w:val="20"/>
    </w:rPr>
  </w:style>
  <w:style w:type="character" w:customStyle="1" w:styleId="FootnoteTextChar">
    <w:name w:val="Footnote Text Char"/>
    <w:aliases w:val="Footnote Text Char2 Char,Footnote Text Char Char2 Char,Footnote Text Char2 Char3 Char1 Char,Footnote Text Char Char6 Char Char1 Char,Footnote Text Char6 Char Char Char Char1 Char,Footnote Text Char Char6 Char Char1 Char1 Char1 Char"/>
    <w:basedOn w:val="DefaultParagraphFont"/>
    <w:link w:val="FootnoteText"/>
    <w:uiPriority w:val="99"/>
    <w:semiHidden/>
    <w:rsid w:val="002D671A"/>
    <w:rPr>
      <w:rFonts w:ascii="Arial" w:hAnsi="Arial"/>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paragraph" w:customStyle="1" w:styleId="Paranum0">
    <w:name w:val="Paranum"/>
    <w:basedOn w:val="Normal"/>
    <w:autoRedefine/>
    <w:uiPriority w:val="99"/>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uiPriority w:val="99"/>
    <w:semiHidden/>
    <w:locked/>
    <w:rsid w:val="001C3090"/>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205">
      <w:bodyDiv w:val="1"/>
      <w:marLeft w:val="0"/>
      <w:marRight w:val="0"/>
      <w:marTop w:val="0"/>
      <w:marBottom w:val="0"/>
      <w:divBdr>
        <w:top w:val="none" w:sz="0" w:space="0" w:color="auto"/>
        <w:left w:val="none" w:sz="0" w:space="0" w:color="auto"/>
        <w:bottom w:val="none" w:sz="0" w:space="0" w:color="auto"/>
        <w:right w:val="none" w:sz="0" w:space="0" w:color="auto"/>
      </w:divBdr>
    </w:div>
    <w:div w:id="393049248">
      <w:marLeft w:val="0"/>
      <w:marRight w:val="0"/>
      <w:marTop w:val="0"/>
      <w:marBottom w:val="0"/>
      <w:divBdr>
        <w:top w:val="none" w:sz="0" w:space="0" w:color="auto"/>
        <w:left w:val="none" w:sz="0" w:space="0" w:color="auto"/>
        <w:bottom w:val="none" w:sz="0" w:space="0" w:color="auto"/>
        <w:right w:val="none" w:sz="0" w:space="0" w:color="auto"/>
      </w:divBdr>
    </w:div>
    <w:div w:id="393049249">
      <w:marLeft w:val="0"/>
      <w:marRight w:val="0"/>
      <w:marTop w:val="0"/>
      <w:marBottom w:val="0"/>
      <w:divBdr>
        <w:top w:val="none" w:sz="0" w:space="0" w:color="auto"/>
        <w:left w:val="none" w:sz="0" w:space="0" w:color="auto"/>
        <w:bottom w:val="none" w:sz="0" w:space="0" w:color="auto"/>
        <w:right w:val="none" w:sz="0" w:space="0" w:color="auto"/>
      </w:divBdr>
    </w:div>
    <w:div w:id="393049250">
      <w:marLeft w:val="0"/>
      <w:marRight w:val="0"/>
      <w:marTop w:val="0"/>
      <w:marBottom w:val="0"/>
      <w:divBdr>
        <w:top w:val="none" w:sz="0" w:space="0" w:color="auto"/>
        <w:left w:val="none" w:sz="0" w:space="0" w:color="auto"/>
        <w:bottom w:val="none" w:sz="0" w:space="0" w:color="auto"/>
        <w:right w:val="none" w:sz="0" w:space="0" w:color="auto"/>
      </w:divBdr>
    </w:div>
    <w:div w:id="393049251">
      <w:marLeft w:val="0"/>
      <w:marRight w:val="0"/>
      <w:marTop w:val="0"/>
      <w:marBottom w:val="0"/>
      <w:divBdr>
        <w:top w:val="none" w:sz="0" w:space="0" w:color="auto"/>
        <w:left w:val="none" w:sz="0" w:space="0" w:color="auto"/>
        <w:bottom w:val="none" w:sz="0" w:space="0" w:color="auto"/>
        <w:right w:val="none" w:sz="0" w:space="0" w:color="auto"/>
      </w:divBdr>
      <w:divsChild>
        <w:div w:id="393049256">
          <w:marLeft w:val="720"/>
          <w:marRight w:val="720"/>
          <w:marTop w:val="100"/>
          <w:marBottom w:val="100"/>
          <w:divBdr>
            <w:top w:val="none" w:sz="0" w:space="0" w:color="auto"/>
            <w:left w:val="none" w:sz="0" w:space="0" w:color="auto"/>
            <w:bottom w:val="none" w:sz="0" w:space="0" w:color="auto"/>
            <w:right w:val="none" w:sz="0" w:space="0" w:color="auto"/>
          </w:divBdr>
        </w:div>
      </w:divsChild>
    </w:div>
    <w:div w:id="393049257">
      <w:marLeft w:val="0"/>
      <w:marRight w:val="0"/>
      <w:marTop w:val="0"/>
      <w:marBottom w:val="0"/>
      <w:divBdr>
        <w:top w:val="none" w:sz="0" w:space="0" w:color="auto"/>
        <w:left w:val="none" w:sz="0" w:space="0" w:color="auto"/>
        <w:bottom w:val="none" w:sz="0" w:space="0" w:color="auto"/>
        <w:right w:val="none" w:sz="0" w:space="0" w:color="auto"/>
      </w:divBdr>
      <w:divsChild>
        <w:div w:id="393049254">
          <w:marLeft w:val="0"/>
          <w:marRight w:val="0"/>
          <w:marTop w:val="0"/>
          <w:marBottom w:val="0"/>
          <w:divBdr>
            <w:top w:val="none" w:sz="0" w:space="0" w:color="auto"/>
            <w:left w:val="none" w:sz="0" w:space="0" w:color="auto"/>
            <w:bottom w:val="none" w:sz="0" w:space="0" w:color="auto"/>
            <w:right w:val="none" w:sz="0" w:space="0" w:color="auto"/>
          </w:divBdr>
          <w:divsChild>
            <w:div w:id="393049261">
              <w:marLeft w:val="0"/>
              <w:marRight w:val="0"/>
              <w:marTop w:val="0"/>
              <w:marBottom w:val="0"/>
              <w:divBdr>
                <w:top w:val="none" w:sz="0" w:space="0" w:color="auto"/>
                <w:left w:val="none" w:sz="0" w:space="0" w:color="auto"/>
                <w:bottom w:val="none" w:sz="0" w:space="0" w:color="auto"/>
                <w:right w:val="none" w:sz="0" w:space="0" w:color="auto"/>
              </w:divBdr>
              <w:divsChild>
                <w:div w:id="393049258">
                  <w:marLeft w:val="0"/>
                  <w:marRight w:val="0"/>
                  <w:marTop w:val="0"/>
                  <w:marBottom w:val="0"/>
                  <w:divBdr>
                    <w:top w:val="none" w:sz="0" w:space="0" w:color="auto"/>
                    <w:left w:val="none" w:sz="0" w:space="0" w:color="auto"/>
                    <w:bottom w:val="none" w:sz="0" w:space="0" w:color="auto"/>
                    <w:right w:val="none" w:sz="0" w:space="0" w:color="auto"/>
                  </w:divBdr>
                  <w:divsChild>
                    <w:div w:id="393049255">
                      <w:marLeft w:val="0"/>
                      <w:marRight w:val="0"/>
                      <w:marTop w:val="0"/>
                      <w:marBottom w:val="300"/>
                      <w:divBdr>
                        <w:top w:val="none" w:sz="0" w:space="0" w:color="auto"/>
                        <w:left w:val="none" w:sz="0" w:space="0" w:color="auto"/>
                        <w:bottom w:val="none" w:sz="0" w:space="0" w:color="auto"/>
                        <w:right w:val="none" w:sz="0" w:space="0" w:color="auto"/>
                      </w:divBdr>
                      <w:divsChild>
                        <w:div w:id="393049253">
                          <w:marLeft w:val="0"/>
                          <w:marRight w:val="0"/>
                          <w:marTop w:val="0"/>
                          <w:marBottom w:val="0"/>
                          <w:divBdr>
                            <w:top w:val="none" w:sz="0" w:space="0" w:color="auto"/>
                            <w:left w:val="none" w:sz="0" w:space="0" w:color="auto"/>
                            <w:bottom w:val="none" w:sz="0" w:space="0" w:color="auto"/>
                            <w:right w:val="none" w:sz="0" w:space="0" w:color="auto"/>
                          </w:divBdr>
                          <w:divsChild>
                            <w:div w:id="393049252">
                              <w:marLeft w:val="0"/>
                              <w:marRight w:val="0"/>
                              <w:marTop w:val="0"/>
                              <w:marBottom w:val="0"/>
                              <w:divBdr>
                                <w:top w:val="none" w:sz="0" w:space="0" w:color="auto"/>
                                <w:left w:val="none" w:sz="0" w:space="0" w:color="auto"/>
                                <w:bottom w:val="none" w:sz="0" w:space="0" w:color="auto"/>
                                <w:right w:val="none" w:sz="0" w:space="0" w:color="auto"/>
                              </w:divBdr>
                              <w:divsChild>
                                <w:div w:id="393049259">
                                  <w:marLeft w:val="0"/>
                                  <w:marRight w:val="0"/>
                                  <w:marTop w:val="0"/>
                                  <w:marBottom w:val="0"/>
                                  <w:divBdr>
                                    <w:top w:val="none" w:sz="0" w:space="0" w:color="auto"/>
                                    <w:left w:val="none" w:sz="0" w:space="0" w:color="auto"/>
                                    <w:bottom w:val="none" w:sz="0" w:space="0" w:color="auto"/>
                                    <w:right w:val="none" w:sz="0" w:space="0" w:color="auto"/>
                                  </w:divBdr>
                                  <w:divsChild>
                                    <w:div w:id="3930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049262">
      <w:marLeft w:val="0"/>
      <w:marRight w:val="0"/>
      <w:marTop w:val="0"/>
      <w:marBottom w:val="0"/>
      <w:divBdr>
        <w:top w:val="none" w:sz="0" w:space="0" w:color="auto"/>
        <w:left w:val="none" w:sz="0" w:space="0" w:color="auto"/>
        <w:bottom w:val="none" w:sz="0" w:space="0" w:color="auto"/>
        <w:right w:val="none" w:sz="0" w:space="0" w:color="auto"/>
      </w:divBdr>
    </w:div>
    <w:div w:id="393049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almu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7461</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2013-11-30T19:07:00Z</cp:lastPrinted>
  <dcterms:created xsi:type="dcterms:W3CDTF">2013-12-11T17:59:00Z</dcterms:created>
  <dcterms:modified xsi:type="dcterms:W3CDTF">2013-12-11T17:59:00Z</dcterms:modified>
  <cp:category> </cp:category>
  <cp:contentStatus> </cp:contentStatus>
</cp:coreProperties>
</file>