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01F" w:rsidRDefault="00675110">
      <w:pPr>
        <w:pStyle w:val="Title"/>
        <w:rPr>
          <w:sz w:val="24"/>
        </w:rPr>
      </w:pPr>
      <w:bookmarkStart w:id="0" w:name="_GoBack"/>
      <w:bookmarkEnd w:id="0"/>
      <w:r>
        <w:rPr>
          <w:sz w:val="24"/>
        </w:rPr>
        <w:t>Before the</w:t>
      </w:r>
    </w:p>
    <w:p w:rsidR="005F101F" w:rsidRDefault="00675110">
      <w:pPr>
        <w:pStyle w:val="Subtitle"/>
        <w:ind w:firstLine="0"/>
        <w:rPr>
          <w:sz w:val="24"/>
        </w:rPr>
      </w:pPr>
      <w:r>
        <w:rPr>
          <w:sz w:val="24"/>
        </w:rPr>
        <w:t>Federal Communications Commission</w:t>
      </w:r>
    </w:p>
    <w:p w:rsidR="005F101F" w:rsidRDefault="00675110">
      <w:pPr>
        <w:jc w:val="center"/>
        <w:rPr>
          <w:b/>
          <w:sz w:val="24"/>
        </w:rPr>
      </w:pPr>
      <w:r>
        <w:rPr>
          <w:b/>
          <w:sz w:val="24"/>
        </w:rPr>
        <w:t>Washington, D.C. 20554</w:t>
      </w:r>
    </w:p>
    <w:p w:rsidR="005F101F" w:rsidRDefault="005F101F">
      <w:pPr>
        <w:tabs>
          <w:tab w:val="left" w:pos="-720"/>
        </w:tabs>
        <w:suppressAutoHyphens/>
        <w:spacing w:line="227" w:lineRule="auto"/>
        <w:rPr>
          <w:spacing w:val="-2"/>
          <w:sz w:val="24"/>
        </w:rPr>
      </w:pPr>
    </w:p>
    <w:p w:rsidR="005F101F" w:rsidRDefault="005F101F">
      <w:pPr>
        <w:tabs>
          <w:tab w:val="left" w:pos="-720"/>
        </w:tabs>
        <w:suppressAutoHyphens/>
        <w:spacing w:line="227" w:lineRule="auto"/>
        <w:rPr>
          <w:spacing w:val="-2"/>
          <w:sz w:val="24"/>
        </w:rPr>
      </w:pPr>
    </w:p>
    <w:tbl>
      <w:tblPr>
        <w:tblW w:w="0" w:type="auto"/>
        <w:tblLayout w:type="fixed"/>
        <w:tblLook w:val="0000" w:firstRow="0" w:lastRow="0" w:firstColumn="0" w:lastColumn="0" w:noHBand="0" w:noVBand="0"/>
      </w:tblPr>
      <w:tblGrid>
        <w:gridCol w:w="4698"/>
        <w:gridCol w:w="630"/>
        <w:gridCol w:w="4248"/>
      </w:tblGrid>
      <w:tr w:rsidR="005F101F">
        <w:tc>
          <w:tcPr>
            <w:tcW w:w="4698" w:type="dxa"/>
          </w:tcPr>
          <w:p w:rsidR="005F101F" w:rsidRDefault="00675110">
            <w:pPr>
              <w:pStyle w:val="TOAHeading"/>
              <w:tabs>
                <w:tab w:val="clear" w:pos="9360"/>
                <w:tab w:val="center" w:pos="4680"/>
              </w:tabs>
              <w:rPr>
                <w:spacing w:val="-2"/>
                <w:sz w:val="24"/>
              </w:rPr>
            </w:pPr>
            <w:r>
              <w:rPr>
                <w:spacing w:val="-2"/>
                <w:sz w:val="24"/>
              </w:rPr>
              <w:t>In the Matter of</w:t>
            </w:r>
          </w:p>
          <w:p w:rsidR="005F101F" w:rsidRDefault="005F101F">
            <w:pPr>
              <w:tabs>
                <w:tab w:val="center" w:pos="4680"/>
              </w:tabs>
              <w:suppressAutoHyphens/>
              <w:rPr>
                <w:spacing w:val="-2"/>
                <w:sz w:val="24"/>
              </w:rPr>
            </w:pPr>
          </w:p>
          <w:p w:rsidR="005F101F" w:rsidRDefault="00675110">
            <w:pPr>
              <w:tabs>
                <w:tab w:val="center" w:pos="4680"/>
              </w:tabs>
              <w:suppressAutoHyphens/>
              <w:rPr>
                <w:sz w:val="24"/>
              </w:rPr>
            </w:pPr>
            <w:r>
              <w:rPr>
                <w:sz w:val="24"/>
              </w:rPr>
              <w:t xml:space="preserve">Tele Circuit Network Corp </w:t>
            </w:r>
          </w:p>
          <w:p w:rsidR="005F101F" w:rsidRDefault="005F101F">
            <w:pPr>
              <w:tabs>
                <w:tab w:val="center" w:pos="4680"/>
              </w:tabs>
              <w:suppressAutoHyphens/>
              <w:rPr>
                <w:sz w:val="24"/>
              </w:rPr>
            </w:pPr>
          </w:p>
          <w:p w:rsidR="005F101F" w:rsidRDefault="00675110">
            <w:pPr>
              <w:pStyle w:val="TOAHeading"/>
              <w:tabs>
                <w:tab w:val="clear" w:pos="9360"/>
                <w:tab w:val="center" w:pos="4680"/>
              </w:tabs>
              <w:rPr>
                <w:sz w:val="24"/>
              </w:rPr>
            </w:pPr>
            <w:r>
              <w:rPr>
                <w:sz w:val="24"/>
              </w:rPr>
              <w:t xml:space="preserve">Complaint Regarding </w:t>
            </w:r>
          </w:p>
          <w:p w:rsidR="005F101F" w:rsidRDefault="00675110">
            <w:pPr>
              <w:pStyle w:val="TOAHeading"/>
              <w:tabs>
                <w:tab w:val="clear" w:pos="9360"/>
                <w:tab w:val="center" w:pos="4680"/>
              </w:tabs>
              <w:rPr>
                <w:sz w:val="24"/>
              </w:rPr>
            </w:pPr>
            <w:r>
              <w:rPr>
                <w:sz w:val="24"/>
              </w:rPr>
              <w:t>Unauthorized Change of</w:t>
            </w:r>
          </w:p>
          <w:p w:rsidR="005F101F" w:rsidRDefault="00675110">
            <w:pPr>
              <w:pStyle w:val="TOAHeading"/>
              <w:tabs>
                <w:tab w:val="clear" w:pos="9360"/>
                <w:tab w:val="center" w:pos="4680"/>
              </w:tabs>
              <w:rPr>
                <w:sz w:val="24"/>
              </w:rPr>
            </w:pPr>
            <w:r>
              <w:rPr>
                <w:sz w:val="24"/>
              </w:rPr>
              <w:t>Subscriber’s Telecommunications Carrier</w:t>
            </w:r>
          </w:p>
        </w:tc>
        <w:tc>
          <w:tcPr>
            <w:tcW w:w="630" w:type="dxa"/>
          </w:tcPr>
          <w:p w:rsidR="005F101F" w:rsidRDefault="00675110">
            <w:pPr>
              <w:tabs>
                <w:tab w:val="center" w:pos="4680"/>
              </w:tabs>
              <w:suppressAutoHyphens/>
              <w:rPr>
                <w:b/>
                <w:spacing w:val="-2"/>
                <w:sz w:val="24"/>
              </w:rPr>
            </w:pPr>
            <w:r>
              <w:rPr>
                <w:b/>
                <w:spacing w:val="-2"/>
                <w:sz w:val="24"/>
              </w:rPr>
              <w:t>)</w:t>
            </w:r>
          </w:p>
          <w:p w:rsidR="005F101F" w:rsidRDefault="00675110">
            <w:pPr>
              <w:tabs>
                <w:tab w:val="center" w:pos="4680"/>
              </w:tabs>
              <w:suppressAutoHyphens/>
              <w:rPr>
                <w:b/>
                <w:spacing w:val="-2"/>
                <w:sz w:val="24"/>
              </w:rPr>
            </w:pPr>
            <w:r>
              <w:rPr>
                <w:b/>
                <w:spacing w:val="-2"/>
                <w:sz w:val="24"/>
              </w:rPr>
              <w:t>)</w:t>
            </w:r>
          </w:p>
          <w:p w:rsidR="005F101F" w:rsidRDefault="00675110">
            <w:pPr>
              <w:tabs>
                <w:tab w:val="center" w:pos="4680"/>
              </w:tabs>
              <w:suppressAutoHyphens/>
              <w:rPr>
                <w:b/>
                <w:spacing w:val="-2"/>
                <w:sz w:val="24"/>
              </w:rPr>
            </w:pPr>
            <w:r>
              <w:rPr>
                <w:b/>
                <w:spacing w:val="-2"/>
                <w:sz w:val="24"/>
              </w:rPr>
              <w:t>)</w:t>
            </w:r>
          </w:p>
          <w:p w:rsidR="005F101F" w:rsidRDefault="00675110">
            <w:pPr>
              <w:tabs>
                <w:tab w:val="center" w:pos="4680"/>
              </w:tabs>
              <w:suppressAutoHyphens/>
              <w:rPr>
                <w:b/>
                <w:spacing w:val="-2"/>
                <w:sz w:val="24"/>
              </w:rPr>
            </w:pPr>
            <w:r>
              <w:rPr>
                <w:b/>
                <w:spacing w:val="-2"/>
                <w:sz w:val="24"/>
              </w:rPr>
              <w:t>)</w:t>
            </w:r>
          </w:p>
          <w:p w:rsidR="005F101F" w:rsidRDefault="00675110">
            <w:pPr>
              <w:tabs>
                <w:tab w:val="center" w:pos="4680"/>
              </w:tabs>
              <w:suppressAutoHyphens/>
              <w:rPr>
                <w:b/>
                <w:spacing w:val="-2"/>
                <w:sz w:val="24"/>
              </w:rPr>
            </w:pPr>
            <w:r>
              <w:rPr>
                <w:b/>
                <w:spacing w:val="-2"/>
                <w:sz w:val="24"/>
              </w:rPr>
              <w:t>)</w:t>
            </w:r>
          </w:p>
          <w:p w:rsidR="005F101F" w:rsidRDefault="00675110">
            <w:pPr>
              <w:tabs>
                <w:tab w:val="center" w:pos="4680"/>
              </w:tabs>
              <w:suppressAutoHyphens/>
              <w:rPr>
                <w:b/>
                <w:spacing w:val="-2"/>
                <w:sz w:val="24"/>
              </w:rPr>
            </w:pPr>
            <w:r>
              <w:rPr>
                <w:b/>
                <w:spacing w:val="-2"/>
                <w:sz w:val="24"/>
              </w:rPr>
              <w:t>)</w:t>
            </w:r>
          </w:p>
          <w:p w:rsidR="005F101F" w:rsidRDefault="00675110">
            <w:pPr>
              <w:tabs>
                <w:tab w:val="center" w:pos="4680"/>
              </w:tabs>
              <w:suppressAutoHyphens/>
              <w:rPr>
                <w:spacing w:val="-2"/>
                <w:sz w:val="24"/>
              </w:rPr>
            </w:pPr>
            <w:r>
              <w:rPr>
                <w:b/>
                <w:spacing w:val="-2"/>
                <w:sz w:val="24"/>
              </w:rPr>
              <w:t>)</w:t>
            </w:r>
          </w:p>
        </w:tc>
        <w:tc>
          <w:tcPr>
            <w:tcW w:w="4248" w:type="dxa"/>
          </w:tcPr>
          <w:p w:rsidR="005F101F" w:rsidRDefault="005F101F">
            <w:pPr>
              <w:tabs>
                <w:tab w:val="center" w:pos="4680"/>
              </w:tabs>
              <w:suppressAutoHyphens/>
              <w:rPr>
                <w:spacing w:val="-2"/>
                <w:sz w:val="24"/>
              </w:rPr>
            </w:pPr>
          </w:p>
          <w:p w:rsidR="005F101F" w:rsidRDefault="005F101F">
            <w:pPr>
              <w:tabs>
                <w:tab w:val="center" w:pos="4680"/>
              </w:tabs>
              <w:suppressAutoHyphens/>
              <w:rPr>
                <w:spacing w:val="-2"/>
                <w:sz w:val="24"/>
              </w:rPr>
            </w:pPr>
          </w:p>
          <w:p w:rsidR="005F101F" w:rsidRDefault="00675110">
            <w:pPr>
              <w:pStyle w:val="TOAHeading"/>
              <w:rPr>
                <w:sz w:val="24"/>
                <w:szCs w:val="24"/>
              </w:rPr>
            </w:pPr>
            <w:r>
              <w:rPr>
                <w:sz w:val="24"/>
                <w:szCs w:val="24"/>
              </w:rPr>
              <w:t xml:space="preserve">IC No. 12-S003536          </w:t>
            </w:r>
          </w:p>
        </w:tc>
      </w:tr>
    </w:tbl>
    <w:p w:rsidR="005F101F" w:rsidRDefault="005F101F">
      <w:pPr>
        <w:tabs>
          <w:tab w:val="left" w:pos="-720"/>
        </w:tabs>
        <w:suppressAutoHyphens/>
        <w:spacing w:line="227" w:lineRule="auto"/>
        <w:rPr>
          <w:spacing w:val="-2"/>
          <w:sz w:val="24"/>
        </w:rPr>
      </w:pPr>
    </w:p>
    <w:p w:rsidR="005F101F" w:rsidRDefault="005F101F">
      <w:pPr>
        <w:tabs>
          <w:tab w:val="left" w:pos="-720"/>
        </w:tabs>
        <w:suppressAutoHyphens/>
        <w:spacing w:line="227" w:lineRule="auto"/>
        <w:ind w:left="720"/>
        <w:rPr>
          <w:spacing w:val="-2"/>
          <w:sz w:val="24"/>
        </w:rPr>
      </w:pPr>
    </w:p>
    <w:p w:rsidR="005F101F" w:rsidRDefault="00675110">
      <w:pPr>
        <w:jc w:val="center"/>
        <w:rPr>
          <w:b/>
          <w:sz w:val="24"/>
        </w:rPr>
      </w:pPr>
      <w:r>
        <w:rPr>
          <w:b/>
          <w:sz w:val="24"/>
        </w:rPr>
        <w:t>ORDER</w:t>
      </w:r>
    </w:p>
    <w:p w:rsidR="005F101F" w:rsidRDefault="005F101F">
      <w:pPr>
        <w:tabs>
          <w:tab w:val="left" w:pos="-720"/>
        </w:tabs>
        <w:suppressAutoHyphens/>
        <w:spacing w:line="227" w:lineRule="auto"/>
        <w:ind w:left="720"/>
        <w:rPr>
          <w:spacing w:val="-2"/>
          <w:sz w:val="24"/>
        </w:rPr>
      </w:pPr>
    </w:p>
    <w:p w:rsidR="005F101F" w:rsidRDefault="00675110">
      <w:pPr>
        <w:tabs>
          <w:tab w:val="left" w:pos="0"/>
          <w:tab w:val="left" w:pos="5760"/>
        </w:tabs>
        <w:suppressAutoHyphens/>
        <w:spacing w:line="227" w:lineRule="auto"/>
        <w:jc w:val="left"/>
        <w:rPr>
          <w:b/>
          <w:spacing w:val="-2"/>
          <w:sz w:val="24"/>
        </w:rPr>
      </w:pPr>
      <w:r>
        <w:rPr>
          <w:b/>
          <w:spacing w:val="-2"/>
          <w:sz w:val="24"/>
        </w:rPr>
        <w:t>Adopted: December 6, 2013</w:t>
      </w:r>
      <w:r>
        <w:rPr>
          <w:b/>
          <w:spacing w:val="-2"/>
          <w:sz w:val="24"/>
        </w:rPr>
        <w:tab/>
        <w:t>Released:  December 13, 2013</w:t>
      </w:r>
    </w:p>
    <w:p w:rsidR="005F101F" w:rsidRDefault="005F101F">
      <w:pPr>
        <w:rPr>
          <w:sz w:val="24"/>
        </w:rPr>
      </w:pPr>
    </w:p>
    <w:p w:rsidR="005F101F" w:rsidRDefault="00675110">
      <w:pPr>
        <w:rPr>
          <w:sz w:val="24"/>
        </w:rPr>
      </w:pPr>
      <w:r>
        <w:rPr>
          <w:sz w:val="24"/>
        </w:rPr>
        <w:t>By the Deputy Chief, Consumer Policy Division, Consumer &amp; Governmental Affairs Bureau:</w:t>
      </w:r>
    </w:p>
    <w:p w:rsidR="005F101F" w:rsidRDefault="005F101F">
      <w:pPr>
        <w:tabs>
          <w:tab w:val="left" w:pos="432"/>
        </w:tabs>
        <w:ind w:firstLine="72"/>
        <w:rPr>
          <w:sz w:val="24"/>
        </w:rPr>
      </w:pPr>
    </w:p>
    <w:p w:rsidR="005F101F" w:rsidRDefault="00675110">
      <w:pPr>
        <w:numPr>
          <w:ilvl w:val="0"/>
          <w:numId w:val="1"/>
        </w:numPr>
        <w:tabs>
          <w:tab w:val="clear" w:pos="1440"/>
          <w:tab w:val="num" w:pos="0"/>
        </w:tabs>
        <w:ind w:left="0" w:firstLine="720"/>
        <w:jc w:val="left"/>
        <w:rPr>
          <w:kern w:val="0"/>
          <w:sz w:val="24"/>
          <w:szCs w:val="24"/>
        </w:rPr>
      </w:pPr>
      <w:r>
        <w:rPr>
          <w:sz w:val="24"/>
        </w:rPr>
        <w:t>In this Order, we consider the complaint</w:t>
      </w:r>
      <w:r>
        <w:rPr>
          <w:rStyle w:val="FootnoteReference"/>
          <w:sz w:val="24"/>
        </w:rPr>
        <w:footnoteReference w:id="1"/>
      </w:r>
      <w:r>
        <w:rPr>
          <w:sz w:val="24"/>
        </w:rPr>
        <w:t xml:space="preserve"> alleging that Tele Circuit Network Corp. (TCNC) changed Complainant’s telecommunications service provider without obtaining authorization and verification from Complainant in violation of the Commission’s rules.</w:t>
      </w:r>
      <w:r>
        <w:rPr>
          <w:rStyle w:val="FootnoteReference"/>
          <w:sz w:val="24"/>
        </w:rPr>
        <w:footnoteReference w:id="2"/>
      </w:r>
      <w:r>
        <w:rPr>
          <w:sz w:val="24"/>
        </w:rPr>
        <w:t xml:space="preserve">  We conclude that TCNC’s actions violated the Commission’s carrier change rules and we grant Complainant’s complaint.</w:t>
      </w:r>
    </w:p>
    <w:p w:rsidR="005F101F" w:rsidRDefault="005F101F">
      <w:pPr>
        <w:jc w:val="left"/>
        <w:rPr>
          <w:kern w:val="0"/>
          <w:sz w:val="24"/>
          <w:szCs w:val="24"/>
        </w:rPr>
      </w:pPr>
    </w:p>
    <w:p w:rsidR="005F101F" w:rsidRDefault="00675110">
      <w:pPr>
        <w:numPr>
          <w:ilvl w:val="0"/>
          <w:numId w:val="1"/>
        </w:numPr>
        <w:tabs>
          <w:tab w:val="clear" w:pos="1440"/>
          <w:tab w:val="num" w:pos="0"/>
        </w:tabs>
        <w:ind w:left="0" w:firstLine="720"/>
        <w:jc w:val="left"/>
        <w:rPr>
          <w:kern w:val="0"/>
          <w:sz w:val="24"/>
          <w:szCs w:val="24"/>
        </w:rPr>
      </w:pPr>
      <w:r>
        <w:rPr>
          <w:sz w:val="24"/>
        </w:rPr>
        <w:t xml:space="preserve">In December 1998, the Commission released the </w:t>
      </w:r>
      <w:r>
        <w:rPr>
          <w:i/>
          <w:sz w:val="24"/>
        </w:rPr>
        <w:t>Section 258 Order</w:t>
      </w:r>
      <w:r>
        <w:rPr>
          <w:sz w:val="24"/>
        </w:rPr>
        <w:t xml:space="preserve"> in which it adopted rules to implement Section 258 of the Communications Act of 1934 (Act), as amended by the Telecommunications Act of 1996 (1996 Act).</w:t>
      </w:r>
      <w:r>
        <w:rPr>
          <w:rStyle w:val="FootnoteReference"/>
          <w:sz w:val="24"/>
        </w:rPr>
        <w:footnoteReference w:id="3"/>
      </w:r>
      <w:r>
        <w:rPr>
          <w:kern w:val="0"/>
          <w:sz w:val="24"/>
          <w:szCs w:val="24"/>
        </w:rPr>
        <w:t xml:space="preserve">  </w:t>
      </w:r>
      <w:r>
        <w:rPr>
          <w:sz w:val="24"/>
        </w:rPr>
        <w:t xml:space="preserve">Section 258 prohibits the practice of </w:t>
      </w:r>
      <w:r>
        <w:rPr>
          <w:sz w:val="24"/>
        </w:rPr>
        <w:lastRenderedPageBreak/>
        <w:t>“slamming,” the submission or execution of an unauthorized change in a subscriber’s selection of a provider of telephone exchange service or telephone toll service.</w:t>
      </w:r>
      <w:r>
        <w:rPr>
          <w:rStyle w:val="FootnoteReference"/>
          <w:sz w:val="24"/>
        </w:rPr>
        <w:footnoteReference w:id="4"/>
      </w:r>
      <w:r>
        <w:rPr>
          <w:sz w:val="24"/>
        </w:rPr>
        <w:t xml:space="preserve">  In the </w:t>
      </w:r>
      <w:r>
        <w:rPr>
          <w:i/>
          <w:sz w:val="24"/>
        </w:rPr>
        <w:t>Section 258 Order</w:t>
      </w:r>
      <w:r>
        <w:rPr>
          <w:sz w:val="24"/>
        </w:rPr>
        <w:t>, the Commission adopted aggressive new rules designed to take the profit out of slamming, broadened the scope of the slamming rules to encompass all carriers, and modified its existing requirements for the authorization and verification of preferred carrier changes.  The rules require, among other things, that a carrier receive individual subscriber consent before a carrier change may occur.</w:t>
      </w:r>
      <w:r>
        <w:rPr>
          <w:rStyle w:val="FootnoteReference"/>
          <w:sz w:val="24"/>
        </w:rPr>
        <w:footnoteReference w:id="5"/>
      </w:r>
      <w:r>
        <w:rPr>
          <w:sz w:val="24"/>
        </w:rPr>
        <w:t xml:space="preserve">  Pursuant to Section 258, carriers are absolutely barred from changing a customer's preferred local or long distance carrier without first complying with one of the Commission's verification procedures.</w:t>
      </w:r>
      <w:r>
        <w:rPr>
          <w:rStyle w:val="FootnoteReference"/>
          <w:sz w:val="24"/>
        </w:rPr>
        <w:footnoteReference w:id="6"/>
      </w:r>
      <w:r>
        <w:rPr>
          <w:sz w:val="24"/>
        </w:rPr>
        <w:t xml:space="preserve">  Specifically, a carrier must:  (1) obtain the subscriber's written or electronically signed authorization in a format that meets the requirements of </w:t>
      </w:r>
    </w:p>
    <w:p w:rsidR="005F101F" w:rsidRDefault="00675110">
      <w:pPr>
        <w:jc w:val="left"/>
        <w:rPr>
          <w:sz w:val="24"/>
        </w:rPr>
      </w:pPr>
      <w:r>
        <w:rPr>
          <w:sz w:val="24"/>
        </w:rPr>
        <w:t>Section 64.1130; (2) obtain confirmation from the subscriber via a toll-free number provided exclusively for the purpose of confirming orders electronically; or (3) utilize an independent third party to verify the subscriber's order.</w:t>
      </w:r>
      <w:r>
        <w:rPr>
          <w:rStyle w:val="FootnoteReference"/>
          <w:sz w:val="24"/>
        </w:rPr>
        <w:footnoteReference w:id="7"/>
      </w:r>
      <w:r>
        <w:rPr>
          <w:sz w:val="24"/>
        </w:rPr>
        <w:t xml:space="preserve"> </w:t>
      </w:r>
    </w:p>
    <w:p w:rsidR="005F101F" w:rsidRDefault="005F101F">
      <w:pPr>
        <w:jc w:val="left"/>
        <w:rPr>
          <w:sz w:val="24"/>
        </w:rPr>
      </w:pPr>
    </w:p>
    <w:p w:rsidR="005F101F" w:rsidRDefault="00675110">
      <w:pPr>
        <w:numPr>
          <w:ilvl w:val="0"/>
          <w:numId w:val="1"/>
        </w:numPr>
        <w:tabs>
          <w:tab w:val="clear" w:pos="1440"/>
          <w:tab w:val="num" w:pos="720"/>
        </w:tabs>
        <w:ind w:left="0" w:firstLine="720"/>
        <w:jc w:val="left"/>
        <w:rPr>
          <w:sz w:val="24"/>
        </w:rPr>
      </w:pPr>
      <w:r>
        <w:rPr>
          <w:sz w:val="24"/>
        </w:rPr>
        <w:t xml:space="preserve"> The Commission also has adopted liability rules.  These rules require the carrier to absolve the subscriber where the subscriber has not paid his or her bill.  In that context, if the subscriber has not already paid charges to the unauthorized carrier, the subscriber is absolved of liability for charges imposed by the unauthorized carrier for service provided during the first 30 days after the unauthorized change.</w:t>
      </w:r>
      <w:r>
        <w:rPr>
          <w:rStyle w:val="FootnoteReference"/>
          <w:sz w:val="24"/>
        </w:rPr>
        <w:footnoteReference w:id="8"/>
      </w:r>
      <w:r>
        <w:rPr>
          <w:sz w:val="24"/>
        </w:rPr>
        <w:t xml:space="preserve">   Where the subscriber has paid charges to the unauthorized carrier, the Commission’s rules require that the unauthorized carrier pay 150% of those charges to the authorized carrier, and the authorized carrier shall refund or credit to the subscriber 50% of all charges paid by the subscriber to the unauthorized carrier.</w:t>
      </w:r>
      <w:r>
        <w:rPr>
          <w:rStyle w:val="FootnoteReference"/>
          <w:sz w:val="24"/>
        </w:rPr>
        <w:footnoteReference w:id="9"/>
      </w:r>
      <w:r>
        <w:rPr>
          <w:sz w:val="24"/>
        </w:rPr>
        <w:t xml:space="preserve"> Carriers should note that our actions in this order do not preclude the Commission from taking additional action, if warranted, pursuant to Section 503 of the Act.</w:t>
      </w:r>
      <w:r>
        <w:rPr>
          <w:rStyle w:val="FootnoteReference"/>
        </w:rPr>
        <w:footnoteReference w:id="10"/>
      </w:r>
      <w:r>
        <w:rPr>
          <w:sz w:val="24"/>
        </w:rPr>
        <w:t xml:space="preserve"> </w:t>
      </w:r>
    </w:p>
    <w:p w:rsidR="005F101F" w:rsidRDefault="005F101F">
      <w:pPr>
        <w:jc w:val="left"/>
        <w:rPr>
          <w:sz w:val="24"/>
        </w:rPr>
      </w:pPr>
    </w:p>
    <w:p w:rsidR="005F101F" w:rsidRDefault="00675110">
      <w:pPr>
        <w:numPr>
          <w:ilvl w:val="0"/>
          <w:numId w:val="1"/>
        </w:numPr>
        <w:ind w:left="0" w:firstLine="720"/>
        <w:jc w:val="left"/>
        <w:rPr>
          <w:sz w:val="24"/>
        </w:rPr>
      </w:pPr>
      <w:r>
        <w:rPr>
          <w:sz w:val="24"/>
        </w:rPr>
        <w:t>We received Complainant’s complaint on November 26, 2012, alleging that Complainant’s telecommunications service provider had been changed to TCNC without Complainant’s authorization.  Pursuant to Sections 1.719 and 64.1150 of the Commission’s rules</w:t>
      </w:r>
      <w:r>
        <w:rPr>
          <w:rStyle w:val="FootnoteReference"/>
        </w:rPr>
        <w:footnoteReference w:id="11"/>
      </w:r>
      <w:r>
        <w:rPr>
          <w:sz w:val="24"/>
        </w:rPr>
        <w:t xml:space="preserve"> we notified TCNC of the complaint and TCNC responded on February 19, 2013.</w:t>
      </w:r>
      <w:r>
        <w:rPr>
          <w:rStyle w:val="FootnoteReference"/>
        </w:rPr>
        <w:footnoteReference w:id="12"/>
      </w:r>
      <w:r>
        <w:rPr>
          <w:sz w:val="24"/>
        </w:rPr>
        <w:t xml:space="preserve">  TCNC </w:t>
      </w:r>
      <w:r>
        <w:rPr>
          <w:sz w:val="24"/>
        </w:rPr>
        <w:lastRenderedPageBreak/>
        <w:t>states that authorization was received and confirmed through third party verification (TPV).  The Commission’s rules require that the verification elicit, amongst other things, confirmation that the person on the call is “authorized to make the carrier change.”</w:t>
      </w:r>
      <w:r>
        <w:rPr>
          <w:rStyle w:val="FootnoteReference"/>
        </w:rPr>
        <w:t xml:space="preserve"> </w:t>
      </w:r>
      <w:r>
        <w:rPr>
          <w:rStyle w:val="FootnoteReference"/>
        </w:rPr>
        <w:footnoteReference w:id="13"/>
      </w:r>
      <w:r>
        <w:rPr>
          <w:sz w:val="24"/>
        </w:rPr>
        <w:t xml:space="preserve">  In the TPV at issue in this case, the verifier does not confirm whether the person is authorized to make a </w:t>
      </w:r>
      <w:r>
        <w:rPr>
          <w:i/>
          <w:sz w:val="24"/>
        </w:rPr>
        <w:t>carrier</w:t>
      </w:r>
      <w:r>
        <w:rPr>
          <w:sz w:val="24"/>
        </w:rPr>
        <w:t xml:space="preserve"> change.  Instead, the verifier asks if the person on the call is “18 years old or older and the person authorized on this account, correct?”  A switch from one carrier to another carrier differs from merely being authorized on a telephone account.</w:t>
      </w:r>
      <w:r>
        <w:rPr>
          <w:rStyle w:val="FootnoteReference"/>
        </w:rPr>
        <w:footnoteReference w:id="14"/>
      </w:r>
      <w:r>
        <w:rPr>
          <w:sz w:val="24"/>
        </w:rPr>
        <w:t xml:space="preserve">  As we emphasized in the </w:t>
      </w:r>
      <w:r>
        <w:rPr>
          <w:i/>
          <w:sz w:val="24"/>
        </w:rPr>
        <w:t>Fourth Report and Order,</w:t>
      </w:r>
      <w:r>
        <w:rPr>
          <w:sz w:val="24"/>
        </w:rPr>
        <w:t xml:space="preserve"> “any description of the carrier change transaction…shall not be misleading “and verifiers should convey explicitly that “the consumers will have authorized a </w:t>
      </w:r>
      <w:r>
        <w:rPr>
          <w:i/>
          <w:sz w:val="24"/>
        </w:rPr>
        <w:t>carrier</w:t>
      </w:r>
      <w:r>
        <w:rPr>
          <w:sz w:val="24"/>
        </w:rPr>
        <w:t xml:space="preserve"> change, and not, for instance, an upgrade in existing service.”</w:t>
      </w:r>
      <w:r>
        <w:rPr>
          <w:rStyle w:val="FootnoteReference"/>
        </w:rPr>
        <w:footnoteReference w:id="15"/>
      </w:r>
      <w:r>
        <w:rPr>
          <w:sz w:val="24"/>
        </w:rPr>
        <w:t xml:space="preserve">   We find that TCNC’s actions were in violation of our carrier change rules, and we discuss TCNC’s liability below.</w:t>
      </w:r>
      <w:r>
        <w:rPr>
          <w:rStyle w:val="FootnoteReference"/>
        </w:rPr>
        <w:footnoteReference w:id="16"/>
      </w:r>
    </w:p>
    <w:p w:rsidR="005F101F" w:rsidRDefault="005F101F">
      <w:pPr>
        <w:jc w:val="left"/>
        <w:rPr>
          <w:sz w:val="24"/>
        </w:rPr>
      </w:pPr>
    </w:p>
    <w:p w:rsidR="005F101F" w:rsidRDefault="00675110">
      <w:pPr>
        <w:numPr>
          <w:ilvl w:val="0"/>
          <w:numId w:val="1"/>
        </w:numPr>
        <w:ind w:left="0" w:firstLine="720"/>
        <w:jc w:val="left"/>
        <w:rPr>
          <w:sz w:val="24"/>
        </w:rPr>
      </w:pPr>
      <w:r>
        <w:rPr>
          <w:sz w:val="24"/>
        </w:rPr>
        <w:t>TCNC must remove all charges incurred for service provided to Complainant for the first thirty days after the alleged unauthorized change in accordance with the Commission’s liability rules.</w:t>
      </w:r>
      <w:r>
        <w:rPr>
          <w:rStyle w:val="FootnoteReference"/>
          <w:sz w:val="24"/>
        </w:rPr>
        <w:footnoteReference w:id="17"/>
      </w:r>
      <w:r>
        <w:rPr>
          <w:sz w:val="24"/>
        </w:rPr>
        <w:t xml:space="preserve">  We have determined that Complainant is entitled to absolution for the charges incurred during the first thirty days after the unauthorized change occurred and neither their authorized carrier nor TCNC may pursue any collection against Complainant for those charges.</w:t>
      </w:r>
      <w:r>
        <w:rPr>
          <w:rStyle w:val="FootnoteReference"/>
          <w:sz w:val="24"/>
        </w:rPr>
        <w:footnoteReference w:id="18"/>
      </w:r>
      <w:r>
        <w:rPr>
          <w:sz w:val="24"/>
        </w:rPr>
        <w:t xml:space="preserve"> Any charges imposed by TCNC on the subscriber for service provided after this 30-day period shall be paid by the subscriber at the rates the subscriber was paying to their authorized carrier at the time of the unauthorized change.</w:t>
      </w:r>
      <w:r>
        <w:rPr>
          <w:rStyle w:val="FootnoteReference"/>
          <w:sz w:val="24"/>
        </w:rPr>
        <w:footnoteReference w:id="19"/>
      </w:r>
    </w:p>
    <w:p w:rsidR="005F101F" w:rsidRDefault="005F101F">
      <w:pPr>
        <w:jc w:val="left"/>
        <w:rPr>
          <w:sz w:val="24"/>
        </w:rPr>
      </w:pPr>
    </w:p>
    <w:p w:rsidR="005F101F" w:rsidRDefault="00675110">
      <w:pPr>
        <w:numPr>
          <w:ilvl w:val="0"/>
          <w:numId w:val="1"/>
        </w:numPr>
        <w:ind w:left="0" w:firstLine="720"/>
        <w:jc w:val="left"/>
        <w:rPr>
          <w:sz w:val="24"/>
        </w:rPr>
      </w:pPr>
      <w:r>
        <w:rPr>
          <w:sz w:val="24"/>
        </w:rPr>
        <w:t>Accordingly, IT IS ORDERED that, pursuant to Section 258 of the Communications Act of 1934, as amended, 47 U.S.C. § 258, and Sections 0.141, 0.361 and 1.719 of the Commission’s rules, 47 C.F.R. §§ 0.141, 0.361, 1.719, the complaint filed against TCNC IS GRANTED.</w:t>
      </w:r>
    </w:p>
    <w:p w:rsidR="005F101F" w:rsidRDefault="005F101F">
      <w:pPr>
        <w:jc w:val="left"/>
        <w:rPr>
          <w:sz w:val="24"/>
        </w:rPr>
      </w:pPr>
    </w:p>
    <w:p w:rsidR="005F101F" w:rsidRDefault="00675110">
      <w:pPr>
        <w:numPr>
          <w:ilvl w:val="0"/>
          <w:numId w:val="1"/>
        </w:numPr>
        <w:ind w:left="0" w:firstLine="720"/>
        <w:jc w:val="left"/>
        <w:rPr>
          <w:sz w:val="24"/>
        </w:rPr>
      </w:pPr>
      <w:r>
        <w:rPr>
          <w:sz w:val="24"/>
        </w:rPr>
        <w:t>IT IS FURTHER ORDERED that, pursuant to Section 64.1170(d) of the Commission’s rules, 47 C.F.R. § 64.1170(d), Complainant is entitled to absolution for the charges incurred during the first thirty days after the unauthorized change occurred and neither</w:t>
      </w:r>
    </w:p>
    <w:p w:rsidR="005F101F" w:rsidRDefault="00675110">
      <w:pPr>
        <w:jc w:val="left"/>
        <w:rPr>
          <w:sz w:val="24"/>
        </w:rPr>
      </w:pPr>
      <w:r>
        <w:rPr>
          <w:sz w:val="24"/>
        </w:rPr>
        <w:t>TCNC nor their authorized carrier may pursue any collection against Complainant for those charges.</w:t>
      </w:r>
    </w:p>
    <w:p w:rsidR="005F101F" w:rsidRDefault="005F101F">
      <w:pPr>
        <w:jc w:val="left"/>
        <w:rPr>
          <w:sz w:val="24"/>
        </w:rPr>
      </w:pPr>
    </w:p>
    <w:p w:rsidR="005F101F" w:rsidRDefault="00675110">
      <w:pPr>
        <w:ind w:firstLine="720"/>
        <w:jc w:val="left"/>
        <w:rPr>
          <w:sz w:val="24"/>
        </w:rPr>
      </w:pPr>
      <w:r>
        <w:rPr>
          <w:sz w:val="24"/>
        </w:rPr>
        <w:t>8.</w:t>
      </w:r>
      <w:r>
        <w:rPr>
          <w:sz w:val="24"/>
        </w:rPr>
        <w:tab/>
        <w:t>IT IS FURTHER ORDERED that this Order is effective upon release.</w:t>
      </w:r>
    </w:p>
    <w:p w:rsidR="005F101F" w:rsidRDefault="005F101F">
      <w:pPr>
        <w:jc w:val="left"/>
        <w:rPr>
          <w:sz w:val="24"/>
        </w:rPr>
      </w:pPr>
    </w:p>
    <w:p w:rsidR="005F101F" w:rsidRDefault="00675110">
      <w:pPr>
        <w:ind w:left="3600" w:right="270"/>
        <w:rPr>
          <w:sz w:val="24"/>
        </w:rPr>
      </w:pPr>
      <w:r>
        <w:rPr>
          <w:sz w:val="24"/>
        </w:rPr>
        <w:t>FEDERAL COMMUNICATIONS COMMISSION</w:t>
      </w:r>
    </w:p>
    <w:p w:rsidR="005F101F" w:rsidRDefault="005F101F">
      <w:pPr>
        <w:ind w:right="270"/>
        <w:rPr>
          <w:sz w:val="24"/>
        </w:rPr>
      </w:pPr>
    </w:p>
    <w:p w:rsidR="005F101F" w:rsidRDefault="005F101F">
      <w:pPr>
        <w:ind w:right="270"/>
        <w:rPr>
          <w:sz w:val="24"/>
        </w:rPr>
      </w:pPr>
    </w:p>
    <w:p w:rsidR="005F101F" w:rsidRDefault="005F101F">
      <w:pPr>
        <w:ind w:right="270"/>
        <w:rPr>
          <w:sz w:val="24"/>
        </w:rPr>
      </w:pPr>
    </w:p>
    <w:p w:rsidR="005F101F" w:rsidRDefault="005F101F">
      <w:pPr>
        <w:ind w:right="270"/>
        <w:rPr>
          <w:sz w:val="24"/>
        </w:rPr>
      </w:pPr>
    </w:p>
    <w:p w:rsidR="005F101F" w:rsidRDefault="00675110">
      <w:pPr>
        <w:ind w:right="270"/>
        <w:rPr>
          <w:sz w:val="24"/>
          <w:szCs w:val="24"/>
        </w:rPr>
      </w:pPr>
      <w:r>
        <w:rPr>
          <w:sz w:val="24"/>
        </w:rPr>
        <w:tab/>
      </w:r>
      <w:r>
        <w:rPr>
          <w:sz w:val="24"/>
        </w:rPr>
        <w:tab/>
      </w:r>
      <w:r>
        <w:rPr>
          <w:sz w:val="24"/>
        </w:rPr>
        <w:tab/>
      </w:r>
      <w:r>
        <w:rPr>
          <w:sz w:val="24"/>
        </w:rPr>
        <w:tab/>
      </w:r>
      <w:r>
        <w:rPr>
          <w:sz w:val="24"/>
        </w:rPr>
        <w:tab/>
      </w:r>
      <w:r>
        <w:rPr>
          <w:sz w:val="24"/>
          <w:szCs w:val="24"/>
        </w:rPr>
        <w:t>Nancy A. Stevenson, Deputy Chief</w:t>
      </w:r>
    </w:p>
    <w:p w:rsidR="005F101F" w:rsidRDefault="00675110">
      <w:pPr>
        <w:ind w:left="2880" w:right="270" w:firstLine="720"/>
        <w:rPr>
          <w:sz w:val="24"/>
          <w:szCs w:val="24"/>
        </w:rPr>
      </w:pPr>
      <w:r>
        <w:rPr>
          <w:sz w:val="24"/>
          <w:szCs w:val="24"/>
        </w:rPr>
        <w:t>Consumer Policy Division</w:t>
      </w:r>
    </w:p>
    <w:p w:rsidR="005F101F" w:rsidRDefault="00675110">
      <w:pPr>
        <w:ind w:left="3600" w:right="270"/>
      </w:pPr>
      <w:r>
        <w:rPr>
          <w:sz w:val="24"/>
          <w:szCs w:val="24"/>
        </w:rPr>
        <w:t>Consumer &amp; Governmental Affairs Bureau</w:t>
      </w:r>
    </w:p>
    <w:p w:rsidR="00675110" w:rsidRDefault="00675110"/>
    <w:sectPr w:rsidR="006751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10" w:rsidRDefault="00675110">
      <w:r>
        <w:separator/>
      </w:r>
    </w:p>
  </w:endnote>
  <w:endnote w:type="continuationSeparator" w:id="0">
    <w:p w:rsidR="00675110" w:rsidRDefault="0067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1F" w:rsidRDefault="00675110">
    <w:pPr>
      <w:pStyle w:val="Footer"/>
      <w:framePr w:wrap="around" w:vAnchor="text" w:hAnchor="margin" w:xAlign="center" w:y="1"/>
    </w:pPr>
    <w:r>
      <w:fldChar w:fldCharType="begin"/>
    </w:r>
    <w:r>
      <w:instrText xml:space="preserve">PAGE  </w:instrText>
    </w:r>
    <w:r>
      <w:fldChar w:fldCharType="end"/>
    </w:r>
  </w:p>
  <w:p w:rsidR="005F101F" w:rsidRDefault="005F1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1F" w:rsidRDefault="00675110">
    <w:pPr>
      <w:pStyle w:val="Footer"/>
      <w:framePr w:wrap="around" w:vAnchor="text" w:hAnchor="margin" w:xAlign="center" w:y="1"/>
    </w:pPr>
    <w:r>
      <w:fldChar w:fldCharType="begin"/>
    </w:r>
    <w:r>
      <w:instrText xml:space="preserve">PAGE  </w:instrText>
    </w:r>
    <w:r>
      <w:fldChar w:fldCharType="separate"/>
    </w:r>
    <w:r w:rsidR="000875E2">
      <w:rPr>
        <w:noProof/>
      </w:rPr>
      <w:t>2</w:t>
    </w:r>
    <w:r>
      <w:fldChar w:fldCharType="end"/>
    </w:r>
  </w:p>
  <w:p w:rsidR="005F101F" w:rsidRDefault="005F101F">
    <w:pPr>
      <w:spacing w:before="140" w:line="100" w:lineRule="exact"/>
      <w:rPr>
        <w:sz w:val="10"/>
      </w:rPr>
    </w:pPr>
  </w:p>
  <w:p w:rsidR="005F101F" w:rsidRDefault="005F10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09" w:rsidRDefault="000C5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10" w:rsidRDefault="00675110">
      <w:r>
        <w:separator/>
      </w:r>
    </w:p>
  </w:footnote>
  <w:footnote w:type="continuationSeparator" w:id="0">
    <w:p w:rsidR="00675110" w:rsidRDefault="00675110">
      <w:r>
        <w:continuationSeparator/>
      </w:r>
    </w:p>
  </w:footnote>
  <w:footnote w:id="1">
    <w:p w:rsidR="005F101F" w:rsidRDefault="00675110">
      <w:pPr>
        <w:pStyle w:val="FootnoteText"/>
      </w:pPr>
      <w:r>
        <w:tab/>
      </w:r>
      <w:r>
        <w:rPr>
          <w:rStyle w:val="FootnoteReference"/>
        </w:rPr>
        <w:footnoteRef/>
      </w:r>
      <w:r>
        <w:t xml:space="preserve"> </w:t>
      </w:r>
      <w:r>
        <w:tab/>
        <w:t>Informal Complaint No. IC 12-S003536, filed November 26, 2012.</w:t>
      </w:r>
    </w:p>
  </w:footnote>
  <w:footnote w:id="2">
    <w:p w:rsidR="005F101F" w:rsidRDefault="00675110">
      <w:pPr>
        <w:pStyle w:val="FootnoteText"/>
      </w:pPr>
      <w:r>
        <w:tab/>
      </w:r>
      <w:r>
        <w:rPr>
          <w:rStyle w:val="FootnoteReference"/>
        </w:rPr>
        <w:footnoteRef/>
      </w:r>
      <w:r>
        <w:t xml:space="preserve"> </w:t>
      </w:r>
      <w:r>
        <w:tab/>
      </w:r>
      <w:r>
        <w:rPr>
          <w:i/>
        </w:rPr>
        <w:t>See</w:t>
      </w:r>
      <w:r>
        <w:t xml:space="preserve"> 47 C.F.R. §§ 64.1100 – 64.1190.</w:t>
      </w:r>
    </w:p>
  </w:footnote>
  <w:footnote w:id="3">
    <w:p w:rsidR="005F101F" w:rsidRDefault="00675110">
      <w:pPr>
        <w:ind w:firstLine="720"/>
        <w:jc w:val="left"/>
        <w:rPr>
          <w:sz w:val="20"/>
        </w:rPr>
      </w:pPr>
      <w:r>
        <w:rPr>
          <w:rStyle w:val="FootnoteReference"/>
        </w:rPr>
        <w:footnoteRef/>
      </w:r>
      <w:r>
        <w:t xml:space="preserve"> </w:t>
      </w:r>
      <w:r>
        <w:tab/>
      </w:r>
      <w:r>
        <w:rPr>
          <w:sz w:val="20"/>
        </w:rPr>
        <w:t xml:space="preserve">47 U.S.C. § 258(a); Telecommunications Act of 1996, Pub. L. No. 104-104, 110 Stat. 56 (1996); </w:t>
      </w:r>
      <w:r>
        <w:rPr>
          <w:i/>
          <w:sz w:val="20"/>
        </w:rPr>
        <w:t>Implementation of the Subscriber Carrier Selection Changes Provisions of the Telecommunications Act of 1996; Policies and Rules Concerning Unauthorized Changes of Consumers’ Long Distance Carriers</w:t>
      </w:r>
      <w:r>
        <w:rPr>
          <w:sz w:val="20"/>
        </w:rPr>
        <w:t>, CC Docket No. 94-129, Second Report and Order and Further Notice of Proposed Rule Making, 14 FCC Rcd 1508 (1998) (</w:t>
      </w:r>
      <w:r>
        <w:rPr>
          <w:i/>
          <w:sz w:val="20"/>
        </w:rPr>
        <w:t>Section 258 Order), stayed in part, MCI WorldCom v. FCC</w:t>
      </w:r>
      <w:r>
        <w:rPr>
          <w:sz w:val="20"/>
        </w:rPr>
        <w:t xml:space="preserve">, No. 99-1125 (D.C. Cir. May 18, 1999); First Order on Reconsideration, 15 FCC Rcd 8158 (2000); </w:t>
      </w:r>
      <w:r>
        <w:rPr>
          <w:i/>
          <w:sz w:val="20"/>
        </w:rPr>
        <w:t>stay lifted, MCI WorldCom v. FCC</w:t>
      </w:r>
      <w:r>
        <w:rPr>
          <w:sz w:val="20"/>
        </w:rPr>
        <w:t xml:space="preserve">, No. 99-1125 (D.C. Cir. June 27, 2000); Third Report and Order and Second Order on Reconsideration, 15 FCC Rcd 15996 (2000), Errata, DA No. 00-2163 (rel. Sept. 25, 2000), Erratum, DA No. 00-2192 (rel. Oct. 4, 2000), Order, FCC 01-67 (rel. Feb. 22, 2001); Third Order on Reconsideration and Second Further Notice of Proposed Rule Making, 18 FCC Rcd 5099 (2003); Order, 18 FCC Rcd 10997 (2003); Fourth Report and Order, 23 FCC Rcd 493 (2008).  Prior to the adoption of Section 258, the Commission had taken various steps to address the slamming problem.  </w:t>
      </w:r>
      <w:r>
        <w:rPr>
          <w:i/>
          <w:sz w:val="20"/>
        </w:rPr>
        <w:t>See</w:t>
      </w:r>
      <w:r>
        <w:rPr>
          <w:sz w:val="20"/>
        </w:rPr>
        <w:t xml:space="preserve">, </w:t>
      </w:r>
      <w:r>
        <w:rPr>
          <w:i/>
          <w:sz w:val="20"/>
        </w:rPr>
        <w:t>e.g.</w:t>
      </w:r>
      <w:r>
        <w:rPr>
          <w:sz w:val="20"/>
        </w:rPr>
        <w:t xml:space="preserve">, </w:t>
      </w:r>
      <w:r>
        <w:rPr>
          <w:i/>
          <w:sz w:val="20"/>
        </w:rPr>
        <w:t>Policies and Rules Concerning Unauthorized Changes of Consumers' Long Distance Carriers</w:t>
      </w:r>
      <w:r>
        <w:rPr>
          <w:sz w:val="20"/>
        </w:rPr>
        <w:t xml:space="preserve">, CC Docket No. 94-129, Report and Order, 10 FCC Rcd 9560 (1995), </w:t>
      </w:r>
      <w:r>
        <w:rPr>
          <w:i/>
          <w:sz w:val="20"/>
        </w:rPr>
        <w:t>stayed in part</w:t>
      </w:r>
      <w:r>
        <w:rPr>
          <w:sz w:val="20"/>
        </w:rPr>
        <w:t xml:space="preserve">, 11 FCC Rcd 856 (1995); </w:t>
      </w:r>
      <w:r>
        <w:rPr>
          <w:i/>
          <w:sz w:val="20"/>
        </w:rPr>
        <w:t>Policies and Rules Concerning Changing Long Distance Carrier</w:t>
      </w:r>
      <w:r>
        <w:rPr>
          <w:sz w:val="20"/>
        </w:rPr>
        <w:t xml:space="preserve">s, CC Docket No. 91-64, 7 FCC Rcd 1038 (1992), </w:t>
      </w:r>
      <w:r>
        <w:rPr>
          <w:i/>
          <w:sz w:val="20"/>
        </w:rPr>
        <w:t>reconsideration denied</w:t>
      </w:r>
      <w:r>
        <w:rPr>
          <w:sz w:val="20"/>
        </w:rPr>
        <w:t xml:space="preserve">, 8 FCC Rcd 3215 (1993); Investigation of Access and Divestiture Related Tariffs, CC Docket No. 83-1145, Phase I, 101 F.C.C.2d 911, 101 F.C.C.2d 935, </w:t>
      </w:r>
      <w:r>
        <w:rPr>
          <w:i/>
          <w:sz w:val="20"/>
        </w:rPr>
        <w:t>reconsideration</w:t>
      </w:r>
      <w:r>
        <w:rPr>
          <w:sz w:val="20"/>
        </w:rPr>
        <w:t xml:space="preserve"> </w:t>
      </w:r>
      <w:r>
        <w:rPr>
          <w:i/>
          <w:sz w:val="20"/>
        </w:rPr>
        <w:t>denied</w:t>
      </w:r>
      <w:r>
        <w:rPr>
          <w:sz w:val="20"/>
        </w:rPr>
        <w:t>, 102</w:t>
      </w:r>
      <w:r>
        <w:t xml:space="preserve"> </w:t>
      </w:r>
      <w:r>
        <w:rPr>
          <w:sz w:val="20"/>
        </w:rPr>
        <w:t>F.C.C.2d 503 (1985).</w:t>
      </w:r>
    </w:p>
    <w:p w:rsidR="005F101F" w:rsidRDefault="005F101F">
      <w:pPr>
        <w:pStyle w:val="FootnoteText"/>
        <w:tabs>
          <w:tab w:val="clear" w:pos="720"/>
          <w:tab w:val="left" w:pos="0"/>
        </w:tabs>
        <w:ind w:firstLine="720"/>
      </w:pPr>
    </w:p>
  </w:footnote>
  <w:footnote w:id="4">
    <w:p w:rsidR="005F101F" w:rsidRDefault="00675110">
      <w:pPr>
        <w:pStyle w:val="FootnoteText"/>
        <w:ind w:firstLine="720"/>
      </w:pPr>
      <w:r>
        <w:rPr>
          <w:rStyle w:val="FootnoteReference"/>
        </w:rPr>
        <w:footnoteRef/>
      </w:r>
      <w:r>
        <w:t xml:space="preserve"> </w:t>
      </w:r>
      <w:r>
        <w:tab/>
        <w:t>47 U.S.C. § 258(a).</w:t>
      </w:r>
    </w:p>
  </w:footnote>
  <w:footnote w:id="5">
    <w:p w:rsidR="005F101F" w:rsidRDefault="00675110">
      <w:pPr>
        <w:pStyle w:val="FootnoteText"/>
        <w:tabs>
          <w:tab w:val="clear" w:pos="720"/>
          <w:tab w:val="left" w:pos="0"/>
        </w:tabs>
        <w:ind w:firstLine="720"/>
      </w:pPr>
      <w:r>
        <w:rPr>
          <w:rStyle w:val="FootnoteReference"/>
        </w:rPr>
        <w:footnoteRef/>
      </w:r>
      <w:r>
        <w:t xml:space="preserve"> </w:t>
      </w:r>
      <w:r>
        <w:tab/>
      </w:r>
      <w:r>
        <w:rPr>
          <w:i/>
        </w:rPr>
        <w:t>See</w:t>
      </w:r>
      <w:r>
        <w:t xml:space="preserve"> 47 C.F.R. § 64.1120.</w:t>
      </w:r>
    </w:p>
  </w:footnote>
  <w:footnote w:id="6">
    <w:p w:rsidR="005F101F" w:rsidRDefault="00675110">
      <w:pPr>
        <w:pStyle w:val="FootnoteText"/>
        <w:tabs>
          <w:tab w:val="clear" w:pos="720"/>
          <w:tab w:val="left" w:pos="-720"/>
          <w:tab w:val="left" w:pos="0"/>
        </w:tabs>
        <w:suppressAutoHyphens/>
        <w:spacing w:after="240"/>
        <w:ind w:firstLine="720"/>
      </w:pPr>
      <w:r>
        <w:rPr>
          <w:rStyle w:val="FootnoteReference"/>
        </w:rPr>
        <w:footnoteRef/>
      </w:r>
      <w:r>
        <w:tab/>
        <w:t>47 U.S.C. § 258(a).</w:t>
      </w:r>
    </w:p>
  </w:footnote>
  <w:footnote w:id="7">
    <w:p w:rsidR="005F101F" w:rsidRDefault="00675110">
      <w:pPr>
        <w:pStyle w:val="FootnoteText"/>
        <w:tabs>
          <w:tab w:val="clear" w:pos="720"/>
          <w:tab w:val="left" w:pos="0"/>
        </w:tabs>
        <w:ind w:firstLine="720"/>
      </w:pPr>
      <w:r>
        <w:rPr>
          <w:rStyle w:val="FootnoteReference"/>
        </w:rPr>
        <w:footnoteRef/>
      </w:r>
      <w:r>
        <w:tab/>
      </w:r>
      <w:r>
        <w:rPr>
          <w:i/>
        </w:rPr>
        <w:t>See</w:t>
      </w:r>
      <w:r>
        <w:t xml:space="preserve"> 47 C.F.R. § 64.1120(c).  Section 64.1130 details the requirements for letter of agency form and content for written or electronically signed authorizations.  47 C.F.R. § 64.1130.</w:t>
      </w:r>
    </w:p>
  </w:footnote>
  <w:footnote w:id="8">
    <w:p w:rsidR="005F101F" w:rsidRDefault="00675110">
      <w:pPr>
        <w:pStyle w:val="FootnoteText"/>
      </w:pPr>
      <w:r>
        <w:tab/>
      </w:r>
      <w:r>
        <w:rPr>
          <w:rStyle w:val="FootnoteReference"/>
        </w:rPr>
        <w:footnoteRef/>
      </w:r>
      <w:r>
        <w:t xml:space="preserve"> </w:t>
      </w:r>
      <w:r>
        <w:tab/>
      </w:r>
      <w:r>
        <w:rPr>
          <w:i/>
        </w:rPr>
        <w:t>See</w:t>
      </w:r>
      <w:r>
        <w:t xml:space="preserve"> 47 C.F.R.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smartTag w:uri="urn:schemas-microsoft-com:office:smarttags" w:element="place">
        <w:smartTag w:uri="urn:schemas-microsoft-com:office:smarttags" w:element="State">
          <w:r>
            <w:rPr>
              <w:i/>
            </w:rPr>
            <w:t>Id.</w:t>
          </w:r>
        </w:smartTag>
      </w:smartTag>
    </w:p>
  </w:footnote>
  <w:footnote w:id="9">
    <w:p w:rsidR="005F101F" w:rsidRDefault="00675110">
      <w:pPr>
        <w:pStyle w:val="FootnoteText"/>
      </w:pPr>
      <w:r>
        <w:tab/>
      </w:r>
      <w:r>
        <w:rPr>
          <w:rStyle w:val="FootnoteReference"/>
        </w:rPr>
        <w:footnoteRef/>
      </w:r>
      <w:r>
        <w:t xml:space="preserve"> </w:t>
      </w:r>
      <w:r>
        <w:tab/>
      </w:r>
      <w:r>
        <w:rPr>
          <w:i/>
        </w:rPr>
        <w:t>See</w:t>
      </w:r>
      <w:r>
        <w:t xml:space="preserve"> 47 C.F.R. §§ 64.1140, 64.1170.</w:t>
      </w:r>
    </w:p>
  </w:footnote>
  <w:footnote w:id="10">
    <w:p w:rsidR="005F101F" w:rsidRDefault="00675110">
      <w:pPr>
        <w:pStyle w:val="FootnoteText"/>
      </w:pPr>
      <w:r>
        <w:tab/>
      </w:r>
      <w:r>
        <w:rPr>
          <w:rStyle w:val="FootnoteReference"/>
        </w:rPr>
        <w:footnoteRef/>
      </w:r>
      <w:r>
        <w:tab/>
      </w:r>
      <w:r>
        <w:rPr>
          <w:i/>
        </w:rPr>
        <w:t>See</w:t>
      </w:r>
      <w:r>
        <w:t xml:space="preserve"> 47 U.S.C. § 503.</w:t>
      </w:r>
    </w:p>
  </w:footnote>
  <w:footnote w:id="11">
    <w:p w:rsidR="005F101F" w:rsidRDefault="00675110">
      <w:pPr>
        <w:pStyle w:val="FootnoteText"/>
      </w:pPr>
      <w:r>
        <w:tab/>
      </w:r>
      <w:r>
        <w:rPr>
          <w:rStyle w:val="FootnoteReference"/>
        </w:rPr>
        <w:footnoteRef/>
      </w:r>
      <w:r>
        <w:t xml:space="preserve"> </w:t>
      </w:r>
      <w:r>
        <w:tab/>
        <w:t>47 C.F.R. § 1.719 (Commission procedure for informal complaints filed pursuant to Section 258 of the Act); 47 C.F.R. § 64.1150 (procedures for resolution of unauthorized changes in preferred carrier).</w:t>
      </w:r>
    </w:p>
  </w:footnote>
  <w:footnote w:id="12">
    <w:p w:rsidR="005F101F" w:rsidRDefault="00675110">
      <w:pPr>
        <w:pStyle w:val="FootnoteText"/>
      </w:pPr>
      <w:r>
        <w:tab/>
      </w:r>
      <w:r>
        <w:rPr>
          <w:rStyle w:val="FootnoteReference"/>
        </w:rPr>
        <w:footnoteRef/>
      </w:r>
      <w:r>
        <w:t xml:space="preserve"> </w:t>
      </w:r>
      <w:r>
        <w:tab/>
        <w:t xml:space="preserve">TCNC’s Response to Informal Complaint No. IC 12-S003536, received February 19, 2013. </w:t>
      </w:r>
    </w:p>
  </w:footnote>
  <w:footnote w:id="13">
    <w:p w:rsidR="005F101F" w:rsidRDefault="00675110">
      <w:pPr>
        <w:pStyle w:val="FootnoteText"/>
      </w:pPr>
      <w:r>
        <w:tab/>
      </w:r>
      <w:r>
        <w:rPr>
          <w:rStyle w:val="FootnoteReference"/>
        </w:rPr>
        <w:footnoteRef/>
      </w:r>
      <w:r>
        <w:t xml:space="preserve"> </w:t>
      </w:r>
      <w:r>
        <w:tab/>
      </w:r>
      <w:r>
        <w:rPr>
          <w:i/>
        </w:rPr>
        <w:t>See</w:t>
      </w:r>
      <w:r>
        <w:t xml:space="preserve"> 47 C.F. R. § 64.1120(c)(3)(iii).</w:t>
      </w:r>
    </w:p>
  </w:footnote>
  <w:footnote w:id="14">
    <w:p w:rsidR="005F101F" w:rsidRDefault="00675110">
      <w:pPr>
        <w:spacing w:before="100" w:beforeAutospacing="1" w:after="100" w:afterAutospacing="1"/>
        <w:jc w:val="left"/>
        <w:rPr>
          <w:snapToGrid/>
          <w:kern w:val="0"/>
          <w:sz w:val="20"/>
        </w:rPr>
      </w:pPr>
      <w:r>
        <w:tab/>
      </w:r>
      <w:r>
        <w:rPr>
          <w:rStyle w:val="FootnoteReference"/>
        </w:rPr>
        <w:footnoteRef/>
      </w:r>
      <w:r>
        <w:t xml:space="preserve"> </w:t>
      </w:r>
      <w:r>
        <w:tab/>
      </w:r>
      <w:r>
        <w:rPr>
          <w:i/>
          <w:iCs/>
          <w:snapToGrid/>
          <w:kern w:val="0"/>
          <w:sz w:val="20"/>
        </w:rPr>
        <w:t>Cf. Consumer Telcom, Inc.,</w:t>
      </w:r>
      <w:r>
        <w:rPr>
          <w:snapToGrid/>
          <w:kern w:val="0"/>
          <w:sz w:val="20"/>
        </w:rPr>
        <w:t xml:space="preserve"> Order on Reconsideration, 27 FCC Rcd 5340 (CGB 2012) ("the verifier's question, 'Do you have authority to make changes to your long distance service?' did not confirm that the person was authorizing a change that would result in receiving service from a different carrier").</w:t>
      </w:r>
    </w:p>
  </w:footnote>
  <w:footnote w:id="15">
    <w:p w:rsidR="005F101F" w:rsidRDefault="00675110">
      <w:pPr>
        <w:pStyle w:val="FootnoteText"/>
      </w:pPr>
      <w:r>
        <w:tab/>
      </w:r>
      <w:r>
        <w:rPr>
          <w:rStyle w:val="FootnoteReference"/>
        </w:rPr>
        <w:footnoteRef/>
      </w:r>
      <w:r>
        <w:t xml:space="preserve"> </w:t>
      </w:r>
      <w:r>
        <w:tab/>
      </w:r>
      <w:r>
        <w:rPr>
          <w:i/>
        </w:rPr>
        <w:t>See</w:t>
      </w:r>
      <w:r>
        <w:t xml:space="preserve"> </w:t>
      </w:r>
      <w:r>
        <w:rPr>
          <w:i/>
        </w:rPr>
        <w:t>Fourth Report and Order,</w:t>
      </w:r>
      <w:r>
        <w:t xml:space="preserve"> 23 FCC Rcd 493 (2008)(emphasis added); </w:t>
      </w:r>
      <w:r>
        <w:rPr>
          <w:i/>
        </w:rPr>
        <w:t>see also</w:t>
      </w:r>
      <w:r>
        <w:t xml:space="preserve"> 47 C.F.R. § 64.1120(c)(3)(iii).</w:t>
      </w:r>
    </w:p>
  </w:footnote>
  <w:footnote w:id="16">
    <w:p w:rsidR="005F101F" w:rsidRDefault="00675110">
      <w:pPr>
        <w:pStyle w:val="FootnoteText"/>
      </w:pPr>
      <w:r>
        <w:tab/>
      </w:r>
      <w:r>
        <w:rPr>
          <w:rStyle w:val="FootnoteReference"/>
        </w:rPr>
        <w:footnoteRef/>
      </w:r>
      <w:r>
        <w:t xml:space="preserve"> </w:t>
      </w:r>
      <w:r>
        <w:tab/>
        <w:t xml:space="preserve">If Complainant is unsatisfied with the resolution of this complaint, 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w:t>
      </w:r>
      <w:r>
        <w:t xml:space="preserve"> 47 C.F.R. § 1.719.</w:t>
      </w:r>
    </w:p>
  </w:footnote>
  <w:footnote w:id="17">
    <w:p w:rsidR="005F101F" w:rsidRDefault="00675110">
      <w:pPr>
        <w:pStyle w:val="FootnoteText"/>
        <w:ind w:left="720"/>
      </w:pPr>
      <w:r>
        <w:rPr>
          <w:rStyle w:val="FootnoteReference"/>
        </w:rPr>
        <w:footnoteRef/>
      </w:r>
      <w:r>
        <w:t xml:space="preserve"> </w:t>
      </w:r>
      <w:r>
        <w:tab/>
      </w:r>
      <w:r>
        <w:rPr>
          <w:i/>
        </w:rPr>
        <w:t xml:space="preserve">See </w:t>
      </w:r>
      <w:r>
        <w:t>47 C.F.R. § 64.1160(b).</w:t>
      </w:r>
    </w:p>
  </w:footnote>
  <w:footnote w:id="18">
    <w:p w:rsidR="005F101F" w:rsidRDefault="00675110">
      <w:pPr>
        <w:pStyle w:val="FootnoteText"/>
        <w:ind w:left="720"/>
      </w:pPr>
      <w:r>
        <w:rPr>
          <w:rStyle w:val="FootnoteReference"/>
        </w:rPr>
        <w:footnoteRef/>
      </w:r>
      <w:r>
        <w:t xml:space="preserve"> </w:t>
      </w:r>
      <w:r>
        <w:tab/>
      </w:r>
      <w:r>
        <w:rPr>
          <w:i/>
        </w:rPr>
        <w:t xml:space="preserve">See </w:t>
      </w:r>
      <w:r>
        <w:t>47 C.F.R. § 64.1160(d).</w:t>
      </w:r>
    </w:p>
  </w:footnote>
  <w:footnote w:id="19">
    <w:p w:rsidR="005F101F" w:rsidRDefault="00675110">
      <w:pPr>
        <w:pStyle w:val="FootnoteText"/>
      </w:pPr>
      <w:r>
        <w:tab/>
      </w:r>
      <w:r>
        <w:rPr>
          <w:rStyle w:val="FootnoteReference"/>
        </w:rPr>
        <w:footnoteRef/>
      </w:r>
      <w:r>
        <w:t xml:space="preserve"> </w:t>
      </w:r>
      <w:r>
        <w:tab/>
      </w:r>
      <w:r>
        <w:rPr>
          <w:i/>
        </w:rPr>
        <w:t>See</w:t>
      </w:r>
      <w:r>
        <w:t xml:space="preserve"> 47 C.F.R. §§ 64.1140, 64.1160.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09" w:rsidRDefault="000C5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1F" w:rsidRDefault="00675110">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DA 13-2358</w:t>
    </w:r>
  </w:p>
  <w:p w:rsidR="005F101F" w:rsidRDefault="00725D4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101F" w:rsidRDefault="005F10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UB7AIAAD0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De1yUB7AIAAD0GAAAOAAAAAAAA&#10;AAAAAAAAAC4CAABkcnMvZTJvRG9jLnhtbFBLAQItABQABgAIAAAAIQAiPO7R1wAAAAMBAAAPAAAA&#10;AAAAAAAAAAAAAEYFAABkcnMvZG93bnJldi54bWxQSwUGAAAAAAQABADzAAAASgYAAAAA&#10;" o:allowincell="f" fillcolor="black" stroked="f" strokeweight=".05pt">
              <v:textbox>
                <w:txbxContent>
                  <w:p w:rsidR="00000000" w:rsidRDefault="00675110"/>
                </w:txbxContent>
              </v:textbox>
              <w10:wrap anchorx="margin"/>
            </v:rect>
          </w:pict>
        </mc:Fallback>
      </mc:AlternateContent>
    </w:r>
  </w:p>
  <w:p w:rsidR="005F101F" w:rsidRDefault="005F101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1F" w:rsidRDefault="00675110">
    <w:pPr>
      <w:pStyle w:val="Header"/>
      <w:pBdr>
        <w:bottom w:val="single" w:sz="12" w:space="1" w:color="auto"/>
      </w:pBdr>
      <w:rPr>
        <w:b w:val="0"/>
      </w:rPr>
    </w:pPr>
    <w:r>
      <w:tab/>
      <w:t>Federal Communications Commission</w:t>
    </w:r>
    <w:r>
      <w:tab/>
      <w:t>DA 13-2358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47"/>
    <w:rsid w:val="000875E2"/>
    <w:rsid w:val="000C5209"/>
    <w:rsid w:val="005F101F"/>
    <w:rsid w:val="00675110"/>
    <w:rsid w:val="00725D47"/>
    <w:rsid w:val="00DB2705"/>
    <w:rsid w:val="00EF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vertAlign w:val="superscript"/>
    </w:rPr>
  </w:style>
  <w:style w:type="paragraph" w:styleId="TOAHeading">
    <w:name w:val="toa heading"/>
    <w:basedOn w:val="Normal"/>
    <w:next w:val="Normal"/>
    <w:semiHidden/>
    <w:pPr>
      <w:tabs>
        <w:tab w:val="right" w:pos="9360"/>
      </w:tabs>
      <w:suppressAutoHyphens/>
    </w:pPr>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Subtitle">
    <w:name w:val="Subtitle"/>
    <w:basedOn w:val="Normal"/>
    <w:qFormat/>
    <w:pPr>
      <w:ind w:firstLine="720"/>
      <w:jc w:val="center"/>
    </w:pPr>
    <w:rPr>
      <w:b/>
    </w:rPr>
  </w:style>
  <w:style w:type="character" w:styleId="Emphasis">
    <w:name w:val="Emphasis"/>
    <w:qFormat/>
    <w:rPr>
      <w:i/>
      <w:i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vertAlign w:val="superscript"/>
    </w:rPr>
  </w:style>
  <w:style w:type="paragraph" w:styleId="TOAHeading">
    <w:name w:val="toa heading"/>
    <w:basedOn w:val="Normal"/>
    <w:next w:val="Normal"/>
    <w:semiHidden/>
    <w:pPr>
      <w:tabs>
        <w:tab w:val="right" w:pos="9360"/>
      </w:tabs>
      <w:suppressAutoHyphens/>
    </w:pPr>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Subtitle">
    <w:name w:val="Subtitle"/>
    <w:basedOn w:val="Normal"/>
    <w:qFormat/>
    <w:pPr>
      <w:ind w:firstLine="720"/>
      <w:jc w:val="center"/>
    </w:pPr>
    <w:rPr>
      <w:b/>
    </w:rPr>
  </w:style>
  <w:style w:type="character" w:styleId="Emphasis">
    <w:name w:val="Emphasis"/>
    <w:qFormat/>
    <w:rPr>
      <w:i/>
      <w:i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922668">
      <w:bodyDiv w:val="1"/>
      <w:marLeft w:val="0"/>
      <w:marRight w:val="0"/>
      <w:marTop w:val="0"/>
      <w:marBottom w:val="0"/>
      <w:divBdr>
        <w:top w:val="none" w:sz="0" w:space="0" w:color="auto"/>
        <w:left w:val="none" w:sz="0" w:space="0" w:color="auto"/>
        <w:bottom w:val="none" w:sz="0" w:space="0" w:color="auto"/>
        <w:right w:val="none" w:sz="0" w:space="0" w:color="auto"/>
      </w:divBdr>
      <w:divsChild>
        <w:div w:id="137442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5050</Characters>
  <Application>Microsoft Office Word</Application>
  <DocSecurity>0</DocSecurity>
  <Lines>110</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5963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2013-12-12T14:59:00Z</cp:lastPrinted>
  <dcterms:created xsi:type="dcterms:W3CDTF">2013-12-13T21:19:00Z</dcterms:created>
  <dcterms:modified xsi:type="dcterms:W3CDTF">2013-12-13T21:19:00Z</dcterms:modified>
  <cp:category> </cp:category>
  <cp:contentStatus> </cp:contentStatus>
</cp:coreProperties>
</file>