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F6" w:rsidRPr="009834C3" w:rsidRDefault="006B61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sidRPr="009834C3">
        <w:rPr>
          <w:b/>
          <w:szCs w:val="22"/>
        </w:rPr>
        <w:tab/>
      </w:r>
      <w:r w:rsidRPr="009834C3">
        <w:rPr>
          <w:b/>
          <w:szCs w:val="22"/>
        </w:rPr>
        <w:tab/>
      </w:r>
      <w:r w:rsidRPr="009834C3">
        <w:rPr>
          <w:b/>
          <w:szCs w:val="22"/>
        </w:rPr>
        <w:tab/>
      </w:r>
      <w:r w:rsidRPr="009834C3">
        <w:rPr>
          <w:b/>
          <w:szCs w:val="22"/>
        </w:rPr>
        <w:tab/>
      </w:r>
      <w:r w:rsidRPr="009834C3">
        <w:rPr>
          <w:b/>
          <w:szCs w:val="22"/>
        </w:rPr>
        <w:tab/>
      </w:r>
      <w:r w:rsidRPr="009834C3">
        <w:rPr>
          <w:b/>
          <w:szCs w:val="22"/>
        </w:rPr>
        <w:tab/>
      </w:r>
      <w:r w:rsidRPr="009834C3">
        <w:rPr>
          <w:b/>
          <w:szCs w:val="22"/>
        </w:rPr>
        <w:tab/>
      </w:r>
      <w:r w:rsidRPr="009834C3">
        <w:rPr>
          <w:b/>
          <w:szCs w:val="22"/>
        </w:rPr>
        <w:tab/>
      </w:r>
      <w:r w:rsidRPr="009834C3">
        <w:rPr>
          <w:b/>
          <w:szCs w:val="22"/>
        </w:rPr>
        <w:tab/>
      </w:r>
      <w:r w:rsidRPr="009834C3">
        <w:rPr>
          <w:b/>
          <w:szCs w:val="22"/>
        </w:rPr>
        <w:tab/>
        <w:t xml:space="preserve">DA </w:t>
      </w:r>
      <w:r w:rsidR="002A12AB" w:rsidRPr="002A12AB">
        <w:rPr>
          <w:b/>
          <w:szCs w:val="22"/>
        </w:rPr>
        <w:t>13-2397</w:t>
      </w:r>
    </w:p>
    <w:p w:rsidR="006B61F6" w:rsidRPr="009834C3" w:rsidRDefault="006B61F6" w:rsidP="00CB35C6">
      <w:pPr>
        <w:jc w:val="right"/>
        <w:rPr>
          <w:b/>
          <w:szCs w:val="22"/>
        </w:rPr>
      </w:pPr>
      <w:r w:rsidRPr="009834C3">
        <w:rPr>
          <w:b/>
          <w:szCs w:val="22"/>
        </w:rPr>
        <w:tab/>
      </w:r>
      <w:r w:rsidRPr="009834C3">
        <w:rPr>
          <w:b/>
          <w:szCs w:val="22"/>
        </w:rPr>
        <w:tab/>
      </w:r>
      <w:r w:rsidRPr="009834C3">
        <w:rPr>
          <w:b/>
          <w:szCs w:val="22"/>
        </w:rPr>
        <w:tab/>
      </w:r>
      <w:r w:rsidRPr="009834C3">
        <w:rPr>
          <w:b/>
          <w:szCs w:val="22"/>
        </w:rPr>
        <w:tab/>
      </w:r>
      <w:r w:rsidRPr="009834C3">
        <w:rPr>
          <w:b/>
          <w:szCs w:val="22"/>
        </w:rPr>
        <w:tab/>
      </w:r>
      <w:r w:rsidRPr="009834C3">
        <w:rPr>
          <w:b/>
          <w:szCs w:val="22"/>
        </w:rPr>
        <w:tab/>
      </w:r>
      <w:r w:rsidRPr="009834C3">
        <w:rPr>
          <w:b/>
          <w:szCs w:val="22"/>
        </w:rPr>
        <w:tab/>
      </w:r>
      <w:r w:rsidRPr="009834C3">
        <w:rPr>
          <w:b/>
          <w:szCs w:val="22"/>
        </w:rPr>
        <w:tab/>
        <w:t xml:space="preserve">Released: </w:t>
      </w:r>
      <w:r w:rsidR="003A6484" w:rsidRPr="009834C3">
        <w:rPr>
          <w:b/>
          <w:szCs w:val="22"/>
        </w:rPr>
        <w:t>December</w:t>
      </w:r>
      <w:r w:rsidR="00E159BC" w:rsidRPr="009834C3">
        <w:rPr>
          <w:b/>
          <w:szCs w:val="22"/>
        </w:rPr>
        <w:t xml:space="preserve"> </w:t>
      </w:r>
      <w:r w:rsidR="00905CC4">
        <w:rPr>
          <w:b/>
          <w:szCs w:val="22"/>
        </w:rPr>
        <w:t>16</w:t>
      </w:r>
      <w:r w:rsidRPr="009834C3">
        <w:rPr>
          <w:b/>
          <w:szCs w:val="22"/>
        </w:rPr>
        <w:t>, 2013</w:t>
      </w:r>
    </w:p>
    <w:p w:rsidR="00304C68" w:rsidRPr="009834C3" w:rsidRDefault="00304C68">
      <w:pPr>
        <w:rPr>
          <w:b/>
          <w:szCs w:val="22"/>
        </w:rPr>
      </w:pPr>
    </w:p>
    <w:p w:rsidR="002441AE" w:rsidRPr="009834C3" w:rsidRDefault="002441AE">
      <w:pPr>
        <w:rPr>
          <w:b/>
          <w:szCs w:val="22"/>
        </w:rPr>
      </w:pPr>
    </w:p>
    <w:p w:rsidR="005E785D" w:rsidRPr="009834C3" w:rsidRDefault="007E2582" w:rsidP="009808C5">
      <w:pPr>
        <w:pStyle w:val="BlockText"/>
        <w:widowControl/>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sidRPr="009834C3">
        <w:rPr>
          <w:b/>
          <w:kern w:val="0"/>
          <w:szCs w:val="22"/>
        </w:rPr>
        <w:t xml:space="preserve">MEDIA BUREAU </w:t>
      </w:r>
      <w:r w:rsidR="00B001B9" w:rsidRPr="009834C3">
        <w:rPr>
          <w:b/>
          <w:kern w:val="0"/>
          <w:szCs w:val="22"/>
        </w:rPr>
        <w:t>IDENTIFIES</w:t>
      </w:r>
      <w:r w:rsidR="005D65F5" w:rsidRPr="009834C3">
        <w:rPr>
          <w:b/>
          <w:kern w:val="0"/>
          <w:szCs w:val="22"/>
        </w:rPr>
        <w:t xml:space="preserve"> MUTUALLY EXCLUSIVE </w:t>
      </w:r>
      <w:r w:rsidR="00AD3225" w:rsidRPr="009834C3">
        <w:rPr>
          <w:b/>
          <w:kern w:val="0"/>
          <w:szCs w:val="22"/>
        </w:rPr>
        <w:t>APPLICATIONS FILED IN</w:t>
      </w:r>
      <w:r w:rsidR="005D65F5" w:rsidRPr="009834C3">
        <w:rPr>
          <w:b/>
          <w:kern w:val="0"/>
          <w:szCs w:val="22"/>
        </w:rPr>
        <w:t xml:space="preserve"> THE </w:t>
      </w:r>
      <w:r w:rsidR="00D16724" w:rsidRPr="009834C3">
        <w:rPr>
          <w:b/>
          <w:kern w:val="0"/>
          <w:szCs w:val="22"/>
        </w:rPr>
        <w:t>LPFM WINDOW</w:t>
      </w:r>
      <w:r w:rsidR="00D11DB0">
        <w:rPr>
          <w:b/>
          <w:kern w:val="0"/>
          <w:szCs w:val="22"/>
        </w:rPr>
        <w:t xml:space="preserve"> AND ANNOUNCES </w:t>
      </w:r>
      <w:r w:rsidR="009C044B">
        <w:rPr>
          <w:b/>
          <w:kern w:val="0"/>
          <w:szCs w:val="22"/>
        </w:rPr>
        <w:t>6</w:t>
      </w:r>
      <w:r w:rsidR="00D11DB0">
        <w:rPr>
          <w:b/>
          <w:kern w:val="0"/>
          <w:szCs w:val="22"/>
        </w:rPr>
        <w:t>0-DAY SETTLEMENT PERIOD</w:t>
      </w:r>
      <w:r w:rsidR="009808C5" w:rsidRPr="009834C3">
        <w:rPr>
          <w:b/>
          <w:kern w:val="0"/>
          <w:szCs w:val="22"/>
        </w:rPr>
        <w:t xml:space="preserve">; </w:t>
      </w:r>
    </w:p>
    <w:p w:rsidR="00FD2319" w:rsidRPr="009834C3" w:rsidRDefault="00D11DB0" w:rsidP="009808C5">
      <w:pPr>
        <w:pStyle w:val="BlockText"/>
        <w:widowControl/>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szCs w:val="22"/>
        </w:rPr>
        <w:t>CDBS IS NOW ACCEPTING FORM 318 AMENDMENTS</w:t>
      </w:r>
    </w:p>
    <w:p w:rsidR="006B61F6" w:rsidRPr="009834C3" w:rsidRDefault="006B61F6">
      <w:pPr>
        <w:pStyle w:val="BlockText"/>
        <w:widowControl/>
        <w:tabs>
          <w:tab w:val="left" w:pos="810"/>
        </w:tabs>
        <w:spacing w:after="0"/>
        <w:ind w:left="720" w:right="0"/>
        <w:jc w:val="center"/>
        <w:rPr>
          <w:b/>
          <w:szCs w:val="22"/>
        </w:rPr>
      </w:pPr>
    </w:p>
    <w:p w:rsidR="003A6DE7" w:rsidRPr="009834C3" w:rsidRDefault="00304C68" w:rsidP="00FD2319">
      <w:pPr>
        <w:tabs>
          <w:tab w:val="left" w:pos="1"/>
          <w:tab w:val="left" w:pos="720"/>
          <w:tab w:val="left" w:pos="1440"/>
          <w:tab w:val="right" w:pos="9360"/>
        </w:tabs>
        <w:rPr>
          <w:szCs w:val="22"/>
        </w:rPr>
      </w:pPr>
      <w:r w:rsidRPr="009834C3">
        <w:rPr>
          <w:szCs w:val="22"/>
        </w:rPr>
        <w:tab/>
      </w:r>
      <w:r w:rsidR="005D65F5" w:rsidRPr="009834C3">
        <w:rPr>
          <w:szCs w:val="22"/>
        </w:rPr>
        <w:t>By t</w:t>
      </w:r>
      <w:r w:rsidR="00D16724" w:rsidRPr="009834C3">
        <w:rPr>
          <w:szCs w:val="22"/>
        </w:rPr>
        <w:t xml:space="preserve">his Public </w:t>
      </w:r>
      <w:r w:rsidR="005D65F5" w:rsidRPr="009834C3">
        <w:rPr>
          <w:szCs w:val="22"/>
        </w:rPr>
        <w:t xml:space="preserve">Notice, </w:t>
      </w:r>
      <w:r w:rsidR="00D16724" w:rsidRPr="009834C3">
        <w:rPr>
          <w:szCs w:val="22"/>
        </w:rPr>
        <w:t>the Media Bureau (</w:t>
      </w:r>
      <w:r w:rsidR="00AD0FD0" w:rsidRPr="009834C3">
        <w:rPr>
          <w:szCs w:val="22"/>
        </w:rPr>
        <w:t>“</w:t>
      </w:r>
      <w:r w:rsidR="00F00C7D" w:rsidRPr="009834C3">
        <w:rPr>
          <w:szCs w:val="22"/>
        </w:rPr>
        <w:t>Bureau</w:t>
      </w:r>
      <w:r w:rsidR="00AD0FD0" w:rsidRPr="009834C3">
        <w:rPr>
          <w:szCs w:val="22"/>
        </w:rPr>
        <w:t>”</w:t>
      </w:r>
      <w:r w:rsidR="00D16724" w:rsidRPr="009834C3">
        <w:rPr>
          <w:szCs w:val="22"/>
        </w:rPr>
        <w:t xml:space="preserve">) </w:t>
      </w:r>
      <w:r w:rsidR="00B001B9" w:rsidRPr="009834C3">
        <w:rPr>
          <w:szCs w:val="22"/>
        </w:rPr>
        <w:t xml:space="preserve">identifies </w:t>
      </w:r>
      <w:r w:rsidR="00234237">
        <w:rPr>
          <w:szCs w:val="22"/>
        </w:rPr>
        <w:t xml:space="preserve">by group </w:t>
      </w:r>
      <w:r w:rsidR="00B001B9" w:rsidRPr="009834C3">
        <w:rPr>
          <w:szCs w:val="22"/>
        </w:rPr>
        <w:t>all of the mutually exclusive (“MX”) application</w:t>
      </w:r>
      <w:r w:rsidR="00D11DB0">
        <w:rPr>
          <w:szCs w:val="22"/>
        </w:rPr>
        <w:t>s filed in the recent LPFM window</w:t>
      </w:r>
      <w:r w:rsidR="00B001B9" w:rsidRPr="009834C3">
        <w:rPr>
          <w:szCs w:val="22"/>
        </w:rPr>
        <w:t xml:space="preserve"> </w:t>
      </w:r>
      <w:r w:rsidR="003A6DE7" w:rsidRPr="009834C3">
        <w:rPr>
          <w:szCs w:val="22"/>
        </w:rPr>
        <w:t>(“</w:t>
      </w:r>
      <w:r w:rsidR="000548CC" w:rsidRPr="009834C3">
        <w:rPr>
          <w:szCs w:val="22"/>
        </w:rPr>
        <w:t>LPFM W</w:t>
      </w:r>
      <w:r w:rsidR="003A6DE7" w:rsidRPr="009834C3">
        <w:rPr>
          <w:szCs w:val="22"/>
        </w:rPr>
        <w:t>indow”)</w:t>
      </w:r>
      <w:r w:rsidR="00B001B9" w:rsidRPr="009834C3">
        <w:rPr>
          <w:szCs w:val="22"/>
        </w:rPr>
        <w:t>.</w:t>
      </w:r>
      <w:r w:rsidR="006977BB" w:rsidRPr="009834C3">
        <w:rPr>
          <w:szCs w:val="22"/>
        </w:rPr>
        <w:t xml:space="preserve">  </w:t>
      </w:r>
      <w:r w:rsidR="000A5C76">
        <w:rPr>
          <w:szCs w:val="22"/>
        </w:rPr>
        <w:t xml:space="preserve">Effective today, </w:t>
      </w:r>
      <w:r w:rsidR="003A6DE7" w:rsidRPr="009834C3">
        <w:rPr>
          <w:szCs w:val="22"/>
        </w:rPr>
        <w:t xml:space="preserve">applicants </w:t>
      </w:r>
      <w:r w:rsidR="000A5C76">
        <w:rPr>
          <w:szCs w:val="22"/>
        </w:rPr>
        <w:t xml:space="preserve">may also </w:t>
      </w:r>
      <w:r w:rsidR="00777143">
        <w:rPr>
          <w:szCs w:val="22"/>
        </w:rPr>
        <w:t xml:space="preserve">electronically </w:t>
      </w:r>
      <w:r w:rsidR="003A6DE7" w:rsidRPr="009834C3">
        <w:rPr>
          <w:szCs w:val="22"/>
        </w:rPr>
        <w:t>file certain amendments</w:t>
      </w:r>
      <w:r w:rsidR="00AD0FD0" w:rsidRPr="009834C3">
        <w:rPr>
          <w:szCs w:val="22"/>
        </w:rPr>
        <w:t xml:space="preserve"> using the Commission’s Consolidated Database System (“CDBS”)</w:t>
      </w:r>
      <w:r w:rsidR="003A6DE7" w:rsidRPr="009834C3">
        <w:rPr>
          <w:szCs w:val="22"/>
        </w:rPr>
        <w:t xml:space="preserve">.  </w:t>
      </w:r>
      <w:r w:rsidR="000A5C76">
        <w:rPr>
          <w:szCs w:val="22"/>
        </w:rPr>
        <w:t>The Bureau will provide expedited processing for all amendments, settlement requests and time-share agreements</w:t>
      </w:r>
      <w:r w:rsidR="00925EC4" w:rsidRPr="009834C3">
        <w:rPr>
          <w:szCs w:val="22"/>
        </w:rPr>
        <w:t xml:space="preserve"> </w:t>
      </w:r>
      <w:r w:rsidR="000A5C76">
        <w:rPr>
          <w:szCs w:val="22"/>
        </w:rPr>
        <w:t xml:space="preserve">filed </w:t>
      </w:r>
      <w:r w:rsidR="00D231C4">
        <w:rPr>
          <w:szCs w:val="22"/>
        </w:rPr>
        <w:t xml:space="preserve">during the next </w:t>
      </w:r>
      <w:r w:rsidR="009C044B">
        <w:rPr>
          <w:szCs w:val="22"/>
        </w:rPr>
        <w:t>6</w:t>
      </w:r>
      <w:r w:rsidR="00D231C4">
        <w:rPr>
          <w:szCs w:val="22"/>
        </w:rPr>
        <w:t xml:space="preserve">0 days </w:t>
      </w:r>
      <w:r w:rsidR="006977BB" w:rsidRPr="009834C3">
        <w:rPr>
          <w:szCs w:val="22"/>
        </w:rPr>
        <w:t>to resolve technical conflicts</w:t>
      </w:r>
      <w:r w:rsidR="00925EC4" w:rsidRPr="009834C3">
        <w:rPr>
          <w:szCs w:val="22"/>
        </w:rPr>
        <w:t>.</w:t>
      </w:r>
      <w:r w:rsidR="006977BB" w:rsidRPr="009834C3">
        <w:rPr>
          <w:szCs w:val="22"/>
        </w:rPr>
        <w:t xml:space="preserve">  </w:t>
      </w:r>
    </w:p>
    <w:p w:rsidR="003A6DE7" w:rsidRPr="009834C3" w:rsidRDefault="003A6DE7" w:rsidP="00FD2319">
      <w:pPr>
        <w:tabs>
          <w:tab w:val="left" w:pos="1"/>
          <w:tab w:val="left" w:pos="720"/>
          <w:tab w:val="left" w:pos="1440"/>
          <w:tab w:val="right" w:pos="9360"/>
        </w:tabs>
        <w:rPr>
          <w:szCs w:val="22"/>
        </w:rPr>
      </w:pPr>
    </w:p>
    <w:p w:rsidR="006977BB" w:rsidRPr="009834C3" w:rsidRDefault="006977BB" w:rsidP="006977BB">
      <w:pPr>
        <w:tabs>
          <w:tab w:val="left" w:pos="1"/>
          <w:tab w:val="left" w:pos="720"/>
          <w:tab w:val="left" w:pos="1440"/>
          <w:tab w:val="right" w:pos="9360"/>
        </w:tabs>
        <w:rPr>
          <w:szCs w:val="22"/>
        </w:rPr>
      </w:pPr>
      <w:r w:rsidRPr="009834C3">
        <w:rPr>
          <w:b/>
          <w:szCs w:val="22"/>
        </w:rPr>
        <w:t xml:space="preserve">Mutually Exclusive Groups:  </w:t>
      </w:r>
      <w:r w:rsidRPr="009834C3">
        <w:rPr>
          <w:szCs w:val="22"/>
        </w:rPr>
        <w:t xml:space="preserve">When the distance between two window applications does not meet the minimum distance separation requirements specified in 47 C.F.R. § 73.807, the applications are treated as MX.  An MX group consists of all applications which are MX to at least one other application in the group.  Attachment A identifies all MX </w:t>
      </w:r>
      <w:r w:rsidR="000548CC" w:rsidRPr="009834C3">
        <w:rPr>
          <w:szCs w:val="22"/>
        </w:rPr>
        <w:t xml:space="preserve">Groups </w:t>
      </w:r>
      <w:r w:rsidR="00D231C4">
        <w:rPr>
          <w:szCs w:val="22"/>
        </w:rPr>
        <w:t>and lists all applications in each group</w:t>
      </w:r>
      <w:r w:rsidRPr="009834C3">
        <w:rPr>
          <w:szCs w:val="22"/>
        </w:rPr>
        <w:t>.</w:t>
      </w:r>
    </w:p>
    <w:p w:rsidR="003A6DE7" w:rsidRPr="009834C3" w:rsidRDefault="003A6DE7" w:rsidP="006977BB">
      <w:pPr>
        <w:tabs>
          <w:tab w:val="left" w:pos="1"/>
          <w:tab w:val="left" w:pos="720"/>
          <w:tab w:val="left" w:pos="1440"/>
          <w:tab w:val="right" w:pos="9360"/>
        </w:tabs>
        <w:rPr>
          <w:szCs w:val="22"/>
        </w:rPr>
      </w:pPr>
    </w:p>
    <w:p w:rsidR="003A6DE7" w:rsidRDefault="00A1368E" w:rsidP="006977BB">
      <w:pPr>
        <w:tabs>
          <w:tab w:val="left" w:pos="1"/>
          <w:tab w:val="left" w:pos="720"/>
          <w:tab w:val="left" w:pos="1440"/>
          <w:tab w:val="right" w:pos="9360"/>
        </w:tabs>
      </w:pPr>
      <w:r>
        <w:rPr>
          <w:szCs w:val="22"/>
        </w:rPr>
        <w:t xml:space="preserve">The Bureau has </w:t>
      </w:r>
      <w:r w:rsidRPr="00CE10AD">
        <w:rPr>
          <w:b/>
          <w:szCs w:val="22"/>
        </w:rPr>
        <w:t>not</w:t>
      </w:r>
      <w:r>
        <w:rPr>
          <w:szCs w:val="22"/>
        </w:rPr>
        <w:t xml:space="preserve"> made either </w:t>
      </w:r>
      <w:r w:rsidR="003A6DE7" w:rsidRPr="009834C3">
        <w:rPr>
          <w:szCs w:val="22"/>
        </w:rPr>
        <w:t xml:space="preserve">acceptability or grantability </w:t>
      </w:r>
      <w:r>
        <w:rPr>
          <w:szCs w:val="22"/>
        </w:rPr>
        <w:t xml:space="preserve">determinations with regard to the applications listed in Appendix A.  </w:t>
      </w:r>
      <w:r w:rsidR="00F65603" w:rsidRPr="009834C3">
        <w:rPr>
          <w:szCs w:val="22"/>
        </w:rPr>
        <w:t>The Bureau</w:t>
      </w:r>
      <w:r w:rsidR="00844946" w:rsidRPr="009834C3">
        <w:rPr>
          <w:szCs w:val="22"/>
        </w:rPr>
        <w:t xml:space="preserve"> later</w:t>
      </w:r>
      <w:r w:rsidR="00F65603" w:rsidRPr="009834C3">
        <w:rPr>
          <w:szCs w:val="22"/>
        </w:rPr>
        <w:t xml:space="preserve"> could determine that one or more applications within a</w:t>
      </w:r>
      <w:r w:rsidR="00DC4771">
        <w:rPr>
          <w:szCs w:val="22"/>
        </w:rPr>
        <w:t>n</w:t>
      </w:r>
      <w:r w:rsidR="00F65603" w:rsidRPr="009834C3">
        <w:rPr>
          <w:szCs w:val="22"/>
        </w:rPr>
        <w:t xml:space="preserve"> MX group cannot be accepted for filing or granted.</w:t>
      </w:r>
      <w:r w:rsidR="003A6DE7" w:rsidRPr="009834C3">
        <w:rPr>
          <w:szCs w:val="22"/>
        </w:rPr>
        <w:t xml:space="preserve">  The applications identified in the MX groups</w:t>
      </w:r>
      <w:r w:rsidR="00CD3F66" w:rsidRPr="009834C3">
        <w:rPr>
          <w:szCs w:val="22"/>
        </w:rPr>
        <w:t xml:space="preserve"> also</w:t>
      </w:r>
      <w:r w:rsidR="003A6DE7" w:rsidRPr="009834C3">
        <w:rPr>
          <w:szCs w:val="22"/>
        </w:rPr>
        <w:t xml:space="preserve"> may </w:t>
      </w:r>
      <w:r w:rsidR="000F4BB3" w:rsidRPr="009834C3">
        <w:rPr>
          <w:szCs w:val="22"/>
        </w:rPr>
        <w:t xml:space="preserve">include applications the Bureau has determined </w:t>
      </w:r>
      <w:r w:rsidR="00605137">
        <w:rPr>
          <w:szCs w:val="22"/>
        </w:rPr>
        <w:t xml:space="preserve">or may at a future date determine </w:t>
      </w:r>
      <w:r>
        <w:rPr>
          <w:szCs w:val="22"/>
        </w:rPr>
        <w:t>are subject to dismissal</w:t>
      </w:r>
      <w:r w:rsidR="00777143">
        <w:rPr>
          <w:szCs w:val="22"/>
        </w:rPr>
        <w:t xml:space="preserve"> for legal and/or technical defects</w:t>
      </w:r>
      <w:r>
        <w:rPr>
          <w:szCs w:val="22"/>
        </w:rPr>
        <w:t>.</w:t>
      </w:r>
      <w:r w:rsidR="000F4BB3" w:rsidRPr="009834C3">
        <w:rPr>
          <w:rStyle w:val="FootnoteReference"/>
          <w:szCs w:val="22"/>
        </w:rPr>
        <w:footnoteReference w:id="1"/>
      </w:r>
      <w:r w:rsidR="008E7255" w:rsidRPr="009834C3">
        <w:rPr>
          <w:szCs w:val="22"/>
        </w:rPr>
        <w:t xml:space="preserve">  </w:t>
      </w:r>
    </w:p>
    <w:p w:rsidR="00605137" w:rsidRDefault="00605137" w:rsidP="006977BB">
      <w:pPr>
        <w:tabs>
          <w:tab w:val="left" w:pos="1"/>
          <w:tab w:val="left" w:pos="720"/>
          <w:tab w:val="left" w:pos="1440"/>
          <w:tab w:val="right" w:pos="9360"/>
        </w:tabs>
      </w:pPr>
    </w:p>
    <w:p w:rsidR="00605137" w:rsidRPr="00621B67" w:rsidRDefault="00605137" w:rsidP="006977BB">
      <w:pPr>
        <w:tabs>
          <w:tab w:val="left" w:pos="1"/>
          <w:tab w:val="left" w:pos="720"/>
          <w:tab w:val="left" w:pos="1440"/>
          <w:tab w:val="right" w:pos="9360"/>
        </w:tabs>
      </w:pPr>
      <w:r>
        <w:rPr>
          <w:b/>
        </w:rPr>
        <w:t xml:space="preserve">Resolution of Application Conflicts:  </w:t>
      </w:r>
      <w:r w:rsidR="00621B67">
        <w:t xml:space="preserve">As discussed in the </w:t>
      </w:r>
      <w:r w:rsidR="00621B67">
        <w:rPr>
          <w:i/>
        </w:rPr>
        <w:t>LPFM Processing PN</w:t>
      </w:r>
      <w:r w:rsidR="00621B67">
        <w:t>,</w:t>
      </w:r>
      <w:r w:rsidR="00621B67">
        <w:rPr>
          <w:rStyle w:val="FootnoteReference"/>
        </w:rPr>
        <w:footnoteReference w:id="2"/>
      </w:r>
      <w:r w:rsidR="00621B67">
        <w:t xml:space="preserve"> MX applicants may resolve technical conflicts through three methods – technical</w:t>
      </w:r>
      <w:r w:rsidR="00DC4771">
        <w:t xml:space="preserve"> amendments, settlements and tim</w:t>
      </w:r>
      <w:r w:rsidR="00621B67">
        <w:t>e-share agreements.  To receive expedited processing</w:t>
      </w:r>
      <w:r w:rsidR="004B352E">
        <w:t>,</w:t>
      </w:r>
      <w:r w:rsidR="00621B67">
        <w:t xml:space="preserve"> any such filing must eliminate all technical conflicts between at least one application and all other applications in the MX group.</w:t>
      </w:r>
      <w:r w:rsidR="008E2E97">
        <w:t xml:space="preserve">  </w:t>
      </w:r>
    </w:p>
    <w:p w:rsidR="00CD3F66" w:rsidRPr="009834C3" w:rsidRDefault="00CD3F66" w:rsidP="006977BB">
      <w:pPr>
        <w:tabs>
          <w:tab w:val="left" w:pos="1"/>
          <w:tab w:val="left" w:pos="720"/>
          <w:tab w:val="left" w:pos="1440"/>
          <w:tab w:val="right" w:pos="9360"/>
        </w:tabs>
        <w:rPr>
          <w:szCs w:val="22"/>
        </w:rPr>
      </w:pPr>
    </w:p>
    <w:p w:rsidR="00CD3F66" w:rsidRPr="009834C3" w:rsidRDefault="003A6DE7" w:rsidP="00CD3F66">
      <w:pPr>
        <w:tabs>
          <w:tab w:val="left" w:pos="1"/>
          <w:tab w:val="left" w:pos="720"/>
          <w:tab w:val="left" w:pos="1440"/>
          <w:tab w:val="right" w:pos="9360"/>
        </w:tabs>
        <w:rPr>
          <w:szCs w:val="22"/>
        </w:rPr>
      </w:pPr>
      <w:r w:rsidRPr="009834C3">
        <w:rPr>
          <w:b/>
          <w:szCs w:val="22"/>
        </w:rPr>
        <w:t>Amendments:</w:t>
      </w:r>
      <w:r w:rsidR="00F77694" w:rsidRPr="009834C3">
        <w:rPr>
          <w:b/>
          <w:szCs w:val="22"/>
        </w:rPr>
        <w:t xml:space="preserve">  </w:t>
      </w:r>
      <w:r w:rsidR="00F77694" w:rsidRPr="009834C3">
        <w:rPr>
          <w:rStyle w:val="documentbody1"/>
          <w:rFonts w:ascii="Times New Roman" w:hAnsi="Times New Roman"/>
          <w:sz w:val="22"/>
          <w:szCs w:val="22"/>
        </w:rPr>
        <w:t xml:space="preserve">Simultaneously with the release of this Public Notice, </w:t>
      </w:r>
      <w:r w:rsidR="00A1368E">
        <w:rPr>
          <w:rStyle w:val="documentbody1"/>
          <w:rFonts w:ascii="Times New Roman" w:hAnsi="Times New Roman"/>
          <w:sz w:val="22"/>
          <w:szCs w:val="22"/>
        </w:rPr>
        <w:t xml:space="preserve">CDBS is being modified to permit the electronic filing of </w:t>
      </w:r>
      <w:r w:rsidR="00CD3F66" w:rsidRPr="009834C3">
        <w:rPr>
          <w:rStyle w:val="documentbody1"/>
          <w:rFonts w:ascii="Times New Roman" w:hAnsi="Times New Roman"/>
          <w:sz w:val="22"/>
          <w:szCs w:val="22"/>
        </w:rPr>
        <w:t xml:space="preserve">certain amendments.  As stated in </w:t>
      </w:r>
      <w:r w:rsidR="00621B67">
        <w:rPr>
          <w:rStyle w:val="documentbody1"/>
          <w:rFonts w:ascii="Times New Roman" w:hAnsi="Times New Roman"/>
          <w:sz w:val="22"/>
          <w:szCs w:val="22"/>
        </w:rPr>
        <w:t xml:space="preserve">the </w:t>
      </w:r>
      <w:r w:rsidR="00621B67">
        <w:rPr>
          <w:rStyle w:val="documentbody1"/>
          <w:rFonts w:ascii="Times New Roman" w:hAnsi="Times New Roman"/>
          <w:i/>
          <w:sz w:val="22"/>
          <w:szCs w:val="22"/>
        </w:rPr>
        <w:t xml:space="preserve">LPFM Processing PN, </w:t>
      </w:r>
      <w:r w:rsidR="00CD3F66" w:rsidRPr="009834C3">
        <w:rPr>
          <w:szCs w:val="22"/>
        </w:rPr>
        <w:t>applicants may only file “minor” amendments during this period.</w:t>
      </w:r>
      <w:r w:rsidR="00CD3F66" w:rsidRPr="009834C3">
        <w:rPr>
          <w:rStyle w:val="FootnoteReference"/>
          <w:szCs w:val="22"/>
        </w:rPr>
        <w:footnoteReference w:id="3"/>
      </w:r>
      <w:r w:rsidR="00CD3F66" w:rsidRPr="009834C3">
        <w:rPr>
          <w:szCs w:val="22"/>
        </w:rPr>
        <w:t xml:space="preserve">  </w:t>
      </w:r>
      <w:r w:rsidR="00621B67">
        <w:rPr>
          <w:szCs w:val="22"/>
        </w:rPr>
        <w:t>These</w:t>
      </w:r>
      <w:r w:rsidR="00CD3F66" w:rsidRPr="009834C3">
        <w:rPr>
          <w:szCs w:val="22"/>
        </w:rPr>
        <w:t xml:space="preserve"> include: (1) site relocations of 5.6 kilometers or less; (2) channel changes of no more than +/- three channels or to an intermediate frequency (+/- 53 or 54) </w:t>
      </w:r>
      <w:r w:rsidR="00CD3F66" w:rsidRPr="009834C3">
        <w:rPr>
          <w:szCs w:val="22"/>
        </w:rPr>
        <w:lastRenderedPageBreak/>
        <w:t>channel; (3) partial and universal voluntary time-sharing agreements; (4) changes in general or legal information; (5) changes in ownership where the original parties retain more than 50 percent ownership in the application as originally filed.  Site relocation amendments of more than 5.6 kilometers will be permitted for time-share proponents</w:t>
      </w:r>
      <w:r w:rsidR="00CD3F66" w:rsidRPr="009834C3">
        <w:rPr>
          <w:rStyle w:val="FootnoteReference"/>
          <w:szCs w:val="22"/>
        </w:rPr>
        <w:footnoteReference w:id="4"/>
      </w:r>
      <w:r w:rsidR="00CD3F66" w:rsidRPr="009834C3">
        <w:rPr>
          <w:szCs w:val="22"/>
        </w:rPr>
        <w:t xml:space="preserve"> to relocate to a common transmitter site.</w:t>
      </w:r>
    </w:p>
    <w:p w:rsidR="00CD3F66" w:rsidRPr="009834C3" w:rsidRDefault="00CD3F66" w:rsidP="00CD3F66">
      <w:pPr>
        <w:tabs>
          <w:tab w:val="left" w:pos="1"/>
          <w:tab w:val="left" w:pos="720"/>
          <w:tab w:val="left" w:pos="1440"/>
          <w:tab w:val="right" w:pos="9360"/>
        </w:tabs>
        <w:rPr>
          <w:szCs w:val="22"/>
        </w:rPr>
      </w:pPr>
    </w:p>
    <w:p w:rsidR="00CD3F66" w:rsidRDefault="006F0CAC" w:rsidP="00CD3F66">
      <w:pPr>
        <w:tabs>
          <w:tab w:val="left" w:pos="1"/>
          <w:tab w:val="left" w:pos="720"/>
          <w:tab w:val="left" w:pos="1440"/>
          <w:tab w:val="right" w:pos="9360"/>
        </w:tabs>
        <w:rPr>
          <w:szCs w:val="22"/>
        </w:rPr>
      </w:pPr>
      <w:r w:rsidRPr="009834C3">
        <w:rPr>
          <w:szCs w:val="22"/>
        </w:rPr>
        <w:t xml:space="preserve">The Bureau reminds applicants that they </w:t>
      </w:r>
      <w:r w:rsidR="00CD3F66" w:rsidRPr="009834C3">
        <w:rPr>
          <w:b/>
          <w:szCs w:val="22"/>
        </w:rPr>
        <w:t>may not</w:t>
      </w:r>
      <w:r w:rsidR="00CD3F66" w:rsidRPr="009834C3">
        <w:rPr>
          <w:szCs w:val="22"/>
        </w:rPr>
        <w:t xml:space="preserve"> amend their applications to increase their comparative point total and </w:t>
      </w:r>
      <w:r w:rsidR="00CD3F66" w:rsidRPr="009834C3">
        <w:rPr>
          <w:b/>
          <w:szCs w:val="22"/>
        </w:rPr>
        <w:t>may not</w:t>
      </w:r>
      <w:r w:rsidR="00CD3F66" w:rsidRPr="009834C3">
        <w:rPr>
          <w:szCs w:val="22"/>
        </w:rPr>
        <w:t xml:space="preserve"> amend their applications to come into compliance with the minimum separation requirements provided in 47 C.F.R. § 73.807.</w:t>
      </w:r>
      <w:r w:rsidR="008E2E97">
        <w:rPr>
          <w:szCs w:val="22"/>
        </w:rPr>
        <w:t xml:space="preserve">  Technical amendments may not create any new application conflicts</w:t>
      </w:r>
      <w:r w:rsidR="001D7342">
        <w:rPr>
          <w:szCs w:val="22"/>
        </w:rPr>
        <w:t xml:space="preserve"> and </w:t>
      </w:r>
      <w:r w:rsidR="001D7342" w:rsidRPr="009834C3">
        <w:rPr>
          <w:rStyle w:val="documentbody1"/>
          <w:rFonts w:ascii="Times New Roman" w:hAnsi="Times New Roman"/>
          <w:color w:val="000000"/>
          <w:sz w:val="22"/>
          <w:szCs w:val="22"/>
        </w:rPr>
        <w:t xml:space="preserve">must specify rule-compliant facilities.  Applicants filing technical amendments should carefully consider all legal, </w:t>
      </w:r>
      <w:r w:rsidR="001D7342" w:rsidRPr="009834C3">
        <w:rPr>
          <w:rStyle w:val="documentbody1"/>
          <w:rFonts w:ascii="Times New Roman" w:hAnsi="Times New Roman"/>
          <w:i/>
          <w:color w:val="000000"/>
          <w:sz w:val="22"/>
          <w:szCs w:val="22"/>
        </w:rPr>
        <w:t>e.g.</w:t>
      </w:r>
      <w:r w:rsidR="001D7342" w:rsidRPr="009834C3">
        <w:rPr>
          <w:rStyle w:val="documentbody1"/>
          <w:rFonts w:ascii="Times New Roman" w:hAnsi="Times New Roman"/>
          <w:color w:val="000000"/>
          <w:sz w:val="22"/>
          <w:szCs w:val="22"/>
        </w:rPr>
        <w:t>, maintaining eligibility as a “local” applicant,</w:t>
      </w:r>
      <w:r w:rsidR="001D7342" w:rsidRPr="009834C3">
        <w:rPr>
          <w:rStyle w:val="FootnoteReference"/>
          <w:color w:val="000000"/>
          <w:szCs w:val="22"/>
        </w:rPr>
        <w:footnoteReference w:id="5"/>
      </w:r>
      <w:r w:rsidR="001D7342" w:rsidRPr="009834C3">
        <w:rPr>
          <w:rStyle w:val="documentbody1"/>
          <w:rFonts w:ascii="Times New Roman" w:hAnsi="Times New Roman"/>
          <w:color w:val="000000"/>
          <w:sz w:val="22"/>
          <w:szCs w:val="22"/>
        </w:rPr>
        <w:t xml:space="preserve"> and technical requirements.</w:t>
      </w:r>
      <w:r w:rsidR="001D7342">
        <w:rPr>
          <w:rStyle w:val="documentbody1"/>
          <w:rFonts w:ascii="Times New Roman" w:hAnsi="Times New Roman"/>
          <w:color w:val="000000"/>
          <w:sz w:val="22"/>
          <w:szCs w:val="22"/>
        </w:rPr>
        <w:t xml:space="preserve">  </w:t>
      </w:r>
      <w:r w:rsidR="001D7342" w:rsidRPr="009834C3">
        <w:rPr>
          <w:rStyle w:val="documentbody1"/>
          <w:rFonts w:ascii="Times New Roman" w:hAnsi="Times New Roman"/>
          <w:color w:val="000000"/>
          <w:sz w:val="22"/>
          <w:szCs w:val="22"/>
        </w:rPr>
        <w:t>Applicants may file technical amendments as part of a</w:t>
      </w:r>
      <w:r w:rsidR="001D7342">
        <w:rPr>
          <w:rStyle w:val="documentbody1"/>
          <w:rFonts w:ascii="Times New Roman" w:hAnsi="Times New Roman"/>
          <w:color w:val="000000"/>
          <w:sz w:val="22"/>
          <w:szCs w:val="22"/>
        </w:rPr>
        <w:t>n</w:t>
      </w:r>
      <w:r w:rsidR="001D7342" w:rsidRPr="009834C3">
        <w:rPr>
          <w:rStyle w:val="documentbody1"/>
          <w:rFonts w:ascii="Times New Roman" w:hAnsi="Times New Roman"/>
          <w:color w:val="000000"/>
          <w:sz w:val="22"/>
          <w:szCs w:val="22"/>
        </w:rPr>
        <w:t xml:space="preserve"> agreement </w:t>
      </w:r>
      <w:r w:rsidR="001D7342">
        <w:rPr>
          <w:rStyle w:val="documentbody1"/>
          <w:rFonts w:ascii="Times New Roman" w:hAnsi="Times New Roman"/>
          <w:color w:val="000000"/>
          <w:sz w:val="22"/>
          <w:szCs w:val="22"/>
        </w:rPr>
        <w:t xml:space="preserve">with other applicants in </w:t>
      </w:r>
      <w:r w:rsidR="00777143">
        <w:rPr>
          <w:rStyle w:val="documentbody1"/>
          <w:rFonts w:ascii="Times New Roman" w:hAnsi="Times New Roman"/>
          <w:color w:val="000000"/>
          <w:sz w:val="22"/>
          <w:szCs w:val="22"/>
        </w:rPr>
        <w:t>an</w:t>
      </w:r>
      <w:r w:rsidR="001D7342">
        <w:rPr>
          <w:rStyle w:val="documentbody1"/>
          <w:rFonts w:ascii="Times New Roman" w:hAnsi="Times New Roman"/>
          <w:color w:val="000000"/>
          <w:sz w:val="22"/>
          <w:szCs w:val="22"/>
        </w:rPr>
        <w:t xml:space="preserve"> MX group </w:t>
      </w:r>
      <w:r w:rsidR="001D7342" w:rsidRPr="009834C3">
        <w:rPr>
          <w:rStyle w:val="documentbody1"/>
          <w:rFonts w:ascii="Times New Roman" w:hAnsi="Times New Roman"/>
          <w:color w:val="000000"/>
          <w:sz w:val="22"/>
          <w:szCs w:val="22"/>
        </w:rPr>
        <w:t xml:space="preserve">or unilaterally.  </w:t>
      </w:r>
    </w:p>
    <w:p w:rsidR="00605137" w:rsidRDefault="00605137" w:rsidP="00CD3F66">
      <w:pPr>
        <w:tabs>
          <w:tab w:val="left" w:pos="1"/>
          <w:tab w:val="left" w:pos="720"/>
          <w:tab w:val="left" w:pos="1440"/>
          <w:tab w:val="right" w:pos="9360"/>
        </w:tabs>
        <w:rPr>
          <w:szCs w:val="22"/>
        </w:rPr>
      </w:pPr>
    </w:p>
    <w:p w:rsidR="00CE559B" w:rsidRPr="009834C3" w:rsidRDefault="001D63A7" w:rsidP="00CE10AD">
      <w:pPr>
        <w:tabs>
          <w:tab w:val="left" w:pos="1"/>
          <w:tab w:val="left" w:pos="720"/>
          <w:tab w:val="left" w:pos="1440"/>
          <w:tab w:val="right" w:pos="9360"/>
        </w:tabs>
        <w:rPr>
          <w:rStyle w:val="documentbody1"/>
          <w:rFonts w:ascii="Times New Roman" w:hAnsi="Times New Roman"/>
          <w:color w:val="000000"/>
          <w:sz w:val="22"/>
          <w:szCs w:val="22"/>
        </w:rPr>
      </w:pPr>
      <w:r w:rsidRPr="009834C3">
        <w:rPr>
          <w:b/>
          <w:szCs w:val="22"/>
        </w:rPr>
        <w:t>Settlement</w:t>
      </w:r>
      <w:r w:rsidR="004F0C50" w:rsidRPr="009834C3">
        <w:rPr>
          <w:b/>
          <w:szCs w:val="22"/>
        </w:rPr>
        <w:t xml:space="preserve"> Agreement</w:t>
      </w:r>
      <w:r w:rsidRPr="009834C3">
        <w:rPr>
          <w:b/>
          <w:szCs w:val="22"/>
        </w:rPr>
        <w:t>s:</w:t>
      </w:r>
      <w:r w:rsidR="00CE559B" w:rsidRPr="009834C3">
        <w:rPr>
          <w:b/>
          <w:szCs w:val="22"/>
        </w:rPr>
        <w:t xml:space="preserve">  </w:t>
      </w:r>
      <w:r w:rsidR="00CE559B" w:rsidRPr="009834C3">
        <w:rPr>
          <w:color w:val="000000"/>
          <w:szCs w:val="22"/>
        </w:rPr>
        <w:t xml:space="preserve">Applicants entering into </w:t>
      </w:r>
      <w:r w:rsidR="001D7342">
        <w:rPr>
          <w:color w:val="000000"/>
          <w:szCs w:val="22"/>
        </w:rPr>
        <w:t xml:space="preserve">an </w:t>
      </w:r>
      <w:r w:rsidR="00CE559B" w:rsidRPr="009834C3">
        <w:rPr>
          <w:color w:val="000000"/>
          <w:szCs w:val="22"/>
        </w:rPr>
        <w:t xml:space="preserve">agreement to procure the removal of a conflict between applications by amendment </w:t>
      </w:r>
      <w:r w:rsidR="001D7342">
        <w:rPr>
          <w:color w:val="000000"/>
          <w:szCs w:val="22"/>
        </w:rPr>
        <w:t>and/</w:t>
      </w:r>
      <w:r w:rsidR="00CE559B" w:rsidRPr="009834C3">
        <w:rPr>
          <w:color w:val="000000"/>
          <w:szCs w:val="22"/>
        </w:rPr>
        <w:t xml:space="preserve">or </w:t>
      </w:r>
      <w:r w:rsidR="001D7342">
        <w:rPr>
          <w:color w:val="000000"/>
          <w:szCs w:val="22"/>
        </w:rPr>
        <w:t xml:space="preserve">application </w:t>
      </w:r>
      <w:r w:rsidR="00CE559B" w:rsidRPr="009834C3">
        <w:rPr>
          <w:color w:val="000000"/>
          <w:szCs w:val="22"/>
        </w:rPr>
        <w:t>dismissal must ensure that their settlement agreement compl</w:t>
      </w:r>
      <w:r w:rsidR="001D7342">
        <w:rPr>
          <w:color w:val="000000"/>
          <w:szCs w:val="22"/>
        </w:rPr>
        <w:t>ies</w:t>
      </w:r>
      <w:r w:rsidR="00CE559B" w:rsidRPr="009834C3">
        <w:rPr>
          <w:color w:val="000000"/>
          <w:szCs w:val="22"/>
        </w:rPr>
        <w:t xml:space="preserve"> with the </w:t>
      </w:r>
      <w:bookmarkStart w:id="1" w:name="FN[FN4]"/>
      <w:bookmarkEnd w:id="1"/>
      <w:r w:rsidR="00CE559B" w:rsidRPr="009834C3">
        <w:rPr>
          <w:color w:val="000000"/>
          <w:szCs w:val="22"/>
        </w:rPr>
        <w:t>pertinent requirements of Section 73.3525 of the Commission’s Rules.</w:t>
      </w:r>
      <w:bookmarkStart w:id="2" w:name="FN[FN5]"/>
      <w:bookmarkEnd w:id="2"/>
      <w:r w:rsidR="00CE559B" w:rsidRPr="009834C3">
        <w:rPr>
          <w:rStyle w:val="FootnoteReference"/>
          <w:color w:val="000000"/>
          <w:szCs w:val="22"/>
        </w:rPr>
        <w:footnoteReference w:id="6"/>
      </w:r>
      <w:r w:rsidR="00CE559B" w:rsidRPr="009834C3">
        <w:rPr>
          <w:color w:val="000000"/>
          <w:szCs w:val="22"/>
        </w:rPr>
        <w:t xml:space="preserve">  </w:t>
      </w:r>
      <w:bookmarkStart w:id="3" w:name="FN[FN8]"/>
      <w:bookmarkStart w:id="4" w:name="73.3525b5"/>
      <w:bookmarkEnd w:id="3"/>
      <w:bookmarkEnd w:id="4"/>
    </w:p>
    <w:p w:rsidR="001D63A7" w:rsidRPr="009834C3" w:rsidRDefault="001D63A7" w:rsidP="00FD2319">
      <w:pPr>
        <w:tabs>
          <w:tab w:val="left" w:pos="1"/>
          <w:tab w:val="left" w:pos="720"/>
          <w:tab w:val="left" w:pos="1440"/>
          <w:tab w:val="right" w:pos="9360"/>
        </w:tabs>
        <w:rPr>
          <w:szCs w:val="22"/>
        </w:rPr>
      </w:pPr>
    </w:p>
    <w:p w:rsidR="00D7098B" w:rsidRPr="009834C3" w:rsidRDefault="00AE557F" w:rsidP="001635A4">
      <w:pPr>
        <w:tabs>
          <w:tab w:val="left" w:pos="1"/>
          <w:tab w:val="left" w:pos="720"/>
          <w:tab w:val="left" w:pos="1440"/>
          <w:tab w:val="right" w:pos="9360"/>
        </w:tabs>
        <w:rPr>
          <w:szCs w:val="22"/>
        </w:rPr>
      </w:pPr>
      <w:r w:rsidRPr="009834C3">
        <w:rPr>
          <w:b/>
          <w:szCs w:val="22"/>
        </w:rPr>
        <w:t xml:space="preserve">Voluntary </w:t>
      </w:r>
      <w:r w:rsidR="00CE559B" w:rsidRPr="009834C3">
        <w:rPr>
          <w:b/>
          <w:szCs w:val="22"/>
        </w:rPr>
        <w:t>Time</w:t>
      </w:r>
      <w:r w:rsidR="00F079F9" w:rsidRPr="009834C3">
        <w:rPr>
          <w:b/>
          <w:szCs w:val="22"/>
        </w:rPr>
        <w:t>-</w:t>
      </w:r>
      <w:r w:rsidR="00CE559B" w:rsidRPr="009834C3">
        <w:rPr>
          <w:b/>
          <w:szCs w:val="22"/>
        </w:rPr>
        <w:t>Share Agreements:</w:t>
      </w:r>
      <w:r w:rsidRPr="009834C3">
        <w:rPr>
          <w:b/>
          <w:szCs w:val="22"/>
        </w:rPr>
        <w:t xml:space="preserve">  </w:t>
      </w:r>
      <w:r w:rsidR="007265A1" w:rsidRPr="009834C3">
        <w:rPr>
          <w:szCs w:val="22"/>
        </w:rPr>
        <w:t xml:space="preserve">As stated </w:t>
      </w:r>
      <w:r w:rsidR="00694D28" w:rsidRPr="009834C3">
        <w:rPr>
          <w:szCs w:val="22"/>
        </w:rPr>
        <w:t xml:space="preserve">in the </w:t>
      </w:r>
      <w:r w:rsidR="00694D28" w:rsidRPr="009834C3">
        <w:rPr>
          <w:i/>
          <w:szCs w:val="22"/>
        </w:rPr>
        <w:t>LPFM Processing PN</w:t>
      </w:r>
      <w:r w:rsidR="00694D28" w:rsidRPr="009834C3">
        <w:rPr>
          <w:szCs w:val="22"/>
        </w:rPr>
        <w:t>,</w:t>
      </w:r>
      <w:r w:rsidR="00694D28" w:rsidRPr="009834C3">
        <w:rPr>
          <w:i/>
          <w:szCs w:val="22"/>
        </w:rPr>
        <w:t xml:space="preserve"> </w:t>
      </w:r>
      <w:r w:rsidR="00F73895" w:rsidRPr="009834C3">
        <w:rPr>
          <w:szCs w:val="22"/>
        </w:rPr>
        <w:t xml:space="preserve">MX applicants may enter into a </w:t>
      </w:r>
      <w:r w:rsidR="002C4311" w:rsidRPr="009834C3">
        <w:rPr>
          <w:szCs w:val="22"/>
        </w:rPr>
        <w:t xml:space="preserve">partial or </w:t>
      </w:r>
      <w:r w:rsidR="00953001" w:rsidRPr="009834C3">
        <w:rPr>
          <w:szCs w:val="22"/>
        </w:rPr>
        <w:t xml:space="preserve">universal </w:t>
      </w:r>
      <w:r w:rsidR="00F73895" w:rsidRPr="009834C3">
        <w:rPr>
          <w:szCs w:val="22"/>
        </w:rPr>
        <w:t>voluntary time</w:t>
      </w:r>
      <w:r w:rsidR="00F079F9" w:rsidRPr="009834C3">
        <w:rPr>
          <w:szCs w:val="22"/>
        </w:rPr>
        <w:t>-</w:t>
      </w:r>
      <w:r w:rsidR="00F73895" w:rsidRPr="009834C3">
        <w:rPr>
          <w:szCs w:val="22"/>
        </w:rPr>
        <w:t>share agreement</w:t>
      </w:r>
      <w:r w:rsidR="00953001" w:rsidRPr="009834C3">
        <w:rPr>
          <w:szCs w:val="22"/>
        </w:rPr>
        <w:t xml:space="preserve">.  </w:t>
      </w:r>
      <w:r w:rsidR="00694D28" w:rsidRPr="009834C3">
        <w:rPr>
          <w:szCs w:val="22"/>
        </w:rPr>
        <w:t xml:space="preserve">The Bureau </w:t>
      </w:r>
      <w:r w:rsidR="001D7342">
        <w:rPr>
          <w:szCs w:val="22"/>
        </w:rPr>
        <w:t xml:space="preserve">also </w:t>
      </w:r>
      <w:r w:rsidR="00694D28" w:rsidRPr="009834C3">
        <w:rPr>
          <w:szCs w:val="22"/>
        </w:rPr>
        <w:t xml:space="preserve">will expedite the processing of applicants that are able to enter into time-share agreements.  We remind applicants that </w:t>
      </w:r>
      <w:r w:rsidR="00A87A79" w:rsidRPr="009834C3">
        <w:rPr>
          <w:szCs w:val="22"/>
        </w:rPr>
        <w:t>point aggregation procedures</w:t>
      </w:r>
      <w:r w:rsidR="00694D28" w:rsidRPr="009834C3">
        <w:rPr>
          <w:rStyle w:val="FootnoteReference"/>
          <w:szCs w:val="22"/>
        </w:rPr>
        <w:footnoteReference w:id="7"/>
      </w:r>
      <w:r w:rsidR="00A87A79" w:rsidRPr="009834C3">
        <w:rPr>
          <w:szCs w:val="22"/>
        </w:rPr>
        <w:t xml:space="preserve"> will not apply to time</w:t>
      </w:r>
      <w:r w:rsidR="00F079F9" w:rsidRPr="009834C3">
        <w:rPr>
          <w:szCs w:val="22"/>
        </w:rPr>
        <w:t>-</w:t>
      </w:r>
      <w:r w:rsidR="00A87A79" w:rsidRPr="009834C3">
        <w:rPr>
          <w:szCs w:val="22"/>
        </w:rPr>
        <w:t xml:space="preserve">share agreements submitted prior to </w:t>
      </w:r>
      <w:r w:rsidR="00694D28" w:rsidRPr="009834C3">
        <w:rPr>
          <w:szCs w:val="22"/>
        </w:rPr>
        <w:t>identification of the tentative selectees in a MX group</w:t>
      </w:r>
      <w:r w:rsidR="00A87A79" w:rsidRPr="009834C3">
        <w:rPr>
          <w:szCs w:val="22"/>
        </w:rPr>
        <w:t xml:space="preserve">.  </w:t>
      </w:r>
    </w:p>
    <w:p w:rsidR="00694D28" w:rsidRPr="009834C3" w:rsidRDefault="00694D28" w:rsidP="001635A4">
      <w:pPr>
        <w:tabs>
          <w:tab w:val="left" w:pos="1"/>
          <w:tab w:val="left" w:pos="720"/>
          <w:tab w:val="left" w:pos="1440"/>
          <w:tab w:val="right" w:pos="9360"/>
        </w:tabs>
        <w:rPr>
          <w:szCs w:val="22"/>
        </w:rPr>
      </w:pPr>
    </w:p>
    <w:p w:rsidR="000D4FF1" w:rsidRDefault="00694D28" w:rsidP="00D5708B">
      <w:pPr>
        <w:tabs>
          <w:tab w:val="left" w:pos="1"/>
          <w:tab w:val="left" w:pos="720"/>
          <w:tab w:val="left" w:pos="1440"/>
          <w:tab w:val="right" w:pos="9360"/>
        </w:tabs>
        <w:rPr>
          <w:b/>
          <w:szCs w:val="22"/>
        </w:rPr>
      </w:pPr>
      <w:r w:rsidRPr="009834C3">
        <w:rPr>
          <w:b/>
          <w:szCs w:val="22"/>
        </w:rPr>
        <w:t xml:space="preserve">Applicants should refer to the </w:t>
      </w:r>
      <w:r w:rsidRPr="009834C3">
        <w:rPr>
          <w:b/>
          <w:i/>
          <w:szCs w:val="22"/>
        </w:rPr>
        <w:t>LPFM Processing PN</w:t>
      </w:r>
      <w:r w:rsidRPr="009834C3">
        <w:rPr>
          <w:b/>
          <w:szCs w:val="22"/>
        </w:rPr>
        <w:t xml:space="preserve"> for a full</w:t>
      </w:r>
      <w:r w:rsidR="001D7342">
        <w:rPr>
          <w:b/>
          <w:szCs w:val="22"/>
        </w:rPr>
        <w:t>er</w:t>
      </w:r>
      <w:r w:rsidRPr="009834C3">
        <w:rPr>
          <w:b/>
          <w:szCs w:val="22"/>
        </w:rPr>
        <w:t xml:space="preserve"> discussion </w:t>
      </w:r>
      <w:r w:rsidR="00EA0481">
        <w:rPr>
          <w:b/>
          <w:szCs w:val="22"/>
        </w:rPr>
        <w:t xml:space="preserve">regarding all </w:t>
      </w:r>
      <w:r w:rsidRPr="009834C3">
        <w:rPr>
          <w:b/>
          <w:szCs w:val="22"/>
        </w:rPr>
        <w:t xml:space="preserve">requirements for </w:t>
      </w:r>
      <w:r w:rsidR="001D7342">
        <w:rPr>
          <w:b/>
          <w:szCs w:val="22"/>
        </w:rPr>
        <w:t xml:space="preserve">filing technical amendments, </w:t>
      </w:r>
      <w:r w:rsidRPr="009834C3">
        <w:rPr>
          <w:b/>
          <w:szCs w:val="22"/>
        </w:rPr>
        <w:t xml:space="preserve">proposing a settlement agreement and/or </w:t>
      </w:r>
      <w:r w:rsidR="00777143">
        <w:rPr>
          <w:b/>
          <w:szCs w:val="22"/>
        </w:rPr>
        <w:t xml:space="preserve">seeking approval of </w:t>
      </w:r>
      <w:r w:rsidRPr="009834C3">
        <w:rPr>
          <w:b/>
          <w:szCs w:val="22"/>
        </w:rPr>
        <w:t xml:space="preserve">a </w:t>
      </w:r>
      <w:r w:rsidR="001D7342">
        <w:rPr>
          <w:b/>
          <w:szCs w:val="22"/>
        </w:rPr>
        <w:t>time-share agreement</w:t>
      </w:r>
      <w:r w:rsidRPr="009834C3">
        <w:rPr>
          <w:b/>
          <w:szCs w:val="22"/>
        </w:rPr>
        <w:t>.</w:t>
      </w:r>
    </w:p>
    <w:p w:rsidR="00EA0481" w:rsidRDefault="00EA0481" w:rsidP="00D5708B">
      <w:pPr>
        <w:tabs>
          <w:tab w:val="left" w:pos="1"/>
          <w:tab w:val="left" w:pos="720"/>
          <w:tab w:val="left" w:pos="1440"/>
          <w:tab w:val="right" w:pos="9360"/>
        </w:tabs>
        <w:rPr>
          <w:b/>
          <w:szCs w:val="22"/>
        </w:rPr>
      </w:pPr>
    </w:p>
    <w:p w:rsidR="00F31CD8" w:rsidRPr="009834C3" w:rsidRDefault="00F31CD8" w:rsidP="00D5708B">
      <w:pPr>
        <w:tabs>
          <w:tab w:val="left" w:pos="1"/>
          <w:tab w:val="left" w:pos="720"/>
          <w:tab w:val="left" w:pos="1440"/>
          <w:tab w:val="right" w:pos="9360"/>
        </w:tabs>
        <w:rPr>
          <w:b/>
          <w:szCs w:val="22"/>
        </w:rPr>
      </w:pPr>
    </w:p>
    <w:p w:rsidR="004633D0" w:rsidRPr="009834C3" w:rsidRDefault="004633D0" w:rsidP="004633D0">
      <w:pPr>
        <w:rPr>
          <w:szCs w:val="22"/>
        </w:rPr>
      </w:pPr>
      <w:r w:rsidRPr="009834C3">
        <w:rPr>
          <w:szCs w:val="22"/>
        </w:rPr>
        <w:t>For additional information, contact:</w:t>
      </w:r>
    </w:p>
    <w:p w:rsidR="007B7100" w:rsidRPr="009834C3" w:rsidRDefault="007B7100" w:rsidP="004633D0">
      <w:pPr>
        <w:rPr>
          <w:szCs w:val="22"/>
        </w:rPr>
      </w:pPr>
    </w:p>
    <w:p w:rsidR="004633D0" w:rsidRPr="009834C3" w:rsidRDefault="004633D0" w:rsidP="004633D0">
      <w:pPr>
        <w:numPr>
          <w:ilvl w:val="0"/>
          <w:numId w:val="6"/>
        </w:numPr>
        <w:rPr>
          <w:szCs w:val="22"/>
        </w:rPr>
      </w:pPr>
      <w:r w:rsidRPr="009834C3">
        <w:rPr>
          <w:szCs w:val="22"/>
        </w:rPr>
        <w:t>Electronic filing assistance:  Konrad Herling or David Trout</w:t>
      </w:r>
      <w:r w:rsidR="0073648E" w:rsidRPr="009834C3">
        <w:rPr>
          <w:szCs w:val="22"/>
        </w:rPr>
        <w:t>,</w:t>
      </w:r>
      <w:r w:rsidRPr="009834C3">
        <w:rPr>
          <w:szCs w:val="22"/>
        </w:rPr>
        <w:t xml:space="preserve"> (202) 418-2662</w:t>
      </w:r>
    </w:p>
    <w:p w:rsidR="004633D0" w:rsidRPr="009834C3" w:rsidRDefault="00983405" w:rsidP="004633D0">
      <w:pPr>
        <w:numPr>
          <w:ilvl w:val="0"/>
          <w:numId w:val="6"/>
        </w:numPr>
        <w:rPr>
          <w:szCs w:val="22"/>
        </w:rPr>
      </w:pPr>
      <w:r w:rsidRPr="009834C3">
        <w:rPr>
          <w:szCs w:val="22"/>
        </w:rPr>
        <w:t xml:space="preserve">Legal inquiries:  Tom Hutton or </w:t>
      </w:r>
      <w:r w:rsidR="004633D0" w:rsidRPr="009834C3">
        <w:rPr>
          <w:szCs w:val="22"/>
        </w:rPr>
        <w:t xml:space="preserve">Parul </w:t>
      </w:r>
      <w:r w:rsidR="00CB35C6" w:rsidRPr="009834C3">
        <w:rPr>
          <w:szCs w:val="22"/>
        </w:rPr>
        <w:t xml:space="preserve">P. </w:t>
      </w:r>
      <w:r w:rsidR="004633D0" w:rsidRPr="009834C3">
        <w:rPr>
          <w:szCs w:val="22"/>
        </w:rPr>
        <w:t>Desai, (202) 418-2700</w:t>
      </w:r>
    </w:p>
    <w:p w:rsidR="006B61F6" w:rsidRPr="009834C3" w:rsidRDefault="004633D0" w:rsidP="00F079F9">
      <w:pPr>
        <w:numPr>
          <w:ilvl w:val="0"/>
          <w:numId w:val="6"/>
        </w:numPr>
        <w:suppressAutoHyphens/>
        <w:rPr>
          <w:b/>
          <w:szCs w:val="22"/>
        </w:rPr>
      </w:pPr>
      <w:r w:rsidRPr="009834C3">
        <w:rPr>
          <w:szCs w:val="22"/>
        </w:rPr>
        <w:t xml:space="preserve">Engineering inquiries:  James Bradshaw or </w:t>
      </w:r>
      <w:r w:rsidR="00983405" w:rsidRPr="009834C3">
        <w:rPr>
          <w:szCs w:val="22"/>
        </w:rPr>
        <w:t>Gary Loehrs</w:t>
      </w:r>
      <w:r w:rsidRPr="009834C3">
        <w:rPr>
          <w:szCs w:val="22"/>
        </w:rPr>
        <w:t>, (202) 418-2700</w:t>
      </w:r>
    </w:p>
    <w:p w:rsidR="002D1BD4" w:rsidRPr="009834C3" w:rsidRDefault="002D1BD4" w:rsidP="002D1BD4">
      <w:pPr>
        <w:numPr>
          <w:ilvl w:val="0"/>
          <w:numId w:val="6"/>
        </w:numPr>
        <w:rPr>
          <w:szCs w:val="22"/>
        </w:rPr>
      </w:pPr>
      <w:r w:rsidRPr="009834C3">
        <w:rPr>
          <w:szCs w:val="22"/>
        </w:rPr>
        <w:t>Press inquiries:  Janice Wise, (202) 418-8165</w:t>
      </w:r>
    </w:p>
    <w:p w:rsidR="002D1BD4" w:rsidRPr="009834C3" w:rsidRDefault="002D1BD4" w:rsidP="002D1BD4">
      <w:pPr>
        <w:suppressAutoHyphens/>
        <w:ind w:left="360"/>
        <w:rPr>
          <w:b/>
          <w:szCs w:val="22"/>
        </w:rPr>
      </w:pPr>
    </w:p>
    <w:p w:rsidR="006B61F6" w:rsidRPr="009834C3" w:rsidRDefault="006B61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6B61F6" w:rsidRPr="009834C3" w:rsidRDefault="006B61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9834C3">
        <w:rPr>
          <w:color w:val="000000"/>
          <w:szCs w:val="22"/>
        </w:rPr>
        <w:t>– FCC</w:t>
      </w:r>
      <w:r w:rsidRPr="009834C3">
        <w:rPr>
          <w:b/>
          <w:color w:val="000000"/>
          <w:szCs w:val="22"/>
        </w:rPr>
        <w:t xml:space="preserve"> </w:t>
      </w:r>
      <w:r w:rsidRPr="009834C3">
        <w:rPr>
          <w:color w:val="000000"/>
          <w:szCs w:val="22"/>
        </w:rPr>
        <w:t>–</w:t>
      </w:r>
    </w:p>
    <w:sectPr w:rsidR="006B61F6" w:rsidRPr="009834C3" w:rsidSect="008F2EE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0E7" w:rsidRDefault="00CC00E7">
      <w:r>
        <w:separator/>
      </w:r>
    </w:p>
  </w:endnote>
  <w:endnote w:type="continuationSeparator" w:id="0">
    <w:p w:rsidR="00CC00E7" w:rsidRDefault="00CC0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BA" w:rsidRDefault="003F4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19" w:rsidRDefault="00FD2319">
    <w:pPr>
      <w:pStyle w:val="Footer"/>
      <w:jc w:val="center"/>
    </w:pPr>
    <w:r>
      <w:rPr>
        <w:rStyle w:val="PageNumber"/>
      </w:rPr>
      <w:fldChar w:fldCharType="begin"/>
    </w:r>
    <w:r>
      <w:rPr>
        <w:rStyle w:val="PageNumber"/>
      </w:rPr>
      <w:instrText xml:space="preserve"> PAGE </w:instrText>
    </w:r>
    <w:r>
      <w:rPr>
        <w:rStyle w:val="PageNumber"/>
      </w:rPr>
      <w:fldChar w:fldCharType="separate"/>
    </w:r>
    <w:r w:rsidR="002A12AB">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BA" w:rsidRDefault="003F4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0E7" w:rsidRDefault="00CC00E7">
      <w:r>
        <w:separator/>
      </w:r>
    </w:p>
  </w:footnote>
  <w:footnote w:type="continuationSeparator" w:id="0">
    <w:p w:rsidR="00CC00E7" w:rsidRDefault="00CC00E7">
      <w:r>
        <w:continuationSeparator/>
      </w:r>
    </w:p>
  </w:footnote>
  <w:footnote w:id="1">
    <w:p w:rsidR="000F4BB3" w:rsidRPr="009834C3" w:rsidRDefault="000F4BB3">
      <w:pPr>
        <w:pStyle w:val="FootnoteText"/>
        <w:rPr>
          <w:sz w:val="20"/>
        </w:rPr>
      </w:pPr>
      <w:r w:rsidRPr="009834C3">
        <w:rPr>
          <w:rStyle w:val="FootnoteReference"/>
          <w:sz w:val="20"/>
        </w:rPr>
        <w:footnoteRef/>
      </w:r>
      <w:r w:rsidRPr="009834C3">
        <w:rPr>
          <w:sz w:val="20"/>
        </w:rPr>
        <w:t xml:space="preserve"> </w:t>
      </w:r>
      <w:r w:rsidR="00A1368E">
        <w:rPr>
          <w:sz w:val="20"/>
        </w:rPr>
        <w:t xml:space="preserve">Generally, following dismissal </w:t>
      </w:r>
      <w:r w:rsidR="00844946" w:rsidRPr="009834C3">
        <w:rPr>
          <w:sz w:val="20"/>
        </w:rPr>
        <w:t xml:space="preserve">an </w:t>
      </w:r>
      <w:r w:rsidRPr="009834C3">
        <w:rPr>
          <w:sz w:val="20"/>
        </w:rPr>
        <w:t xml:space="preserve">applicant </w:t>
      </w:r>
      <w:r w:rsidR="00A1368E">
        <w:rPr>
          <w:sz w:val="20"/>
        </w:rPr>
        <w:t xml:space="preserve">may </w:t>
      </w:r>
      <w:r w:rsidRPr="009834C3">
        <w:rPr>
          <w:sz w:val="20"/>
        </w:rPr>
        <w:t xml:space="preserve">file </w:t>
      </w:r>
      <w:r w:rsidR="00A1368E">
        <w:rPr>
          <w:sz w:val="20"/>
        </w:rPr>
        <w:t xml:space="preserve">either </w:t>
      </w:r>
      <w:r w:rsidRPr="009834C3">
        <w:rPr>
          <w:sz w:val="20"/>
        </w:rPr>
        <w:t xml:space="preserve">one minor curative </w:t>
      </w:r>
      <w:r w:rsidR="00844946" w:rsidRPr="009834C3">
        <w:rPr>
          <w:sz w:val="20"/>
        </w:rPr>
        <w:t xml:space="preserve">amendment </w:t>
      </w:r>
      <w:r w:rsidRPr="009834C3">
        <w:rPr>
          <w:sz w:val="20"/>
        </w:rPr>
        <w:t>or a petition for reconsideration</w:t>
      </w:r>
      <w:r w:rsidR="00D231C4">
        <w:rPr>
          <w:sz w:val="20"/>
        </w:rPr>
        <w:t>.  Both filings are due</w:t>
      </w:r>
      <w:r w:rsidRPr="009834C3">
        <w:rPr>
          <w:sz w:val="20"/>
        </w:rPr>
        <w:t xml:space="preserve"> </w:t>
      </w:r>
      <w:r w:rsidR="00D231C4">
        <w:rPr>
          <w:sz w:val="20"/>
        </w:rPr>
        <w:t xml:space="preserve">no later than </w:t>
      </w:r>
      <w:r w:rsidRPr="009834C3">
        <w:rPr>
          <w:sz w:val="20"/>
        </w:rPr>
        <w:t xml:space="preserve">30 days </w:t>
      </w:r>
      <w:r w:rsidR="00D231C4">
        <w:rPr>
          <w:sz w:val="20"/>
        </w:rPr>
        <w:t xml:space="preserve">following </w:t>
      </w:r>
      <w:r w:rsidRPr="009834C3">
        <w:rPr>
          <w:sz w:val="20"/>
        </w:rPr>
        <w:t>the dismissal of the application.</w:t>
      </w:r>
    </w:p>
  </w:footnote>
  <w:footnote w:id="2">
    <w:p w:rsidR="00621B67" w:rsidRDefault="00621B67" w:rsidP="00403FE9">
      <w:pPr>
        <w:pStyle w:val="FootnoteText"/>
        <w:spacing w:after="120"/>
      </w:pPr>
      <w:r>
        <w:rPr>
          <w:rStyle w:val="FootnoteReference"/>
        </w:rPr>
        <w:footnoteRef/>
      </w:r>
      <w:r>
        <w:t xml:space="preserve"> </w:t>
      </w:r>
      <w:r w:rsidRPr="009834C3">
        <w:rPr>
          <w:i/>
          <w:sz w:val="20"/>
        </w:rPr>
        <w:t xml:space="preserve">See Media Bureau Provides Further Guidance on the Processing of Form 318 Applications Filed in the LPFM Window, </w:t>
      </w:r>
      <w:r w:rsidRPr="009834C3">
        <w:rPr>
          <w:sz w:val="20"/>
        </w:rPr>
        <w:t>Public Notice, DA 13-2308 (MB 2013) (“</w:t>
      </w:r>
      <w:r w:rsidRPr="009834C3">
        <w:rPr>
          <w:i/>
          <w:sz w:val="20"/>
        </w:rPr>
        <w:t>LPFM Processing PN</w:t>
      </w:r>
      <w:r w:rsidRPr="009834C3">
        <w:rPr>
          <w:sz w:val="20"/>
        </w:rPr>
        <w:t>”).</w:t>
      </w:r>
      <w:r w:rsidR="006856E3">
        <w:rPr>
          <w:sz w:val="20"/>
        </w:rPr>
        <w:t xml:space="preserve">  </w:t>
      </w:r>
    </w:p>
  </w:footnote>
  <w:footnote w:id="3">
    <w:p w:rsidR="00CD3F66" w:rsidRPr="009834C3" w:rsidRDefault="00CD3F66" w:rsidP="00403FE9">
      <w:pPr>
        <w:pStyle w:val="FootnoteText"/>
        <w:spacing w:after="120"/>
        <w:rPr>
          <w:sz w:val="20"/>
        </w:rPr>
      </w:pPr>
      <w:r w:rsidRPr="009834C3">
        <w:rPr>
          <w:rStyle w:val="FootnoteReference"/>
          <w:sz w:val="20"/>
        </w:rPr>
        <w:footnoteRef/>
      </w:r>
      <w:r w:rsidRPr="009834C3">
        <w:rPr>
          <w:sz w:val="20"/>
        </w:rPr>
        <w:t xml:space="preserve"> Major amendments, such as non-adjacent channel changes and otherwise prohibited site relocations of greater than 5.6 kilometers, will only be allowed after the Commission identifies tentative selectees among the MX groups.  Major amendments will only be allowed within 90 days of the announcement of tentative selectees.</w:t>
      </w:r>
    </w:p>
  </w:footnote>
  <w:footnote w:id="4">
    <w:p w:rsidR="00CD3F66" w:rsidRPr="009834C3" w:rsidRDefault="00CD3F66" w:rsidP="00CD3F66">
      <w:pPr>
        <w:pStyle w:val="FootnoteText"/>
        <w:spacing w:after="120"/>
        <w:rPr>
          <w:sz w:val="20"/>
        </w:rPr>
      </w:pPr>
      <w:r w:rsidRPr="009834C3">
        <w:rPr>
          <w:rStyle w:val="FootnoteReference"/>
          <w:sz w:val="20"/>
        </w:rPr>
        <w:footnoteRef/>
      </w:r>
      <w:r w:rsidRPr="009834C3">
        <w:rPr>
          <w:sz w:val="20"/>
        </w:rPr>
        <w:t xml:space="preserve"> 47 C.F.R. § 73.871(c).</w:t>
      </w:r>
    </w:p>
  </w:footnote>
  <w:footnote w:id="5">
    <w:p w:rsidR="001D7342" w:rsidRPr="009834C3" w:rsidRDefault="001D7342" w:rsidP="00403FE9">
      <w:pPr>
        <w:pStyle w:val="FootnoteText"/>
        <w:spacing w:after="120"/>
        <w:rPr>
          <w:sz w:val="20"/>
        </w:rPr>
      </w:pPr>
      <w:r w:rsidRPr="009834C3">
        <w:rPr>
          <w:rStyle w:val="FootnoteReference"/>
          <w:sz w:val="20"/>
        </w:rPr>
        <w:footnoteRef/>
      </w:r>
      <w:r w:rsidRPr="009834C3">
        <w:rPr>
          <w:sz w:val="20"/>
        </w:rPr>
        <w:t xml:space="preserve"> </w:t>
      </w:r>
      <w:r w:rsidRPr="009834C3">
        <w:rPr>
          <w:i/>
          <w:sz w:val="20"/>
        </w:rPr>
        <w:t xml:space="preserve">See </w:t>
      </w:r>
      <w:r w:rsidRPr="009834C3">
        <w:rPr>
          <w:sz w:val="20"/>
        </w:rPr>
        <w:t>47 C.F.R. § 73.853(b).</w:t>
      </w:r>
    </w:p>
  </w:footnote>
  <w:footnote w:id="6">
    <w:p w:rsidR="00CE559B" w:rsidRPr="009834C3" w:rsidRDefault="00CE559B" w:rsidP="00F31CD8">
      <w:pPr>
        <w:pStyle w:val="FootnoteText"/>
        <w:spacing w:after="120"/>
        <w:rPr>
          <w:sz w:val="20"/>
        </w:rPr>
      </w:pPr>
      <w:r w:rsidRPr="009834C3">
        <w:rPr>
          <w:rStyle w:val="FootnoteReference"/>
          <w:sz w:val="20"/>
        </w:rPr>
        <w:footnoteRef/>
      </w:r>
      <w:r w:rsidR="00D51593" w:rsidRPr="009834C3">
        <w:rPr>
          <w:sz w:val="20"/>
        </w:rPr>
        <w:t xml:space="preserve"> 47 C.F.R. §</w:t>
      </w:r>
      <w:r w:rsidR="007F10A6" w:rsidRPr="009834C3">
        <w:rPr>
          <w:sz w:val="20"/>
        </w:rPr>
        <w:t xml:space="preserve"> </w:t>
      </w:r>
      <w:r w:rsidRPr="009834C3">
        <w:rPr>
          <w:sz w:val="20"/>
        </w:rPr>
        <w:t>73.3525.</w:t>
      </w:r>
    </w:p>
  </w:footnote>
  <w:footnote w:id="7">
    <w:p w:rsidR="00694D28" w:rsidRPr="009834C3" w:rsidRDefault="00694D28" w:rsidP="00403FE9">
      <w:pPr>
        <w:pStyle w:val="FootnoteText"/>
        <w:spacing w:after="120"/>
        <w:rPr>
          <w:sz w:val="20"/>
        </w:rPr>
      </w:pPr>
      <w:r w:rsidRPr="009834C3">
        <w:rPr>
          <w:rStyle w:val="FootnoteReference"/>
          <w:sz w:val="20"/>
        </w:rPr>
        <w:footnoteRef/>
      </w:r>
      <w:r w:rsidRPr="009834C3">
        <w:rPr>
          <w:sz w:val="20"/>
        </w:rPr>
        <w:t xml:space="preserve"> 47 C.F.R. § 73.872(c).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BA" w:rsidRDefault="003F4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EBA" w:rsidRDefault="003F4E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19" w:rsidRPr="004A5145" w:rsidRDefault="00FD2319">
    <w:pPr>
      <w:pStyle w:val="Header"/>
      <w:tabs>
        <w:tab w:val="clear" w:pos="4320"/>
        <w:tab w:val="clear" w:pos="8640"/>
      </w:tabs>
      <w:spacing w:before="40"/>
      <w:ind w:firstLine="1080"/>
      <w:rPr>
        <w:rFonts w:ascii="Arial" w:hAnsi="Arial" w:cs="Arial"/>
        <w:b/>
        <w:kern w:val="28"/>
        <w:sz w:val="96"/>
      </w:rPr>
    </w:pPr>
    <w:r w:rsidRPr="004A5145">
      <w:rPr>
        <w:rFonts w:ascii="Arial" w:hAnsi="Arial" w:cs="Arial"/>
        <w:b/>
        <w:noProof/>
        <w:sz w:val="24"/>
      </w:rPr>
      <mc:AlternateContent>
        <mc:Choice Requires="wps">
          <w:drawing>
            <wp:anchor distT="0" distB="0" distL="114300" distR="114300" simplePos="0" relativeHeight="251656192" behindDoc="0" locked="0" layoutInCell="1" allowOverlap="1" wp14:anchorId="5C253434" wp14:editId="1A5087D5">
              <wp:simplePos x="0" y="0"/>
              <wp:positionH relativeFrom="column">
                <wp:posOffset>51435</wp:posOffset>
              </wp:positionH>
              <wp:positionV relativeFrom="paragraph">
                <wp:posOffset>688340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319" w:rsidRDefault="00FD2319">
                          <w:pPr>
                            <w:rPr>
                              <w:rFonts w:ascii="Arial" w:hAnsi="Arial"/>
                              <w:b/>
                            </w:rPr>
                          </w:pPr>
                          <w:r>
                            <w:rPr>
                              <w:rFonts w:ascii="Arial" w:hAnsi="Arial"/>
                              <w:b/>
                            </w:rPr>
                            <w:t>Federal Communications Commission</w:t>
                          </w:r>
                        </w:p>
                        <w:p w:rsidR="00FD2319" w:rsidRDefault="00FD231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D2319" w:rsidRDefault="00FD231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FD2319" w:rsidRDefault="00FD2319">
                    <w:pPr>
                      <w:rPr>
                        <w:rFonts w:ascii="Arial" w:hAnsi="Arial"/>
                        <w:b/>
                      </w:rPr>
                    </w:pPr>
                    <w:r>
                      <w:rPr>
                        <w:rFonts w:ascii="Arial" w:hAnsi="Arial"/>
                        <w:b/>
                      </w:rPr>
                      <w:t>Federal Communications Commission</w:t>
                    </w:r>
                  </w:p>
                  <w:p w:rsidR="00FD2319" w:rsidRDefault="00FD231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D2319" w:rsidRDefault="00FD2319">
                    <w:pPr>
                      <w:rPr>
                        <w:rFonts w:ascii="Arial" w:hAnsi="Arial"/>
                        <w:sz w:val="24"/>
                      </w:rPr>
                    </w:pPr>
                    <w:r>
                      <w:rPr>
                        <w:rFonts w:ascii="Arial" w:hAnsi="Arial"/>
                        <w:b/>
                      </w:rPr>
                      <w:t>Washington, D.C. 20554</w:t>
                    </w:r>
                  </w:p>
                </w:txbxContent>
              </v:textbox>
            </v:shape>
          </w:pict>
        </mc:Fallback>
      </mc:AlternateContent>
    </w:r>
    <w:r w:rsidRPr="004A5145">
      <w:rPr>
        <w:rFonts w:ascii="Arial" w:hAnsi="Arial" w:cs="Arial"/>
        <w:b/>
        <w:noProof/>
        <w:sz w:val="24"/>
      </w:rPr>
      <w:drawing>
        <wp:anchor distT="0" distB="0" distL="114300" distR="114300" simplePos="0" relativeHeight="251659264" behindDoc="0" locked="0" layoutInCell="0" allowOverlap="1" wp14:anchorId="733A0002" wp14:editId="131F3CD3">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4A5145">
      <w:rPr>
        <w:rFonts w:ascii="Arial" w:hAnsi="Arial" w:cs="Arial"/>
        <w:b/>
        <w:kern w:val="28"/>
        <w:sz w:val="96"/>
      </w:rPr>
      <w:t>PUBLIC NOTICE</w:t>
    </w:r>
  </w:p>
  <w:p w:rsidR="00FD2319" w:rsidRDefault="00FD2319">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76200</wp:posOffset>
              </wp:positionV>
              <wp:extent cx="2971800" cy="5486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319" w:rsidRDefault="00FD2319">
                          <w:pPr>
                            <w:spacing w:before="40"/>
                            <w:jc w:val="right"/>
                            <w:rPr>
                              <w:rFonts w:ascii="Arial" w:hAnsi="Arial"/>
                              <w:b/>
                              <w:sz w:val="16"/>
                              <w:szCs w:val="16"/>
                            </w:rPr>
                          </w:pPr>
                          <w:r>
                            <w:rPr>
                              <w:rFonts w:ascii="Arial" w:hAnsi="Arial"/>
                              <w:b/>
                              <w:sz w:val="16"/>
                              <w:szCs w:val="16"/>
                            </w:rPr>
                            <w:t>News Media Information 202 / 418-0500</w:t>
                          </w:r>
                        </w:p>
                        <w:p w:rsidR="00FD2319" w:rsidRDefault="00FD2319">
                          <w:pPr>
                            <w:jc w:val="right"/>
                            <w:rPr>
                              <w:rFonts w:ascii="Arial" w:hAnsi="Arial"/>
                              <w:b/>
                              <w:sz w:val="16"/>
                              <w:szCs w:val="16"/>
                            </w:rPr>
                          </w:pPr>
                          <w:r>
                            <w:rPr>
                              <w:rFonts w:ascii="Arial" w:hAnsi="Arial"/>
                              <w:b/>
                              <w:sz w:val="16"/>
                              <w:szCs w:val="16"/>
                            </w:rPr>
                            <w:tab/>
                            <w:t xml:space="preserve">Internet: </w:t>
                          </w:r>
                          <w:bookmarkStart w:id="5" w:name="_Hlt233824"/>
                          <w:r>
                            <w:rPr>
                              <w:rFonts w:ascii="Arial" w:hAnsi="Arial"/>
                              <w:b/>
                              <w:sz w:val="16"/>
                              <w:szCs w:val="16"/>
                            </w:rPr>
                            <w:t>h</w:t>
                          </w:r>
                          <w:bookmarkEnd w:id="5"/>
                          <w:r>
                            <w:rPr>
                              <w:rFonts w:ascii="Arial" w:hAnsi="Arial"/>
                              <w:b/>
                              <w:sz w:val="16"/>
                              <w:szCs w:val="16"/>
                            </w:rPr>
                            <w:t>ttp://www.fcc.gov</w:t>
                          </w:r>
                        </w:p>
                        <w:p w:rsidR="00FD2319" w:rsidRDefault="00FD2319">
                          <w:pPr>
                            <w:jc w:val="right"/>
                            <w:rPr>
                              <w:rFonts w:ascii="Arial" w:hAnsi="Arial"/>
                              <w:b/>
                              <w:szCs w:val="22"/>
                            </w:rPr>
                          </w:pPr>
                          <w:r>
                            <w:rPr>
                              <w:rFonts w:ascii="Arial" w:hAnsi="Arial"/>
                              <w:b/>
                              <w:sz w:val="16"/>
                              <w:szCs w:val="16"/>
                            </w:rPr>
                            <w:t>TTY: 1-888-835-5322</w:t>
                          </w:r>
                        </w:p>
                        <w:p w:rsidR="00FD2319" w:rsidRDefault="00FD231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rsidR="00FD2319" w:rsidRDefault="00FD2319">
                    <w:pPr>
                      <w:spacing w:before="40"/>
                      <w:jc w:val="right"/>
                      <w:rPr>
                        <w:rFonts w:ascii="Arial" w:hAnsi="Arial"/>
                        <w:b/>
                        <w:sz w:val="16"/>
                        <w:szCs w:val="16"/>
                      </w:rPr>
                    </w:pPr>
                    <w:r>
                      <w:rPr>
                        <w:rFonts w:ascii="Arial" w:hAnsi="Arial"/>
                        <w:b/>
                        <w:sz w:val="16"/>
                        <w:szCs w:val="16"/>
                      </w:rPr>
                      <w:t>News Media Information 202 / 418-0500</w:t>
                    </w:r>
                  </w:p>
                  <w:p w:rsidR="00FD2319" w:rsidRDefault="00FD2319">
                    <w:pPr>
                      <w:jc w:val="right"/>
                      <w:rPr>
                        <w:rFonts w:ascii="Arial" w:hAnsi="Arial"/>
                        <w:b/>
                        <w:sz w:val="16"/>
                        <w:szCs w:val="16"/>
                      </w:rPr>
                    </w:pPr>
                    <w:r>
                      <w:rPr>
                        <w:rFonts w:ascii="Arial" w:hAnsi="Arial"/>
                        <w:b/>
                        <w:sz w:val="16"/>
                        <w:szCs w:val="16"/>
                      </w:rPr>
                      <w:tab/>
                      <w:t xml:space="preserve">Internet: </w:t>
                    </w:r>
                    <w:bookmarkStart w:id="41" w:name="_Hlt233824"/>
                    <w:r>
                      <w:rPr>
                        <w:rFonts w:ascii="Arial" w:hAnsi="Arial"/>
                        <w:b/>
                        <w:sz w:val="16"/>
                        <w:szCs w:val="16"/>
                      </w:rPr>
                      <w:t>h</w:t>
                    </w:r>
                    <w:bookmarkEnd w:id="41"/>
                    <w:r>
                      <w:rPr>
                        <w:rFonts w:ascii="Arial" w:hAnsi="Arial"/>
                        <w:b/>
                        <w:sz w:val="16"/>
                        <w:szCs w:val="16"/>
                      </w:rPr>
                      <w:t>ttp://www.fcc.gov</w:t>
                    </w:r>
                  </w:p>
                  <w:p w:rsidR="00FD2319" w:rsidRDefault="00FD2319">
                    <w:pPr>
                      <w:jc w:val="right"/>
                      <w:rPr>
                        <w:rFonts w:ascii="Arial" w:hAnsi="Arial"/>
                        <w:b/>
                        <w:szCs w:val="22"/>
                      </w:rPr>
                    </w:pPr>
                    <w:r>
                      <w:rPr>
                        <w:rFonts w:ascii="Arial" w:hAnsi="Arial"/>
                        <w:b/>
                        <w:sz w:val="16"/>
                        <w:szCs w:val="16"/>
                      </w:rPr>
                      <w:t>TTY: 1-888-835-5322</w:t>
                    </w:r>
                  </w:p>
                  <w:p w:rsidR="00FD2319" w:rsidRDefault="00FD2319">
                    <w:pPr>
                      <w:jc w:val="right"/>
                    </w:pPr>
                  </w:p>
                </w:txbxContent>
              </v:textbox>
            </v:shape>
          </w:pict>
        </mc:Fallback>
      </mc:AlternateContent>
    </w:r>
    <w:r>
      <w:rPr>
        <w:rFonts w:ascii="Arial" w:hAnsi="Arial"/>
        <w:b/>
        <w:noProof/>
      </w:rPr>
      <mc:AlternateContent>
        <mc:Choice Requires="wps">
          <w:drawing>
            <wp:anchor distT="4294967295" distB="4294967295" distL="114300" distR="114300" simplePos="0" relativeHeight="251657216" behindDoc="0" locked="0" layoutInCell="1" allowOverlap="1">
              <wp:simplePos x="0" y="0"/>
              <wp:positionH relativeFrom="column">
                <wp:posOffset>-291465</wp:posOffset>
              </wp:positionH>
              <wp:positionV relativeFrom="paragraph">
                <wp:posOffset>647699</wp:posOffset>
              </wp:positionV>
              <wp:extent cx="65151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5pt,51pt" to="49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"/>
          </w:pict>
        </mc:Fallback>
      </mc:AlternateContent>
    </w:r>
  </w:p>
  <w:p w:rsidR="00FD2319" w:rsidRDefault="00FD231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A1821"/>
    <w:multiLevelType w:val="hybridMultilevel"/>
    <w:tmpl w:val="D8360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4A45E3C"/>
    <w:multiLevelType w:val="hybridMultilevel"/>
    <w:tmpl w:val="AC8C2408"/>
    <w:lvl w:ilvl="0" w:tplc="9038305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F17CE7"/>
    <w:multiLevelType w:val="hybridMultilevel"/>
    <w:tmpl w:val="F4725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0"/>
  </w:num>
  <w:num w:numId="4">
    <w:abstractNumId w:val="7"/>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13"/>
    <w:rsid w:val="00025375"/>
    <w:rsid w:val="000548CC"/>
    <w:rsid w:val="00093FDC"/>
    <w:rsid w:val="0009632B"/>
    <w:rsid w:val="0009692D"/>
    <w:rsid w:val="000A2AB9"/>
    <w:rsid w:val="000A5C76"/>
    <w:rsid w:val="000B1129"/>
    <w:rsid w:val="000C4793"/>
    <w:rsid w:val="000D310E"/>
    <w:rsid w:val="000D4FF1"/>
    <w:rsid w:val="000E03B1"/>
    <w:rsid w:val="000E0EEC"/>
    <w:rsid w:val="000E2DE4"/>
    <w:rsid w:val="000F3D30"/>
    <w:rsid w:val="000F4BB3"/>
    <w:rsid w:val="000F73B2"/>
    <w:rsid w:val="00101815"/>
    <w:rsid w:val="0010288F"/>
    <w:rsid w:val="00161186"/>
    <w:rsid w:val="001635A4"/>
    <w:rsid w:val="00167152"/>
    <w:rsid w:val="00182316"/>
    <w:rsid w:val="00182A68"/>
    <w:rsid w:val="001906B3"/>
    <w:rsid w:val="00197869"/>
    <w:rsid w:val="001C2E33"/>
    <w:rsid w:val="001C6EDE"/>
    <w:rsid w:val="001D63A7"/>
    <w:rsid w:val="001D7342"/>
    <w:rsid w:val="001E51DC"/>
    <w:rsid w:val="002227AB"/>
    <w:rsid w:val="00234237"/>
    <w:rsid w:val="002441AE"/>
    <w:rsid w:val="00247148"/>
    <w:rsid w:val="0025139C"/>
    <w:rsid w:val="002673AC"/>
    <w:rsid w:val="002718DF"/>
    <w:rsid w:val="0027566E"/>
    <w:rsid w:val="00277A31"/>
    <w:rsid w:val="00283A4C"/>
    <w:rsid w:val="002A12AB"/>
    <w:rsid w:val="002A42E0"/>
    <w:rsid w:val="002B6E0D"/>
    <w:rsid w:val="002C4311"/>
    <w:rsid w:val="002D1BD4"/>
    <w:rsid w:val="002E1296"/>
    <w:rsid w:val="002F138F"/>
    <w:rsid w:val="002F20F6"/>
    <w:rsid w:val="002F239C"/>
    <w:rsid w:val="00304C68"/>
    <w:rsid w:val="00337D09"/>
    <w:rsid w:val="00340470"/>
    <w:rsid w:val="00345755"/>
    <w:rsid w:val="003459D4"/>
    <w:rsid w:val="003732A2"/>
    <w:rsid w:val="003773FF"/>
    <w:rsid w:val="0039163E"/>
    <w:rsid w:val="003A3BF0"/>
    <w:rsid w:val="003A4E01"/>
    <w:rsid w:val="003A6484"/>
    <w:rsid w:val="003A6DE7"/>
    <w:rsid w:val="003A6F0C"/>
    <w:rsid w:val="003A7564"/>
    <w:rsid w:val="003C0A2E"/>
    <w:rsid w:val="003C4E0C"/>
    <w:rsid w:val="003D57FB"/>
    <w:rsid w:val="003E308B"/>
    <w:rsid w:val="003E3D30"/>
    <w:rsid w:val="003F3EA6"/>
    <w:rsid w:val="003F4EBA"/>
    <w:rsid w:val="003F6CA9"/>
    <w:rsid w:val="00403FE9"/>
    <w:rsid w:val="00416071"/>
    <w:rsid w:val="004367ED"/>
    <w:rsid w:val="0044214C"/>
    <w:rsid w:val="0044311A"/>
    <w:rsid w:val="00454235"/>
    <w:rsid w:val="00457D1F"/>
    <w:rsid w:val="004633D0"/>
    <w:rsid w:val="0046667A"/>
    <w:rsid w:val="00483353"/>
    <w:rsid w:val="00485197"/>
    <w:rsid w:val="004867CB"/>
    <w:rsid w:val="004A198B"/>
    <w:rsid w:val="004A5145"/>
    <w:rsid w:val="004A58C2"/>
    <w:rsid w:val="004B352E"/>
    <w:rsid w:val="004C1D94"/>
    <w:rsid w:val="004D59DA"/>
    <w:rsid w:val="004E1CE4"/>
    <w:rsid w:val="004F0C50"/>
    <w:rsid w:val="00503195"/>
    <w:rsid w:val="00503E77"/>
    <w:rsid w:val="00506057"/>
    <w:rsid w:val="00506E0A"/>
    <w:rsid w:val="00511404"/>
    <w:rsid w:val="00522D6B"/>
    <w:rsid w:val="005264E3"/>
    <w:rsid w:val="00530F83"/>
    <w:rsid w:val="00553BB9"/>
    <w:rsid w:val="00562AAF"/>
    <w:rsid w:val="00563A16"/>
    <w:rsid w:val="005851DF"/>
    <w:rsid w:val="00597D7A"/>
    <w:rsid w:val="005A06D7"/>
    <w:rsid w:val="005D26C8"/>
    <w:rsid w:val="005D65F5"/>
    <w:rsid w:val="005E785D"/>
    <w:rsid w:val="00605137"/>
    <w:rsid w:val="00607293"/>
    <w:rsid w:val="00607718"/>
    <w:rsid w:val="00607907"/>
    <w:rsid w:val="006158B8"/>
    <w:rsid w:val="006171D3"/>
    <w:rsid w:val="00621B67"/>
    <w:rsid w:val="006269B6"/>
    <w:rsid w:val="00641538"/>
    <w:rsid w:val="00643433"/>
    <w:rsid w:val="00645963"/>
    <w:rsid w:val="0065051A"/>
    <w:rsid w:val="00650526"/>
    <w:rsid w:val="00650C9D"/>
    <w:rsid w:val="00651B81"/>
    <w:rsid w:val="006671CF"/>
    <w:rsid w:val="00670FC5"/>
    <w:rsid w:val="006734A5"/>
    <w:rsid w:val="00676689"/>
    <w:rsid w:val="006856E3"/>
    <w:rsid w:val="0069382E"/>
    <w:rsid w:val="006946A8"/>
    <w:rsid w:val="00694D28"/>
    <w:rsid w:val="006977BB"/>
    <w:rsid w:val="006A2718"/>
    <w:rsid w:val="006A2EC6"/>
    <w:rsid w:val="006A6637"/>
    <w:rsid w:val="006B61F6"/>
    <w:rsid w:val="006B78C1"/>
    <w:rsid w:val="006C0165"/>
    <w:rsid w:val="006C21F6"/>
    <w:rsid w:val="006D62B2"/>
    <w:rsid w:val="006E377C"/>
    <w:rsid w:val="006E641D"/>
    <w:rsid w:val="006F0CAC"/>
    <w:rsid w:val="006F151E"/>
    <w:rsid w:val="00707C73"/>
    <w:rsid w:val="00723C7E"/>
    <w:rsid w:val="007265A1"/>
    <w:rsid w:val="0073648E"/>
    <w:rsid w:val="00742DE5"/>
    <w:rsid w:val="00767C18"/>
    <w:rsid w:val="00777143"/>
    <w:rsid w:val="00784D4B"/>
    <w:rsid w:val="00790B51"/>
    <w:rsid w:val="007A28BE"/>
    <w:rsid w:val="007A2EA0"/>
    <w:rsid w:val="007A34DE"/>
    <w:rsid w:val="007B0136"/>
    <w:rsid w:val="007B7100"/>
    <w:rsid w:val="007C7FEB"/>
    <w:rsid w:val="007D02DD"/>
    <w:rsid w:val="007D4318"/>
    <w:rsid w:val="007E2582"/>
    <w:rsid w:val="007F10A6"/>
    <w:rsid w:val="007F2228"/>
    <w:rsid w:val="00803F4C"/>
    <w:rsid w:val="00832FA9"/>
    <w:rsid w:val="00844946"/>
    <w:rsid w:val="00845107"/>
    <w:rsid w:val="00857431"/>
    <w:rsid w:val="00863B17"/>
    <w:rsid w:val="00865256"/>
    <w:rsid w:val="00867E46"/>
    <w:rsid w:val="00880590"/>
    <w:rsid w:val="008823B0"/>
    <w:rsid w:val="00884E98"/>
    <w:rsid w:val="00885566"/>
    <w:rsid w:val="0088586E"/>
    <w:rsid w:val="008A1D14"/>
    <w:rsid w:val="008A4159"/>
    <w:rsid w:val="008B40BB"/>
    <w:rsid w:val="008C68DB"/>
    <w:rsid w:val="008E2E97"/>
    <w:rsid w:val="008E7255"/>
    <w:rsid w:val="008F2302"/>
    <w:rsid w:val="008F2EEA"/>
    <w:rsid w:val="00902500"/>
    <w:rsid w:val="00905CC4"/>
    <w:rsid w:val="00915068"/>
    <w:rsid w:val="0091668F"/>
    <w:rsid w:val="00925EC4"/>
    <w:rsid w:val="00953001"/>
    <w:rsid w:val="0096725E"/>
    <w:rsid w:val="0096779D"/>
    <w:rsid w:val="009808C5"/>
    <w:rsid w:val="00983405"/>
    <w:rsid w:val="009834C3"/>
    <w:rsid w:val="009970AA"/>
    <w:rsid w:val="009B09BC"/>
    <w:rsid w:val="009C044B"/>
    <w:rsid w:val="009C0AE0"/>
    <w:rsid w:val="009D0920"/>
    <w:rsid w:val="009D7486"/>
    <w:rsid w:val="009E29FD"/>
    <w:rsid w:val="00A1368E"/>
    <w:rsid w:val="00A15C05"/>
    <w:rsid w:val="00A328CD"/>
    <w:rsid w:val="00A36450"/>
    <w:rsid w:val="00A47E3B"/>
    <w:rsid w:val="00A5069A"/>
    <w:rsid w:val="00A77135"/>
    <w:rsid w:val="00A836D7"/>
    <w:rsid w:val="00A84005"/>
    <w:rsid w:val="00A87A79"/>
    <w:rsid w:val="00AB4E12"/>
    <w:rsid w:val="00AC3580"/>
    <w:rsid w:val="00AD0FD0"/>
    <w:rsid w:val="00AD2FF3"/>
    <w:rsid w:val="00AD3225"/>
    <w:rsid w:val="00AE557F"/>
    <w:rsid w:val="00AF6B27"/>
    <w:rsid w:val="00B001B9"/>
    <w:rsid w:val="00B004FA"/>
    <w:rsid w:val="00B06730"/>
    <w:rsid w:val="00B34D43"/>
    <w:rsid w:val="00B37954"/>
    <w:rsid w:val="00B40EBD"/>
    <w:rsid w:val="00B43420"/>
    <w:rsid w:val="00B63E8C"/>
    <w:rsid w:val="00B66813"/>
    <w:rsid w:val="00B8617A"/>
    <w:rsid w:val="00BC6CA5"/>
    <w:rsid w:val="00BF5CB1"/>
    <w:rsid w:val="00C05ED3"/>
    <w:rsid w:val="00C205D1"/>
    <w:rsid w:val="00C21694"/>
    <w:rsid w:val="00C238CE"/>
    <w:rsid w:val="00C2705C"/>
    <w:rsid w:val="00C404C3"/>
    <w:rsid w:val="00C40ED2"/>
    <w:rsid w:val="00C47929"/>
    <w:rsid w:val="00C530DA"/>
    <w:rsid w:val="00C66BCA"/>
    <w:rsid w:val="00C70154"/>
    <w:rsid w:val="00C732A7"/>
    <w:rsid w:val="00C75473"/>
    <w:rsid w:val="00CA291E"/>
    <w:rsid w:val="00CB00AD"/>
    <w:rsid w:val="00CB35C6"/>
    <w:rsid w:val="00CB4957"/>
    <w:rsid w:val="00CC00D1"/>
    <w:rsid w:val="00CC00E7"/>
    <w:rsid w:val="00CC21B5"/>
    <w:rsid w:val="00CC262D"/>
    <w:rsid w:val="00CC7402"/>
    <w:rsid w:val="00CD0C53"/>
    <w:rsid w:val="00CD3F66"/>
    <w:rsid w:val="00CE10AD"/>
    <w:rsid w:val="00CE3DB8"/>
    <w:rsid w:val="00CE559B"/>
    <w:rsid w:val="00CF2582"/>
    <w:rsid w:val="00D05C2F"/>
    <w:rsid w:val="00D05E28"/>
    <w:rsid w:val="00D072F9"/>
    <w:rsid w:val="00D11DB0"/>
    <w:rsid w:val="00D138EF"/>
    <w:rsid w:val="00D16724"/>
    <w:rsid w:val="00D20563"/>
    <w:rsid w:val="00D231C4"/>
    <w:rsid w:val="00D235F3"/>
    <w:rsid w:val="00D3236D"/>
    <w:rsid w:val="00D422A7"/>
    <w:rsid w:val="00D51593"/>
    <w:rsid w:val="00D54E7B"/>
    <w:rsid w:val="00D5708B"/>
    <w:rsid w:val="00D659C0"/>
    <w:rsid w:val="00D7098B"/>
    <w:rsid w:val="00D7607A"/>
    <w:rsid w:val="00D909D7"/>
    <w:rsid w:val="00D935C8"/>
    <w:rsid w:val="00DA4B53"/>
    <w:rsid w:val="00DB34CC"/>
    <w:rsid w:val="00DB43C2"/>
    <w:rsid w:val="00DC1695"/>
    <w:rsid w:val="00DC1F02"/>
    <w:rsid w:val="00DC2FA5"/>
    <w:rsid w:val="00DC4771"/>
    <w:rsid w:val="00DD01AD"/>
    <w:rsid w:val="00DE4E8D"/>
    <w:rsid w:val="00DF174E"/>
    <w:rsid w:val="00E006A0"/>
    <w:rsid w:val="00E00D94"/>
    <w:rsid w:val="00E159BC"/>
    <w:rsid w:val="00E54E1B"/>
    <w:rsid w:val="00E62475"/>
    <w:rsid w:val="00E657C6"/>
    <w:rsid w:val="00E77189"/>
    <w:rsid w:val="00E84721"/>
    <w:rsid w:val="00E86817"/>
    <w:rsid w:val="00E872C0"/>
    <w:rsid w:val="00E93264"/>
    <w:rsid w:val="00EA0481"/>
    <w:rsid w:val="00EA268C"/>
    <w:rsid w:val="00EA541E"/>
    <w:rsid w:val="00EA5E84"/>
    <w:rsid w:val="00EB3419"/>
    <w:rsid w:val="00EC0DF7"/>
    <w:rsid w:val="00EC5213"/>
    <w:rsid w:val="00EE5486"/>
    <w:rsid w:val="00EE54F2"/>
    <w:rsid w:val="00EF1DF7"/>
    <w:rsid w:val="00F00C7D"/>
    <w:rsid w:val="00F01732"/>
    <w:rsid w:val="00F079F9"/>
    <w:rsid w:val="00F12726"/>
    <w:rsid w:val="00F13E48"/>
    <w:rsid w:val="00F319B9"/>
    <w:rsid w:val="00F31CD8"/>
    <w:rsid w:val="00F35593"/>
    <w:rsid w:val="00F43402"/>
    <w:rsid w:val="00F65603"/>
    <w:rsid w:val="00F73895"/>
    <w:rsid w:val="00F77694"/>
    <w:rsid w:val="00F821C1"/>
    <w:rsid w:val="00FA0DB9"/>
    <w:rsid w:val="00FA19F2"/>
    <w:rsid w:val="00FB134B"/>
    <w:rsid w:val="00FD2319"/>
    <w:rsid w:val="00FF2E0B"/>
    <w:rsid w:val="00FF37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EEA"/>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F2EEA"/>
    <w:rPr>
      <w:rFonts w:ascii="Tahoma" w:hAnsi="Tahoma" w:cs="Tahoma"/>
      <w:sz w:val="16"/>
      <w:szCs w:val="16"/>
    </w:rPr>
  </w:style>
  <w:style w:type="character" w:customStyle="1" w:styleId="BalloonTextChar">
    <w:name w:val="Balloon Text Char"/>
    <w:basedOn w:val="DefaultParagraphFont"/>
    <w:link w:val="BalloonText"/>
    <w:uiPriority w:val="99"/>
    <w:semiHidden/>
    <w:rsid w:val="0014289E"/>
    <w:rPr>
      <w:rFonts w:ascii="Lucida Grande" w:hAnsi="Lucida Grande"/>
      <w:sz w:val="18"/>
      <w:szCs w:val="18"/>
    </w:rPr>
  </w:style>
  <w:style w:type="paragraph" w:styleId="Header">
    <w:name w:val="header"/>
    <w:basedOn w:val="Normal"/>
    <w:rsid w:val="008F2EEA"/>
    <w:pPr>
      <w:tabs>
        <w:tab w:val="center" w:pos="4320"/>
        <w:tab w:val="right" w:pos="8640"/>
      </w:tabs>
    </w:pPr>
  </w:style>
  <w:style w:type="paragraph" w:styleId="Footer">
    <w:name w:val="footer"/>
    <w:basedOn w:val="Normal"/>
    <w:rsid w:val="008F2EEA"/>
    <w:pPr>
      <w:tabs>
        <w:tab w:val="center" w:pos="4320"/>
        <w:tab w:val="right" w:pos="8640"/>
      </w:tabs>
    </w:pPr>
  </w:style>
  <w:style w:type="character" w:styleId="FootnoteReference">
    <w:name w:val="footnote reference"/>
    <w:semiHidden/>
    <w:rsid w:val="008F2EEA"/>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rsid w:val="008F2EEA"/>
    <w:pPr>
      <w:tabs>
        <w:tab w:val="left" w:pos="720"/>
      </w:tabs>
      <w:spacing w:after="200"/>
    </w:pPr>
  </w:style>
  <w:style w:type="character" w:styleId="PageNumber">
    <w:name w:val="page number"/>
    <w:basedOn w:val="DefaultParagraphFont"/>
    <w:rsid w:val="008F2EEA"/>
  </w:style>
  <w:style w:type="paragraph" w:styleId="BodyTextIndent">
    <w:name w:val="Body Text Indent"/>
    <w:basedOn w:val="Normal"/>
    <w:rsid w:val="008F2EE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rsid w:val="008F2EEA"/>
    <w:pPr>
      <w:spacing w:before="100" w:beforeAutospacing="1" w:after="100" w:afterAutospacing="1"/>
    </w:pPr>
    <w:rPr>
      <w:sz w:val="24"/>
      <w:szCs w:val="24"/>
    </w:rPr>
  </w:style>
  <w:style w:type="character" w:styleId="Strong">
    <w:name w:val="Strong"/>
    <w:qFormat/>
    <w:rsid w:val="008F2EEA"/>
    <w:rPr>
      <w:b/>
      <w:bCs/>
    </w:rPr>
  </w:style>
  <w:style w:type="paragraph" w:styleId="BlockText">
    <w:name w:val="Block Text"/>
    <w:basedOn w:val="Normal"/>
    <w:rsid w:val="008F2EEA"/>
    <w:pPr>
      <w:widowControl w:val="0"/>
      <w:spacing w:after="240"/>
      <w:ind w:left="1440" w:right="1440"/>
      <w:jc w:val="both"/>
    </w:pPr>
    <w:rPr>
      <w:snapToGrid w:val="0"/>
      <w:kern w:val="28"/>
    </w:rPr>
  </w:style>
  <w:style w:type="character" w:styleId="Hyperlink">
    <w:name w:val="Hyperlink"/>
    <w:rsid w:val="008F2EEA"/>
    <w:rPr>
      <w:color w:val="0000FF"/>
      <w:u w:val="single"/>
    </w:rPr>
  </w:style>
  <w:style w:type="paragraph" w:customStyle="1" w:styleId="Normal12">
    <w:name w:val="Normal 12"/>
    <w:basedOn w:val="Normal"/>
    <w:rsid w:val="00643433"/>
    <w:pPr>
      <w:ind w:firstLine="720"/>
    </w:pPr>
    <w:rPr>
      <w:sz w:val="24"/>
    </w:rPr>
  </w:style>
  <w:style w:type="character" w:styleId="FollowedHyperlink">
    <w:name w:val="FollowedHyperlink"/>
    <w:rsid w:val="007D02DD"/>
    <w:rPr>
      <w:color w:val="800080"/>
      <w:u w:val="single"/>
    </w:rPr>
  </w:style>
  <w:style w:type="character" w:styleId="CommentReference">
    <w:name w:val="annotation reference"/>
    <w:basedOn w:val="DefaultParagraphFont"/>
    <w:rsid w:val="002F239C"/>
    <w:rPr>
      <w:sz w:val="16"/>
      <w:szCs w:val="16"/>
    </w:rPr>
  </w:style>
  <w:style w:type="paragraph" w:styleId="CommentText">
    <w:name w:val="annotation text"/>
    <w:basedOn w:val="Normal"/>
    <w:link w:val="CommentTextChar"/>
    <w:rsid w:val="002F239C"/>
    <w:rPr>
      <w:sz w:val="20"/>
    </w:rPr>
  </w:style>
  <w:style w:type="character" w:customStyle="1" w:styleId="CommentTextChar">
    <w:name w:val="Comment Text Char"/>
    <w:basedOn w:val="DefaultParagraphFont"/>
    <w:link w:val="CommentText"/>
    <w:rsid w:val="002F239C"/>
    <w:rPr>
      <w:rFonts w:eastAsia="Times New Roman"/>
    </w:rPr>
  </w:style>
  <w:style w:type="paragraph" w:styleId="CommentSubject">
    <w:name w:val="annotation subject"/>
    <w:basedOn w:val="CommentText"/>
    <w:next w:val="CommentText"/>
    <w:link w:val="CommentSubjectChar"/>
    <w:rsid w:val="002F239C"/>
    <w:rPr>
      <w:b/>
      <w:bCs/>
    </w:rPr>
  </w:style>
  <w:style w:type="character" w:customStyle="1" w:styleId="CommentSubjectChar">
    <w:name w:val="Comment Subject Char"/>
    <w:basedOn w:val="CommentTextChar"/>
    <w:link w:val="CommentSubject"/>
    <w:rsid w:val="002F239C"/>
    <w:rPr>
      <w:rFonts w:eastAsia="Times New Roman"/>
      <w:b/>
      <w:bCs/>
    </w:rPr>
  </w:style>
  <w:style w:type="character" w:customStyle="1" w:styleId="documentbody1">
    <w:name w:val="documentbody1"/>
    <w:basedOn w:val="DefaultParagraphFont"/>
    <w:rsid w:val="00A36450"/>
    <w:rPr>
      <w:rFonts w:ascii="Verdana" w:hAnsi="Verdana" w:hint="default"/>
      <w:sz w:val="19"/>
      <w:szCs w:val="19"/>
    </w:rPr>
  </w:style>
  <w:style w:type="paragraph" w:styleId="BodyText2">
    <w:name w:val="Body Text 2"/>
    <w:basedOn w:val="Normal"/>
    <w:link w:val="BodyText2Char"/>
    <w:rsid w:val="00CE559B"/>
    <w:pPr>
      <w:spacing w:after="120" w:line="480" w:lineRule="auto"/>
    </w:pPr>
  </w:style>
  <w:style w:type="character" w:customStyle="1" w:styleId="BodyText2Char">
    <w:name w:val="Body Text 2 Char"/>
    <w:basedOn w:val="DefaultParagraphFont"/>
    <w:link w:val="BodyText2"/>
    <w:rsid w:val="00CE559B"/>
    <w:rPr>
      <w:rFonts w:eastAsia="Times New Roman"/>
      <w:sz w:val="22"/>
    </w:rPr>
  </w:style>
  <w:style w:type="paragraph" w:styleId="ListParagraph">
    <w:name w:val="List Paragraph"/>
    <w:basedOn w:val="Normal"/>
    <w:uiPriority w:val="34"/>
    <w:qFormat/>
    <w:rsid w:val="0088586E"/>
    <w:pPr>
      <w:ind w:left="720"/>
      <w:contextualSpacing/>
    </w:pPr>
  </w:style>
  <w:style w:type="character" w:customStyle="1" w:styleId="ptext-0">
    <w:name w:val="ptext-0"/>
    <w:basedOn w:val="DefaultParagraphFont"/>
    <w:rsid w:val="003D57FB"/>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basedOn w:val="DefaultParagraphFont"/>
    <w:link w:val="FootnoteText"/>
    <w:semiHidden/>
    <w:locked/>
    <w:rsid w:val="00E657C6"/>
    <w:rPr>
      <w:rFonts w:eastAsia="Times New Roman"/>
      <w:sz w:val="22"/>
    </w:rPr>
  </w:style>
  <w:style w:type="paragraph" w:customStyle="1" w:styleId="Normal1">
    <w:name w:val="Normal1"/>
    <w:basedOn w:val="Normal"/>
    <w:rsid w:val="00F77694"/>
    <w:pPr>
      <w:spacing w:before="100" w:beforeAutospacing="1" w:after="100" w:afterAutospacing="1"/>
    </w:pPr>
    <w:rPr>
      <w:rFonts w:ascii="Tahoma" w:hAnsi="Tahoma" w:cs="Verdana"/>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EEA"/>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F2EEA"/>
    <w:rPr>
      <w:rFonts w:ascii="Tahoma" w:hAnsi="Tahoma" w:cs="Tahoma"/>
      <w:sz w:val="16"/>
      <w:szCs w:val="16"/>
    </w:rPr>
  </w:style>
  <w:style w:type="character" w:customStyle="1" w:styleId="BalloonTextChar">
    <w:name w:val="Balloon Text Char"/>
    <w:basedOn w:val="DefaultParagraphFont"/>
    <w:link w:val="BalloonText"/>
    <w:uiPriority w:val="99"/>
    <w:semiHidden/>
    <w:rsid w:val="0014289E"/>
    <w:rPr>
      <w:rFonts w:ascii="Lucida Grande" w:hAnsi="Lucida Grande"/>
      <w:sz w:val="18"/>
      <w:szCs w:val="18"/>
    </w:rPr>
  </w:style>
  <w:style w:type="paragraph" w:styleId="Header">
    <w:name w:val="header"/>
    <w:basedOn w:val="Normal"/>
    <w:rsid w:val="008F2EEA"/>
    <w:pPr>
      <w:tabs>
        <w:tab w:val="center" w:pos="4320"/>
        <w:tab w:val="right" w:pos="8640"/>
      </w:tabs>
    </w:pPr>
  </w:style>
  <w:style w:type="paragraph" w:styleId="Footer">
    <w:name w:val="footer"/>
    <w:basedOn w:val="Normal"/>
    <w:rsid w:val="008F2EEA"/>
    <w:pPr>
      <w:tabs>
        <w:tab w:val="center" w:pos="4320"/>
        <w:tab w:val="right" w:pos="8640"/>
      </w:tabs>
    </w:pPr>
  </w:style>
  <w:style w:type="character" w:styleId="FootnoteReference">
    <w:name w:val="footnote reference"/>
    <w:semiHidden/>
    <w:rsid w:val="008F2EEA"/>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rsid w:val="008F2EEA"/>
    <w:pPr>
      <w:tabs>
        <w:tab w:val="left" w:pos="720"/>
      </w:tabs>
      <w:spacing w:after="200"/>
    </w:pPr>
  </w:style>
  <w:style w:type="character" w:styleId="PageNumber">
    <w:name w:val="page number"/>
    <w:basedOn w:val="DefaultParagraphFont"/>
    <w:rsid w:val="008F2EEA"/>
  </w:style>
  <w:style w:type="paragraph" w:styleId="BodyTextIndent">
    <w:name w:val="Body Text Indent"/>
    <w:basedOn w:val="Normal"/>
    <w:rsid w:val="008F2EE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rsid w:val="008F2EEA"/>
    <w:pPr>
      <w:spacing w:before="100" w:beforeAutospacing="1" w:after="100" w:afterAutospacing="1"/>
    </w:pPr>
    <w:rPr>
      <w:sz w:val="24"/>
      <w:szCs w:val="24"/>
    </w:rPr>
  </w:style>
  <w:style w:type="character" w:styleId="Strong">
    <w:name w:val="Strong"/>
    <w:qFormat/>
    <w:rsid w:val="008F2EEA"/>
    <w:rPr>
      <w:b/>
      <w:bCs/>
    </w:rPr>
  </w:style>
  <w:style w:type="paragraph" w:styleId="BlockText">
    <w:name w:val="Block Text"/>
    <w:basedOn w:val="Normal"/>
    <w:rsid w:val="008F2EEA"/>
    <w:pPr>
      <w:widowControl w:val="0"/>
      <w:spacing w:after="240"/>
      <w:ind w:left="1440" w:right="1440"/>
      <w:jc w:val="both"/>
    </w:pPr>
    <w:rPr>
      <w:snapToGrid w:val="0"/>
      <w:kern w:val="28"/>
    </w:rPr>
  </w:style>
  <w:style w:type="character" w:styleId="Hyperlink">
    <w:name w:val="Hyperlink"/>
    <w:rsid w:val="008F2EEA"/>
    <w:rPr>
      <w:color w:val="0000FF"/>
      <w:u w:val="single"/>
    </w:rPr>
  </w:style>
  <w:style w:type="paragraph" w:customStyle="1" w:styleId="Normal12">
    <w:name w:val="Normal 12"/>
    <w:basedOn w:val="Normal"/>
    <w:rsid w:val="00643433"/>
    <w:pPr>
      <w:ind w:firstLine="720"/>
    </w:pPr>
    <w:rPr>
      <w:sz w:val="24"/>
    </w:rPr>
  </w:style>
  <w:style w:type="character" w:styleId="FollowedHyperlink">
    <w:name w:val="FollowedHyperlink"/>
    <w:rsid w:val="007D02DD"/>
    <w:rPr>
      <w:color w:val="800080"/>
      <w:u w:val="single"/>
    </w:rPr>
  </w:style>
  <w:style w:type="character" w:styleId="CommentReference">
    <w:name w:val="annotation reference"/>
    <w:basedOn w:val="DefaultParagraphFont"/>
    <w:rsid w:val="002F239C"/>
    <w:rPr>
      <w:sz w:val="16"/>
      <w:szCs w:val="16"/>
    </w:rPr>
  </w:style>
  <w:style w:type="paragraph" w:styleId="CommentText">
    <w:name w:val="annotation text"/>
    <w:basedOn w:val="Normal"/>
    <w:link w:val="CommentTextChar"/>
    <w:rsid w:val="002F239C"/>
    <w:rPr>
      <w:sz w:val="20"/>
    </w:rPr>
  </w:style>
  <w:style w:type="character" w:customStyle="1" w:styleId="CommentTextChar">
    <w:name w:val="Comment Text Char"/>
    <w:basedOn w:val="DefaultParagraphFont"/>
    <w:link w:val="CommentText"/>
    <w:rsid w:val="002F239C"/>
    <w:rPr>
      <w:rFonts w:eastAsia="Times New Roman"/>
    </w:rPr>
  </w:style>
  <w:style w:type="paragraph" w:styleId="CommentSubject">
    <w:name w:val="annotation subject"/>
    <w:basedOn w:val="CommentText"/>
    <w:next w:val="CommentText"/>
    <w:link w:val="CommentSubjectChar"/>
    <w:rsid w:val="002F239C"/>
    <w:rPr>
      <w:b/>
      <w:bCs/>
    </w:rPr>
  </w:style>
  <w:style w:type="character" w:customStyle="1" w:styleId="CommentSubjectChar">
    <w:name w:val="Comment Subject Char"/>
    <w:basedOn w:val="CommentTextChar"/>
    <w:link w:val="CommentSubject"/>
    <w:rsid w:val="002F239C"/>
    <w:rPr>
      <w:rFonts w:eastAsia="Times New Roman"/>
      <w:b/>
      <w:bCs/>
    </w:rPr>
  </w:style>
  <w:style w:type="character" w:customStyle="1" w:styleId="documentbody1">
    <w:name w:val="documentbody1"/>
    <w:basedOn w:val="DefaultParagraphFont"/>
    <w:rsid w:val="00A36450"/>
    <w:rPr>
      <w:rFonts w:ascii="Verdana" w:hAnsi="Verdana" w:hint="default"/>
      <w:sz w:val="19"/>
      <w:szCs w:val="19"/>
    </w:rPr>
  </w:style>
  <w:style w:type="paragraph" w:styleId="BodyText2">
    <w:name w:val="Body Text 2"/>
    <w:basedOn w:val="Normal"/>
    <w:link w:val="BodyText2Char"/>
    <w:rsid w:val="00CE559B"/>
    <w:pPr>
      <w:spacing w:after="120" w:line="480" w:lineRule="auto"/>
    </w:pPr>
  </w:style>
  <w:style w:type="character" w:customStyle="1" w:styleId="BodyText2Char">
    <w:name w:val="Body Text 2 Char"/>
    <w:basedOn w:val="DefaultParagraphFont"/>
    <w:link w:val="BodyText2"/>
    <w:rsid w:val="00CE559B"/>
    <w:rPr>
      <w:rFonts w:eastAsia="Times New Roman"/>
      <w:sz w:val="22"/>
    </w:rPr>
  </w:style>
  <w:style w:type="paragraph" w:styleId="ListParagraph">
    <w:name w:val="List Paragraph"/>
    <w:basedOn w:val="Normal"/>
    <w:uiPriority w:val="34"/>
    <w:qFormat/>
    <w:rsid w:val="0088586E"/>
    <w:pPr>
      <w:ind w:left="720"/>
      <w:contextualSpacing/>
    </w:pPr>
  </w:style>
  <w:style w:type="character" w:customStyle="1" w:styleId="ptext-0">
    <w:name w:val="ptext-0"/>
    <w:basedOn w:val="DefaultParagraphFont"/>
    <w:rsid w:val="003D57FB"/>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basedOn w:val="DefaultParagraphFont"/>
    <w:link w:val="FootnoteText"/>
    <w:semiHidden/>
    <w:locked/>
    <w:rsid w:val="00E657C6"/>
    <w:rPr>
      <w:rFonts w:eastAsia="Times New Roman"/>
      <w:sz w:val="22"/>
    </w:rPr>
  </w:style>
  <w:style w:type="paragraph" w:customStyle="1" w:styleId="Normal1">
    <w:name w:val="Normal1"/>
    <w:basedOn w:val="Normal"/>
    <w:rsid w:val="00F77694"/>
    <w:pPr>
      <w:spacing w:before="100" w:beforeAutospacing="1" w:after="100" w:afterAutospacing="1"/>
    </w:pPr>
    <w:rPr>
      <w:rFonts w:ascii="Tahoma" w:hAnsi="Tahoma" w:cs="Verdana"/>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4375">
      <w:bodyDiv w:val="1"/>
      <w:marLeft w:val="0"/>
      <w:marRight w:val="0"/>
      <w:marTop w:val="0"/>
      <w:marBottom w:val="0"/>
      <w:divBdr>
        <w:top w:val="none" w:sz="0" w:space="0" w:color="auto"/>
        <w:left w:val="none" w:sz="0" w:space="0" w:color="auto"/>
        <w:bottom w:val="none" w:sz="0" w:space="0" w:color="auto"/>
        <w:right w:val="none" w:sz="0" w:space="0" w:color="auto"/>
      </w:divBdr>
    </w:div>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3912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4620</CharactersWithSpaces>
  <SharedDoc>false</SharedDoc>
  <HyperlinkBase> </HyperlinkBase>
  <HLinks>
    <vt:vector size="12" baseType="variant">
      <vt:variant>
        <vt:i4>4128819</vt:i4>
      </vt:variant>
      <vt:variant>
        <vt:i4>3</vt:i4>
      </vt:variant>
      <vt:variant>
        <vt:i4>0</vt:i4>
      </vt:variant>
      <vt:variant>
        <vt:i4>5</vt:i4>
      </vt:variant>
      <vt:variant>
        <vt:lpwstr>http://www.fcc.gov/mmb/asd/lpfm</vt:lpwstr>
      </vt:variant>
      <vt:variant>
        <vt:lpwstr/>
      </vt:variant>
      <vt:variant>
        <vt:i4>327801</vt:i4>
      </vt:variant>
      <vt:variant>
        <vt:i4>0</vt:i4>
      </vt:variant>
      <vt:variant>
        <vt:i4>0</vt:i4>
      </vt:variant>
      <vt:variant>
        <vt:i4>5</vt:i4>
      </vt:variant>
      <vt:variant>
        <vt:lpwstr>http://licensing.fcc.gov/prod/cdbs/pubacc/prod/cdbs_pa.htm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2012-06-05T14:24:00Z</cp:lastPrinted>
  <dcterms:created xsi:type="dcterms:W3CDTF">2013-12-16T15:55:00Z</dcterms:created>
  <dcterms:modified xsi:type="dcterms:W3CDTF">2013-12-16T15:55:00Z</dcterms:modified>
  <cp:category> </cp:category>
  <cp:contentStatus> </cp:contentStatus>
</cp:coreProperties>
</file>