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68AB" w14:textId="77777777" w:rsidR="004C2EE3" w:rsidRDefault="004C2EE3" w:rsidP="00682224">
      <w:pPr>
        <w:widowControl/>
        <w:jc w:val="center"/>
        <w:rPr>
          <w:b/>
        </w:rPr>
      </w:pPr>
      <w:bookmarkStart w:id="0" w:name="_GoBack"/>
      <w:bookmarkEnd w:id="0"/>
      <w:r w:rsidRPr="0070224F">
        <w:rPr>
          <w:rFonts w:ascii="Times New Roman Bold" w:hAnsi="Times New Roman Bold"/>
          <w:b/>
        </w:rPr>
        <w:t>Before</w:t>
      </w:r>
      <w:r>
        <w:rPr>
          <w:b/>
        </w:rPr>
        <w:t xml:space="preserve"> the</w:t>
      </w:r>
    </w:p>
    <w:p w14:paraId="64574D0C" w14:textId="77777777" w:rsidR="00921803" w:rsidRDefault="00921803" w:rsidP="00682224">
      <w:pPr>
        <w:pStyle w:val="StyleBoldCentered"/>
        <w:widowControl/>
      </w:pPr>
      <w:r>
        <w:t>F</w:t>
      </w:r>
      <w:r>
        <w:rPr>
          <w:caps w:val="0"/>
        </w:rPr>
        <w:t>ederal Communications Commission</w:t>
      </w:r>
    </w:p>
    <w:p w14:paraId="0433B8FA" w14:textId="77777777" w:rsidR="004C2EE3" w:rsidRDefault="004C2EE3" w:rsidP="00682224">
      <w:pPr>
        <w:pStyle w:val="StyleBoldCentered"/>
        <w:widowControl/>
      </w:pPr>
      <w:r>
        <w:t>W</w:t>
      </w:r>
      <w:r w:rsidRPr="006B555B">
        <w:rPr>
          <w:caps w:val="0"/>
        </w:rPr>
        <w:t>ashington</w:t>
      </w:r>
      <w:r>
        <w:t>, D.C. 20554</w:t>
      </w:r>
    </w:p>
    <w:p w14:paraId="4F4C0CB6" w14:textId="77777777" w:rsidR="008974B4" w:rsidRDefault="008974B4" w:rsidP="00682224">
      <w:pPr>
        <w:pStyle w:val="StyleBoldCentered"/>
        <w:widowControl/>
      </w:pPr>
    </w:p>
    <w:p w14:paraId="33907D4E" w14:textId="77777777" w:rsidR="008974B4" w:rsidRDefault="008974B4" w:rsidP="00682224">
      <w:pPr>
        <w:pStyle w:val="StyleBoldCentered"/>
        <w:widowControl/>
      </w:pPr>
    </w:p>
    <w:tbl>
      <w:tblPr>
        <w:tblW w:w="0" w:type="auto"/>
        <w:tblLayout w:type="fixed"/>
        <w:tblLook w:val="0000" w:firstRow="0" w:lastRow="0" w:firstColumn="0" w:lastColumn="0" w:noHBand="0" w:noVBand="0"/>
      </w:tblPr>
      <w:tblGrid>
        <w:gridCol w:w="4698"/>
        <w:gridCol w:w="630"/>
        <w:gridCol w:w="4248"/>
      </w:tblGrid>
      <w:tr w:rsidR="00923467" w14:paraId="66050643" w14:textId="77777777">
        <w:tc>
          <w:tcPr>
            <w:tcW w:w="4698" w:type="dxa"/>
          </w:tcPr>
          <w:p w14:paraId="4923F559" w14:textId="77777777" w:rsidR="00923467" w:rsidRDefault="00923467" w:rsidP="00682224">
            <w:pPr>
              <w:widowControl/>
              <w:tabs>
                <w:tab w:val="center" w:pos="4680"/>
              </w:tabs>
              <w:suppressAutoHyphens/>
              <w:rPr>
                <w:spacing w:val="-2"/>
              </w:rPr>
            </w:pPr>
            <w:r>
              <w:rPr>
                <w:spacing w:val="-2"/>
              </w:rPr>
              <w:t>In the Matter of</w:t>
            </w:r>
          </w:p>
          <w:p w14:paraId="03883346" w14:textId="77777777" w:rsidR="00923467" w:rsidRDefault="00923467" w:rsidP="00682224">
            <w:pPr>
              <w:widowControl/>
              <w:tabs>
                <w:tab w:val="center" w:pos="4680"/>
              </w:tabs>
              <w:suppressAutoHyphens/>
              <w:rPr>
                <w:spacing w:val="-2"/>
              </w:rPr>
            </w:pPr>
          </w:p>
          <w:p w14:paraId="1B23B30A" w14:textId="77777777" w:rsidR="00923467" w:rsidRDefault="008974B4" w:rsidP="00682224">
            <w:pPr>
              <w:widowControl/>
              <w:tabs>
                <w:tab w:val="center" w:pos="4680"/>
              </w:tabs>
              <w:suppressAutoHyphens/>
              <w:rPr>
                <w:color w:val="000000"/>
              </w:rPr>
            </w:pPr>
            <w:r>
              <w:t xml:space="preserve">DISH </w:t>
            </w:r>
            <w:r w:rsidR="00380AC1">
              <w:t>Network Corporation</w:t>
            </w:r>
          </w:p>
          <w:p w14:paraId="4398395C" w14:textId="77777777" w:rsidR="00FA0FC5" w:rsidRDefault="00FA0FC5" w:rsidP="00682224">
            <w:pPr>
              <w:widowControl/>
              <w:tabs>
                <w:tab w:val="center" w:pos="4680"/>
              </w:tabs>
              <w:suppressAutoHyphens/>
              <w:rPr>
                <w:spacing w:val="-2"/>
              </w:rPr>
            </w:pPr>
          </w:p>
          <w:p w14:paraId="41DD5723" w14:textId="77777777" w:rsidR="00A57DA1" w:rsidRDefault="008974B4" w:rsidP="00682224">
            <w:pPr>
              <w:widowControl/>
              <w:tabs>
                <w:tab w:val="center" w:pos="4680"/>
              </w:tabs>
              <w:suppressAutoHyphens/>
              <w:rPr>
                <w:spacing w:val="-2"/>
              </w:rPr>
            </w:pPr>
            <w:r>
              <w:rPr>
                <w:spacing w:val="-2"/>
              </w:rPr>
              <w:t>Petition for Waiver of Sections 27.5(j) and 27.53(h)(2)(ii) of the Commission’s Rules and Request for Extension of Time</w:t>
            </w:r>
          </w:p>
          <w:p w14:paraId="6364B5F3" w14:textId="77777777" w:rsidR="00923467" w:rsidRPr="009F1614" w:rsidRDefault="00923467" w:rsidP="00682224">
            <w:pPr>
              <w:widowControl/>
              <w:jc w:val="right"/>
              <w:rPr>
                <w:caps/>
                <w:noProof/>
                <w:snapToGrid/>
              </w:rPr>
            </w:pPr>
          </w:p>
        </w:tc>
        <w:tc>
          <w:tcPr>
            <w:tcW w:w="630" w:type="dxa"/>
          </w:tcPr>
          <w:p w14:paraId="29A51C1F" w14:textId="77777777" w:rsidR="00923467" w:rsidRPr="00FA0FC5" w:rsidRDefault="00923467" w:rsidP="00682224">
            <w:pPr>
              <w:widowControl/>
              <w:tabs>
                <w:tab w:val="center" w:pos="4680"/>
              </w:tabs>
              <w:suppressAutoHyphens/>
              <w:rPr>
                <w:spacing w:val="-2"/>
              </w:rPr>
            </w:pPr>
            <w:r w:rsidRPr="00FA0FC5">
              <w:rPr>
                <w:spacing w:val="-2"/>
              </w:rPr>
              <w:t>)</w:t>
            </w:r>
          </w:p>
          <w:p w14:paraId="3E3499DE" w14:textId="77777777" w:rsidR="00923467" w:rsidRPr="00FA0FC5" w:rsidRDefault="00923467" w:rsidP="00682224">
            <w:pPr>
              <w:widowControl/>
              <w:tabs>
                <w:tab w:val="center" w:pos="4680"/>
              </w:tabs>
              <w:suppressAutoHyphens/>
              <w:rPr>
                <w:spacing w:val="-2"/>
              </w:rPr>
            </w:pPr>
            <w:r w:rsidRPr="00FA0FC5">
              <w:rPr>
                <w:spacing w:val="-2"/>
              </w:rPr>
              <w:t>)</w:t>
            </w:r>
          </w:p>
          <w:p w14:paraId="02FFB3DE" w14:textId="77777777" w:rsidR="00923467" w:rsidRPr="00FA0FC5" w:rsidRDefault="00923467" w:rsidP="00682224">
            <w:pPr>
              <w:widowControl/>
              <w:tabs>
                <w:tab w:val="center" w:pos="4680"/>
              </w:tabs>
              <w:suppressAutoHyphens/>
              <w:rPr>
                <w:spacing w:val="-2"/>
              </w:rPr>
            </w:pPr>
            <w:r w:rsidRPr="00FA0FC5">
              <w:rPr>
                <w:spacing w:val="-2"/>
              </w:rPr>
              <w:t>)</w:t>
            </w:r>
          </w:p>
          <w:p w14:paraId="26A3F370" w14:textId="77777777" w:rsidR="00923467" w:rsidRPr="00FA0FC5" w:rsidRDefault="00923467" w:rsidP="00682224">
            <w:pPr>
              <w:widowControl/>
              <w:tabs>
                <w:tab w:val="center" w:pos="4680"/>
              </w:tabs>
              <w:suppressAutoHyphens/>
              <w:rPr>
                <w:spacing w:val="-2"/>
              </w:rPr>
            </w:pPr>
            <w:r w:rsidRPr="00FA0FC5">
              <w:rPr>
                <w:spacing w:val="-2"/>
              </w:rPr>
              <w:t>)</w:t>
            </w:r>
          </w:p>
          <w:p w14:paraId="7ABED479" w14:textId="77777777" w:rsidR="00923467" w:rsidRPr="00FA0FC5" w:rsidRDefault="00923467" w:rsidP="00682224">
            <w:pPr>
              <w:widowControl/>
              <w:tabs>
                <w:tab w:val="center" w:pos="4680"/>
              </w:tabs>
              <w:suppressAutoHyphens/>
              <w:rPr>
                <w:spacing w:val="-2"/>
              </w:rPr>
            </w:pPr>
            <w:r w:rsidRPr="00FA0FC5">
              <w:rPr>
                <w:spacing w:val="-2"/>
              </w:rPr>
              <w:t>)</w:t>
            </w:r>
          </w:p>
          <w:p w14:paraId="05EA0D10" w14:textId="77777777" w:rsidR="00923467" w:rsidRPr="00FA0FC5" w:rsidRDefault="00923467" w:rsidP="00682224">
            <w:pPr>
              <w:widowControl/>
              <w:tabs>
                <w:tab w:val="center" w:pos="4680"/>
              </w:tabs>
              <w:suppressAutoHyphens/>
              <w:rPr>
                <w:spacing w:val="-2"/>
              </w:rPr>
            </w:pPr>
            <w:r w:rsidRPr="00FA0FC5">
              <w:rPr>
                <w:spacing w:val="-2"/>
              </w:rPr>
              <w:t>)</w:t>
            </w:r>
          </w:p>
          <w:p w14:paraId="7F03CFE3" w14:textId="77777777" w:rsidR="00923467" w:rsidRPr="00FA0FC5" w:rsidRDefault="00923467" w:rsidP="00682224">
            <w:pPr>
              <w:widowControl/>
              <w:tabs>
                <w:tab w:val="center" w:pos="4680"/>
              </w:tabs>
              <w:suppressAutoHyphens/>
              <w:rPr>
                <w:spacing w:val="-2"/>
              </w:rPr>
            </w:pPr>
            <w:r w:rsidRPr="00FA0FC5">
              <w:rPr>
                <w:spacing w:val="-2"/>
              </w:rPr>
              <w:t>)</w:t>
            </w:r>
          </w:p>
          <w:p w14:paraId="504B36B1" w14:textId="77777777" w:rsidR="007B2B61" w:rsidRPr="00FA0FC5" w:rsidRDefault="007B2B61" w:rsidP="00682224">
            <w:pPr>
              <w:widowControl/>
              <w:tabs>
                <w:tab w:val="center" w:pos="4680"/>
              </w:tabs>
              <w:suppressAutoHyphens/>
              <w:rPr>
                <w:snapToGrid/>
                <w:spacing w:val="-2"/>
              </w:rPr>
            </w:pPr>
          </w:p>
        </w:tc>
        <w:tc>
          <w:tcPr>
            <w:tcW w:w="4248" w:type="dxa"/>
          </w:tcPr>
          <w:p w14:paraId="707E0E9F" w14:textId="77777777" w:rsidR="00923467" w:rsidRDefault="00923467" w:rsidP="00682224">
            <w:pPr>
              <w:widowControl/>
              <w:tabs>
                <w:tab w:val="center" w:pos="4680"/>
              </w:tabs>
              <w:suppressAutoHyphens/>
              <w:rPr>
                <w:snapToGrid/>
                <w:spacing w:val="-2"/>
              </w:rPr>
            </w:pPr>
          </w:p>
          <w:p w14:paraId="2F03E04D" w14:textId="77777777" w:rsidR="006A472B" w:rsidRDefault="006A472B" w:rsidP="00682224">
            <w:pPr>
              <w:widowControl/>
              <w:tabs>
                <w:tab w:val="center" w:pos="4680"/>
              </w:tabs>
              <w:suppressAutoHyphens/>
              <w:rPr>
                <w:snapToGrid/>
                <w:spacing w:val="-2"/>
              </w:rPr>
            </w:pPr>
          </w:p>
          <w:p w14:paraId="42C0AB3C" w14:textId="77777777" w:rsidR="0024141A" w:rsidRDefault="0024141A" w:rsidP="00682224">
            <w:pPr>
              <w:pStyle w:val="TOAHeading"/>
              <w:widowControl/>
              <w:tabs>
                <w:tab w:val="clear" w:pos="9360"/>
                <w:tab w:val="center" w:pos="4680"/>
              </w:tabs>
              <w:rPr>
                <w:snapToGrid/>
                <w:color w:val="000000"/>
                <w:spacing w:val="-2"/>
                <w:szCs w:val="22"/>
              </w:rPr>
            </w:pPr>
            <w:r>
              <w:rPr>
                <w:spacing w:val="-2"/>
              </w:rPr>
              <w:t>WT</w:t>
            </w:r>
            <w:r w:rsidRPr="002220FF">
              <w:rPr>
                <w:spacing w:val="-2"/>
              </w:rPr>
              <w:t xml:space="preserve"> Docket No. 1</w:t>
            </w:r>
            <w:r>
              <w:rPr>
                <w:spacing w:val="-2"/>
              </w:rPr>
              <w:t>3</w:t>
            </w:r>
            <w:r w:rsidRPr="002220FF">
              <w:rPr>
                <w:spacing w:val="-2"/>
              </w:rPr>
              <w:t>-</w:t>
            </w:r>
            <w:r>
              <w:rPr>
                <w:spacing w:val="-2"/>
              </w:rPr>
              <w:t>225</w:t>
            </w:r>
          </w:p>
          <w:p w14:paraId="7475FEA6" w14:textId="77777777" w:rsidR="00923467" w:rsidRDefault="00923467" w:rsidP="00682224">
            <w:pPr>
              <w:pStyle w:val="TOAHeading"/>
              <w:widowControl/>
              <w:tabs>
                <w:tab w:val="clear" w:pos="9360"/>
                <w:tab w:val="center" w:pos="4680"/>
              </w:tabs>
              <w:rPr>
                <w:snapToGrid/>
                <w:spacing w:val="-2"/>
              </w:rPr>
            </w:pPr>
          </w:p>
          <w:p w14:paraId="6DB72F0C" w14:textId="77777777" w:rsidR="00923467" w:rsidRDefault="00923467" w:rsidP="00682224">
            <w:pPr>
              <w:widowControl/>
              <w:tabs>
                <w:tab w:val="center" w:pos="4680"/>
              </w:tabs>
              <w:suppressAutoHyphens/>
              <w:rPr>
                <w:snapToGrid/>
                <w:spacing w:val="-2"/>
              </w:rPr>
            </w:pPr>
          </w:p>
          <w:p w14:paraId="2794CC3B" w14:textId="77777777" w:rsidR="00923467" w:rsidRDefault="00923467" w:rsidP="00682224">
            <w:pPr>
              <w:widowControl/>
              <w:tabs>
                <w:tab w:val="center" w:pos="4680"/>
              </w:tabs>
              <w:suppressAutoHyphens/>
              <w:rPr>
                <w:snapToGrid/>
                <w:spacing w:val="-2"/>
              </w:rPr>
            </w:pPr>
          </w:p>
          <w:p w14:paraId="126BCA6E" w14:textId="77777777" w:rsidR="00923467" w:rsidRDefault="00923467" w:rsidP="00682224">
            <w:pPr>
              <w:widowControl/>
              <w:tabs>
                <w:tab w:val="center" w:pos="4680"/>
              </w:tabs>
              <w:suppressAutoHyphens/>
              <w:rPr>
                <w:snapToGrid/>
                <w:spacing w:val="-2"/>
              </w:rPr>
            </w:pPr>
          </w:p>
          <w:p w14:paraId="4C418D04" w14:textId="77777777" w:rsidR="00923467" w:rsidRDefault="00923467" w:rsidP="00682224">
            <w:pPr>
              <w:widowControl/>
              <w:rPr>
                <w:snapToGrid/>
                <w:spacing w:val="-3"/>
              </w:rPr>
            </w:pPr>
          </w:p>
          <w:p w14:paraId="09CBAEFE" w14:textId="77777777" w:rsidR="00FA0FC5" w:rsidRDefault="00FA0FC5" w:rsidP="00682224">
            <w:pPr>
              <w:widowControl/>
              <w:rPr>
                <w:snapToGrid/>
                <w:spacing w:val="-2"/>
              </w:rPr>
            </w:pPr>
          </w:p>
        </w:tc>
      </w:tr>
    </w:tbl>
    <w:p w14:paraId="69CE16D2" w14:textId="77777777" w:rsidR="00841AB1" w:rsidRDefault="008974B4" w:rsidP="00682224">
      <w:pPr>
        <w:pStyle w:val="StyleBoldCentered"/>
        <w:widowControl/>
      </w:pPr>
      <w:r>
        <w:t>MEMORANDUM OPINION AND ORDER</w:t>
      </w:r>
    </w:p>
    <w:p w14:paraId="224E785E" w14:textId="77777777" w:rsidR="004C2EE3" w:rsidRDefault="00FF71CF" w:rsidP="00682224">
      <w:pPr>
        <w:widowControl/>
        <w:tabs>
          <w:tab w:val="left" w:pos="-720"/>
          <w:tab w:val="left" w:pos="3645"/>
        </w:tabs>
        <w:suppressAutoHyphens/>
        <w:spacing w:line="227" w:lineRule="auto"/>
        <w:rPr>
          <w:spacing w:val="-2"/>
        </w:rPr>
      </w:pPr>
      <w:r>
        <w:rPr>
          <w:spacing w:val="-2"/>
        </w:rPr>
        <w:tab/>
      </w:r>
    </w:p>
    <w:p w14:paraId="376C6E37" w14:textId="1EF02337" w:rsidR="004C2EE3" w:rsidRDefault="004C2EE3" w:rsidP="009D7CD5">
      <w:pPr>
        <w:widowControl/>
        <w:tabs>
          <w:tab w:val="left" w:pos="720"/>
          <w:tab w:val="right" w:pos="9360"/>
        </w:tabs>
        <w:suppressAutoHyphens/>
        <w:spacing w:line="227" w:lineRule="auto"/>
        <w:rPr>
          <w:spacing w:val="-2"/>
        </w:rPr>
      </w:pPr>
      <w:r w:rsidRPr="00756AAC">
        <w:rPr>
          <w:b/>
          <w:spacing w:val="-2"/>
        </w:rPr>
        <w:t xml:space="preserve">Adopted:  </w:t>
      </w:r>
      <w:r w:rsidR="008974B4">
        <w:rPr>
          <w:b/>
          <w:spacing w:val="-2"/>
        </w:rPr>
        <w:t>December</w:t>
      </w:r>
      <w:r w:rsidR="00F709EC">
        <w:rPr>
          <w:b/>
          <w:spacing w:val="-2"/>
        </w:rPr>
        <w:t xml:space="preserve"> </w:t>
      </w:r>
      <w:r w:rsidR="00047622">
        <w:rPr>
          <w:b/>
          <w:spacing w:val="-2"/>
        </w:rPr>
        <w:t>20</w:t>
      </w:r>
      <w:r w:rsidR="00333F8F">
        <w:rPr>
          <w:b/>
          <w:spacing w:val="-2"/>
        </w:rPr>
        <w:t>,</w:t>
      </w:r>
      <w:r w:rsidR="00923467" w:rsidRPr="00756AAC">
        <w:rPr>
          <w:b/>
          <w:spacing w:val="-2"/>
        </w:rPr>
        <w:t xml:space="preserve"> 2013</w:t>
      </w:r>
      <w:r>
        <w:rPr>
          <w:b/>
          <w:spacing w:val="-2"/>
        </w:rPr>
        <w:tab/>
      </w:r>
      <w:r w:rsidR="00822CE0" w:rsidRPr="00756AAC">
        <w:rPr>
          <w:b/>
          <w:spacing w:val="-2"/>
        </w:rPr>
        <w:t>Released</w:t>
      </w:r>
      <w:r w:rsidRPr="00756AAC">
        <w:rPr>
          <w:b/>
          <w:spacing w:val="-2"/>
        </w:rPr>
        <w:t>:</w:t>
      </w:r>
      <w:r w:rsidR="00822CE0" w:rsidRPr="00756AAC">
        <w:rPr>
          <w:b/>
          <w:spacing w:val="-2"/>
        </w:rPr>
        <w:t xml:space="preserve"> </w:t>
      </w:r>
      <w:r w:rsidRPr="00756AAC">
        <w:rPr>
          <w:b/>
          <w:spacing w:val="-2"/>
        </w:rPr>
        <w:t xml:space="preserve"> </w:t>
      </w:r>
      <w:r w:rsidR="00047622">
        <w:rPr>
          <w:b/>
          <w:spacing w:val="-2"/>
        </w:rPr>
        <w:t>December 20</w:t>
      </w:r>
      <w:r w:rsidR="00333F8F">
        <w:rPr>
          <w:b/>
          <w:spacing w:val="-2"/>
        </w:rPr>
        <w:t>,</w:t>
      </w:r>
      <w:r w:rsidR="00923467" w:rsidRPr="00756AAC">
        <w:rPr>
          <w:b/>
          <w:spacing w:val="-2"/>
        </w:rPr>
        <w:t xml:space="preserve"> 2013</w:t>
      </w:r>
    </w:p>
    <w:p w14:paraId="55CCF312" w14:textId="77777777" w:rsidR="00822CE0" w:rsidRDefault="00822CE0" w:rsidP="00682224">
      <w:pPr>
        <w:widowControl/>
      </w:pPr>
    </w:p>
    <w:p w14:paraId="3295D122" w14:textId="77777777" w:rsidR="007B2B61" w:rsidRDefault="007B2B61" w:rsidP="00682224">
      <w:pPr>
        <w:widowControl/>
        <w:rPr>
          <w:color w:val="000000"/>
          <w:spacing w:val="-2"/>
        </w:rPr>
      </w:pPr>
    </w:p>
    <w:p w14:paraId="3884C5CA" w14:textId="77777777" w:rsidR="007B2B61" w:rsidRDefault="007B2B61" w:rsidP="00682224">
      <w:pPr>
        <w:widowControl/>
        <w:tabs>
          <w:tab w:val="left" w:pos="720"/>
          <w:tab w:val="left" w:pos="6750"/>
        </w:tabs>
        <w:suppressAutoHyphens/>
        <w:spacing w:line="225" w:lineRule="auto"/>
        <w:ind w:left="1890" w:hanging="1890"/>
        <w:rPr>
          <w:spacing w:val="-2"/>
          <w:szCs w:val="22"/>
        </w:rPr>
      </w:pPr>
      <w:r w:rsidRPr="002C4035">
        <w:rPr>
          <w:spacing w:val="-2"/>
          <w:szCs w:val="22"/>
        </w:rPr>
        <w:t xml:space="preserve">By the </w:t>
      </w:r>
      <w:r w:rsidR="00795A43">
        <w:rPr>
          <w:spacing w:val="-2"/>
          <w:szCs w:val="22"/>
        </w:rPr>
        <w:t xml:space="preserve">Acting </w:t>
      </w:r>
      <w:r w:rsidRPr="002C4035">
        <w:rPr>
          <w:spacing w:val="-2"/>
          <w:szCs w:val="22"/>
        </w:rPr>
        <w:t>C</w:t>
      </w:r>
      <w:r w:rsidR="00755439">
        <w:rPr>
          <w:spacing w:val="-2"/>
          <w:szCs w:val="22"/>
        </w:rPr>
        <w:t>hief, Wireless Telecommunications Bureau</w:t>
      </w:r>
      <w:r w:rsidRPr="002C4035">
        <w:rPr>
          <w:spacing w:val="-2"/>
          <w:szCs w:val="22"/>
        </w:rPr>
        <w:t>:</w:t>
      </w:r>
      <w:r>
        <w:rPr>
          <w:spacing w:val="-2"/>
          <w:szCs w:val="22"/>
        </w:rPr>
        <w:tab/>
      </w:r>
    </w:p>
    <w:p w14:paraId="58A4B850" w14:textId="77777777" w:rsidR="007B2B61" w:rsidRDefault="007B2B61" w:rsidP="00682224">
      <w:pPr>
        <w:widowControl/>
        <w:rPr>
          <w:color w:val="000000"/>
          <w:spacing w:val="-2"/>
        </w:rPr>
      </w:pPr>
    </w:p>
    <w:sdt>
      <w:sdtPr>
        <w:rPr>
          <w:rFonts w:asciiTheme="majorHAnsi" w:eastAsiaTheme="majorEastAsia" w:hAnsiTheme="majorHAnsi" w:cstheme="majorBidi"/>
          <w:b w:val="0"/>
          <w:bCs/>
          <w:caps w:val="0"/>
          <w:snapToGrid/>
          <w:color w:val="365F91" w:themeColor="accent1" w:themeShade="BF"/>
          <w:spacing w:val="0"/>
          <w:kern w:val="0"/>
          <w:sz w:val="28"/>
          <w:szCs w:val="28"/>
          <w:lang w:eastAsia="ja-JP"/>
        </w:rPr>
        <w:id w:val="370582433"/>
        <w:docPartObj>
          <w:docPartGallery w:val="Table of Contents"/>
          <w:docPartUnique/>
        </w:docPartObj>
      </w:sdtPr>
      <w:sdtEndPr>
        <w:rPr>
          <w:rFonts w:ascii="Times New Roman" w:eastAsia="Times New Roman" w:hAnsi="Times New Roman" w:cs="Times New Roman"/>
          <w:bCs w:val="0"/>
          <w:noProof/>
          <w:snapToGrid w:val="0"/>
          <w:color w:val="auto"/>
          <w:kern w:val="28"/>
          <w:sz w:val="22"/>
          <w:szCs w:val="20"/>
          <w:lang w:eastAsia="en-US"/>
        </w:rPr>
      </w:sdtEndPr>
      <w:sdtContent>
        <w:bookmarkStart w:id="1" w:name="TOChere" w:displacedByCustomXml="prev"/>
        <w:p w14:paraId="423FBE69" w14:textId="77777777" w:rsidR="00AF091D" w:rsidRDefault="00641A56" w:rsidP="00641A56">
          <w:pPr>
            <w:pStyle w:val="TOCTitle"/>
            <w:rPr>
              <w:rFonts w:eastAsiaTheme="majorEastAsia"/>
              <w:snapToGrid/>
              <w:lang w:eastAsia="ja-JP"/>
            </w:rPr>
          </w:pPr>
          <w:r>
            <w:rPr>
              <w:rFonts w:eastAsiaTheme="majorEastAsia"/>
              <w:snapToGrid/>
              <w:lang w:eastAsia="ja-JP"/>
            </w:rPr>
            <w:t>Table of Contents</w:t>
          </w:r>
        </w:p>
        <w:p w14:paraId="2278AAD2" w14:textId="77777777" w:rsidR="00641A56" w:rsidRDefault="00641A56" w:rsidP="00641A56">
          <w:pPr>
            <w:pStyle w:val="Paratitle"/>
            <w:rPr>
              <w:rFonts w:eastAsiaTheme="majorEastAsia"/>
              <w:snapToGrid/>
              <w:lang w:eastAsia="ja-JP"/>
            </w:rPr>
          </w:pPr>
          <w:r>
            <w:rPr>
              <w:rFonts w:eastAsiaTheme="majorEastAsia"/>
              <w:snapToGrid/>
              <w:lang w:eastAsia="ja-JP"/>
            </w:rPr>
            <w:t>Heading</w:t>
          </w:r>
          <w:r>
            <w:rPr>
              <w:rFonts w:eastAsiaTheme="majorEastAsia"/>
              <w:snapToGrid/>
              <w:lang w:eastAsia="ja-JP"/>
            </w:rPr>
            <w:tab/>
            <w:t>Paragraph #</w:t>
          </w:r>
          <w:bookmarkStart w:id="2" w:name="start_here"/>
          <w:bookmarkEnd w:id="2"/>
        </w:p>
        <w:p w14:paraId="0A3E0A9E" w14:textId="77777777" w:rsidR="00641A56" w:rsidRDefault="00641A56" w:rsidP="00641A5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summary OF ACTION</w:t>
          </w:r>
          <w:r>
            <w:tab/>
            <w:t>1</w:t>
          </w:r>
        </w:p>
        <w:p w14:paraId="0929F817" w14:textId="77777777" w:rsidR="00641A56" w:rsidRDefault="00641A56" w:rsidP="00641A56">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 AND DISH PETITION</w:t>
          </w:r>
          <w:r>
            <w:tab/>
            <w:t>5</w:t>
          </w:r>
        </w:p>
        <w:p w14:paraId="2A1F2FAC" w14:textId="77777777" w:rsidR="00641A56" w:rsidRDefault="00641A56" w:rsidP="00641A56">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10</w:t>
          </w:r>
        </w:p>
        <w:p w14:paraId="09749E7F" w14:textId="77777777" w:rsidR="00641A56" w:rsidRDefault="00641A56" w:rsidP="00641A5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Waiver Standard</w:t>
          </w:r>
          <w:r>
            <w:tab/>
            <w:t>11</w:t>
          </w:r>
        </w:p>
        <w:p w14:paraId="59F12CC7" w14:textId="77777777" w:rsidR="00641A56" w:rsidRDefault="00641A56" w:rsidP="00641A5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Waiver of Technical Rules</w:t>
          </w:r>
          <w:r>
            <w:tab/>
            <w:t>12</w:t>
          </w:r>
        </w:p>
        <w:p w14:paraId="144FA271" w14:textId="77777777" w:rsidR="00641A56" w:rsidRDefault="00641A56" w:rsidP="00641A5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DISH Petition</w:t>
          </w:r>
          <w:r>
            <w:tab/>
            <w:t>12</w:t>
          </w:r>
        </w:p>
        <w:p w14:paraId="4E177BDA" w14:textId="77777777" w:rsidR="00641A56" w:rsidRDefault="00641A56" w:rsidP="00641A5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Application of Waiver Standard</w:t>
          </w:r>
          <w:r>
            <w:tab/>
            <w:t>18</w:t>
          </w:r>
        </w:p>
        <w:p w14:paraId="75F739E0" w14:textId="77777777" w:rsidR="00641A56" w:rsidRDefault="00641A56" w:rsidP="00641A56">
          <w:pPr>
            <w:pStyle w:val="TOC3"/>
            <w:tabs>
              <w:tab w:val="left" w:pos="360"/>
            </w:tabs>
            <w:rPr>
              <w:rFonts w:asciiTheme="minorHAnsi" w:eastAsiaTheme="minorEastAsia" w:hAnsiTheme="minorHAnsi" w:cstheme="minorBidi"/>
              <w:snapToGrid/>
              <w:kern w:val="0"/>
              <w:szCs w:val="22"/>
            </w:rPr>
          </w:pPr>
          <w:r w:rsidRPr="004A4EFD">
            <w:rPr>
              <w:snapToGrid/>
              <w:kern w:val="0"/>
            </w:rPr>
            <w:t>3.</w:t>
          </w:r>
          <w:r>
            <w:rPr>
              <w:rFonts w:asciiTheme="minorHAnsi" w:eastAsiaTheme="minorEastAsia" w:hAnsiTheme="minorHAnsi" w:cstheme="minorBidi"/>
              <w:snapToGrid/>
              <w:kern w:val="0"/>
              <w:szCs w:val="22"/>
            </w:rPr>
            <w:tab/>
          </w:r>
          <w:r>
            <w:t>Technical Analysis</w:t>
          </w:r>
          <w:r>
            <w:tab/>
            <w:t>24</w:t>
          </w:r>
        </w:p>
        <w:p w14:paraId="287444DB" w14:textId="77777777" w:rsidR="00641A56" w:rsidRDefault="00641A56" w:rsidP="00641A5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Election Period</w:t>
          </w:r>
          <w:r>
            <w:tab/>
            <w:t>38</w:t>
          </w:r>
        </w:p>
        <w:p w14:paraId="0F82506A" w14:textId="77777777" w:rsidR="00641A56" w:rsidRDefault="00641A56" w:rsidP="00641A5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One-Year Waiver of the Final Build-Out Milestone</w:t>
          </w:r>
          <w:r>
            <w:tab/>
            <w:t>41</w:t>
          </w:r>
        </w:p>
        <w:p w14:paraId="1553B798" w14:textId="77777777" w:rsidR="00641A56" w:rsidRDefault="00641A56" w:rsidP="00641A5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Waiver Conditions</w:t>
          </w:r>
          <w:r>
            <w:tab/>
            <w:t>44</w:t>
          </w:r>
        </w:p>
        <w:p w14:paraId="47B707D4" w14:textId="77777777" w:rsidR="00641A56" w:rsidRDefault="00641A56" w:rsidP="00641A56">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Other Record Matters</w:t>
          </w:r>
          <w:r>
            <w:tab/>
            <w:t>48</w:t>
          </w:r>
        </w:p>
        <w:p w14:paraId="53B4200A" w14:textId="77777777" w:rsidR="00641A56" w:rsidRDefault="00641A56" w:rsidP="00641A5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Reimbursement of BAS Clearing Costs</w:t>
          </w:r>
          <w:r>
            <w:tab/>
            <w:t>48</w:t>
          </w:r>
        </w:p>
        <w:p w14:paraId="403DF92C" w14:textId="77777777" w:rsidR="00641A56" w:rsidRDefault="00641A56" w:rsidP="00641A5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NTCH Objections</w:t>
          </w:r>
          <w:r>
            <w:tab/>
            <w:t>50</w:t>
          </w:r>
        </w:p>
        <w:p w14:paraId="248CE926" w14:textId="77777777" w:rsidR="00641A56" w:rsidRDefault="00641A56" w:rsidP="00641A56">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Ordering clauses</w:t>
          </w:r>
          <w:r>
            <w:tab/>
            <w:t>55</w:t>
          </w:r>
        </w:p>
        <w:bookmarkEnd w:id="1"/>
        <w:p w14:paraId="4CD91A51" w14:textId="77777777" w:rsidR="009D7CD5" w:rsidRDefault="00641A56" w:rsidP="009D7CD5">
          <w:pPr>
            <w:rPr>
              <w:rFonts w:eastAsiaTheme="minorEastAsia"/>
            </w:rPr>
          </w:pPr>
          <w:r>
            <w:rPr>
              <w:rFonts w:eastAsiaTheme="minorEastAsia"/>
            </w:rPr>
            <w:t>APPENDIX – List of Comments and Reply Comments</w:t>
          </w:r>
        </w:p>
        <w:p w14:paraId="3FD36227" w14:textId="77777777" w:rsidR="002104F7" w:rsidRDefault="009B7CFE" w:rsidP="009D7CD5"/>
      </w:sdtContent>
    </w:sdt>
    <w:p w14:paraId="2B694C02" w14:textId="77777777" w:rsidR="00EB3E30" w:rsidRDefault="00EB3E30" w:rsidP="00682224">
      <w:pPr>
        <w:pStyle w:val="Heading1"/>
        <w:widowControl/>
      </w:pPr>
      <w:bookmarkStart w:id="3" w:name="_Toc359867515"/>
      <w:bookmarkStart w:id="4" w:name="_Toc359867516"/>
      <w:bookmarkStart w:id="5" w:name="_Toc359867517"/>
      <w:bookmarkStart w:id="6" w:name="_Toc359867518"/>
      <w:bookmarkStart w:id="7" w:name="_Toc359867519"/>
      <w:bookmarkStart w:id="8" w:name="_Toc359867520"/>
      <w:bookmarkStart w:id="9" w:name="_Toc359867521"/>
      <w:bookmarkStart w:id="10" w:name="_Toc359867522"/>
      <w:bookmarkStart w:id="11" w:name="_Toc359867523"/>
      <w:bookmarkStart w:id="12" w:name="_Toc359867524"/>
      <w:bookmarkStart w:id="13" w:name="_Toc359867525"/>
      <w:bookmarkStart w:id="14" w:name="_Toc359867526"/>
      <w:bookmarkStart w:id="15" w:name="_Toc359867527"/>
      <w:bookmarkStart w:id="16" w:name="_Toc359867528"/>
      <w:bookmarkStart w:id="17" w:name="_Toc359867529"/>
      <w:bookmarkStart w:id="18" w:name="_Toc359867530"/>
      <w:bookmarkStart w:id="19" w:name="_Toc359867531"/>
      <w:bookmarkStart w:id="20" w:name="_Toc359867532"/>
      <w:bookmarkStart w:id="21" w:name="_Toc359867533"/>
      <w:bookmarkStart w:id="22" w:name="_Toc359867534"/>
      <w:bookmarkStart w:id="23" w:name="_Toc359867535"/>
      <w:bookmarkStart w:id="24" w:name="_Toc359867536"/>
      <w:bookmarkStart w:id="25" w:name="_Toc359867537"/>
      <w:bookmarkStart w:id="26" w:name="_Toc359867538"/>
      <w:bookmarkStart w:id="27" w:name="_Toc359867539"/>
      <w:bookmarkStart w:id="28" w:name="_Toc359867540"/>
      <w:bookmarkStart w:id="29" w:name="_Toc359867541"/>
      <w:bookmarkStart w:id="30" w:name="_Toc359867542"/>
      <w:bookmarkStart w:id="31" w:name="_Toc359867543"/>
      <w:bookmarkStart w:id="32" w:name="_Toc359867544"/>
      <w:bookmarkStart w:id="33" w:name="_Toc359867545"/>
      <w:bookmarkStart w:id="34" w:name="_Toc359867546"/>
      <w:bookmarkStart w:id="35" w:name="_Toc359867547"/>
      <w:bookmarkStart w:id="36" w:name="_Toc359867548"/>
      <w:bookmarkStart w:id="37" w:name="_Toc359867549"/>
      <w:bookmarkStart w:id="38" w:name="_Toc359867550"/>
      <w:bookmarkStart w:id="39" w:name="_Toc359867551"/>
      <w:bookmarkStart w:id="40" w:name="_Toc359867552"/>
      <w:bookmarkStart w:id="41" w:name="_Toc359867553"/>
      <w:bookmarkStart w:id="42" w:name="_Toc359867554"/>
      <w:bookmarkStart w:id="43" w:name="_Toc359867555"/>
      <w:bookmarkStart w:id="44" w:name="_Toc359867556"/>
      <w:bookmarkStart w:id="45" w:name="_Toc359867557"/>
      <w:bookmarkStart w:id="46" w:name="_Toc359867558"/>
      <w:bookmarkStart w:id="47" w:name="_Toc359867559"/>
      <w:bookmarkStart w:id="48" w:name="_Toc359867560"/>
      <w:bookmarkStart w:id="49" w:name="_Toc359867561"/>
      <w:bookmarkStart w:id="50" w:name="_Toc359867562"/>
      <w:bookmarkStart w:id="51" w:name="_Toc359867563"/>
      <w:bookmarkStart w:id="52" w:name="_Toc359867564"/>
      <w:bookmarkStart w:id="53" w:name="_Toc359867565"/>
      <w:bookmarkStart w:id="54" w:name="_Toc359867566"/>
      <w:bookmarkStart w:id="55" w:name="_Toc359867567"/>
      <w:bookmarkStart w:id="56" w:name="_Toc359867568"/>
      <w:bookmarkStart w:id="57" w:name="_Toc359867569"/>
      <w:bookmarkStart w:id="58" w:name="_Toc359867570"/>
      <w:bookmarkStart w:id="59" w:name="_Toc359867571"/>
      <w:bookmarkStart w:id="60" w:name="_Toc359867572"/>
      <w:bookmarkStart w:id="61" w:name="_Toc359867573"/>
      <w:bookmarkStart w:id="62" w:name="_Toc359867574"/>
      <w:bookmarkStart w:id="63" w:name="_Toc359867575"/>
      <w:bookmarkStart w:id="64" w:name="_Toc359867576"/>
      <w:bookmarkStart w:id="65" w:name="_Toc356296669"/>
      <w:bookmarkStart w:id="66" w:name="_Toc356296800"/>
      <w:bookmarkStart w:id="67" w:name="_Toc356296907"/>
      <w:bookmarkStart w:id="68" w:name="_Toc356296671"/>
      <w:bookmarkStart w:id="69" w:name="_Toc356296802"/>
      <w:bookmarkStart w:id="70" w:name="_Toc356296909"/>
      <w:bookmarkStart w:id="71" w:name="_Toc356296672"/>
      <w:bookmarkStart w:id="72" w:name="_Toc356296803"/>
      <w:bookmarkStart w:id="73" w:name="_Toc356296910"/>
      <w:bookmarkStart w:id="74" w:name="_Toc356296673"/>
      <w:bookmarkStart w:id="75" w:name="_Toc356296804"/>
      <w:bookmarkStart w:id="76" w:name="_Toc356296911"/>
      <w:bookmarkStart w:id="77" w:name="_Toc356296674"/>
      <w:bookmarkStart w:id="78" w:name="_Toc356296805"/>
      <w:bookmarkStart w:id="79" w:name="_Toc356296912"/>
      <w:bookmarkStart w:id="80" w:name="_Toc356296675"/>
      <w:bookmarkStart w:id="81" w:name="_Toc356296806"/>
      <w:bookmarkStart w:id="82" w:name="_Toc356296913"/>
      <w:bookmarkStart w:id="83" w:name="_Toc356296676"/>
      <w:bookmarkStart w:id="84" w:name="_Toc356296807"/>
      <w:bookmarkStart w:id="85" w:name="_Toc356296914"/>
      <w:bookmarkStart w:id="86" w:name="_Toc356296677"/>
      <w:bookmarkStart w:id="87" w:name="_Toc356296808"/>
      <w:bookmarkStart w:id="88" w:name="_Toc356296915"/>
      <w:bookmarkStart w:id="89" w:name="_Toc356296678"/>
      <w:bookmarkStart w:id="90" w:name="_Toc356296809"/>
      <w:bookmarkStart w:id="91" w:name="_Toc356296916"/>
      <w:bookmarkStart w:id="92" w:name="_Toc356296679"/>
      <w:bookmarkStart w:id="93" w:name="_Toc356296810"/>
      <w:bookmarkStart w:id="94" w:name="_Toc356296917"/>
      <w:bookmarkStart w:id="95" w:name="_Toc356296680"/>
      <w:bookmarkStart w:id="96" w:name="_Toc356296811"/>
      <w:bookmarkStart w:id="97" w:name="_Toc356296918"/>
      <w:bookmarkStart w:id="98" w:name="_Toc356296681"/>
      <w:bookmarkStart w:id="99" w:name="_Toc356296812"/>
      <w:bookmarkStart w:id="100" w:name="_Toc356296919"/>
      <w:bookmarkStart w:id="101" w:name="_Toc356296682"/>
      <w:bookmarkStart w:id="102" w:name="_Toc356296813"/>
      <w:bookmarkStart w:id="103" w:name="_Toc356296920"/>
      <w:bookmarkStart w:id="104" w:name="_Toc356296683"/>
      <w:bookmarkStart w:id="105" w:name="_Toc356296814"/>
      <w:bookmarkStart w:id="106" w:name="_Toc356296921"/>
      <w:bookmarkStart w:id="107" w:name="_Toc356296684"/>
      <w:bookmarkStart w:id="108" w:name="_Toc356296815"/>
      <w:bookmarkStart w:id="109" w:name="_Toc356296922"/>
      <w:bookmarkStart w:id="110" w:name="_Toc356296685"/>
      <w:bookmarkStart w:id="111" w:name="_Toc356296816"/>
      <w:bookmarkStart w:id="112" w:name="_Toc356296923"/>
      <w:bookmarkStart w:id="113" w:name="_Toc356296686"/>
      <w:bookmarkStart w:id="114" w:name="_Toc356296817"/>
      <w:bookmarkStart w:id="115" w:name="_Toc356296924"/>
      <w:bookmarkStart w:id="116" w:name="_Toc356296687"/>
      <w:bookmarkStart w:id="117" w:name="_Toc356296818"/>
      <w:bookmarkStart w:id="118" w:name="_Toc356296925"/>
      <w:bookmarkStart w:id="119" w:name="_Toc356296688"/>
      <w:bookmarkStart w:id="120" w:name="_Toc356296819"/>
      <w:bookmarkStart w:id="121" w:name="_Toc356296926"/>
      <w:bookmarkStart w:id="122" w:name="_Toc356296689"/>
      <w:bookmarkStart w:id="123" w:name="_Toc356296820"/>
      <w:bookmarkStart w:id="124" w:name="_Toc356296927"/>
      <w:bookmarkStart w:id="125" w:name="_Toc356296690"/>
      <w:bookmarkStart w:id="126" w:name="_Toc356296821"/>
      <w:bookmarkStart w:id="127" w:name="_Toc356296928"/>
      <w:bookmarkStart w:id="128" w:name="_Toc356296691"/>
      <w:bookmarkStart w:id="129" w:name="_Toc356296822"/>
      <w:bookmarkStart w:id="130" w:name="_Toc356296929"/>
      <w:bookmarkStart w:id="131" w:name="_Toc356296692"/>
      <w:bookmarkStart w:id="132" w:name="_Toc356296823"/>
      <w:bookmarkStart w:id="133" w:name="_Toc356296930"/>
      <w:bookmarkStart w:id="134" w:name="_Toc356296693"/>
      <w:bookmarkStart w:id="135" w:name="_Toc356296824"/>
      <w:bookmarkStart w:id="136" w:name="_Toc356296931"/>
      <w:bookmarkStart w:id="137" w:name="_Toc356296694"/>
      <w:bookmarkStart w:id="138" w:name="_Toc356296825"/>
      <w:bookmarkStart w:id="139" w:name="_Toc356296932"/>
      <w:bookmarkStart w:id="140" w:name="_Toc356296695"/>
      <w:bookmarkStart w:id="141" w:name="_Toc356296826"/>
      <w:bookmarkStart w:id="142" w:name="_Toc356296933"/>
      <w:bookmarkStart w:id="143" w:name="_Toc356296696"/>
      <w:bookmarkStart w:id="144" w:name="_Toc356296827"/>
      <w:bookmarkStart w:id="145" w:name="_Toc356296934"/>
      <w:bookmarkStart w:id="146" w:name="_Toc356296697"/>
      <w:bookmarkStart w:id="147" w:name="_Toc356296828"/>
      <w:bookmarkStart w:id="148" w:name="_Toc356296935"/>
      <w:bookmarkStart w:id="149" w:name="_Toc356296698"/>
      <w:bookmarkStart w:id="150" w:name="_Toc356296829"/>
      <w:bookmarkStart w:id="151" w:name="_Toc356296936"/>
      <w:bookmarkStart w:id="152" w:name="_Toc356296699"/>
      <w:bookmarkStart w:id="153" w:name="_Toc356296830"/>
      <w:bookmarkStart w:id="154" w:name="_Toc356296937"/>
      <w:bookmarkStart w:id="155" w:name="_Toc356296700"/>
      <w:bookmarkStart w:id="156" w:name="_Toc356296831"/>
      <w:bookmarkStart w:id="157" w:name="_Toc356296938"/>
      <w:bookmarkStart w:id="158" w:name="_Toc356296701"/>
      <w:bookmarkStart w:id="159" w:name="_Toc356296832"/>
      <w:bookmarkStart w:id="160" w:name="_Toc356296939"/>
      <w:bookmarkStart w:id="161" w:name="_Toc356296702"/>
      <w:bookmarkStart w:id="162" w:name="_Toc356296833"/>
      <w:bookmarkStart w:id="163" w:name="_Toc356296940"/>
      <w:bookmarkStart w:id="164" w:name="_Toc356296703"/>
      <w:bookmarkStart w:id="165" w:name="_Toc356296834"/>
      <w:bookmarkStart w:id="166" w:name="_Toc356296941"/>
      <w:bookmarkStart w:id="167" w:name="_Toc356296704"/>
      <w:bookmarkStart w:id="168" w:name="_Toc356296835"/>
      <w:bookmarkStart w:id="169" w:name="_Toc356296942"/>
      <w:bookmarkStart w:id="170" w:name="_Toc356296705"/>
      <w:bookmarkStart w:id="171" w:name="_Toc356296836"/>
      <w:bookmarkStart w:id="172" w:name="_Toc356296943"/>
      <w:bookmarkStart w:id="173" w:name="_Toc356296706"/>
      <w:bookmarkStart w:id="174" w:name="_Toc356296837"/>
      <w:bookmarkStart w:id="175" w:name="_Toc356296944"/>
      <w:bookmarkStart w:id="176" w:name="_Toc356296707"/>
      <w:bookmarkStart w:id="177" w:name="_Toc356296838"/>
      <w:bookmarkStart w:id="178" w:name="_Toc356296945"/>
      <w:bookmarkStart w:id="179" w:name="_Toc356296708"/>
      <w:bookmarkStart w:id="180" w:name="_Toc356296839"/>
      <w:bookmarkStart w:id="181" w:name="_Toc356296946"/>
      <w:bookmarkStart w:id="182" w:name="_Toc356296709"/>
      <w:bookmarkStart w:id="183" w:name="_Toc356296840"/>
      <w:bookmarkStart w:id="184" w:name="_Toc356296947"/>
      <w:bookmarkStart w:id="185" w:name="_Toc356296710"/>
      <w:bookmarkStart w:id="186" w:name="_Toc356296841"/>
      <w:bookmarkStart w:id="187" w:name="_Toc356296948"/>
      <w:bookmarkStart w:id="188" w:name="_Toc356296711"/>
      <w:bookmarkStart w:id="189" w:name="_Toc356296842"/>
      <w:bookmarkStart w:id="190" w:name="_Toc356296949"/>
      <w:bookmarkStart w:id="191" w:name="_Toc356296712"/>
      <w:bookmarkStart w:id="192" w:name="_Toc356296843"/>
      <w:bookmarkStart w:id="193" w:name="_Toc356296950"/>
      <w:bookmarkStart w:id="194" w:name="_Toc356296713"/>
      <w:bookmarkStart w:id="195" w:name="_Toc356296844"/>
      <w:bookmarkStart w:id="196" w:name="_Toc356296951"/>
      <w:bookmarkStart w:id="197" w:name="_Toc356296714"/>
      <w:bookmarkStart w:id="198" w:name="_Toc356296845"/>
      <w:bookmarkStart w:id="199" w:name="_Toc356296952"/>
      <w:bookmarkStart w:id="200" w:name="_Toc356296715"/>
      <w:bookmarkStart w:id="201" w:name="_Toc356296846"/>
      <w:bookmarkStart w:id="202" w:name="_Toc356296953"/>
      <w:bookmarkStart w:id="203" w:name="_Toc356296716"/>
      <w:bookmarkStart w:id="204" w:name="_Toc356296847"/>
      <w:bookmarkStart w:id="205" w:name="_Toc356296954"/>
      <w:bookmarkStart w:id="206" w:name="_Toc356296717"/>
      <w:bookmarkStart w:id="207" w:name="_Toc356296848"/>
      <w:bookmarkStart w:id="208" w:name="_Toc356296955"/>
      <w:bookmarkStart w:id="209" w:name="_Toc356296718"/>
      <w:bookmarkStart w:id="210" w:name="_Toc356296849"/>
      <w:bookmarkStart w:id="211" w:name="_Toc356296956"/>
      <w:bookmarkStart w:id="212" w:name="_Toc356296719"/>
      <w:bookmarkStart w:id="213" w:name="_Toc356296850"/>
      <w:bookmarkStart w:id="214" w:name="_Toc356296957"/>
      <w:bookmarkStart w:id="215" w:name="_Toc356296720"/>
      <w:bookmarkStart w:id="216" w:name="_Toc356296851"/>
      <w:bookmarkStart w:id="217" w:name="_Toc356296958"/>
      <w:bookmarkStart w:id="218" w:name="_Toc356296721"/>
      <w:bookmarkStart w:id="219" w:name="_Toc356296852"/>
      <w:bookmarkStart w:id="220" w:name="_Toc356296959"/>
      <w:bookmarkStart w:id="221" w:name="_Toc356296723"/>
      <w:bookmarkStart w:id="222" w:name="_Toc356296854"/>
      <w:bookmarkStart w:id="223" w:name="_Toc356296961"/>
      <w:bookmarkStart w:id="224" w:name="_Toc359867579"/>
      <w:bookmarkStart w:id="225" w:name="_Toc356235454"/>
      <w:bookmarkStart w:id="226" w:name="_Toc356235535"/>
      <w:bookmarkStart w:id="227" w:name="_Toc356235587"/>
      <w:bookmarkStart w:id="228" w:name="_Toc356235663"/>
      <w:bookmarkStart w:id="229" w:name="_Toc356296724"/>
      <w:bookmarkStart w:id="230" w:name="_Toc356296855"/>
      <w:bookmarkStart w:id="231" w:name="_Toc356296962"/>
      <w:bookmarkStart w:id="232" w:name="_Toc356297021"/>
      <w:bookmarkStart w:id="233" w:name="_Toc356297139"/>
      <w:bookmarkStart w:id="234" w:name="_Toc356297191"/>
      <w:bookmarkStart w:id="235" w:name="_Toc356297276"/>
      <w:bookmarkStart w:id="236" w:name="_Toc356297869"/>
      <w:bookmarkStart w:id="237" w:name="_Toc356298028"/>
      <w:bookmarkStart w:id="238" w:name="_Toc356298293"/>
      <w:bookmarkStart w:id="239" w:name="_Toc356298497"/>
      <w:bookmarkStart w:id="240" w:name="_Toc356414438"/>
      <w:bookmarkStart w:id="241" w:name="_Toc358018518"/>
      <w:bookmarkStart w:id="242" w:name="_Toc359408056"/>
      <w:bookmarkStart w:id="243" w:name="_Toc359412227"/>
      <w:bookmarkStart w:id="244" w:name="_Toc359510767"/>
      <w:bookmarkStart w:id="245" w:name="_Toc359859100"/>
      <w:bookmarkStart w:id="246" w:name="_Toc359867580"/>
      <w:bookmarkStart w:id="247" w:name="_Toc359867652"/>
      <w:bookmarkStart w:id="248" w:name="_Toc359927897"/>
      <w:bookmarkStart w:id="249" w:name="_Toc359928853"/>
      <w:bookmarkStart w:id="250" w:name="_Toc360003182"/>
      <w:bookmarkStart w:id="251" w:name="_Ref360027238"/>
      <w:bookmarkStart w:id="252" w:name="_Toc360030482"/>
      <w:bookmarkStart w:id="253" w:name="_Toc360043821"/>
      <w:bookmarkStart w:id="254" w:name="_Toc360099294"/>
      <w:bookmarkStart w:id="255" w:name="_Toc360125674"/>
      <w:bookmarkStart w:id="256" w:name="_Toc360199813"/>
      <w:bookmarkStart w:id="257" w:name="_Ref361334936"/>
      <w:bookmarkStart w:id="258" w:name="_Toc362002136"/>
      <w:bookmarkStart w:id="259" w:name="_Toc362030655"/>
      <w:bookmarkStart w:id="260" w:name="_Toc362271677"/>
      <w:bookmarkStart w:id="261" w:name="_Toc362281442"/>
      <w:bookmarkStart w:id="262" w:name="_Toc362350532"/>
      <w:bookmarkStart w:id="263" w:name="_Toc362350846"/>
      <w:bookmarkStart w:id="264" w:name="_Toc362356309"/>
      <w:bookmarkStart w:id="265" w:name="_Toc372273907"/>
      <w:bookmarkStart w:id="266" w:name="_Toc372293874"/>
      <w:bookmarkStart w:id="267" w:name="_Toc372810085"/>
      <w:bookmarkStart w:id="268" w:name="_Toc373163485"/>
      <w:bookmarkStart w:id="269" w:name="_Toc373168364"/>
      <w:bookmarkStart w:id="270" w:name="_Toc373168400"/>
      <w:bookmarkStart w:id="271" w:name="_Toc373168559"/>
      <w:bookmarkStart w:id="272" w:name="_Toc373168847"/>
      <w:bookmarkStart w:id="273" w:name="_Toc374110191"/>
      <w:bookmarkStart w:id="274" w:name="_Toc37411023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t>summary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007D3EBD">
        <w:t xml:space="preserve"> OF ACTION</w:t>
      </w:r>
      <w:bookmarkEnd w:id="265"/>
      <w:bookmarkEnd w:id="266"/>
      <w:bookmarkEnd w:id="267"/>
      <w:bookmarkEnd w:id="268"/>
      <w:bookmarkEnd w:id="269"/>
      <w:bookmarkEnd w:id="270"/>
      <w:bookmarkEnd w:id="271"/>
      <w:bookmarkEnd w:id="272"/>
      <w:bookmarkEnd w:id="273"/>
      <w:bookmarkEnd w:id="274"/>
    </w:p>
    <w:p w14:paraId="0195BA67" w14:textId="77777777" w:rsidR="00501891" w:rsidRDefault="00460F7D">
      <w:pPr>
        <w:pStyle w:val="ParaNum"/>
        <w:widowControl/>
      </w:pPr>
      <w:r>
        <w:t xml:space="preserve">With this </w:t>
      </w:r>
      <w:r w:rsidR="002F7B45">
        <w:t xml:space="preserve">Memorandum Opinion and </w:t>
      </w:r>
      <w:r>
        <w:t>Order, the Wireless Tele</w:t>
      </w:r>
      <w:r w:rsidR="00090CD6">
        <w:t>communications Bureau</w:t>
      </w:r>
      <w:r w:rsidR="00516031">
        <w:t xml:space="preserve"> (“Bureau”)</w:t>
      </w:r>
      <w:r w:rsidR="00E75B5E">
        <w:t xml:space="preserve"> grants </w:t>
      </w:r>
      <w:r>
        <w:t>waiver</w:t>
      </w:r>
      <w:r w:rsidR="00E75B5E">
        <w:t>s of the Commission’s rules</w:t>
      </w:r>
      <w:r>
        <w:t xml:space="preserve">, </w:t>
      </w:r>
      <w:r w:rsidR="00EE127A">
        <w:t xml:space="preserve">subject to certain conditions, </w:t>
      </w:r>
      <w:r>
        <w:t>in response to a</w:t>
      </w:r>
      <w:r w:rsidR="001D6D86">
        <w:t xml:space="preserve"> </w:t>
      </w:r>
      <w:r w:rsidR="0057050B">
        <w:t xml:space="preserve">petition filed by DISH Network Corporation </w:t>
      </w:r>
      <w:r>
        <w:t>to provide DISH with flexibility to</w:t>
      </w:r>
      <w:r w:rsidR="001D6D86">
        <w:t xml:space="preserve"> use 20</w:t>
      </w:r>
      <w:r w:rsidR="00FA61CB">
        <w:t xml:space="preserve"> megahertz of </w:t>
      </w:r>
      <w:r w:rsidR="001D6D86">
        <w:t>Advanced Wireless Service</w:t>
      </w:r>
      <w:r>
        <w:t>s-4</w:t>
      </w:r>
      <w:r w:rsidR="001D6D86">
        <w:t xml:space="preserve"> (“AWS</w:t>
      </w:r>
      <w:r>
        <w:t>-4</w:t>
      </w:r>
      <w:r w:rsidR="001D6D86">
        <w:t>”)</w:t>
      </w:r>
      <w:r w:rsidR="00FA61CB">
        <w:t xml:space="preserve"> </w:t>
      </w:r>
      <w:r w:rsidR="0057050B">
        <w:t xml:space="preserve">spectrum </w:t>
      </w:r>
      <w:r w:rsidR="00FA61CB">
        <w:t xml:space="preserve">at 2000-2020 MHz </w:t>
      </w:r>
      <w:r w:rsidR="00897B04">
        <w:t xml:space="preserve">(the “Lower AWS-4 Band”) </w:t>
      </w:r>
      <w:r w:rsidR="006745BF" w:rsidRPr="00321886">
        <w:t xml:space="preserve">for uplink </w:t>
      </w:r>
      <w:r w:rsidR="001D6D86">
        <w:t>or downlink operations.  We also</w:t>
      </w:r>
      <w:r w:rsidR="006745BF" w:rsidRPr="00321886">
        <w:t xml:space="preserve"> </w:t>
      </w:r>
      <w:r>
        <w:t>waive</w:t>
      </w:r>
      <w:r w:rsidR="001D6D86">
        <w:t xml:space="preserve"> </w:t>
      </w:r>
      <w:r w:rsidR="00F20EF0">
        <w:t xml:space="preserve">DISH’s </w:t>
      </w:r>
      <w:r w:rsidR="006745BF" w:rsidRPr="00321886">
        <w:t xml:space="preserve">final </w:t>
      </w:r>
      <w:r w:rsidR="00F20EF0">
        <w:t xml:space="preserve">AWS-4 </w:t>
      </w:r>
      <w:r w:rsidR="006745BF" w:rsidRPr="00321886">
        <w:t>build</w:t>
      </w:r>
      <w:r w:rsidR="005D596B">
        <w:t>-</w:t>
      </w:r>
      <w:r w:rsidR="00F20EF0">
        <w:t xml:space="preserve">out milestone, </w:t>
      </w:r>
      <w:r w:rsidR="001D6D86">
        <w:t xml:space="preserve">extending the </w:t>
      </w:r>
      <w:r w:rsidR="001D6D86">
        <w:lastRenderedPageBreak/>
        <w:t>deadline from seven to eight years.</w:t>
      </w:r>
      <w:bookmarkStart w:id="275" w:name="_Ref372794129"/>
      <w:r w:rsidR="001D6D86">
        <w:rPr>
          <w:rStyle w:val="FootnoteReference"/>
        </w:rPr>
        <w:footnoteReference w:id="2"/>
      </w:r>
      <w:bookmarkEnd w:id="275"/>
      <w:r w:rsidR="006745BF" w:rsidRPr="00321886">
        <w:t xml:space="preserve">  </w:t>
      </w:r>
      <w:r w:rsidR="00501891">
        <w:t xml:space="preserve">In granting </w:t>
      </w:r>
      <w:r w:rsidR="001D6D86">
        <w:t xml:space="preserve">this relief, we </w:t>
      </w:r>
      <w:r w:rsidR="00501891">
        <w:t>determine that, provided DISH complies with several conditions, the request meets our general waiver standard as well as requirements specific to wireless services.</w:t>
      </w:r>
    </w:p>
    <w:p w14:paraId="681CB471" w14:textId="77777777" w:rsidR="00367C73" w:rsidRDefault="00B00B8B">
      <w:pPr>
        <w:pStyle w:val="ParaNum"/>
        <w:widowControl/>
      </w:pPr>
      <w:r>
        <w:t>The waiver is subject to DISH meeting</w:t>
      </w:r>
      <w:r w:rsidR="00501891">
        <w:t xml:space="preserve"> </w:t>
      </w:r>
      <w:r w:rsidR="00731350">
        <w:t>the following two c</w:t>
      </w:r>
      <w:r w:rsidR="00501891">
        <w:t xml:space="preserve">onditions.  First, pursuant to commitments made in its waiver request, DISH must </w:t>
      </w:r>
      <w:r w:rsidR="00B31C32">
        <w:t xml:space="preserve">bid </w:t>
      </w:r>
      <w:r w:rsidR="002310A7">
        <w:t xml:space="preserve">in the upcoming H Block auction </w:t>
      </w:r>
      <w:r w:rsidR="00B31C32">
        <w:t>“either directly or indirectly through an affiliated entity or designated entity, at least</w:t>
      </w:r>
      <w:r w:rsidR="00B31C32" w:rsidRPr="00321886">
        <w:t xml:space="preserve"> a net</w:t>
      </w:r>
      <w:r w:rsidR="00FE32A0">
        <w:t xml:space="preserve"> clearing price” equal to </w:t>
      </w:r>
      <w:r w:rsidR="00B31C32" w:rsidRPr="00321886">
        <w:t>the aggregate reserve price</w:t>
      </w:r>
      <w:r w:rsidR="00B31C32">
        <w:t xml:space="preserve"> </w:t>
      </w:r>
      <w:r w:rsidR="001D6D86">
        <w:t xml:space="preserve">set for that auction </w:t>
      </w:r>
      <w:r w:rsidR="00B31C32">
        <w:t>of $1.564 billion</w:t>
      </w:r>
      <w:r w:rsidR="00B31C32" w:rsidRPr="00321886">
        <w:t>.</w:t>
      </w:r>
      <w:r w:rsidR="00B31C32">
        <w:rPr>
          <w:rStyle w:val="FootnoteReference"/>
        </w:rPr>
        <w:footnoteReference w:id="3"/>
      </w:r>
      <w:r w:rsidR="00B31C32" w:rsidRPr="00321886">
        <w:t xml:space="preserve">  </w:t>
      </w:r>
      <w:r w:rsidR="00501891">
        <w:t xml:space="preserve">Second, DISH must file its uplink or downlink election, which shall apply to all AWS-4 licenses, as soon as commercially practicable but no later than 30 months after the release date of this </w:t>
      </w:r>
      <w:r w:rsidR="0057454B">
        <w:t xml:space="preserve">Memorandum Opinion and </w:t>
      </w:r>
      <w:r w:rsidR="00501891">
        <w:t>Order.</w:t>
      </w:r>
      <w:r w:rsidR="00555867">
        <w:rPr>
          <w:rStyle w:val="FootnoteReference"/>
        </w:rPr>
        <w:footnoteReference w:id="4"/>
      </w:r>
      <w:r w:rsidR="00B21323">
        <w:t xml:space="preserve">  F</w:t>
      </w:r>
      <w:r w:rsidR="004D0A95">
        <w:t xml:space="preserve">ailure by </w:t>
      </w:r>
      <w:r w:rsidR="004D0A95" w:rsidRPr="00D30062">
        <w:t>DISH t</w:t>
      </w:r>
      <w:r w:rsidR="00636E92">
        <w:t>o comply with either</w:t>
      </w:r>
      <w:r w:rsidR="004D0A95" w:rsidRPr="00D30062">
        <w:t xml:space="preserve"> of these conditions will automatically terminate the waiver</w:t>
      </w:r>
      <w:r w:rsidR="004D0A95">
        <w:t>s granted in this order</w:t>
      </w:r>
      <w:r w:rsidR="004D0A95" w:rsidRPr="00D30062">
        <w:t>.</w:t>
      </w:r>
    </w:p>
    <w:p w14:paraId="304347A4" w14:textId="77777777" w:rsidR="001D6D86" w:rsidRDefault="00367C73">
      <w:pPr>
        <w:pStyle w:val="ParaNum"/>
        <w:widowControl/>
      </w:pPr>
      <w:r>
        <w:t>I</w:t>
      </w:r>
      <w:r w:rsidR="00AC3B67">
        <w:t xml:space="preserve">n the event that DISH </w:t>
      </w:r>
      <w:r w:rsidR="004D0A95">
        <w:t xml:space="preserve">first preserves its election ability and then </w:t>
      </w:r>
      <w:r w:rsidR="00AC3B67">
        <w:t>elects</w:t>
      </w:r>
      <w:r w:rsidR="00B31C32">
        <w:t xml:space="preserve"> to use its Lower AWS-4 </w:t>
      </w:r>
      <w:r w:rsidR="001D6D86">
        <w:t xml:space="preserve">Band </w:t>
      </w:r>
      <w:r w:rsidR="00B31C32">
        <w:t xml:space="preserve">spectrum for downlink operations, </w:t>
      </w:r>
      <w:r>
        <w:t>we specify the technical parameters such operations must meet to avoid causing harmful interference to licensees of nearby spectrum bands.  These parameters are similar to those established for similar AWS and PCS downlink bands, including the AWS-1 downlink band</w:t>
      </w:r>
      <w:r w:rsidR="00E67F3F">
        <w:t>.</w:t>
      </w:r>
      <w:r w:rsidR="00A945AE">
        <w:t xml:space="preserve">  </w:t>
      </w:r>
    </w:p>
    <w:p w14:paraId="202035CC" w14:textId="77777777" w:rsidR="00B31C32" w:rsidRDefault="001D6D86">
      <w:pPr>
        <w:pStyle w:val="ParaNum"/>
        <w:widowControl/>
      </w:pPr>
      <w:r>
        <w:t>In granting the DISH Petition, we</w:t>
      </w:r>
      <w:r w:rsidR="00B31C32">
        <w:t xml:space="preserve"> decline to grant Sprint’s request that we impose a </w:t>
      </w:r>
      <w:r w:rsidR="00A945AE">
        <w:t xml:space="preserve">specific </w:t>
      </w:r>
      <w:r w:rsidR="00B31C32">
        <w:t xml:space="preserve">cost sharing </w:t>
      </w:r>
      <w:r w:rsidR="001A2983">
        <w:t xml:space="preserve">payment </w:t>
      </w:r>
      <w:r w:rsidR="00B31C32">
        <w:t xml:space="preserve">condition upon DISH </w:t>
      </w:r>
      <w:r w:rsidR="00A945AE">
        <w:t xml:space="preserve">should it be a winning bidder in </w:t>
      </w:r>
      <w:r w:rsidR="00531FB5">
        <w:t xml:space="preserve">the </w:t>
      </w:r>
      <w:r w:rsidR="00B31C32">
        <w:t xml:space="preserve">H Block </w:t>
      </w:r>
      <w:r w:rsidR="00A945AE">
        <w:t>auction</w:t>
      </w:r>
      <w:r w:rsidR="00FC2EE8">
        <w:t>, because</w:t>
      </w:r>
      <w:r w:rsidR="00CF39D0">
        <w:t xml:space="preserve"> that payment requirement</w:t>
      </w:r>
      <w:r w:rsidR="0037059D">
        <w:t xml:space="preserve"> is already established by the Commission’s</w:t>
      </w:r>
      <w:r w:rsidR="00AC3B67">
        <w:t xml:space="preserve"> rules</w:t>
      </w:r>
      <w:r w:rsidR="00B01AA0">
        <w:t xml:space="preserve"> applicable to any winning bidder in that auction</w:t>
      </w:r>
      <w:r w:rsidR="00A945AE">
        <w:t xml:space="preserve">.  We also decline </w:t>
      </w:r>
      <w:r w:rsidR="008966D5">
        <w:t xml:space="preserve">to address in this </w:t>
      </w:r>
      <w:r w:rsidR="00155597">
        <w:t>particular adjudication</w:t>
      </w:r>
      <w:r w:rsidR="00AC3B67">
        <w:t xml:space="preserve"> </w:t>
      </w:r>
      <w:r w:rsidR="00A945AE">
        <w:t>Sprint’s</w:t>
      </w:r>
      <w:r w:rsidR="00B31C32">
        <w:t xml:space="preserve"> request </w:t>
      </w:r>
      <w:r w:rsidR="005510A4">
        <w:t>that we issue</w:t>
      </w:r>
      <w:r w:rsidR="00B31C32">
        <w:t xml:space="preserve"> a blanket waiver to all future H Block licensees</w:t>
      </w:r>
      <w:r w:rsidR="00B31C32" w:rsidRPr="004D2167">
        <w:t xml:space="preserve"> </w:t>
      </w:r>
      <w:r w:rsidR="00B31C32">
        <w:t xml:space="preserve">of certain </w:t>
      </w:r>
      <w:r w:rsidR="009D06C1">
        <w:t xml:space="preserve">H Block </w:t>
      </w:r>
      <w:r w:rsidR="00B31C32">
        <w:t>technical</w:t>
      </w:r>
      <w:r w:rsidR="00A945AE">
        <w:t xml:space="preserve"> rules</w:t>
      </w:r>
      <w:r w:rsidR="00B31C32">
        <w:t xml:space="preserve">.  </w:t>
      </w:r>
      <w:r>
        <w:t>Finally</w:t>
      </w:r>
      <w:r w:rsidR="00A945AE">
        <w:t xml:space="preserve">, we reject </w:t>
      </w:r>
      <w:r w:rsidR="00B31C32">
        <w:t xml:space="preserve">NTCH’s </w:t>
      </w:r>
      <w:r w:rsidR="00A945AE">
        <w:t xml:space="preserve">various arguments </w:t>
      </w:r>
      <w:r w:rsidR="00B31C32">
        <w:t>request</w:t>
      </w:r>
      <w:r w:rsidR="00A945AE">
        <w:t>ing</w:t>
      </w:r>
      <w:r w:rsidR="00B31C32">
        <w:t xml:space="preserve"> that we deny </w:t>
      </w:r>
      <w:r w:rsidR="00A945AE">
        <w:t xml:space="preserve">or delay consideration of the </w:t>
      </w:r>
      <w:r w:rsidR="00B31C32">
        <w:t>DISH</w:t>
      </w:r>
      <w:r w:rsidR="00A945AE">
        <w:t xml:space="preserve"> Petition</w:t>
      </w:r>
      <w:r w:rsidR="00B31C32">
        <w:t>.</w:t>
      </w:r>
      <w:r>
        <w:t xml:space="preserve"> </w:t>
      </w:r>
      <w:r w:rsidR="00B31C32">
        <w:t xml:space="preserve">    </w:t>
      </w:r>
    </w:p>
    <w:p w14:paraId="0EBC9713" w14:textId="77777777" w:rsidR="0057050B" w:rsidRDefault="0057050B">
      <w:pPr>
        <w:pStyle w:val="Heading1"/>
        <w:widowControl/>
        <w:spacing w:before="240"/>
      </w:pPr>
      <w:bookmarkStart w:id="276" w:name="_Toc372273908"/>
      <w:bookmarkStart w:id="277" w:name="_Toc372293875"/>
      <w:bookmarkStart w:id="278" w:name="_Toc372810086"/>
      <w:bookmarkStart w:id="279" w:name="_Toc373163486"/>
      <w:bookmarkStart w:id="280" w:name="_Toc373168365"/>
      <w:bookmarkStart w:id="281" w:name="_Toc373168401"/>
      <w:bookmarkStart w:id="282" w:name="_Toc373168560"/>
      <w:bookmarkStart w:id="283" w:name="_Toc373168848"/>
      <w:bookmarkStart w:id="284" w:name="_Toc374110192"/>
      <w:bookmarkStart w:id="285" w:name="_Toc374110233"/>
      <w:bookmarkStart w:id="286" w:name="_Toc351749802"/>
      <w:bookmarkStart w:id="287" w:name="_Toc351753286"/>
      <w:bookmarkStart w:id="288" w:name="_Toc351754322"/>
      <w:bookmarkStart w:id="289" w:name="_Toc353553264"/>
      <w:bookmarkStart w:id="290" w:name="_Toc353563289"/>
      <w:bookmarkStart w:id="291" w:name="_Toc354162296"/>
      <w:bookmarkStart w:id="292" w:name="_Toc354162356"/>
      <w:bookmarkStart w:id="293" w:name="_Toc354166957"/>
      <w:bookmarkStart w:id="294" w:name="_Toc354168158"/>
      <w:bookmarkStart w:id="295" w:name="_Toc355287717"/>
      <w:bookmarkStart w:id="296" w:name="_Toc355297650"/>
      <w:bookmarkStart w:id="297" w:name="_Toc356229299"/>
      <w:bookmarkStart w:id="298" w:name="_Toc356229783"/>
      <w:bookmarkStart w:id="299" w:name="_Toc356234203"/>
      <w:bookmarkStart w:id="300" w:name="_Toc356234735"/>
      <w:bookmarkStart w:id="301" w:name="_Toc356234920"/>
      <w:bookmarkStart w:id="302" w:name="_Toc356235129"/>
      <w:bookmarkStart w:id="303" w:name="_Toc356235255"/>
      <w:bookmarkStart w:id="304" w:name="_Toc356235331"/>
      <w:bookmarkStart w:id="305" w:name="_Toc356235408"/>
      <w:bookmarkStart w:id="306" w:name="_Toc356235498"/>
      <w:bookmarkStart w:id="307" w:name="_Toc356235579"/>
      <w:bookmarkStart w:id="308" w:name="_Toc356235631"/>
      <w:bookmarkStart w:id="309" w:name="_Toc356235707"/>
      <w:bookmarkStart w:id="310" w:name="_Toc356296768"/>
      <w:bookmarkStart w:id="311" w:name="_Toc356296899"/>
      <w:bookmarkStart w:id="312" w:name="_Toc356297006"/>
      <w:bookmarkStart w:id="313" w:name="_Toc356297065"/>
      <w:bookmarkStart w:id="314" w:name="_Toc356297183"/>
      <w:bookmarkStart w:id="315" w:name="_Toc356297235"/>
      <w:bookmarkStart w:id="316" w:name="_Toc356297320"/>
      <w:bookmarkStart w:id="317" w:name="_Toc356297944"/>
      <w:bookmarkStart w:id="318" w:name="_Toc356298103"/>
      <w:bookmarkStart w:id="319" w:name="_Toc356298368"/>
      <w:bookmarkStart w:id="320" w:name="_Toc356298541"/>
      <w:bookmarkStart w:id="321" w:name="_Toc356414482"/>
      <w:bookmarkStart w:id="322" w:name="_Toc358018564"/>
      <w:bookmarkStart w:id="323" w:name="_Toc359408104"/>
      <w:bookmarkStart w:id="324" w:name="_Toc359412274"/>
      <w:bookmarkStart w:id="325" w:name="_Toc359510822"/>
      <w:bookmarkStart w:id="326" w:name="_Toc359859155"/>
      <w:bookmarkStart w:id="327" w:name="_Toc359867636"/>
      <w:bookmarkStart w:id="328" w:name="_Toc359867708"/>
      <w:bookmarkStart w:id="329" w:name="_Toc359927953"/>
      <w:bookmarkStart w:id="330" w:name="_Toc359928909"/>
      <w:bookmarkStart w:id="331" w:name="_Toc360003270"/>
      <w:bookmarkStart w:id="332" w:name="_Toc360030538"/>
      <w:bookmarkStart w:id="333" w:name="_Toc360043877"/>
      <w:bookmarkStart w:id="334" w:name="_Toc360099350"/>
      <w:bookmarkStart w:id="335" w:name="_Toc360125731"/>
      <w:bookmarkStart w:id="336" w:name="_Toc360199870"/>
      <w:bookmarkStart w:id="337" w:name="_Toc362002193"/>
      <w:bookmarkStart w:id="338" w:name="_Toc362030712"/>
      <w:bookmarkStart w:id="339" w:name="_Toc362271736"/>
      <w:bookmarkStart w:id="340" w:name="_Toc362281501"/>
      <w:bookmarkStart w:id="341" w:name="_Toc362350623"/>
      <w:bookmarkStart w:id="342" w:name="_Toc362350937"/>
      <w:bookmarkStart w:id="343" w:name="_Toc362356400"/>
      <w:r>
        <w:t>BACKGROUND</w:t>
      </w:r>
      <w:r w:rsidR="00E25B3C">
        <w:t xml:space="preserve"> AND DISH PETITION</w:t>
      </w:r>
      <w:bookmarkEnd w:id="276"/>
      <w:bookmarkEnd w:id="277"/>
      <w:bookmarkEnd w:id="278"/>
      <w:bookmarkEnd w:id="279"/>
      <w:bookmarkEnd w:id="280"/>
      <w:bookmarkEnd w:id="281"/>
      <w:bookmarkEnd w:id="282"/>
      <w:bookmarkEnd w:id="283"/>
      <w:bookmarkEnd w:id="284"/>
      <w:bookmarkEnd w:id="285"/>
    </w:p>
    <w:p w14:paraId="73FC5DB6" w14:textId="77777777" w:rsidR="00DB7497" w:rsidRDefault="00DB7497" w:rsidP="00830128">
      <w:pPr>
        <w:pStyle w:val="ParaNum"/>
        <w:widowControl/>
      </w:pPr>
      <w:r>
        <w:t xml:space="preserve">In 2012, the Commission’s AWS-4 </w:t>
      </w:r>
      <w:r w:rsidRPr="00DB7497">
        <w:rPr>
          <w:i/>
        </w:rPr>
        <w:t xml:space="preserve">Report and Order </w:t>
      </w:r>
      <w:r>
        <w:t>authorized full terrestrial use of the 2000-2020 MH</w:t>
      </w:r>
      <w:r w:rsidR="00C4779B">
        <w:t>z/2180-2200 MHz band, initially</w:t>
      </w:r>
      <w:r>
        <w:t xml:space="preserve"> authorized only for Mobile S</w:t>
      </w:r>
      <w:r w:rsidR="00405B88">
        <w:t>atellite Service (“MSS”) and its</w:t>
      </w:r>
      <w:r>
        <w:t xml:space="preserve"> associated Ancillary Terrestrial Component (“ATC”).</w:t>
      </w:r>
      <w:r>
        <w:rPr>
          <w:rStyle w:val="FootnoteReference"/>
        </w:rPr>
        <w:footnoteReference w:id="5"/>
      </w:r>
      <w:r>
        <w:t xml:space="preserve">  This action followed a 2011 Commission Order adding co-primary Fixed and Mobile terrestrial allocations to the 2 GHz MSS bands,</w:t>
      </w:r>
      <w:r>
        <w:rPr>
          <w:rStyle w:val="FootnoteReference"/>
        </w:rPr>
        <w:footnoteReference w:id="6"/>
      </w:r>
      <w:r>
        <w:t xml:space="preserve"> which was </w:t>
      </w:r>
      <w:r>
        <w:lastRenderedPageBreak/>
        <w:t>intended to “lay the foundation for more flexible use of the band in the future, thereby promoting investment in the development of new services and additional innovative technologies.”</w:t>
      </w:r>
      <w:r>
        <w:rPr>
          <w:rStyle w:val="FootnoteReference"/>
        </w:rPr>
        <w:footnoteReference w:id="7"/>
      </w:r>
      <w:r>
        <w:t xml:space="preserve">  In the </w:t>
      </w:r>
      <w:r w:rsidRPr="00DB7497">
        <w:rPr>
          <w:i/>
        </w:rPr>
        <w:t>AWS-4 Report and Order</w:t>
      </w:r>
      <w:r>
        <w:t>, the Commission further observed that there had been “little commercial use of th[e] [2000-2020 MHz and 2180-2200 MHz] spectrum for MSS and none for terrestrial (ATC) service,”</w:t>
      </w:r>
      <w:r>
        <w:rPr>
          <w:rStyle w:val="FootnoteReference"/>
        </w:rPr>
        <w:footnoteReference w:id="8"/>
      </w:r>
      <w:r>
        <w:t xml:space="preserve"> and replaced the ATC rules with Part 27 flexible use rules for terrestrial operations.</w:t>
      </w:r>
      <w:r>
        <w:rPr>
          <w:rStyle w:val="FootnoteReference"/>
        </w:rPr>
        <w:footnoteReference w:id="9"/>
      </w:r>
      <w:r>
        <w:t xml:space="preserve">  The AWS-4 rules designate the 2000-2020 MHz band for mobile and low power fixed (</w:t>
      </w:r>
      <w:r w:rsidRPr="00DB7497">
        <w:rPr>
          <w:i/>
        </w:rPr>
        <w:t>i.e.</w:t>
      </w:r>
      <w:r>
        <w:t>, uplink) operations and the 2180-2200 MHz band for fixed and base station (</w:t>
      </w:r>
      <w:r w:rsidRPr="00DB7497">
        <w:rPr>
          <w:i/>
        </w:rPr>
        <w:t>i.e.</w:t>
      </w:r>
      <w:r>
        <w:t>, downlink) operations.</w:t>
      </w:r>
      <w:r>
        <w:rPr>
          <w:rStyle w:val="FootnoteReference"/>
        </w:rPr>
        <w:footnoteReference w:id="10"/>
      </w:r>
      <w:r>
        <w:t xml:space="preserve">  The Commission intended this pairing to parallel that of the 2 GHz MSS band, so as to “minimize the possibility that AWS-4 operations could interfere with 2 GHz MSS operations and . . . offer the greatest opportunity for synergies between the two mobile services.”</w:t>
      </w:r>
      <w:r>
        <w:rPr>
          <w:rStyle w:val="FootnoteReference"/>
        </w:rPr>
        <w:footnoteReference w:id="11"/>
      </w:r>
    </w:p>
    <w:p w14:paraId="33A3F698" w14:textId="77777777" w:rsidR="0057050B" w:rsidRDefault="001120F9" w:rsidP="00682224">
      <w:pPr>
        <w:pStyle w:val="ParaNum"/>
        <w:widowControl/>
      </w:pPr>
      <w:r>
        <w:t xml:space="preserve">DISH is the </w:t>
      </w:r>
      <w:r w:rsidR="00797492">
        <w:t xml:space="preserve">sole </w:t>
      </w:r>
      <w:r w:rsidR="00607061">
        <w:t>holder</w:t>
      </w:r>
      <w:r w:rsidR="0074456C">
        <w:t xml:space="preserve"> of </w:t>
      </w:r>
      <w:r w:rsidR="00DF039E">
        <w:t xml:space="preserve">the </w:t>
      </w:r>
      <w:r>
        <w:t>2 GHz MSS</w:t>
      </w:r>
      <w:r w:rsidR="00797492">
        <w:t xml:space="preserve"> and </w:t>
      </w:r>
      <w:r w:rsidR="00607061">
        <w:t xml:space="preserve">corresponding </w:t>
      </w:r>
      <w:r>
        <w:t xml:space="preserve">AWS-4 </w:t>
      </w:r>
      <w:r w:rsidR="00607061">
        <w:t>licenses</w:t>
      </w:r>
      <w:r w:rsidR="00733D63">
        <w:t>.</w:t>
      </w:r>
      <w:r w:rsidR="00D43592">
        <w:rPr>
          <w:rStyle w:val="FootnoteReference"/>
        </w:rPr>
        <w:footnoteReference w:id="12"/>
      </w:r>
      <w:r w:rsidR="00BE13FB">
        <w:t xml:space="preserve">  </w:t>
      </w:r>
      <w:r w:rsidR="006A7320">
        <w:t>DISH acquire</w:t>
      </w:r>
      <w:r w:rsidR="003276FD">
        <w:t>d the 2 GHz MSS licenses in 2012</w:t>
      </w:r>
      <w:r w:rsidR="006A7320">
        <w:t>.</w:t>
      </w:r>
      <w:r w:rsidR="006A7320">
        <w:rPr>
          <w:rStyle w:val="FootnoteReference"/>
        </w:rPr>
        <w:footnoteReference w:id="13"/>
      </w:r>
      <w:r w:rsidR="006A7320">
        <w:t xml:space="preserve">  </w:t>
      </w:r>
      <w:r w:rsidR="00BE13FB">
        <w:t xml:space="preserve">In granting </w:t>
      </w:r>
      <w:r w:rsidR="007704E6">
        <w:t xml:space="preserve">DISH’s </w:t>
      </w:r>
      <w:r w:rsidR="00BE13FB">
        <w:t>applications for transfer of control</w:t>
      </w:r>
      <w:r w:rsidR="007704E6">
        <w:t>,</w:t>
      </w:r>
      <w:r w:rsidR="00BE13FB">
        <w:t xml:space="preserve"> the International Bureau </w:t>
      </w:r>
      <w:r w:rsidR="00DA77CD">
        <w:t>reiterated the Commission’s intent “</w:t>
      </w:r>
      <w:r w:rsidR="00BE13FB">
        <w:t>to remove regulatory barriers in this band through a rulemaking to unleash more spectrum for mobile broadband.”</w:t>
      </w:r>
      <w:r w:rsidR="00BE13FB">
        <w:rPr>
          <w:rStyle w:val="FootnoteReference"/>
        </w:rPr>
        <w:footnoteReference w:id="14"/>
      </w:r>
      <w:r w:rsidR="00D43592">
        <w:t xml:space="preserve">  </w:t>
      </w:r>
      <w:r w:rsidR="00351CE1">
        <w:t xml:space="preserve">Subsequently, </w:t>
      </w:r>
      <w:r w:rsidR="004E4785">
        <w:t xml:space="preserve">in </w:t>
      </w:r>
      <w:r w:rsidR="00351CE1">
        <w:t xml:space="preserve">the </w:t>
      </w:r>
      <w:r w:rsidR="00351CE1">
        <w:rPr>
          <w:i/>
        </w:rPr>
        <w:t>AWS-4 Report and Order</w:t>
      </w:r>
      <w:r w:rsidR="004E4785">
        <w:t>, the Commission</w:t>
      </w:r>
      <w:r w:rsidR="00351CE1">
        <w:rPr>
          <w:i/>
        </w:rPr>
        <w:t xml:space="preserve"> </w:t>
      </w:r>
      <w:r w:rsidR="00351CE1">
        <w:t>determined that the public interest would be served</w:t>
      </w:r>
      <w:r w:rsidR="004E4785">
        <w:t xml:space="preserve"> through grant of AWS-4 operating authority</w:t>
      </w:r>
      <w:r w:rsidR="00351CE1">
        <w:t xml:space="preserve"> to the existing MSS licensee</w:t>
      </w:r>
      <w:r w:rsidR="00306C25">
        <w:t>s</w:t>
      </w:r>
      <w:r w:rsidR="00351CE1">
        <w:t xml:space="preserve"> in the band.</w:t>
      </w:r>
      <w:r w:rsidR="007B37DE">
        <w:rPr>
          <w:rStyle w:val="FootnoteReference"/>
        </w:rPr>
        <w:footnoteReference w:id="15"/>
      </w:r>
      <w:r w:rsidR="00351CE1">
        <w:t xml:space="preserve">  Pursuant to this decision and Section 316 of the Communications Act, </w:t>
      </w:r>
      <w:r w:rsidR="00306C25">
        <w:t>the Commission proposed to modify DISH’s</w:t>
      </w:r>
      <w:r w:rsidR="00351CE1">
        <w:t xml:space="preserve"> </w:t>
      </w:r>
      <w:r w:rsidR="006B175A">
        <w:t xml:space="preserve">MSS </w:t>
      </w:r>
      <w:r w:rsidR="00351CE1">
        <w:t>licenses to include the AWS-4 authorizations.</w:t>
      </w:r>
      <w:r w:rsidR="00351CE1">
        <w:rPr>
          <w:rStyle w:val="FootnoteReference"/>
        </w:rPr>
        <w:footnoteReference w:id="16"/>
      </w:r>
      <w:r w:rsidR="00351CE1">
        <w:t xml:space="preserve">  </w:t>
      </w:r>
      <w:r w:rsidR="00044EA6">
        <w:t>On January 22, 2013, DISH accepted the proposed license modifications.</w:t>
      </w:r>
      <w:r w:rsidR="00044EA6">
        <w:rPr>
          <w:rStyle w:val="FootnoteReference"/>
        </w:rPr>
        <w:footnoteReference w:id="17"/>
      </w:r>
      <w:r w:rsidR="00044EA6">
        <w:t xml:space="preserve">  </w:t>
      </w:r>
      <w:r w:rsidR="00351CE1">
        <w:t>On</w:t>
      </w:r>
      <w:r w:rsidR="00284555">
        <w:t xml:space="preserve"> February 15</w:t>
      </w:r>
      <w:r w:rsidR="00351CE1">
        <w:t xml:space="preserve">, the Wireless </w:t>
      </w:r>
      <w:r w:rsidR="00371B47">
        <w:t xml:space="preserve">Telecommunications </w:t>
      </w:r>
      <w:r w:rsidR="00351CE1">
        <w:t xml:space="preserve">Bureau </w:t>
      </w:r>
      <w:r w:rsidR="008D504C">
        <w:t xml:space="preserve">and the International Bureau </w:t>
      </w:r>
      <w:r w:rsidR="00B95491">
        <w:t xml:space="preserve">modified DISH’s MSS licenses to authorize DISH to provide </w:t>
      </w:r>
      <w:r w:rsidR="00AF2367">
        <w:t>AWS-4 service.</w:t>
      </w:r>
      <w:r w:rsidR="00351CE1">
        <w:rPr>
          <w:rStyle w:val="FootnoteReference"/>
        </w:rPr>
        <w:footnoteReference w:id="18"/>
      </w:r>
      <w:r w:rsidR="00A35563">
        <w:t xml:space="preserve">  The Wireless Telecommunications Bureau issued DISH these modified licenses on March 7, 2013.</w:t>
      </w:r>
    </w:p>
    <w:p w14:paraId="3437F937" w14:textId="77777777" w:rsidR="00C45919" w:rsidRDefault="00C45919" w:rsidP="00830128">
      <w:pPr>
        <w:pStyle w:val="ParaNum"/>
        <w:widowControl/>
      </w:pPr>
      <w:r w:rsidRPr="00AD3782">
        <w:t xml:space="preserve">In preparation for the H Block </w:t>
      </w:r>
      <w:r w:rsidR="003A014B">
        <w:t xml:space="preserve">(1915-1920 MHz/1995-2000 MHz) </w:t>
      </w:r>
      <w:r w:rsidRPr="00AD3782">
        <w:t>Auction, on July 15, 2013, the Bureau</w:t>
      </w:r>
      <w:r w:rsidR="003C4DB3">
        <w:t xml:space="preserve"> </w:t>
      </w:r>
      <w:r w:rsidRPr="00AD3782">
        <w:t>released a Public Notice announcing Auction 96 and seeking comment on procedures for conducting the auction, including a proposal to set a reserve price and what factors should be considered in determining the reserve amount.</w:t>
      </w:r>
      <w:r w:rsidRPr="00AD3782">
        <w:rPr>
          <w:rStyle w:val="FootnoteReference"/>
        </w:rPr>
        <w:footnoteReference w:id="19"/>
      </w:r>
      <w:r w:rsidRPr="00AD3782">
        <w:t xml:space="preserve">  </w:t>
      </w:r>
      <w:r>
        <w:t>O</w:t>
      </w:r>
      <w:r w:rsidRPr="00AD3782">
        <w:t xml:space="preserve">n September 9, 2013, DISH filed an </w:t>
      </w:r>
      <w:r w:rsidRPr="00AD3782">
        <w:rPr>
          <w:i/>
        </w:rPr>
        <w:t>ex parte</w:t>
      </w:r>
      <w:r w:rsidRPr="00AD3782">
        <w:t xml:space="preserve"> submission supporting the proposal to set a reserve price and suggesting that the H Block spectrum should be valued at “at least $0.50 per megahertz of bandwidth per population (“MHz-pop”) on a nationwide aggregate basis.”</w:t>
      </w:r>
      <w:r w:rsidRPr="00AD3782">
        <w:rPr>
          <w:rStyle w:val="FootnoteReference"/>
        </w:rPr>
        <w:footnoteReference w:id="20"/>
      </w:r>
      <w:r w:rsidRPr="00AD3782">
        <w:t xml:space="preserve">  On September 13, 2013, the Bureau released the </w:t>
      </w:r>
      <w:r w:rsidRPr="00AD3782">
        <w:rPr>
          <w:i/>
        </w:rPr>
        <w:t>Auction 96 Procedures Public Notice</w:t>
      </w:r>
      <w:r>
        <w:t xml:space="preserve"> establishing procedures and setting a</w:t>
      </w:r>
      <w:r w:rsidR="006734BC">
        <w:t>n aggregate</w:t>
      </w:r>
      <w:r>
        <w:t xml:space="preserve"> reserve price of $1.564 billion.</w:t>
      </w:r>
      <w:r>
        <w:rPr>
          <w:rStyle w:val="FootnoteReference"/>
        </w:rPr>
        <w:footnoteReference w:id="21"/>
      </w:r>
      <w:r>
        <w:t xml:space="preserve">  In doing so, the Bureau indicated that</w:t>
      </w:r>
      <w:r w:rsidRPr="00AD3782">
        <w:t xml:space="preserve"> “the limited comment we received on this issue is generally supportive of our reserve price proposals, and we received no opposition to the use of a reserve,” and </w:t>
      </w:r>
      <w:r>
        <w:t>pointed to</w:t>
      </w:r>
      <w:r w:rsidRPr="00AD3782">
        <w:t xml:space="preserve"> DISH’s estimated valuation of at least $0.50 per MHz-pop based on prior auction results, secondary market transactions, and financial institutions’ estimates</w:t>
      </w:r>
      <w:r>
        <w:t xml:space="preserve"> as the basis for its calculation</w:t>
      </w:r>
      <w:r w:rsidRPr="00AD3782">
        <w:t>.</w:t>
      </w:r>
      <w:r w:rsidRPr="00AD3782">
        <w:rPr>
          <w:rStyle w:val="FootnoteReference"/>
        </w:rPr>
        <w:footnoteReference w:id="22"/>
      </w:r>
      <w:r w:rsidRPr="00AD3782">
        <w:t xml:space="preserve">  </w:t>
      </w:r>
      <w:r w:rsidRPr="00747CF6">
        <w:t xml:space="preserve">On October 18, 2013, NTCH, Inc. filed </w:t>
      </w:r>
      <w:r>
        <w:t>a</w:t>
      </w:r>
      <w:r w:rsidRPr="00747CF6">
        <w:t xml:space="preserve"> petition for reconsideration of the </w:t>
      </w:r>
      <w:r w:rsidRPr="00747CF6">
        <w:rPr>
          <w:i/>
        </w:rPr>
        <w:t>Auct</w:t>
      </w:r>
      <w:r>
        <w:rPr>
          <w:i/>
        </w:rPr>
        <w:t>ion 96 Procedures Public Notice</w:t>
      </w:r>
      <w:r>
        <w:t xml:space="preserve"> seeking changes in the procedures and other relief.</w:t>
      </w:r>
      <w:r>
        <w:rPr>
          <w:rStyle w:val="FootnoteReference"/>
        </w:rPr>
        <w:footnoteReference w:id="23"/>
      </w:r>
      <w:r>
        <w:t xml:space="preserve">  The Bureau subsequently denied NTCH’s petition</w:t>
      </w:r>
      <w:r w:rsidR="00CD542E">
        <w:t>.</w:t>
      </w:r>
      <w:r>
        <w:rPr>
          <w:rStyle w:val="FootnoteReference"/>
        </w:rPr>
        <w:footnoteReference w:id="24"/>
      </w:r>
      <w:r>
        <w:t xml:space="preserve"> </w:t>
      </w:r>
      <w:r w:rsidR="00CD542E">
        <w:t xml:space="preserve"> </w:t>
      </w:r>
      <w:r w:rsidRPr="00AD3782">
        <w:t>Auction 96 is scheduled to begin on January 22, 2014.</w:t>
      </w:r>
    </w:p>
    <w:p w14:paraId="62607E35" w14:textId="77777777" w:rsidR="00623A3E" w:rsidRDefault="0074456C" w:rsidP="00682224">
      <w:pPr>
        <w:pStyle w:val="ParaNum"/>
        <w:widowControl/>
      </w:pPr>
      <w:r>
        <w:t xml:space="preserve">On September 9, 2013, </w:t>
      </w:r>
      <w:r w:rsidR="009074BD">
        <w:t xml:space="preserve">contemporaneous with its </w:t>
      </w:r>
      <w:r w:rsidR="002310A7">
        <w:t>filing</w:t>
      </w:r>
      <w:r w:rsidR="009074BD">
        <w:t>s</w:t>
      </w:r>
      <w:r w:rsidR="002310A7">
        <w:t xml:space="preserve"> in support of an </w:t>
      </w:r>
      <w:r w:rsidR="009074BD">
        <w:t xml:space="preserve">agreement on </w:t>
      </w:r>
      <w:r w:rsidR="002310A7">
        <w:t xml:space="preserve">interoperability </w:t>
      </w:r>
      <w:r w:rsidR="009074BD">
        <w:t>in the 700 MHz band</w:t>
      </w:r>
      <w:r w:rsidR="002310A7">
        <w:t>,</w:t>
      </w:r>
      <w:r w:rsidR="002310A7">
        <w:rPr>
          <w:rStyle w:val="FootnoteReference"/>
        </w:rPr>
        <w:footnoteReference w:id="25"/>
      </w:r>
      <w:r w:rsidR="002310A7">
        <w:t xml:space="preserve"> </w:t>
      </w:r>
      <w:r w:rsidR="004363E9">
        <w:t xml:space="preserve">DISH filed </w:t>
      </w:r>
      <w:r w:rsidR="00C3205C">
        <w:t>a</w:t>
      </w:r>
      <w:r w:rsidR="004363E9">
        <w:t xml:space="preserve"> </w:t>
      </w:r>
      <w:r>
        <w:t xml:space="preserve">waiver </w:t>
      </w:r>
      <w:r w:rsidR="004363E9">
        <w:t xml:space="preserve">petition </w:t>
      </w:r>
      <w:r w:rsidR="00A65333">
        <w:t>requesting the option</w:t>
      </w:r>
      <w:r w:rsidR="00FA61CB">
        <w:t xml:space="preserve"> </w:t>
      </w:r>
      <w:r w:rsidR="002F17B7">
        <w:t>to use</w:t>
      </w:r>
      <w:r w:rsidR="00EE7384">
        <w:t xml:space="preserve"> th</w:t>
      </w:r>
      <w:r w:rsidR="00F516B2">
        <w:t>e</w:t>
      </w:r>
      <w:r w:rsidR="00EE7384">
        <w:t xml:space="preserve"> </w:t>
      </w:r>
      <w:r>
        <w:t xml:space="preserve">Lower </w:t>
      </w:r>
      <w:r w:rsidR="00EE7384">
        <w:t xml:space="preserve">AWS-4 </w:t>
      </w:r>
      <w:r>
        <w:t xml:space="preserve">Band </w:t>
      </w:r>
      <w:r w:rsidR="00615A45">
        <w:t xml:space="preserve">either </w:t>
      </w:r>
      <w:r w:rsidR="002F17B7">
        <w:t>for</w:t>
      </w:r>
      <w:r w:rsidR="00EE7384">
        <w:t xml:space="preserve"> downlink</w:t>
      </w:r>
      <w:r w:rsidR="002F17B7">
        <w:t xml:space="preserve"> </w:t>
      </w:r>
      <w:r w:rsidR="00DD58E4">
        <w:t>or</w:t>
      </w:r>
      <w:r w:rsidR="00876F45">
        <w:t xml:space="preserve"> uplink operations</w:t>
      </w:r>
      <w:r w:rsidR="0047196F">
        <w:t>.</w:t>
      </w:r>
      <w:r w:rsidR="0047196F">
        <w:rPr>
          <w:rStyle w:val="FootnoteReference"/>
        </w:rPr>
        <w:footnoteReference w:id="26"/>
      </w:r>
      <w:r w:rsidR="0047196F">
        <w:t xml:space="preserve">  DISH also </w:t>
      </w:r>
      <w:r w:rsidR="00DD5F9A">
        <w:t>requested</w:t>
      </w:r>
      <w:r w:rsidR="004363E9">
        <w:t xml:space="preserve"> a one-year extension of the final construction milestone for DISH’s AWS-4 licenses.</w:t>
      </w:r>
      <w:r w:rsidR="004363E9">
        <w:rPr>
          <w:rStyle w:val="FootnoteReference"/>
        </w:rPr>
        <w:footnoteReference w:id="27"/>
      </w:r>
      <w:r w:rsidR="002F17B7">
        <w:t xml:space="preserve">  </w:t>
      </w:r>
      <w:r w:rsidR="002F17B7" w:rsidRPr="002F17B7">
        <w:t xml:space="preserve">DISH states that should the Commission grant these requests, it will commit to: </w:t>
      </w:r>
      <w:r>
        <w:t xml:space="preserve"> (</w:t>
      </w:r>
      <w:r w:rsidR="002F17B7" w:rsidRPr="002F17B7">
        <w:t xml:space="preserve">1) filing an election with the Commission stating whether it will use the </w:t>
      </w:r>
      <w:r w:rsidR="00C9201A">
        <w:t xml:space="preserve">AWS-4 </w:t>
      </w:r>
      <w:r w:rsidR="002F17B7" w:rsidRPr="002F17B7">
        <w:t>2000-2020 MHz band for uplink or downlink “as soon as commercially practicable, but no later than 30 months after the grant of [its] petition”</w:t>
      </w:r>
      <w:r w:rsidR="00073EAE">
        <w:t>;</w:t>
      </w:r>
      <w:r w:rsidR="002F17B7" w:rsidRPr="002F17B7">
        <w:t xml:space="preserve"> and </w:t>
      </w:r>
      <w:r>
        <w:t>(</w:t>
      </w:r>
      <w:r w:rsidR="002F17B7" w:rsidRPr="002F17B7">
        <w:t>2) “</w:t>
      </w:r>
      <w:r w:rsidR="00CA473D">
        <w:t xml:space="preserve">either directly or indirectly through an affiliated entity or designated entity, </w:t>
      </w:r>
      <w:r w:rsidR="002F17B7" w:rsidRPr="002F17B7">
        <w:t>bidding at least a net clearing price equal to any aggregate nationwide reserve price established by the Commission in the upcoming H Block auction (not to exceed the equivalent of $0.50 per MHz/POP).”</w:t>
      </w:r>
      <w:r w:rsidR="002F17B7">
        <w:rPr>
          <w:rStyle w:val="FootnoteReference"/>
        </w:rPr>
        <w:footnoteReference w:id="28"/>
      </w:r>
    </w:p>
    <w:p w14:paraId="2AD69F2E" w14:textId="77777777" w:rsidR="00D57FB9" w:rsidRDefault="00512307" w:rsidP="00682224">
      <w:pPr>
        <w:pStyle w:val="ParaNum"/>
        <w:widowControl/>
      </w:pPr>
      <w:bookmarkStart w:id="344" w:name="_Ref374008792"/>
      <w:r>
        <w:t xml:space="preserve">The </w:t>
      </w:r>
      <w:r w:rsidR="00BF19DF">
        <w:t>Bureau gave p</w:t>
      </w:r>
      <w:r w:rsidR="00D57FB9">
        <w:t>ublic notice of the petition on September 13, 2013</w:t>
      </w:r>
      <w:r w:rsidR="002601D4">
        <w:t>.</w:t>
      </w:r>
      <w:r w:rsidR="00D57FB9">
        <w:rPr>
          <w:rStyle w:val="FootnoteReference"/>
        </w:rPr>
        <w:footnoteReference w:id="29"/>
      </w:r>
      <w:r w:rsidR="00D57FB9">
        <w:t xml:space="preserve"> </w:t>
      </w:r>
      <w:r w:rsidR="002601D4">
        <w:t xml:space="preserve"> </w:t>
      </w:r>
      <w:r w:rsidR="00D7306A">
        <w:t>Comments were due on September 30, 2013</w:t>
      </w:r>
      <w:r w:rsidR="00F94173">
        <w:t>,</w:t>
      </w:r>
      <w:r w:rsidR="00D7306A">
        <w:t xml:space="preserve"> and </w:t>
      </w:r>
      <w:r w:rsidR="00CA473D">
        <w:t>r</w:t>
      </w:r>
      <w:r w:rsidR="00D7306A">
        <w:t xml:space="preserve">eply </w:t>
      </w:r>
      <w:r w:rsidR="00CA473D">
        <w:t>c</w:t>
      </w:r>
      <w:r w:rsidR="00D7306A">
        <w:t>omments were due on</w:t>
      </w:r>
      <w:r w:rsidR="00720909">
        <w:t xml:space="preserve"> </w:t>
      </w:r>
      <w:r w:rsidR="00D7306A">
        <w:t>October 10, 2013, but the latter deadline was extended to October 28, 2013.</w:t>
      </w:r>
      <w:r w:rsidR="00D7306A">
        <w:rPr>
          <w:rStyle w:val="FootnoteReference"/>
        </w:rPr>
        <w:footnoteReference w:id="30"/>
      </w:r>
      <w:r w:rsidR="00D7306A">
        <w:t xml:space="preserve">  </w:t>
      </w:r>
      <w:r w:rsidR="00876F45">
        <w:t xml:space="preserve">Three </w:t>
      </w:r>
      <w:r w:rsidR="002601D4">
        <w:t>parties filed</w:t>
      </w:r>
      <w:r w:rsidR="00D57FB9">
        <w:t xml:space="preserve"> comments and </w:t>
      </w:r>
      <w:r w:rsidR="00876F45">
        <w:t xml:space="preserve">two parties filed </w:t>
      </w:r>
      <w:r w:rsidR="00D57FB9">
        <w:t>reply comments.</w:t>
      </w:r>
      <w:r w:rsidR="00876F45">
        <w:rPr>
          <w:rStyle w:val="FootnoteReference"/>
        </w:rPr>
        <w:footnoteReference w:id="31"/>
      </w:r>
      <w:r w:rsidR="00BF19DF">
        <w:t xml:space="preserve">  </w:t>
      </w:r>
      <w:r w:rsidR="0088767F">
        <w:t>AT&amp;T</w:t>
      </w:r>
      <w:r w:rsidR="002B4367">
        <w:t xml:space="preserve"> expressed support for the </w:t>
      </w:r>
      <w:r w:rsidR="0088767F">
        <w:t xml:space="preserve">DISH </w:t>
      </w:r>
      <w:r w:rsidR="002B4367">
        <w:t>proposal because it would promote the Commission’s flexible use policies.</w:t>
      </w:r>
      <w:r w:rsidR="002B4367">
        <w:rPr>
          <w:rStyle w:val="FootnoteReference"/>
        </w:rPr>
        <w:footnoteReference w:id="32"/>
      </w:r>
      <w:r w:rsidR="002B4367">
        <w:t xml:space="preserve">  </w:t>
      </w:r>
      <w:r w:rsidR="00A34332">
        <w:t>NT</w:t>
      </w:r>
      <w:r w:rsidR="002B4367">
        <w:t>CH</w:t>
      </w:r>
      <w:r w:rsidR="00A34332">
        <w:t xml:space="preserve"> expressed opposition to the proposal</w:t>
      </w:r>
      <w:r w:rsidR="00144880">
        <w:t>, as discussed below</w:t>
      </w:r>
      <w:r w:rsidR="00A34332">
        <w:t>.</w:t>
      </w:r>
      <w:r w:rsidR="00A34332">
        <w:rPr>
          <w:rStyle w:val="FootnoteReference"/>
        </w:rPr>
        <w:footnoteReference w:id="33"/>
      </w:r>
      <w:r w:rsidR="00A34332">
        <w:t xml:space="preserve">  Sprint does not oppose granting D</w:t>
      </w:r>
      <w:r w:rsidR="007B09B5">
        <w:t>ISH’s request so long as the Commission</w:t>
      </w:r>
      <w:r w:rsidR="00A34332">
        <w:t xml:space="preserve"> can enforce DISH’s</w:t>
      </w:r>
      <w:r w:rsidR="00A15C8A">
        <w:t xml:space="preserve"> </w:t>
      </w:r>
      <w:r w:rsidR="005E17C9">
        <w:t>commitment</w:t>
      </w:r>
      <w:r w:rsidR="00A15C8A">
        <w:t xml:space="preserve"> to </w:t>
      </w:r>
      <w:r w:rsidR="005E17C9">
        <w:t>bid the $1.56</w:t>
      </w:r>
      <w:r w:rsidR="004B465A">
        <w:t>4</w:t>
      </w:r>
      <w:r w:rsidR="005E17C9">
        <w:t xml:space="preserve"> billion reserve price </w:t>
      </w:r>
      <w:r w:rsidR="00DA2569">
        <w:t>and DISH fulfills its cost-sharing obligations should it obtain an H Block license at auction</w:t>
      </w:r>
      <w:r w:rsidR="00A15C8A">
        <w:t>.</w:t>
      </w:r>
      <w:r w:rsidR="00A15C8A">
        <w:rPr>
          <w:rStyle w:val="FootnoteReference"/>
        </w:rPr>
        <w:footnoteReference w:id="34"/>
      </w:r>
      <w:r w:rsidR="002B4367">
        <w:t xml:space="preserve">  </w:t>
      </w:r>
      <w:r w:rsidR="005518EB">
        <w:t>DISH agrees with Sprint’s position—stating that it “is uncontested”—that grant of the DISH Petition should be conditioned upon DISH bidding the aggregate reserve price in the H Block auction, but opposes Sprint’s request for a cost-sharing condition.</w:t>
      </w:r>
      <w:r w:rsidR="005518EB">
        <w:rPr>
          <w:rStyle w:val="FootnoteReference"/>
        </w:rPr>
        <w:footnoteReference w:id="35"/>
      </w:r>
      <w:r w:rsidR="006669AA">
        <w:t xml:space="preserve">  DISH also opposes NTCH’s comments.</w:t>
      </w:r>
      <w:r w:rsidR="006669AA">
        <w:rPr>
          <w:rStyle w:val="FootnoteReference"/>
        </w:rPr>
        <w:footnoteReference w:id="36"/>
      </w:r>
      <w:bookmarkEnd w:id="344"/>
      <w:r w:rsidR="00664329">
        <w:t xml:space="preserve">  Further, on December </w:t>
      </w:r>
      <w:r w:rsidR="00F709EC">
        <w:t>13, 2013</w:t>
      </w:r>
      <w:r w:rsidR="00664329">
        <w:t xml:space="preserve">, DISH submitted an </w:t>
      </w:r>
      <w:r w:rsidR="00664329">
        <w:rPr>
          <w:i/>
        </w:rPr>
        <w:t>ex parte</w:t>
      </w:r>
      <w:r w:rsidR="00664329">
        <w:t xml:space="preserve"> </w:t>
      </w:r>
      <w:r w:rsidR="00F709EC">
        <w:t xml:space="preserve">letter stating that, if its waiver request is granted and it elects to use the Lower AWS-4 Band for downlink, it </w:t>
      </w:r>
      <w:r w:rsidR="00114D5D">
        <w:t>commits to</w:t>
      </w:r>
      <w:r w:rsidR="00173721">
        <w:t xml:space="preserve"> </w:t>
      </w:r>
      <w:r w:rsidR="00F709EC">
        <w:t>comply with the requirements of certain additional AWS technical rules.</w:t>
      </w:r>
      <w:r w:rsidR="00664329">
        <w:rPr>
          <w:rStyle w:val="FootnoteReference"/>
        </w:rPr>
        <w:footnoteReference w:id="37"/>
      </w:r>
    </w:p>
    <w:p w14:paraId="06A57F15" w14:textId="77777777" w:rsidR="0057050B" w:rsidRDefault="00440D6D" w:rsidP="00682224">
      <w:pPr>
        <w:pStyle w:val="Heading1"/>
        <w:widowControl/>
        <w:spacing w:before="240"/>
      </w:pPr>
      <w:bookmarkStart w:id="345" w:name="_Toc372273909"/>
      <w:bookmarkStart w:id="346" w:name="_Toc372293876"/>
      <w:bookmarkStart w:id="347" w:name="_Toc372810087"/>
      <w:bookmarkStart w:id="348" w:name="_Toc373163487"/>
      <w:bookmarkStart w:id="349" w:name="_Toc373168366"/>
      <w:bookmarkStart w:id="350" w:name="_Toc373168402"/>
      <w:bookmarkStart w:id="351" w:name="_Toc373168561"/>
      <w:bookmarkStart w:id="352" w:name="_Toc373168849"/>
      <w:bookmarkStart w:id="353" w:name="_Toc374110193"/>
      <w:bookmarkStart w:id="354" w:name="_Toc374110234"/>
      <w:r>
        <w:t>DISCUSSION</w:t>
      </w:r>
      <w:bookmarkEnd w:id="345"/>
      <w:bookmarkEnd w:id="346"/>
      <w:bookmarkEnd w:id="347"/>
      <w:bookmarkEnd w:id="348"/>
      <w:bookmarkEnd w:id="349"/>
      <w:bookmarkEnd w:id="350"/>
      <w:bookmarkEnd w:id="351"/>
      <w:bookmarkEnd w:id="352"/>
      <w:bookmarkEnd w:id="353"/>
      <w:bookmarkEnd w:id="354"/>
    </w:p>
    <w:p w14:paraId="1608F42A" w14:textId="77777777" w:rsidR="00DB27BF" w:rsidRPr="00BA2D29" w:rsidRDefault="00DB27BF">
      <w:pPr>
        <w:pStyle w:val="ParaNum"/>
        <w:widowControl/>
      </w:pPr>
      <w:r>
        <w:t xml:space="preserve">As explained below, we grant the DISH Petition </w:t>
      </w:r>
      <w:r w:rsidR="002A6BB2">
        <w:t>w</w:t>
      </w:r>
      <w:r>
        <w:t xml:space="preserve">ith </w:t>
      </w:r>
      <w:r w:rsidR="002218B4">
        <w:t>certain</w:t>
      </w:r>
      <w:r w:rsidR="00073EAE">
        <w:t xml:space="preserve"> </w:t>
      </w:r>
      <w:r w:rsidR="00155597">
        <w:t>conditions</w:t>
      </w:r>
      <w:r w:rsidRPr="00BA1B67">
        <w:t>.</w:t>
      </w:r>
      <w:r>
        <w:t xml:space="preserve">  In so doing, w</w:t>
      </w:r>
      <w:r w:rsidRPr="00BA2D29">
        <w:t xml:space="preserve">e first review the claimed technical and other public interest benefits of DISH’s proposal, </w:t>
      </w:r>
      <w:r w:rsidR="00EF4502">
        <w:t xml:space="preserve">and </w:t>
      </w:r>
      <w:r w:rsidRPr="00BA2D29">
        <w:t>examine whether the public interest benefits and unique circumstances</w:t>
      </w:r>
      <w:r w:rsidR="00531FB5">
        <w:t xml:space="preserve"> </w:t>
      </w:r>
      <w:r w:rsidR="00EF4502">
        <w:t xml:space="preserve">posed by DISH’s request </w:t>
      </w:r>
      <w:r w:rsidR="00531FB5">
        <w:t>meet our waiver standard</w:t>
      </w:r>
      <w:r w:rsidRPr="00BA2D29">
        <w:t xml:space="preserve">.  </w:t>
      </w:r>
      <w:r w:rsidR="00EF4502">
        <w:t>W</w:t>
      </w:r>
      <w:r w:rsidRPr="00BA2D29">
        <w:t xml:space="preserve">e </w:t>
      </w:r>
      <w:r w:rsidR="00EF4502">
        <w:t xml:space="preserve">also </w:t>
      </w:r>
      <w:r w:rsidR="005D0DE5">
        <w:t xml:space="preserve">identify the rules that must be waived in the event that the band is used for downlink and </w:t>
      </w:r>
      <w:r w:rsidRPr="00BA2D29">
        <w:t xml:space="preserve">analyze the interference environment associated with a </w:t>
      </w:r>
      <w:r w:rsidR="00EF4502">
        <w:t xml:space="preserve">possible </w:t>
      </w:r>
      <w:r w:rsidRPr="00BA2D29">
        <w:t xml:space="preserve">downlink election to identify the </w:t>
      </w:r>
      <w:r w:rsidR="00531FB5">
        <w:t>technical requirements</w:t>
      </w:r>
      <w:r w:rsidR="00531FB5" w:rsidRPr="00BA2D29">
        <w:t xml:space="preserve"> </w:t>
      </w:r>
      <w:r w:rsidR="00EF4502">
        <w:t>necessary</w:t>
      </w:r>
      <w:r w:rsidR="00FB310B">
        <w:t xml:space="preserve"> to ensure </w:t>
      </w:r>
      <w:r w:rsidR="00EF4502">
        <w:t xml:space="preserve">that </w:t>
      </w:r>
      <w:r w:rsidR="00FB310B">
        <w:t>harmful interference would not arise</w:t>
      </w:r>
      <w:r w:rsidR="00EF4502">
        <w:t xml:space="preserve"> in the event of such an election</w:t>
      </w:r>
      <w:r w:rsidRPr="00BA2D29">
        <w:t xml:space="preserve">.  Next, </w:t>
      </w:r>
      <w:r w:rsidR="00372E20">
        <w:t>we discuss</w:t>
      </w:r>
      <w:r w:rsidR="00B717F0">
        <w:t xml:space="preserve"> the election period </w:t>
      </w:r>
      <w:r w:rsidR="0087733C">
        <w:t>that accompanies</w:t>
      </w:r>
      <w:r w:rsidR="00E346C7">
        <w:t xml:space="preserve"> </w:t>
      </w:r>
      <w:r w:rsidR="00A82251">
        <w:t>our</w:t>
      </w:r>
      <w:r w:rsidR="00372E20">
        <w:t xml:space="preserve"> grant of DISH’s waiver, allowing it a specified period of time to elect whether to use the band as uplink or downlink.  </w:t>
      </w:r>
      <w:r w:rsidR="00E7407C">
        <w:t xml:space="preserve">We then consider DISH’s </w:t>
      </w:r>
      <w:r w:rsidR="00E7407C" w:rsidRPr="00BA2D29">
        <w:t xml:space="preserve">request for a one-year extension or waiver of the final </w:t>
      </w:r>
      <w:r w:rsidR="00E7407C">
        <w:t>build-out</w:t>
      </w:r>
      <w:r w:rsidR="00E7407C" w:rsidRPr="00BA2D29">
        <w:t xml:space="preserve"> requirement</w:t>
      </w:r>
      <w:r w:rsidR="00E7407C">
        <w:t>.</w:t>
      </w:r>
      <w:r w:rsidR="00B717F0">
        <w:t xml:space="preserve">  Thereafter we </w:t>
      </w:r>
      <w:r w:rsidR="00E75202">
        <w:t xml:space="preserve">enumerate and </w:t>
      </w:r>
      <w:r w:rsidR="00B717F0">
        <w:t xml:space="preserve">describe the express conditions that must be fulfilled for DISH to </w:t>
      </w:r>
      <w:r w:rsidR="004F31AD">
        <w:t>effectuate the relief granted herein</w:t>
      </w:r>
      <w:r w:rsidR="00B717F0">
        <w:t xml:space="preserve">.  </w:t>
      </w:r>
      <w:r w:rsidR="00B464C3">
        <w:t>Finally</w:t>
      </w:r>
      <w:r w:rsidR="00B717F0">
        <w:t xml:space="preserve">, we </w:t>
      </w:r>
      <w:r w:rsidR="00FB310B">
        <w:t xml:space="preserve">examine Sprint’s request </w:t>
      </w:r>
      <w:r w:rsidR="00FB310B" w:rsidRPr="00BA2D29">
        <w:t xml:space="preserve">that we condition a waiver grant on DISH’s timely and complete reimbursement of the Broadcast Auxiliary Service (BAS) clearing expenses for </w:t>
      </w:r>
      <w:r w:rsidR="0007345A">
        <w:t>any H</w:t>
      </w:r>
      <w:r w:rsidR="00F94173">
        <w:t> </w:t>
      </w:r>
      <w:r w:rsidR="0007345A">
        <w:t xml:space="preserve">Block licenses it may be </w:t>
      </w:r>
      <w:r w:rsidR="00B84CE7">
        <w:t>granted in</w:t>
      </w:r>
      <w:r w:rsidR="00FB310B" w:rsidRPr="00BA2D29">
        <w:t xml:space="preserve"> the </w:t>
      </w:r>
      <w:r w:rsidR="00B84CE7">
        <w:t xml:space="preserve">H Block </w:t>
      </w:r>
      <w:r w:rsidR="00FB310B" w:rsidRPr="00BA2D29">
        <w:t>auction</w:t>
      </w:r>
      <w:r w:rsidRPr="00BA2D29">
        <w:t xml:space="preserve"> and examine the arguments raised by NTCH in opposition to the waiver request.</w:t>
      </w:r>
    </w:p>
    <w:p w14:paraId="708BB730" w14:textId="77777777" w:rsidR="00191DBD" w:rsidRDefault="00191DBD">
      <w:pPr>
        <w:pStyle w:val="Heading2"/>
        <w:widowControl/>
        <w:spacing w:before="240"/>
      </w:pPr>
      <w:bookmarkStart w:id="355" w:name="_Toc372273910"/>
      <w:bookmarkStart w:id="356" w:name="_Toc372293877"/>
      <w:bookmarkStart w:id="357" w:name="_Toc372810088"/>
      <w:bookmarkStart w:id="358" w:name="_Toc373163488"/>
      <w:bookmarkStart w:id="359" w:name="_Toc373168367"/>
      <w:bookmarkStart w:id="360" w:name="_Toc373168403"/>
      <w:bookmarkStart w:id="361" w:name="_Toc373168562"/>
      <w:bookmarkStart w:id="362" w:name="_Toc373168850"/>
      <w:bookmarkStart w:id="363" w:name="_Toc374110194"/>
      <w:bookmarkStart w:id="364" w:name="_Toc374110235"/>
      <w:r>
        <w:t>Waiver Standard</w:t>
      </w:r>
      <w:bookmarkEnd w:id="355"/>
      <w:bookmarkEnd w:id="356"/>
      <w:bookmarkEnd w:id="357"/>
      <w:bookmarkEnd w:id="358"/>
      <w:bookmarkEnd w:id="359"/>
      <w:bookmarkEnd w:id="360"/>
      <w:bookmarkEnd w:id="361"/>
      <w:bookmarkEnd w:id="362"/>
      <w:bookmarkEnd w:id="363"/>
      <w:bookmarkEnd w:id="364"/>
    </w:p>
    <w:p w14:paraId="3AFF94AA" w14:textId="77777777" w:rsidR="00191DBD" w:rsidRPr="00191DBD" w:rsidRDefault="00CF6D8C" w:rsidP="00DC050F">
      <w:pPr>
        <w:pStyle w:val="ParaNum"/>
        <w:widowControl/>
      </w:pPr>
      <w:r>
        <w:t>Waiver applicants are obligated to demonstrate “good caus</w:t>
      </w:r>
      <w:r w:rsidR="0037059D">
        <w:t>e” for obtaining a waiver of the Commission’s</w:t>
      </w:r>
      <w:r>
        <w:t xml:space="preserve"> rules.</w:t>
      </w:r>
      <w:r>
        <w:rPr>
          <w:rStyle w:val="FootnoteReference"/>
        </w:rPr>
        <w:footnoteReference w:id="38"/>
      </w:r>
      <w:r>
        <w:t xml:space="preserve">  Under this standard, waivers are appropriate only if “both (i) special circumstances warrant a deviation from the general rule, and (ii) such deviation will serve the public interest.”</w:t>
      </w:r>
      <w:r>
        <w:rPr>
          <w:rStyle w:val="FootnoteReference"/>
        </w:rPr>
        <w:footnoteReference w:id="39"/>
      </w:r>
      <w:r>
        <w:t xml:space="preserve">  </w:t>
      </w:r>
      <w:r w:rsidR="0008388C">
        <w:t xml:space="preserve">Section 1.925 of the Commission’s rules, which pertains to wireless radio services, </w:t>
      </w:r>
      <w:r>
        <w:t xml:space="preserve">further </w:t>
      </w:r>
      <w:r w:rsidR="00173B35">
        <w:t>provides that</w:t>
      </w:r>
      <w:r w:rsidR="0008388C">
        <w:t xml:space="preserve"> “the Commission may grant a request for waiver if it is shown that:  (i) The underlying purpose of the rule(s) would not be served or would be frustrated by application to the instant case, and that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002D7399">
        <w:rPr>
          <w:rStyle w:val="FootnoteReference"/>
        </w:rPr>
        <w:footnoteReference w:id="40"/>
      </w:r>
      <w:r w:rsidR="0008388C">
        <w:rPr>
          <w:rStyle w:val="CommentReference"/>
          <w:snapToGrid/>
        </w:rPr>
        <w:t xml:space="preserve"> </w:t>
      </w:r>
      <w:r w:rsidR="0008388C">
        <w:t xml:space="preserve">  </w:t>
      </w:r>
      <w:r w:rsidR="00E07A75">
        <w:t>The Bureau is addressing this waiver request under its delegated authority pursuant to Sections 0.131 and 0.331 of the Commission’s rules.</w:t>
      </w:r>
      <w:r w:rsidR="00DC050F">
        <w:rPr>
          <w:rStyle w:val="FootnoteReference"/>
        </w:rPr>
        <w:footnoteReference w:id="41"/>
      </w:r>
    </w:p>
    <w:p w14:paraId="79F70AB5" w14:textId="77777777" w:rsidR="00B04E35" w:rsidRDefault="00B04E35">
      <w:pPr>
        <w:pStyle w:val="Heading2"/>
        <w:widowControl/>
        <w:spacing w:before="240"/>
      </w:pPr>
      <w:bookmarkStart w:id="365" w:name="_Toc372273911"/>
      <w:bookmarkStart w:id="366" w:name="_Toc372293878"/>
      <w:bookmarkStart w:id="367" w:name="_Toc372810089"/>
      <w:bookmarkStart w:id="368" w:name="_Toc373163489"/>
      <w:bookmarkStart w:id="369" w:name="_Toc373168368"/>
      <w:bookmarkStart w:id="370" w:name="_Toc373168404"/>
      <w:bookmarkStart w:id="371" w:name="_Toc373168563"/>
      <w:bookmarkStart w:id="372" w:name="_Toc373168851"/>
      <w:bookmarkStart w:id="373" w:name="_Toc374110195"/>
      <w:bookmarkStart w:id="374" w:name="_Toc374110236"/>
      <w:r>
        <w:t>Waiver of Technical Rules</w:t>
      </w:r>
      <w:bookmarkEnd w:id="365"/>
      <w:bookmarkEnd w:id="366"/>
      <w:bookmarkEnd w:id="367"/>
      <w:bookmarkEnd w:id="368"/>
      <w:bookmarkEnd w:id="369"/>
      <w:bookmarkEnd w:id="370"/>
      <w:bookmarkEnd w:id="371"/>
      <w:bookmarkEnd w:id="372"/>
      <w:bookmarkEnd w:id="373"/>
      <w:bookmarkEnd w:id="374"/>
    </w:p>
    <w:p w14:paraId="1562B080" w14:textId="77777777" w:rsidR="006934E1" w:rsidRPr="000F1C5B" w:rsidRDefault="006934E1" w:rsidP="00830128">
      <w:pPr>
        <w:pStyle w:val="Heading3"/>
        <w:widowControl/>
      </w:pPr>
      <w:bookmarkStart w:id="375" w:name="_Toc373168369"/>
      <w:bookmarkStart w:id="376" w:name="_Toc373168405"/>
      <w:bookmarkStart w:id="377" w:name="_Toc373168564"/>
      <w:bookmarkStart w:id="378" w:name="_Toc373168852"/>
      <w:bookmarkStart w:id="379" w:name="_Toc374110196"/>
      <w:bookmarkStart w:id="380" w:name="_Toc374110237"/>
      <w:r w:rsidRPr="000F1C5B">
        <w:t>DISH Petition</w:t>
      </w:r>
      <w:bookmarkEnd w:id="375"/>
      <w:bookmarkEnd w:id="376"/>
      <w:bookmarkEnd w:id="377"/>
      <w:bookmarkEnd w:id="378"/>
      <w:bookmarkEnd w:id="379"/>
      <w:bookmarkEnd w:id="380"/>
    </w:p>
    <w:p w14:paraId="0619E3F6" w14:textId="77777777" w:rsidR="003967FD" w:rsidRDefault="003967FD" w:rsidP="00682224">
      <w:pPr>
        <w:pStyle w:val="ParaNum"/>
        <w:widowControl/>
      </w:pPr>
      <w:r>
        <w:t>Th</w:t>
      </w:r>
      <w:r w:rsidR="00745126">
        <w:t>e</w:t>
      </w:r>
      <w:r>
        <w:t xml:space="preserve"> </w:t>
      </w:r>
      <w:r w:rsidR="005A0DF5">
        <w:t>AWS-4</w:t>
      </w:r>
      <w:r w:rsidR="00933931">
        <w:t xml:space="preserve"> </w:t>
      </w:r>
      <w:r>
        <w:t>band plan</w:t>
      </w:r>
      <w:r w:rsidR="00745126">
        <w:t xml:space="preserve"> </w:t>
      </w:r>
      <w:r w:rsidR="005B7491">
        <w:t>places</w:t>
      </w:r>
      <w:r w:rsidR="002F1FAD">
        <w:t xml:space="preserve"> </w:t>
      </w:r>
      <w:r w:rsidR="00990A65">
        <w:t xml:space="preserve">AWS-4 </w:t>
      </w:r>
      <w:r w:rsidR="002F1FAD">
        <w:t xml:space="preserve">uplink spectrum immediately adjacent to downlink spectrum of another service (1995-2000 MHz, the “Upper H Block”).  </w:t>
      </w:r>
      <w:r w:rsidR="00002160">
        <w:t xml:space="preserve">Because of these contrasting but adjacent uses, </w:t>
      </w:r>
      <w:r w:rsidR="00016D50">
        <w:t xml:space="preserve">the AWS-4 rules impose </w:t>
      </w:r>
      <w:r w:rsidR="0099565B">
        <w:t>carefully calibrated</w:t>
      </w:r>
      <w:r w:rsidR="00016D50">
        <w:t xml:space="preserve"> power and out-of-band emission (“OOBE”) </w:t>
      </w:r>
      <w:r w:rsidR="007C252B">
        <w:t xml:space="preserve">limits </w:t>
      </w:r>
      <w:r w:rsidR="004B7889">
        <w:t xml:space="preserve">on the 2000-2020 MHz band </w:t>
      </w:r>
      <w:r w:rsidR="007C252B">
        <w:t>in order to protect operation</w:t>
      </w:r>
      <w:r w:rsidR="00B87AFE">
        <w:t>s</w:t>
      </w:r>
      <w:r w:rsidR="007C252B">
        <w:t xml:space="preserve"> in </w:t>
      </w:r>
      <w:r w:rsidR="00D90D1D">
        <w:t xml:space="preserve">the adjacent </w:t>
      </w:r>
      <w:r w:rsidR="007C252B">
        <w:t>1995-2000 MHz</w:t>
      </w:r>
      <w:r w:rsidR="00D90D1D">
        <w:t xml:space="preserve"> band</w:t>
      </w:r>
      <w:r w:rsidR="002F1FAD">
        <w:t>,</w:t>
      </w:r>
      <w:r w:rsidR="007C252B">
        <w:t xml:space="preserve"> and require AWS-4 licensees to accept limited interference from </w:t>
      </w:r>
      <w:r w:rsidR="00C53844">
        <w:t xml:space="preserve">operations in </w:t>
      </w:r>
      <w:r w:rsidR="00002160">
        <w:t>that adjacent band</w:t>
      </w:r>
      <w:r w:rsidR="007C252B">
        <w:t>.</w:t>
      </w:r>
      <w:r w:rsidR="007C252B">
        <w:rPr>
          <w:rStyle w:val="FootnoteReference"/>
        </w:rPr>
        <w:footnoteReference w:id="42"/>
      </w:r>
      <w:r w:rsidR="005F2C11">
        <w:t xml:space="preserve">  </w:t>
      </w:r>
      <w:r w:rsidR="00D90D1D">
        <w:t>Correspondingly</w:t>
      </w:r>
      <w:r w:rsidR="00933931">
        <w:t>, the H Block rules impose restrictive OOBE limits on the 1995-2000 MHz band in order to protect operations in the 2005-2020 portion of the AWS-4 band.</w:t>
      </w:r>
      <w:r w:rsidR="00933931">
        <w:rPr>
          <w:rStyle w:val="FootnoteReference"/>
        </w:rPr>
        <w:footnoteReference w:id="43"/>
      </w:r>
      <w:r w:rsidR="00933931">
        <w:t xml:space="preserve">  </w:t>
      </w:r>
    </w:p>
    <w:p w14:paraId="2A4B1675" w14:textId="77777777" w:rsidR="005E0FA5" w:rsidRDefault="00263DEE" w:rsidP="00682224">
      <w:pPr>
        <w:pStyle w:val="ParaNum"/>
        <w:widowControl/>
      </w:pPr>
      <w:r>
        <w:t>DISH requests waiver of the Commission’s rules that specify that the Lower AWS-4 Band be use</w:t>
      </w:r>
      <w:r w:rsidR="00C305C3">
        <w:t>d for uplink operations, ask</w:t>
      </w:r>
      <w:r>
        <w:t xml:space="preserve">ing that we provide it with </w:t>
      </w:r>
      <w:r w:rsidR="00234BDD">
        <w:t>the flexibility</w:t>
      </w:r>
      <w:r w:rsidR="00C6573C">
        <w:t xml:space="preserve"> to elect</w:t>
      </w:r>
      <w:r w:rsidR="000E7342">
        <w:t xml:space="preserve"> </w:t>
      </w:r>
      <w:r>
        <w:t>whether to use this band for uplink or downlink operations</w:t>
      </w:r>
      <w:r w:rsidR="00DB64B3">
        <w:t>.</w:t>
      </w:r>
      <w:r w:rsidR="000E7342">
        <w:t xml:space="preserve"> </w:t>
      </w:r>
      <w:r w:rsidR="00DB64B3">
        <w:t xml:space="preserve"> </w:t>
      </w:r>
      <w:r w:rsidR="000E7342" w:rsidRPr="00155597">
        <w:t xml:space="preserve">DISH commits to making this election as soon as commercially practicable, but no </w:t>
      </w:r>
      <w:r w:rsidR="000E7342" w:rsidRPr="002E7453">
        <w:t>later than 30 months after any grant of its petition</w:t>
      </w:r>
      <w:r>
        <w:t>.</w:t>
      </w:r>
      <w:r>
        <w:rPr>
          <w:rStyle w:val="FootnoteReference"/>
        </w:rPr>
        <w:footnoteReference w:id="44"/>
      </w:r>
      <w:r>
        <w:t xml:space="preserve">  Specifically, DISH seeks waivers of Commission rules 27.5(j) (specifying, </w:t>
      </w:r>
      <w:r>
        <w:rPr>
          <w:i/>
        </w:rPr>
        <w:t>inter alia</w:t>
      </w:r>
      <w:r>
        <w:t>, the AWS-4 frequencies and frequency pairings), 27.50(d)(7) (Lower AWS-4 Band power limits), 27.53(h)(2)(ii) (Lower AWS-4 Band out-of-band emission (OOBE) limits), 27.65 (Lower AWS-4 Band acceptance of interference from operations at 1995-2000 MHz), and “to the extent required . . . other technical AWS-4 rules . . . that impose technical requirements on AWS-4 uplink operations at 2000-2020 MHz, but would not on their face apply to DISH’s proposed downlink terrestrial operat</w:t>
      </w:r>
      <w:r w:rsidR="00234BDD">
        <w:t>i</w:t>
      </w:r>
      <w:r>
        <w:t>ons in the 2000-2020 MHz band.”</w:t>
      </w:r>
      <w:r>
        <w:rPr>
          <w:rStyle w:val="FootnoteReference"/>
        </w:rPr>
        <w:footnoteReference w:id="45"/>
      </w:r>
    </w:p>
    <w:p w14:paraId="1DA941ED" w14:textId="77777777" w:rsidR="007355DC" w:rsidRDefault="00CB4B50">
      <w:pPr>
        <w:pStyle w:val="ParaNum"/>
        <w:widowControl/>
      </w:pPr>
      <w:r>
        <w:t>DISH a</w:t>
      </w:r>
      <w:r w:rsidR="00965085">
        <w:t>ssert</w:t>
      </w:r>
      <w:r>
        <w:t xml:space="preserve">s that </w:t>
      </w:r>
      <w:r w:rsidR="00CB2B32">
        <w:t>waiving</w:t>
      </w:r>
      <w:r w:rsidR="00DB64B3">
        <w:t xml:space="preserve"> the </w:t>
      </w:r>
      <w:r w:rsidR="00CB2B32">
        <w:t xml:space="preserve">necessary </w:t>
      </w:r>
      <w:r w:rsidR="00DB64B3">
        <w:t xml:space="preserve">technical rules to permit </w:t>
      </w:r>
      <w:r w:rsidR="007E1415">
        <w:t xml:space="preserve">terrestrial </w:t>
      </w:r>
      <w:r w:rsidR="00B41BDA">
        <w:t>downlink use of the 2000-2020 MHz band would</w:t>
      </w:r>
      <w:r w:rsidR="005D77FC" w:rsidRPr="005D77FC">
        <w:t xml:space="preserve"> increas</w:t>
      </w:r>
      <w:r w:rsidR="00977041">
        <w:t>e</w:t>
      </w:r>
      <w:r w:rsidR="005D77FC" w:rsidRPr="005D77FC">
        <w:t xml:space="preserve"> the utility of th</w:t>
      </w:r>
      <w:r w:rsidR="005D77FC">
        <w:t>is AWS-4</w:t>
      </w:r>
      <w:r w:rsidR="005D77FC" w:rsidRPr="005D77FC">
        <w:t xml:space="preserve"> spectrum.</w:t>
      </w:r>
      <w:r w:rsidR="005D77FC" w:rsidRPr="005D77FC">
        <w:rPr>
          <w:vertAlign w:val="superscript"/>
        </w:rPr>
        <w:footnoteReference w:id="46"/>
      </w:r>
      <w:r w:rsidR="005D77FC" w:rsidRPr="005D77FC">
        <w:t xml:space="preserve">  </w:t>
      </w:r>
      <w:r w:rsidR="004D1C41">
        <w:t>Further, DISH claims that “more flexible use of AWS-4 spectrum may allow it to best optimize its 2 GHz satellite and terrestrial services.”</w:t>
      </w:r>
      <w:r w:rsidR="004D1C41">
        <w:rPr>
          <w:rStyle w:val="FootnoteReference"/>
        </w:rPr>
        <w:footnoteReference w:id="47"/>
      </w:r>
      <w:r w:rsidR="004D1C41">
        <w:t xml:space="preserve">  </w:t>
      </w:r>
      <w:r w:rsidR="005D77FC" w:rsidRPr="005D77FC">
        <w:t xml:space="preserve">DISH </w:t>
      </w:r>
      <w:r w:rsidR="00C07453">
        <w:t xml:space="preserve">also </w:t>
      </w:r>
      <w:r w:rsidR="005D77FC" w:rsidRPr="005D77FC">
        <w:t>contends that the waiver w</w:t>
      </w:r>
      <w:r w:rsidR="005D77FC">
        <w:t xml:space="preserve">ould </w:t>
      </w:r>
      <w:r w:rsidR="005D77FC" w:rsidRPr="005D77FC">
        <w:t xml:space="preserve">provide “increase[d] protection and utility” to the </w:t>
      </w:r>
      <w:r w:rsidR="005D77FC">
        <w:t xml:space="preserve">Upper </w:t>
      </w:r>
      <w:r w:rsidR="005D77FC" w:rsidRPr="005D77FC">
        <w:t>H Block because, should DISH decide to use 2000-2020 MHz for downlink, it “would commit . . . to accept a less restrictive OOBE limit on H Block emissions above 2000 MHz</w:t>
      </w:r>
      <w:r w:rsidR="005D77FC" w:rsidRPr="005D77FC">
        <w:rPr>
          <w:iCs/>
        </w:rPr>
        <w:t>.</w:t>
      </w:r>
      <w:r w:rsidR="005D77FC" w:rsidRPr="005D77FC">
        <w:t>”</w:t>
      </w:r>
      <w:r w:rsidR="005D77FC" w:rsidRPr="005D77FC">
        <w:rPr>
          <w:vertAlign w:val="superscript"/>
        </w:rPr>
        <w:footnoteReference w:id="48"/>
      </w:r>
      <w:r w:rsidR="005D77FC" w:rsidRPr="005D77FC">
        <w:t xml:space="preserve">  </w:t>
      </w:r>
      <w:r w:rsidR="00AE2278">
        <w:t>DISH states that “the requested flexibility would have no adverse operational impact on any other Commission licenses</w:t>
      </w:r>
      <w:r w:rsidR="00A0709F">
        <w:t>.</w:t>
      </w:r>
      <w:r w:rsidR="00AE2278">
        <w:t>”</w:t>
      </w:r>
      <w:r w:rsidR="00AE2278">
        <w:rPr>
          <w:rStyle w:val="FootnoteReference"/>
        </w:rPr>
        <w:footnoteReference w:id="49"/>
      </w:r>
      <w:r w:rsidR="005B7491">
        <w:t xml:space="preserve"> </w:t>
      </w:r>
      <w:r w:rsidR="00A0709F">
        <w:t xml:space="preserve"> DISH</w:t>
      </w:r>
      <w:r w:rsidR="005B7491">
        <w:t xml:space="preserve"> </w:t>
      </w:r>
      <w:r w:rsidR="008467A4">
        <w:t>proposes</w:t>
      </w:r>
      <w:r w:rsidR="005B7491">
        <w:t xml:space="preserve"> conditioning grant of the waivers it seeks on standard power and OOBE limits generally applicable to high-power downlink operation</w:t>
      </w:r>
      <w:r w:rsidR="00C24F59">
        <w:t>s</w:t>
      </w:r>
      <w:r w:rsidR="005B7491">
        <w:t xml:space="preserve"> where adjacent-band usage is compatible.</w:t>
      </w:r>
      <w:r w:rsidR="005B7491">
        <w:rPr>
          <w:rStyle w:val="FootnoteReference"/>
        </w:rPr>
        <w:footnoteReference w:id="50"/>
      </w:r>
      <w:r w:rsidR="00664329">
        <w:t xml:space="preserve">  </w:t>
      </w:r>
      <w:r w:rsidR="00F709EC">
        <w:t>DISH additionally “commits to comply with any requirements imposed on DISH as an AWS licensee pursuant to Sections 27.1133, 27.55(a)(1), 27.50(d)(3), and 27.50(d)(10) of the Commission’s rules</w:t>
      </w:r>
      <w:r w:rsidR="00CF5BE1">
        <w:t>.”</w:t>
      </w:r>
      <w:r w:rsidR="00CF5BE1">
        <w:rPr>
          <w:rStyle w:val="FootnoteReference"/>
        </w:rPr>
        <w:footnoteReference w:id="51"/>
      </w:r>
    </w:p>
    <w:p w14:paraId="0152D627" w14:textId="77777777" w:rsidR="00E435ED" w:rsidRPr="00A0226A" w:rsidRDefault="004B1C34">
      <w:pPr>
        <w:pStyle w:val="ParaNum"/>
        <w:widowControl/>
      </w:pPr>
      <w:r>
        <w:t>DISH also argues that</w:t>
      </w:r>
      <w:r w:rsidR="00C1793F">
        <w:t xml:space="preserve"> g</w:t>
      </w:r>
      <w:r w:rsidR="008F3757" w:rsidRPr="008F3757">
        <w:t>rant of the waiver could enhance the utility and value of adjacent bands, H and J Blocks, with the potential to provide substantial economic benefits from harmonized PCS/AWS operations.</w:t>
      </w:r>
      <w:r w:rsidR="008F3757" w:rsidRPr="008F3757">
        <w:rPr>
          <w:vertAlign w:val="superscript"/>
        </w:rPr>
        <w:footnoteReference w:id="52"/>
      </w:r>
      <w:r w:rsidR="008F3757" w:rsidRPr="008F3757">
        <w:t xml:space="preserve">  </w:t>
      </w:r>
      <w:r w:rsidR="00D70CB1">
        <w:t>Specifically, with regard</w:t>
      </w:r>
      <w:r w:rsidR="00E435ED">
        <w:t xml:space="preserve"> to the 2020-2025 MHz band (formerly the “Lower J Block”), which the Commission has proposed designating for uplink use in the AWS-3 proceeding</w:t>
      </w:r>
      <w:r w:rsidR="00AF724B">
        <w:t>,</w:t>
      </w:r>
      <w:r w:rsidR="00E435ED">
        <w:rPr>
          <w:rStyle w:val="FootnoteReference"/>
        </w:rPr>
        <w:footnoteReference w:id="53"/>
      </w:r>
      <w:r w:rsidR="00E435ED">
        <w:t xml:space="preserve"> DISH argues that, if 2000-2020 MHz were a downlink band, “</w:t>
      </w:r>
      <w:r w:rsidR="00E435ED" w:rsidRPr="008F3757">
        <w:rPr>
          <w:snapToGrid/>
          <w:kern w:val="0"/>
          <w:szCs w:val="22"/>
        </w:rPr>
        <w:t>the lower J Block could also be auctioned for downlink operations</w:t>
      </w:r>
      <w:r w:rsidR="00F54973">
        <w:rPr>
          <w:snapToGrid/>
          <w:kern w:val="0"/>
          <w:szCs w:val="22"/>
        </w:rPr>
        <w:t>” in a manner “</w:t>
      </w:r>
      <w:r w:rsidR="00E435ED" w:rsidRPr="008F3757">
        <w:rPr>
          <w:snapToGrid/>
          <w:kern w:val="0"/>
          <w:szCs w:val="22"/>
        </w:rPr>
        <w:t>analogous to the existing AWS-1 downlink and the BAS arrangement, which has a successful co-existence track record.”</w:t>
      </w:r>
      <w:r w:rsidR="00E435ED">
        <w:rPr>
          <w:rStyle w:val="FootnoteReference"/>
          <w:snapToGrid/>
          <w:kern w:val="0"/>
          <w:szCs w:val="22"/>
        </w:rPr>
        <w:footnoteReference w:id="54"/>
      </w:r>
    </w:p>
    <w:p w14:paraId="61EE3A5B" w14:textId="77777777" w:rsidR="00263DEE" w:rsidRDefault="00E435ED">
      <w:pPr>
        <w:pStyle w:val="ParaNum"/>
        <w:widowControl/>
      </w:pPr>
      <w:r w:rsidRPr="00C1793F">
        <w:rPr>
          <w:snapToGrid/>
          <w:kern w:val="0"/>
          <w:szCs w:val="22"/>
        </w:rPr>
        <w:t>Overall, DISH concludes, “[t]he requested flexibility may permit AWS-4 operations in the 2000-2020 MHz band to be harmonized and co-directional with operations in the PCS band, and the H and J Blocks, thus providing up to 30 MHz of contiguous downlink spectrum.”</w:t>
      </w:r>
      <w:r w:rsidRPr="00C74E1A">
        <w:rPr>
          <w:snapToGrid/>
          <w:kern w:val="0"/>
          <w:szCs w:val="22"/>
          <w:vertAlign w:val="superscript"/>
        </w:rPr>
        <w:footnoteReference w:id="55"/>
      </w:r>
      <w:r w:rsidRPr="00C1793F">
        <w:rPr>
          <w:snapToGrid/>
          <w:kern w:val="0"/>
          <w:szCs w:val="22"/>
        </w:rPr>
        <w:t xml:space="preserve">  DISH suggests that this spectrum harmonization could facilitate commercial </w:t>
      </w:r>
      <w:r w:rsidRPr="004D02FD">
        <w:rPr>
          <w:snapToGrid/>
          <w:kern w:val="0"/>
          <w:szCs w:val="22"/>
        </w:rPr>
        <w:t>deployment of th</w:t>
      </w:r>
      <w:r w:rsidRPr="00752D8F">
        <w:rPr>
          <w:snapToGrid/>
          <w:kern w:val="0"/>
          <w:szCs w:val="22"/>
        </w:rPr>
        <w:t>e new spectrum</w:t>
      </w:r>
      <w:r>
        <w:t>, and reduce user equipment complexity and cost.</w:t>
      </w:r>
      <w:r>
        <w:rPr>
          <w:rStyle w:val="FootnoteReference"/>
        </w:rPr>
        <w:footnoteReference w:id="56"/>
      </w:r>
      <w:r w:rsidR="00C1793F">
        <w:t xml:space="preserve">  </w:t>
      </w:r>
      <w:r w:rsidR="00D67D3A">
        <w:t>Further</w:t>
      </w:r>
      <w:r w:rsidR="00C1793F">
        <w:t xml:space="preserve">, DISH </w:t>
      </w:r>
      <w:r w:rsidR="00752D8F">
        <w:t xml:space="preserve">states its </w:t>
      </w:r>
      <w:r w:rsidR="00C1793F">
        <w:t xml:space="preserve">commitment to bid </w:t>
      </w:r>
      <w:r w:rsidR="00C1793F" w:rsidRPr="00C1793F">
        <w:t>“at least a net clearing price” equal to the aggregate reserve price of $1.564 billion</w:t>
      </w:r>
      <w:r w:rsidR="00C1793F">
        <w:t xml:space="preserve"> in the H block auction would </w:t>
      </w:r>
      <w:r w:rsidR="003C4F0E">
        <w:t>provide critical</w:t>
      </w:r>
      <w:r w:rsidR="00C1793F">
        <w:t xml:space="preserve"> funding for the nationwide, interoperable public safety broadband network</w:t>
      </w:r>
      <w:r w:rsidR="003C4F0E">
        <w:t xml:space="preserve"> to be operated</w:t>
      </w:r>
      <w:r w:rsidR="00C1793F">
        <w:t xml:space="preserve"> by the First Responder Network Authority (FirstNet).</w:t>
      </w:r>
      <w:r w:rsidR="00C1793F">
        <w:rPr>
          <w:rStyle w:val="FootnoteReference"/>
        </w:rPr>
        <w:footnoteReference w:id="57"/>
      </w:r>
      <w:r w:rsidR="00C1793F">
        <w:t xml:space="preserve">  </w:t>
      </w:r>
    </w:p>
    <w:p w14:paraId="0B41AB00" w14:textId="77777777" w:rsidR="00A7063E" w:rsidRDefault="00835C9D">
      <w:pPr>
        <w:pStyle w:val="ParaNum"/>
        <w:widowControl/>
      </w:pPr>
      <w:bookmarkStart w:id="381" w:name="_Ref371585887"/>
      <w:r>
        <w:t xml:space="preserve">Finally, </w:t>
      </w:r>
      <w:r w:rsidR="00AD54B4">
        <w:t xml:space="preserve">DISH </w:t>
      </w:r>
      <w:r>
        <w:t xml:space="preserve">asserts that grant of its waiver would result in </w:t>
      </w:r>
      <w:r w:rsidR="00263DEE">
        <w:t xml:space="preserve">several non-technical benefits, including accelerated broadband deployment, </w:t>
      </w:r>
      <w:r>
        <w:t xml:space="preserve">increased </w:t>
      </w:r>
      <w:r w:rsidR="00263DEE">
        <w:t xml:space="preserve">supply </w:t>
      </w:r>
      <w:r>
        <w:t xml:space="preserve">of </w:t>
      </w:r>
      <w:r w:rsidR="00263DEE">
        <w:t xml:space="preserve">downlink spectrum, increased wireless broadband competition, </w:t>
      </w:r>
      <w:r w:rsidR="008F3757">
        <w:t xml:space="preserve">enhanced 700 MHz interoperability, </w:t>
      </w:r>
      <w:r>
        <w:t xml:space="preserve">and </w:t>
      </w:r>
      <w:r w:rsidR="00263DEE">
        <w:t>increased revenues from the H and J Block auctions</w:t>
      </w:r>
      <w:r w:rsidR="008F3757">
        <w:t>.</w:t>
      </w:r>
      <w:r w:rsidR="008F3757">
        <w:rPr>
          <w:rStyle w:val="FootnoteReference"/>
        </w:rPr>
        <w:footnoteReference w:id="58"/>
      </w:r>
    </w:p>
    <w:p w14:paraId="7149DA31" w14:textId="77777777" w:rsidR="00E2749A" w:rsidRPr="00E2749A" w:rsidRDefault="00E2749A" w:rsidP="00830128">
      <w:pPr>
        <w:pStyle w:val="Heading3"/>
        <w:widowControl/>
      </w:pPr>
      <w:bookmarkStart w:id="382" w:name="_Toc373168370"/>
      <w:bookmarkStart w:id="383" w:name="_Toc373168406"/>
      <w:bookmarkStart w:id="384" w:name="_Toc373168565"/>
      <w:bookmarkStart w:id="385" w:name="_Toc373168853"/>
      <w:bookmarkStart w:id="386" w:name="_Toc374110197"/>
      <w:bookmarkStart w:id="387" w:name="_Toc374110238"/>
      <w:r w:rsidRPr="00E2749A">
        <w:t>Application of Waiver Standard</w:t>
      </w:r>
      <w:bookmarkEnd w:id="382"/>
      <w:bookmarkEnd w:id="383"/>
      <w:bookmarkEnd w:id="384"/>
      <w:bookmarkEnd w:id="385"/>
      <w:bookmarkEnd w:id="386"/>
      <w:bookmarkEnd w:id="387"/>
    </w:p>
    <w:p w14:paraId="394476AC" w14:textId="77777777" w:rsidR="00C63D99" w:rsidRDefault="004A3C88" w:rsidP="00682224">
      <w:pPr>
        <w:pStyle w:val="ParaNum"/>
        <w:keepNext/>
        <w:widowControl/>
      </w:pPr>
      <w:r>
        <w:t xml:space="preserve">After consideration of the DISH </w:t>
      </w:r>
      <w:r w:rsidR="00B208D5">
        <w:t xml:space="preserve">Petition and the record compiled </w:t>
      </w:r>
      <w:r>
        <w:t>in this proceeding, we conclude that</w:t>
      </w:r>
      <w:r w:rsidR="00073EAE">
        <w:t>,</w:t>
      </w:r>
      <w:r>
        <w:t xml:space="preserve"> subject to the conditions outlined below</w:t>
      </w:r>
      <w:r w:rsidR="00073EAE">
        <w:t>,</w:t>
      </w:r>
      <w:r>
        <w:t xml:space="preserve"> the </w:t>
      </w:r>
      <w:r w:rsidR="0037047E">
        <w:t xml:space="preserve">technical rule </w:t>
      </w:r>
      <w:r>
        <w:t>waivers sought by DISH are warranted based on the unique factual circumstances of DISH’s status as a licensee of both AWS-4 and 2</w:t>
      </w:r>
      <w:r w:rsidR="00F94173">
        <w:t> </w:t>
      </w:r>
      <w:r>
        <w:t xml:space="preserve">GHz MSS licenses.  In these circumstances, application of the rules for which DISH seeks a waiver would be </w:t>
      </w:r>
      <w:r w:rsidR="0043555B">
        <w:t xml:space="preserve">both </w:t>
      </w:r>
      <w:r>
        <w:t xml:space="preserve">unduly burdensome and contrary to the public interest.  </w:t>
      </w:r>
    </w:p>
    <w:p w14:paraId="12897B7B" w14:textId="77777777" w:rsidR="00F500F5" w:rsidRDefault="00C63D99" w:rsidP="00682224">
      <w:pPr>
        <w:pStyle w:val="ParaNum"/>
        <w:widowControl/>
      </w:pPr>
      <w:r>
        <w:t xml:space="preserve">As noted above, the central purposes of </w:t>
      </w:r>
      <w:r w:rsidR="00091DE3">
        <w:t xml:space="preserve">the Commission’s </w:t>
      </w:r>
      <w:r>
        <w:t xml:space="preserve"> proceedings leading to the </w:t>
      </w:r>
      <w:r w:rsidRPr="008C52BD">
        <w:rPr>
          <w:i/>
        </w:rPr>
        <w:t xml:space="preserve">AWS-4 Report and Order </w:t>
      </w:r>
      <w:r>
        <w:t>have been to lay the foundation for more flexible use of this band, and to promote investment in new and innovative mobile broadband services by unleashing more spectrum for these critical services.  We agree with AT&amp;T that the DISH Petition “falls squarely within the scope of the Commission’s highly successful flexible use policy.”</w:t>
      </w:r>
      <w:r>
        <w:rPr>
          <w:rStyle w:val="FootnoteReference"/>
        </w:rPr>
        <w:footnoteReference w:id="59"/>
      </w:r>
      <w:r>
        <w:t xml:space="preserve">  </w:t>
      </w:r>
      <w:r w:rsidR="00DE0562">
        <w:t>Flexibility encourages research</w:t>
      </w:r>
      <w:r w:rsidR="00425F37">
        <w:t>, innovation,</w:t>
      </w:r>
      <w:r w:rsidR="00DE0562">
        <w:t xml:space="preserve"> and investment, </w:t>
      </w:r>
      <w:r w:rsidR="00425F37">
        <w:t xml:space="preserve">spurs the </w:t>
      </w:r>
      <w:r w:rsidR="00DE0562">
        <w:t>develop</w:t>
      </w:r>
      <w:r w:rsidR="00425F37">
        <w:t>ment of</w:t>
      </w:r>
      <w:r w:rsidR="00DE0562">
        <w:t xml:space="preserve"> new technologies </w:t>
      </w:r>
      <w:r w:rsidR="00EC3B89">
        <w:t xml:space="preserve">and </w:t>
      </w:r>
      <w:r w:rsidR="00DE0562">
        <w:t xml:space="preserve">their deployment to customers, </w:t>
      </w:r>
      <w:r w:rsidR="00425F37">
        <w:t>and overall</w:t>
      </w:r>
      <w:r w:rsidR="00DE0562">
        <w:t xml:space="preserve"> encourag</w:t>
      </w:r>
      <w:r w:rsidR="00425F37">
        <w:t>es</w:t>
      </w:r>
      <w:r w:rsidR="00DE0562">
        <w:t xml:space="preserve"> efficient use of spectrum.</w:t>
      </w:r>
      <w:r w:rsidR="00DE0562">
        <w:rPr>
          <w:rStyle w:val="FootnoteReference"/>
        </w:rPr>
        <w:footnoteReference w:id="60"/>
      </w:r>
      <w:bookmarkEnd w:id="381"/>
      <w:r w:rsidR="00FE5374">
        <w:t xml:space="preserve">  By affording </w:t>
      </w:r>
      <w:r w:rsidR="00425F37">
        <w:t xml:space="preserve">licensees the flexibility to make fundamental choices about </w:t>
      </w:r>
      <w:r w:rsidR="00FE5374">
        <w:t>service offerings</w:t>
      </w:r>
      <w:r w:rsidR="00425F37">
        <w:t>, taking into account market factors such as consumer demand, availability of technology, and competition, the Commission’s approach tends to result in efficient and highly-valued uses of spectrum.</w:t>
      </w:r>
      <w:r w:rsidR="00425F37">
        <w:rPr>
          <w:rStyle w:val="FootnoteReference"/>
        </w:rPr>
        <w:footnoteReference w:id="61"/>
      </w:r>
      <w:r w:rsidR="00425F37">
        <w:t xml:space="preserve">  </w:t>
      </w:r>
      <w:r w:rsidR="00BD37C9">
        <w:t>Typically, the Commission</w:t>
      </w:r>
      <w:r w:rsidR="00FE5374">
        <w:t xml:space="preserve"> limits technical flexibility </w:t>
      </w:r>
      <w:r w:rsidR="00BD37C9">
        <w:t xml:space="preserve">only </w:t>
      </w:r>
      <w:r w:rsidR="00FE5374">
        <w:t xml:space="preserve">where needed to prevent harmful interference to other users of the spectrum.  </w:t>
      </w:r>
      <w:r w:rsidR="007279B3">
        <w:t xml:space="preserve">The Commission followed this approach in the </w:t>
      </w:r>
      <w:r w:rsidR="007279B3">
        <w:rPr>
          <w:i/>
        </w:rPr>
        <w:t>AWS</w:t>
      </w:r>
      <w:r w:rsidR="00F94173">
        <w:rPr>
          <w:i/>
        </w:rPr>
        <w:noBreakHyphen/>
      </w:r>
      <w:r w:rsidR="007279B3">
        <w:rPr>
          <w:i/>
        </w:rPr>
        <w:t>4 Report and Order</w:t>
      </w:r>
      <w:r w:rsidR="007279B3">
        <w:t>, stating that its aim in establishing technical rules is to maximize the flexible use of the spectrum while appropriately protecting operations in adjacent and nearby bands from harmful interference.</w:t>
      </w:r>
      <w:r w:rsidR="007279B3">
        <w:rPr>
          <w:rStyle w:val="FootnoteReference"/>
        </w:rPr>
        <w:footnoteReference w:id="62"/>
      </w:r>
    </w:p>
    <w:p w14:paraId="3F52CCBD" w14:textId="77777777" w:rsidR="00425F37" w:rsidRDefault="00C6573C">
      <w:pPr>
        <w:pStyle w:val="ParaNum"/>
        <w:widowControl/>
      </w:pPr>
      <w:bookmarkStart w:id="388" w:name="_Ref372880505"/>
      <w:r>
        <w:t>W</w:t>
      </w:r>
      <w:r w:rsidR="00425F37">
        <w:t xml:space="preserve">e find that </w:t>
      </w:r>
      <w:r w:rsidR="00073EAE">
        <w:t xml:space="preserve">a grant of </w:t>
      </w:r>
      <w:r w:rsidR="00425F37">
        <w:t>the DISH request for flexibility to use the 2000-2020 MHz band for either uplink or downlink</w:t>
      </w:r>
      <w:r w:rsidR="00073EAE">
        <w:t xml:space="preserve"> would</w:t>
      </w:r>
      <w:r w:rsidR="00425F37">
        <w:t xml:space="preserve"> meet these policy objectives</w:t>
      </w:r>
      <w:r w:rsidR="008C52BD">
        <w:t xml:space="preserve"> of the </w:t>
      </w:r>
      <w:r w:rsidR="008C52BD">
        <w:rPr>
          <w:i/>
        </w:rPr>
        <w:t>AWS-4 Report and Order</w:t>
      </w:r>
      <w:r w:rsidR="00425F37">
        <w:t xml:space="preserve">, provided the spectrum use </w:t>
      </w:r>
      <w:r w:rsidR="00073EAE">
        <w:t xml:space="preserve">conforms to the </w:t>
      </w:r>
      <w:r w:rsidR="00425F37">
        <w:t xml:space="preserve">interference </w:t>
      </w:r>
      <w:r w:rsidR="00073EAE">
        <w:t xml:space="preserve">protections discussed below.  Grant of the request </w:t>
      </w:r>
      <w:r w:rsidR="008C52BD">
        <w:t>would also serve a variety of other public interest</w:t>
      </w:r>
      <w:r w:rsidR="0043555B">
        <w:t xml:space="preserve"> goals described below, by </w:t>
      </w:r>
      <w:r w:rsidR="00073EAE">
        <w:t xml:space="preserve">obviating </w:t>
      </w:r>
      <w:r w:rsidR="0043555B">
        <w:t xml:space="preserve">in the event of downlink use </w:t>
      </w:r>
      <w:r w:rsidR="00073EAE">
        <w:t xml:space="preserve">the need for certain </w:t>
      </w:r>
      <w:r w:rsidR="008C52BD">
        <w:t xml:space="preserve">interference limitations that would otherwise govern both AWS-4 and </w:t>
      </w:r>
      <w:r w:rsidR="00D36A28">
        <w:t xml:space="preserve">adjacent </w:t>
      </w:r>
      <w:r w:rsidR="008C52BD">
        <w:t xml:space="preserve">H Block operations, by promoting </w:t>
      </w:r>
      <w:r w:rsidR="00DE1672">
        <w:t xml:space="preserve">a variety of </w:t>
      </w:r>
      <w:r w:rsidR="008C52BD">
        <w:t xml:space="preserve"> statutory goals </w:t>
      </w:r>
      <w:r w:rsidR="00300BB8">
        <w:t xml:space="preserve">underlying </w:t>
      </w:r>
      <w:r w:rsidR="00735397">
        <w:t xml:space="preserve">both </w:t>
      </w:r>
      <w:r w:rsidR="00300BB8">
        <w:t xml:space="preserve">the service rules for H Block licenses to </w:t>
      </w:r>
      <w:r w:rsidR="00735397">
        <w:t>be offered at auction and</w:t>
      </w:r>
      <w:r w:rsidR="00300BB8">
        <w:t xml:space="preserve"> the auction procedures for the bidding </w:t>
      </w:r>
      <w:r w:rsidR="00DE1672">
        <w:t>scheduled to begin in January 2014</w:t>
      </w:r>
      <w:r w:rsidR="008C52BD">
        <w:t>,</w:t>
      </w:r>
      <w:r w:rsidR="00DE1672">
        <w:rPr>
          <w:rStyle w:val="FootnoteReference"/>
        </w:rPr>
        <w:footnoteReference w:id="63"/>
      </w:r>
      <w:r w:rsidR="00DE1672">
        <w:t xml:space="preserve"> and by furthering the intent of the Spectrum Act to use the proceeds of the H Block auction to </w:t>
      </w:r>
      <w:r w:rsidR="0080006F">
        <w:t xml:space="preserve">help </w:t>
      </w:r>
      <w:r w:rsidR="00DE1672">
        <w:t xml:space="preserve">finance the construction of a </w:t>
      </w:r>
      <w:r w:rsidR="008C52BD">
        <w:t xml:space="preserve"> </w:t>
      </w:r>
      <w:r w:rsidR="00DE1672">
        <w:t>nationwide public safety broadband network</w:t>
      </w:r>
      <w:r w:rsidR="004475FC">
        <w:t xml:space="preserve"> (FirstNet).</w:t>
      </w:r>
      <w:r w:rsidR="00DE1672">
        <w:rPr>
          <w:rStyle w:val="FootnoteReference"/>
        </w:rPr>
        <w:footnoteReference w:id="64"/>
      </w:r>
      <w:r w:rsidR="00D36A28">
        <w:t xml:space="preserve">  </w:t>
      </w:r>
      <w:r w:rsidR="00F90989">
        <w:t>Two aspects</w:t>
      </w:r>
      <w:r w:rsidR="00D36A28">
        <w:t xml:space="preserve"> of the rules established in the Commission’s </w:t>
      </w:r>
      <w:r w:rsidR="00D36A28">
        <w:rPr>
          <w:i/>
        </w:rPr>
        <w:t>AWS-4 Report and Order</w:t>
      </w:r>
      <w:r w:rsidR="00D27652">
        <w:t>—</w:t>
      </w:r>
      <w:r w:rsidR="00D36A28">
        <w:t>the rule</w:t>
      </w:r>
      <w:r w:rsidR="00F90989">
        <w:t>s</w:t>
      </w:r>
      <w:r w:rsidR="00D36A28">
        <w:t xml:space="preserve"> designating the 2000-2020 MHz band for </w:t>
      </w:r>
      <w:r w:rsidR="00D27652">
        <w:t>uplink</w:t>
      </w:r>
      <w:r w:rsidR="002D53E0">
        <w:t xml:space="preserve"> operations</w:t>
      </w:r>
      <w:r w:rsidR="00F90989">
        <w:t xml:space="preserve"> and the 2180-2200 MHz band for downlink</w:t>
      </w:r>
      <w:r w:rsidR="00B12057">
        <w:t xml:space="preserve"> and the determination that same-band, separate operator sharing between mobile satellite and terrestrial operations remained “impractical”</w:t>
      </w:r>
      <w:r w:rsidR="00D27652">
        <w:t>—</w:t>
      </w:r>
      <w:r w:rsidR="00F90989">
        <w:t>were</w:t>
      </w:r>
      <w:r w:rsidR="00D36A28">
        <w:t xml:space="preserve"> intended to minimize the possibility of interference between </w:t>
      </w:r>
      <w:r w:rsidR="00D6692B">
        <w:t>terrestrial and satellite services</w:t>
      </w:r>
      <w:r w:rsidR="00490D03">
        <w:t xml:space="preserve">.  </w:t>
      </w:r>
      <w:r w:rsidR="001753C8">
        <w:t>Because</w:t>
      </w:r>
      <w:r w:rsidR="00D6692B">
        <w:t xml:space="preserve"> DISH controls both of these networks </w:t>
      </w:r>
      <w:r w:rsidR="006D61FE">
        <w:t>and all of the associate</w:t>
      </w:r>
      <w:r w:rsidR="003E1D1A">
        <w:t>d</w:t>
      </w:r>
      <w:r w:rsidR="006D61FE">
        <w:t xml:space="preserve"> spectrum</w:t>
      </w:r>
      <w:r w:rsidR="00D6692B">
        <w:t xml:space="preserve"> </w:t>
      </w:r>
      <w:r w:rsidR="00F22E21">
        <w:t>and pos</w:t>
      </w:r>
      <w:r w:rsidR="002F1134">
        <w:t>s</w:t>
      </w:r>
      <w:r w:rsidR="00F22E21">
        <w:t>esses the</w:t>
      </w:r>
      <w:r w:rsidR="00D6692B">
        <w:t xml:space="preserve"> </w:t>
      </w:r>
      <w:r w:rsidR="00484A2F">
        <w:t xml:space="preserve">singular </w:t>
      </w:r>
      <w:r w:rsidR="00D6692B">
        <w:t xml:space="preserve">ability to </w:t>
      </w:r>
      <w:r w:rsidR="00651FB8">
        <w:t xml:space="preserve">design, integrate, and </w:t>
      </w:r>
      <w:r w:rsidR="00484A2F">
        <w:t>direct the operations of both ter</w:t>
      </w:r>
      <w:r w:rsidR="00970EB7">
        <w:t>restrial and satellite services</w:t>
      </w:r>
      <w:r w:rsidR="006D7929">
        <w:t>, we conclude that these unique circumstances</w:t>
      </w:r>
      <w:r w:rsidR="00D6692B">
        <w:t xml:space="preserve"> warrant a </w:t>
      </w:r>
      <w:r w:rsidR="00A643EC">
        <w:t xml:space="preserve">deviation </w:t>
      </w:r>
      <w:r w:rsidR="007258E3">
        <w:t>from the rule</w:t>
      </w:r>
      <w:r w:rsidR="00D6692B">
        <w:t xml:space="preserve"> in ligh</w:t>
      </w:r>
      <w:r w:rsidR="00726D9A">
        <w:t xml:space="preserve">t of the corresponding </w:t>
      </w:r>
      <w:r w:rsidR="00D6692B">
        <w:t>reduction of interference constraints between AWS-4 and H</w:t>
      </w:r>
      <w:r w:rsidR="005C2BAC">
        <w:t> </w:t>
      </w:r>
      <w:r w:rsidR="00D6692B">
        <w:t xml:space="preserve">Block operations </w:t>
      </w:r>
      <w:r w:rsidR="007258E3">
        <w:t xml:space="preserve">resulting from </w:t>
      </w:r>
      <w:r w:rsidR="007E27F6">
        <w:t>the</w:t>
      </w:r>
      <w:r w:rsidR="00AE33D4">
        <w:t xml:space="preserve"> </w:t>
      </w:r>
      <w:r w:rsidR="007258E3">
        <w:t xml:space="preserve">alignment of downlinks in these two services, </w:t>
      </w:r>
      <w:r w:rsidR="00D6692B">
        <w:t>and the substantial additional public interest benefits from such a waiver.</w:t>
      </w:r>
      <w:bookmarkEnd w:id="388"/>
      <w:r w:rsidR="00D6692B">
        <w:t xml:space="preserve"> </w:t>
      </w:r>
      <w:r w:rsidR="00D36A28">
        <w:t xml:space="preserve">  </w:t>
      </w:r>
    </w:p>
    <w:p w14:paraId="66854B32" w14:textId="77777777" w:rsidR="00796206" w:rsidRDefault="002C36C4">
      <w:pPr>
        <w:pStyle w:val="ParaNum"/>
        <w:widowControl/>
      </w:pPr>
      <w:bookmarkStart w:id="389" w:name="_Ref372786280"/>
      <w:r>
        <w:t>Beyond the benefits inherent in flexibility, t</w:t>
      </w:r>
      <w:r w:rsidR="00F40B65" w:rsidRPr="00D07719">
        <w:t xml:space="preserve">he </w:t>
      </w:r>
      <w:r w:rsidR="00431D34">
        <w:t xml:space="preserve">technical </w:t>
      </w:r>
      <w:r w:rsidR="00F40B65">
        <w:t xml:space="preserve">waivers DISH seeks offer </w:t>
      </w:r>
      <w:r w:rsidR="00AE2278">
        <w:t xml:space="preserve">the potential for </w:t>
      </w:r>
      <w:r w:rsidR="00F40B65">
        <w:t>compelling public interest benefits</w:t>
      </w:r>
      <w:r w:rsidR="00F500F5">
        <w:t>, including improved spectrum management</w:t>
      </w:r>
      <w:r w:rsidR="00F40B65">
        <w:t xml:space="preserve">.  </w:t>
      </w:r>
      <w:r w:rsidR="00F500F5">
        <w:t xml:space="preserve">Should the Lower AWS-4 Band be used for downlink, it would effectively serve as an extension of the broadband PCS and H Block downlink bands, collectively at 1930-2000 MHz.  </w:t>
      </w:r>
      <w:r w:rsidR="00306898">
        <w:t xml:space="preserve">This is analogous to the Commission’s finding in the </w:t>
      </w:r>
      <w:r w:rsidR="00306898" w:rsidRPr="00306898">
        <w:rPr>
          <w:i/>
        </w:rPr>
        <w:t>H Block Report and Order</w:t>
      </w:r>
      <w:r w:rsidR="00306898">
        <w:t xml:space="preserve"> that “[a]s the 1930-1995 MHz PCS band is used for downlink transmissions, the 1995-2000 MHz band [also used for downlink transmissions], in many respects, will operate as an extension of the PCS band.”</w:t>
      </w:r>
      <w:r w:rsidR="00306898">
        <w:rPr>
          <w:rStyle w:val="FootnoteReference"/>
        </w:rPr>
        <w:footnoteReference w:id="65"/>
      </w:r>
      <w:r w:rsidR="00306898">
        <w:t xml:space="preserve">  </w:t>
      </w:r>
      <w:r w:rsidR="000D0860">
        <w:t xml:space="preserve">Band plan harmonization </w:t>
      </w:r>
      <w:r w:rsidR="002F2B70">
        <w:t xml:space="preserve">unshackles the 2000-2020 </w:t>
      </w:r>
      <w:r w:rsidR="005C2BAC">
        <w:t xml:space="preserve">MHz </w:t>
      </w:r>
      <w:r w:rsidR="002F2B70">
        <w:t xml:space="preserve">band from restrictive technical limits, </w:t>
      </w:r>
      <w:r w:rsidR="00306898">
        <w:t>potentially</w:t>
      </w:r>
      <w:r w:rsidR="00FC2B4F">
        <w:t xml:space="preserve"> </w:t>
      </w:r>
      <w:r w:rsidR="003C30F0">
        <w:t>opening the band to more effective use</w:t>
      </w:r>
      <w:r w:rsidR="002F2B70">
        <w:t>.</w:t>
      </w:r>
      <w:r w:rsidR="002F2B70">
        <w:rPr>
          <w:rStyle w:val="FootnoteReference"/>
        </w:rPr>
        <w:footnoteReference w:id="66"/>
      </w:r>
      <w:bookmarkEnd w:id="389"/>
      <w:r w:rsidR="00B27E00">
        <w:t xml:space="preserve"> </w:t>
      </w:r>
      <w:r w:rsidR="00FE771D">
        <w:t xml:space="preserve">  Indeed, the Commission previously suggested the benefits of this type of band plan harmonization when it proposed making 1995-2025 MHz a PCS expansion downlink band in the </w:t>
      </w:r>
      <w:r w:rsidR="00FE771D" w:rsidRPr="00FE771D">
        <w:rPr>
          <w:i/>
        </w:rPr>
        <w:t>AWS-4 Notice of Inquiry</w:t>
      </w:r>
      <w:r w:rsidR="00FE771D">
        <w:t>.</w:t>
      </w:r>
      <w:r w:rsidR="00FE771D">
        <w:rPr>
          <w:rStyle w:val="FootnoteReference"/>
        </w:rPr>
        <w:footnoteReference w:id="67"/>
      </w:r>
    </w:p>
    <w:p w14:paraId="22A2A385" w14:textId="77777777" w:rsidR="00D47061" w:rsidRDefault="00796206">
      <w:pPr>
        <w:pStyle w:val="ParaNum"/>
        <w:widowControl/>
      </w:pPr>
      <w:r w:rsidRPr="00294501">
        <w:t xml:space="preserve">These benefits, </w:t>
      </w:r>
      <w:r w:rsidRPr="00054D92">
        <w:t>however</w:t>
      </w:r>
      <w:r w:rsidRPr="00294501">
        <w:t xml:space="preserve">, would be insufficient to support grant of a waiver if the proposed operation would cause harmful interference to other services. </w:t>
      </w:r>
      <w:r w:rsidR="005C2BAC">
        <w:t xml:space="preserve"> </w:t>
      </w:r>
      <w:r w:rsidRPr="00294501">
        <w:t>DISH asserts that the proposed downlink operation would not adversely affect other licensees.</w:t>
      </w:r>
      <w:r>
        <w:rPr>
          <w:rStyle w:val="FootnoteReference"/>
        </w:rPr>
        <w:footnoteReference w:id="68"/>
      </w:r>
      <w:r w:rsidRPr="00294501">
        <w:t xml:space="preserve">  </w:t>
      </w:r>
      <w:r w:rsidR="005B1E94">
        <w:t>O</w:t>
      </w:r>
      <w:r w:rsidRPr="00294501">
        <w:t xml:space="preserve">ur review, coupled with the technical requirements we set forth below, confirms that assertion.  Because DISH is the sole 2 GHz MSS/AWS-4 licensee, </w:t>
      </w:r>
      <w:r w:rsidR="008A26E0">
        <w:t>as noted above</w:t>
      </w:r>
      <w:r w:rsidR="007C7C61">
        <w:t>,</w:t>
      </w:r>
      <w:r w:rsidR="008A26E0">
        <w:t xml:space="preserve"> </w:t>
      </w:r>
      <w:r w:rsidRPr="00294501">
        <w:t xml:space="preserve">it can manage co-existence of its integrated MSS/AWS-4 service, as well as any co-channel AWS-4 interference that may arise; and there are no other licensees in this band that might be adversely affected by the waivers sought.  And as discussed further below, </w:t>
      </w:r>
      <w:r w:rsidR="002D53E0">
        <w:t xml:space="preserve">we find that </w:t>
      </w:r>
      <w:r w:rsidRPr="00294501">
        <w:t xml:space="preserve">the interests of operators in adjacent bands can be fully protected </w:t>
      </w:r>
      <w:r w:rsidR="00DB39EB">
        <w:t xml:space="preserve">in the event of a downlink election </w:t>
      </w:r>
      <w:r w:rsidRPr="00294501">
        <w:t xml:space="preserve">by technical conditions common to similarly situated high-power downlink operations, in lieu of the technical requirements premised on low-power uplink operation that now apply to the 2000-2020 MHz band.  </w:t>
      </w:r>
      <w:r w:rsidR="00D47061">
        <w:t xml:space="preserve">Moreover, downlink election would result in increased </w:t>
      </w:r>
      <w:r w:rsidR="00C378A8">
        <w:t xml:space="preserve">spectrum </w:t>
      </w:r>
      <w:r w:rsidR="00D47061">
        <w:t xml:space="preserve">utilization and efficiency as </w:t>
      </w:r>
      <w:r w:rsidR="00C378A8">
        <w:t>it</w:t>
      </w:r>
      <w:r w:rsidR="00D47061">
        <w:t xml:space="preserve"> would obviate the need for technical constraints designed to address interference associated with uplink use in the band.</w:t>
      </w:r>
      <w:r w:rsidR="002402F5">
        <w:rPr>
          <w:rStyle w:val="FootnoteReference"/>
        </w:rPr>
        <w:footnoteReference w:id="69"/>
      </w:r>
      <w:r w:rsidR="00D47061">
        <w:t xml:space="preserve">  </w:t>
      </w:r>
    </w:p>
    <w:p w14:paraId="5467DD70" w14:textId="77777777" w:rsidR="00C65544" w:rsidRDefault="002D53E0">
      <w:pPr>
        <w:pStyle w:val="ParaNum"/>
        <w:widowControl/>
      </w:pPr>
      <w:bookmarkStart w:id="390" w:name="_Ref374631790"/>
      <w:r>
        <w:t>In light of the above findings</w:t>
      </w:r>
      <w:r w:rsidR="00796206" w:rsidRPr="00294501">
        <w:t>, we conclude that DI</w:t>
      </w:r>
      <w:r w:rsidR="0089731C">
        <w:t xml:space="preserve">SH has justified a waiver </w:t>
      </w:r>
      <w:r w:rsidR="00E51A62">
        <w:t xml:space="preserve">based on </w:t>
      </w:r>
      <w:r w:rsidR="00F121BE">
        <w:t>the</w:t>
      </w:r>
      <w:r w:rsidR="008A26E0">
        <w:t xml:space="preserve"> special circumstances </w:t>
      </w:r>
      <w:r w:rsidR="00625107">
        <w:t>described above</w:t>
      </w:r>
      <w:r w:rsidR="008A26E0">
        <w:t xml:space="preserve">, the consistency of its proposals with the core purpose of the AWS-4 rules </w:t>
      </w:r>
      <w:r w:rsidR="0089731C">
        <w:t>to provide flexible use terrestrial spectrum,</w:t>
      </w:r>
      <w:r w:rsidR="004D1EE7">
        <w:t xml:space="preserve"> </w:t>
      </w:r>
      <w:r w:rsidR="0089731C">
        <w:t xml:space="preserve">the </w:t>
      </w:r>
      <w:r w:rsidR="004D48E4">
        <w:t xml:space="preserve">potential for </w:t>
      </w:r>
      <w:r w:rsidR="0089731C">
        <w:t xml:space="preserve">reduced </w:t>
      </w:r>
      <w:r w:rsidR="004D1EE7">
        <w:t xml:space="preserve">risk of interference </w:t>
      </w:r>
      <w:r w:rsidR="00B21B0D">
        <w:t>between</w:t>
      </w:r>
      <w:r w:rsidR="002402F5">
        <w:t xml:space="preserve"> the Lower AWS-4 Band and </w:t>
      </w:r>
      <w:r w:rsidR="00757619">
        <w:t xml:space="preserve">the </w:t>
      </w:r>
      <w:r w:rsidR="00C03C81">
        <w:t xml:space="preserve">adjacent </w:t>
      </w:r>
      <w:r w:rsidR="00027644">
        <w:t>U</w:t>
      </w:r>
      <w:r w:rsidR="002402F5">
        <w:t xml:space="preserve">pper </w:t>
      </w:r>
      <w:r w:rsidR="00C03C81">
        <w:t>H Block</w:t>
      </w:r>
      <w:r w:rsidR="0089731C">
        <w:t xml:space="preserve">, </w:t>
      </w:r>
      <w:r w:rsidR="009E50CB">
        <w:t>the benefits from effectively extending the PCS and H Block downlink bands,</w:t>
      </w:r>
      <w:r w:rsidR="000B3ECA">
        <w:t xml:space="preserve"> </w:t>
      </w:r>
      <w:r w:rsidR="0089731C">
        <w:t>and the additional public interest benefit of DISH committing to</w:t>
      </w:r>
      <w:r w:rsidR="001D18BC">
        <w:t xml:space="preserve"> bid “at least a net clearing price equal to any aggregate reserve . . . in the upcoming H block auction (not to exceed [$1.564 billion]).”</w:t>
      </w:r>
      <w:r w:rsidR="001D18BC">
        <w:rPr>
          <w:rStyle w:val="FootnoteReference"/>
        </w:rPr>
        <w:footnoteReference w:id="70"/>
      </w:r>
      <w:r w:rsidR="001D18BC">
        <w:t xml:space="preserve">  In setting $1.564 billion as the aggregate reserve price for the H Block auction, the Bureau </w:t>
      </w:r>
      <w:r w:rsidR="004740C6">
        <w:t>observed</w:t>
      </w:r>
      <w:r w:rsidR="001D18BC">
        <w:t xml:space="preserve"> that it would help contribute </w:t>
      </w:r>
      <w:r w:rsidR="00952AF7">
        <w:t>to meeting the statutory goal</w:t>
      </w:r>
      <w:r w:rsidR="001D18BC">
        <w:t xml:space="preserve"> of recovery for the public of a portion of the value of the spectrum resource, which in this case will contribute to funding FirstNet, as contemplated by the Spectrum Act.</w:t>
      </w:r>
      <w:r w:rsidR="001D18BC">
        <w:rPr>
          <w:rStyle w:val="FootnoteReference"/>
        </w:rPr>
        <w:footnoteReference w:id="71"/>
      </w:r>
      <w:r w:rsidR="001D18BC">
        <w:t xml:space="preserve">  </w:t>
      </w:r>
      <w:r w:rsidR="00AD54B4">
        <w:t>Therefore, we find that DISH’s commitment in this regard would further the public interest.</w:t>
      </w:r>
      <w:r w:rsidR="00FD39DE">
        <w:t xml:space="preserve">  </w:t>
      </w:r>
      <w:r w:rsidR="00DC0159">
        <w:t xml:space="preserve">Moreover, granting </w:t>
      </w:r>
      <w:r w:rsidR="00FD39DE">
        <w:t xml:space="preserve">a waiver </w:t>
      </w:r>
      <w:r w:rsidR="00DC0159">
        <w:t>in this instan</w:t>
      </w:r>
      <w:r w:rsidR="00916929">
        <w:t>ce</w:t>
      </w:r>
      <w:r w:rsidR="00DC0159">
        <w:t xml:space="preserve"> </w:t>
      </w:r>
      <w:r w:rsidR="00916929">
        <w:t>will</w:t>
      </w:r>
      <w:r w:rsidR="008E5941">
        <w:t xml:space="preserve"> potentially</w:t>
      </w:r>
      <w:r w:rsidR="00DC0159">
        <w:t xml:space="preserve"> enhance wireless broadband competition, encourage innovation</w:t>
      </w:r>
      <w:r w:rsidR="008E5941">
        <w:t xml:space="preserve">, </w:t>
      </w:r>
      <w:r w:rsidR="00DC0159">
        <w:t xml:space="preserve">speed up </w:t>
      </w:r>
      <w:r w:rsidR="00C03C81">
        <w:t xml:space="preserve">broadband deployment, </w:t>
      </w:r>
      <w:r w:rsidR="00DC0159">
        <w:t xml:space="preserve">and </w:t>
      </w:r>
      <w:r w:rsidR="00C03C81">
        <w:t xml:space="preserve">increase </w:t>
      </w:r>
      <w:r w:rsidR="00DC0159">
        <w:t xml:space="preserve">the </w:t>
      </w:r>
      <w:r w:rsidR="00C03C81">
        <w:t xml:space="preserve">supply of </w:t>
      </w:r>
      <w:r w:rsidR="00916929">
        <w:t>in</w:t>
      </w:r>
      <w:r w:rsidR="007B6D95">
        <w:t>-</w:t>
      </w:r>
      <w:r w:rsidR="00916929">
        <w:t xml:space="preserve">demand </w:t>
      </w:r>
      <w:r w:rsidR="00C03C81">
        <w:t>downlink spectrum</w:t>
      </w:r>
      <w:r w:rsidR="008E5941">
        <w:t xml:space="preserve"> to be used on an unpa</w:t>
      </w:r>
      <w:r w:rsidR="00BB49D5">
        <w:t xml:space="preserve">ired basis or paired with </w:t>
      </w:r>
      <w:r w:rsidR="008E5941">
        <w:t>non-AWS-4 spectrum</w:t>
      </w:r>
      <w:r w:rsidR="00C25FB6">
        <w:t>.</w:t>
      </w:r>
      <w:r w:rsidR="00916929">
        <w:t xml:space="preserve"> </w:t>
      </w:r>
      <w:r w:rsidR="00DC0159">
        <w:t xml:space="preserve"> </w:t>
      </w:r>
      <w:r w:rsidR="00C65544">
        <w:t>Accordingly, we find it in the public interest and consistent with section</w:t>
      </w:r>
      <w:r w:rsidR="003554C2">
        <w:t>s 1.3 and</w:t>
      </w:r>
      <w:r w:rsidR="00C65544">
        <w:t xml:space="preserve"> 1.925 of the Commission’s rules</w:t>
      </w:r>
      <w:r w:rsidR="00A83BBA">
        <w:t xml:space="preserve">, as well as the underlying purpose of the rules </w:t>
      </w:r>
      <w:r w:rsidR="00693B08">
        <w:t>from which</w:t>
      </w:r>
      <w:r w:rsidR="00DA7BAF">
        <w:t xml:space="preserve"> DISH seeks relief</w:t>
      </w:r>
      <w:r w:rsidR="00A83BBA">
        <w:t>,</w:t>
      </w:r>
      <w:r w:rsidR="00C65544">
        <w:t xml:space="preserve"> to waive the Commission’s technical rules for the Lower AWS-4 Band to permit the election of downlink use of this band, subject to the specific </w:t>
      </w:r>
      <w:r w:rsidR="00BB462E">
        <w:t>conditions below</w:t>
      </w:r>
      <w:r w:rsidR="00F364BD">
        <w:t>, and that application of these rules in this unique circumstance would be unduly burdensome</w:t>
      </w:r>
      <w:r w:rsidR="007F58C3">
        <w:t>.</w:t>
      </w:r>
      <w:bookmarkEnd w:id="390"/>
    </w:p>
    <w:p w14:paraId="2FA6ED67" w14:textId="77777777" w:rsidR="00B36B2C" w:rsidRPr="005217D6" w:rsidRDefault="00B36B2C" w:rsidP="00830128">
      <w:pPr>
        <w:pStyle w:val="Heading3"/>
        <w:widowControl/>
        <w:rPr>
          <w:snapToGrid/>
          <w:kern w:val="0"/>
        </w:rPr>
      </w:pPr>
      <w:bookmarkStart w:id="391" w:name="_Toc373168371"/>
      <w:bookmarkStart w:id="392" w:name="_Toc373168407"/>
      <w:bookmarkStart w:id="393" w:name="_Toc373168566"/>
      <w:bookmarkStart w:id="394" w:name="_Toc373168854"/>
      <w:bookmarkStart w:id="395" w:name="_Toc374110198"/>
      <w:bookmarkStart w:id="396" w:name="_Toc374110239"/>
      <w:r w:rsidRPr="005217D6">
        <w:t>Technical Analysis</w:t>
      </w:r>
      <w:bookmarkEnd w:id="391"/>
      <w:bookmarkEnd w:id="392"/>
      <w:bookmarkEnd w:id="393"/>
      <w:bookmarkEnd w:id="394"/>
      <w:bookmarkEnd w:id="395"/>
      <w:bookmarkEnd w:id="396"/>
    </w:p>
    <w:p w14:paraId="31EE487C" w14:textId="77777777" w:rsidR="00017BF8" w:rsidRPr="00E93C9A" w:rsidRDefault="00051EDC" w:rsidP="00682224">
      <w:pPr>
        <w:pStyle w:val="ParaNum"/>
        <w:widowControl/>
        <w:rPr>
          <w:snapToGrid/>
          <w:kern w:val="0"/>
        </w:rPr>
      </w:pPr>
      <w:r w:rsidRPr="00316E1D">
        <w:rPr>
          <w:snapToGrid/>
          <w:kern w:val="0"/>
        </w:rPr>
        <w:t xml:space="preserve"> </w:t>
      </w:r>
      <w:r w:rsidR="00FB6A3E" w:rsidRPr="00D72BA2">
        <w:rPr>
          <w:snapToGrid/>
          <w:kern w:val="0"/>
        </w:rPr>
        <w:t xml:space="preserve"> </w:t>
      </w:r>
      <w:bookmarkStart w:id="397" w:name="_Ref374631833"/>
      <w:r w:rsidR="006C1469" w:rsidRPr="002310A7">
        <w:rPr>
          <w:snapToGrid/>
          <w:kern w:val="0"/>
        </w:rPr>
        <w:t xml:space="preserve">Having determined that </w:t>
      </w:r>
      <w:r w:rsidR="00483FF3">
        <w:rPr>
          <w:snapToGrid/>
          <w:kern w:val="0"/>
        </w:rPr>
        <w:t xml:space="preserve">there is good cause </w:t>
      </w:r>
      <w:r w:rsidR="006C1469" w:rsidRPr="002310A7">
        <w:rPr>
          <w:snapToGrid/>
          <w:kern w:val="0"/>
        </w:rPr>
        <w:t xml:space="preserve">to waive the rules </w:t>
      </w:r>
      <w:r w:rsidR="002D53E0" w:rsidRPr="002310A7">
        <w:rPr>
          <w:snapToGrid/>
          <w:kern w:val="0"/>
        </w:rPr>
        <w:t xml:space="preserve">to provide </w:t>
      </w:r>
      <w:r w:rsidR="006C1469" w:rsidRPr="009332B4">
        <w:rPr>
          <w:snapToGrid/>
          <w:kern w:val="0"/>
        </w:rPr>
        <w:t xml:space="preserve">AWS-4 licensees </w:t>
      </w:r>
      <w:r w:rsidR="002D53E0" w:rsidRPr="009332B4">
        <w:rPr>
          <w:snapToGrid/>
          <w:kern w:val="0"/>
        </w:rPr>
        <w:t xml:space="preserve">with </w:t>
      </w:r>
      <w:r w:rsidR="002D53E0" w:rsidRPr="00B32DBE">
        <w:t>flexibility</w:t>
      </w:r>
      <w:r w:rsidR="002D53E0" w:rsidRPr="009332B4">
        <w:rPr>
          <w:snapToGrid/>
          <w:kern w:val="0"/>
        </w:rPr>
        <w:t xml:space="preserve"> </w:t>
      </w:r>
      <w:r w:rsidR="006C1469" w:rsidRPr="00B6604D">
        <w:rPr>
          <w:snapToGrid/>
          <w:kern w:val="0"/>
        </w:rPr>
        <w:t>to use the Lower AWS-4 Band for</w:t>
      </w:r>
      <w:r w:rsidR="00E22535" w:rsidRPr="00B6604D">
        <w:rPr>
          <w:snapToGrid/>
          <w:kern w:val="0"/>
        </w:rPr>
        <w:t xml:space="preserve"> downlink</w:t>
      </w:r>
      <w:r w:rsidR="002D53E0" w:rsidRPr="00B6604D">
        <w:rPr>
          <w:snapToGrid/>
          <w:kern w:val="0"/>
        </w:rPr>
        <w:t xml:space="preserve"> operations</w:t>
      </w:r>
      <w:r w:rsidR="006C1469" w:rsidRPr="00B6604D">
        <w:rPr>
          <w:snapToGrid/>
          <w:kern w:val="0"/>
        </w:rPr>
        <w:t xml:space="preserve">, we </w:t>
      </w:r>
      <w:r w:rsidR="00C526DE">
        <w:rPr>
          <w:snapToGrid/>
          <w:kern w:val="0"/>
        </w:rPr>
        <w:t>must clearly identify</w:t>
      </w:r>
      <w:r w:rsidR="00607ECD" w:rsidRPr="00B6604D">
        <w:rPr>
          <w:snapToGrid/>
          <w:kern w:val="0"/>
        </w:rPr>
        <w:t xml:space="preserve"> which </w:t>
      </w:r>
      <w:r w:rsidR="00FD2ED2">
        <w:rPr>
          <w:snapToGrid/>
          <w:kern w:val="0"/>
        </w:rPr>
        <w:t xml:space="preserve">specific technical </w:t>
      </w:r>
      <w:r w:rsidR="00607ECD" w:rsidRPr="00B6604D">
        <w:rPr>
          <w:snapToGrid/>
          <w:kern w:val="0"/>
        </w:rPr>
        <w:t>rules we are waiving and the requirements necessary for dow</w:t>
      </w:r>
      <w:r w:rsidR="005217D6">
        <w:rPr>
          <w:snapToGrid/>
          <w:kern w:val="0"/>
        </w:rPr>
        <w:t>nlink use of this band.  W</w:t>
      </w:r>
      <w:r w:rsidR="00607ECD" w:rsidRPr="00B6604D">
        <w:rPr>
          <w:snapToGrid/>
          <w:kern w:val="0"/>
        </w:rPr>
        <w:t xml:space="preserve">e agree with Sprint that </w:t>
      </w:r>
      <w:r w:rsidR="00607ECD">
        <w:t>we “should not permit DISH to decide which technical rules it wishes to comply with,”</w:t>
      </w:r>
      <w:r w:rsidR="00607ECD">
        <w:rPr>
          <w:rStyle w:val="FootnoteReference"/>
        </w:rPr>
        <w:footnoteReference w:id="72"/>
      </w:r>
      <w:r w:rsidR="00607ECD">
        <w:t xml:space="preserve"> and rather must specify those requirements ourselves.</w:t>
      </w:r>
      <w:r w:rsidR="00C77744">
        <w:rPr>
          <w:rStyle w:val="FootnoteReference"/>
        </w:rPr>
        <w:footnoteReference w:id="73"/>
      </w:r>
      <w:r w:rsidR="00607ECD">
        <w:t xml:space="preserve">  Only by doing so will we provide the necessary certainty for AWS-4 licensees to use the Lower AWS-4 Band for downlink operations (should they so elect), as well as ensure that adjacent and nearby bands are appropriately protected from harmful interference from downlink operations in the Lower AWS-4 Band.</w:t>
      </w:r>
      <w:r w:rsidR="00607ECD">
        <w:rPr>
          <w:rStyle w:val="FootnoteReference"/>
        </w:rPr>
        <w:footnoteReference w:id="74"/>
      </w:r>
      <w:bookmarkEnd w:id="397"/>
      <w:r w:rsidR="00607ECD">
        <w:t xml:space="preserve"> </w:t>
      </w:r>
      <w:r w:rsidR="00607ECD" w:rsidRPr="00E93C9A">
        <w:rPr>
          <w:snapToGrid/>
          <w:kern w:val="0"/>
        </w:rPr>
        <w:t xml:space="preserve"> </w:t>
      </w:r>
    </w:p>
    <w:p w14:paraId="1D5F7C24" w14:textId="77777777" w:rsidR="00F44623" w:rsidRDefault="002D53E0" w:rsidP="00682224">
      <w:pPr>
        <w:pStyle w:val="ParaNum"/>
        <w:widowControl/>
      </w:pPr>
      <w:bookmarkStart w:id="398" w:name="_Ref374621169"/>
      <w:r>
        <w:rPr>
          <w:i/>
        </w:rPr>
        <w:t>Waiver of t</w:t>
      </w:r>
      <w:r w:rsidR="00E22535">
        <w:rPr>
          <w:i/>
        </w:rPr>
        <w:t xml:space="preserve">echnical limitations </w:t>
      </w:r>
      <w:r>
        <w:rPr>
          <w:i/>
        </w:rPr>
        <w:t xml:space="preserve">designed </w:t>
      </w:r>
      <w:r w:rsidR="00E22535">
        <w:rPr>
          <w:i/>
        </w:rPr>
        <w:t xml:space="preserve">for uplink use.  </w:t>
      </w:r>
      <w:r w:rsidR="00017BF8">
        <w:t xml:space="preserve">We agree with DISH that rules 27.5(j) (as it pertains to the pairing of AWS-4 spectrum blocks), 27.50(d)(7), 27.52(h)(2)(ii), and 27.65 are either inappropriate or unnecessary should the Lower AWS-4 Band be used for downlink operations.  First, section 27.5(j) requires, </w:t>
      </w:r>
      <w:r w:rsidR="00017BF8">
        <w:rPr>
          <w:i/>
        </w:rPr>
        <w:t xml:space="preserve">inter </w:t>
      </w:r>
      <w:r w:rsidR="00017BF8" w:rsidRPr="00017BF8">
        <w:rPr>
          <w:i/>
        </w:rPr>
        <w:t>alia</w:t>
      </w:r>
      <w:r w:rsidR="00017BF8">
        <w:t xml:space="preserve">, </w:t>
      </w:r>
      <w:r w:rsidR="00017BF8" w:rsidRPr="00017BF8">
        <w:t>that</w:t>
      </w:r>
      <w:r w:rsidR="00017BF8">
        <w:t xml:space="preserve"> 2000-2010 MHz and 2180-2190 MHz</w:t>
      </w:r>
      <w:r w:rsidR="00BE0A2D">
        <w:t xml:space="preserve"> operate as paired frequencies with</w:t>
      </w:r>
      <w:r w:rsidR="003554C2">
        <w:t xml:space="preserve"> </w:t>
      </w:r>
      <w:r w:rsidR="00017BF8">
        <w:t>2010-2020 MHz and 2190-2200 MHz, respectively.</w:t>
      </w:r>
      <w:r w:rsidR="00017BF8">
        <w:rPr>
          <w:rStyle w:val="FootnoteReference"/>
        </w:rPr>
        <w:footnoteReference w:id="75"/>
      </w:r>
      <w:r w:rsidR="00017BF8">
        <w:t xml:space="preserve">  To the extent that</w:t>
      </w:r>
      <w:r w:rsidR="00F5586F">
        <w:t xml:space="preserve"> channel blocks A and B for</w:t>
      </w:r>
      <w:r w:rsidR="00017BF8">
        <w:t xml:space="preserve"> the Lower AWS-4 Band at 2000-2020 MHz </w:t>
      </w:r>
      <w:r w:rsidR="003554C2">
        <w:t>are</w:t>
      </w:r>
      <w:r w:rsidR="00017BF8">
        <w:t xml:space="preserve"> ultimately used for downlink operations, </w:t>
      </w:r>
      <w:r w:rsidR="00F44623">
        <w:t xml:space="preserve">there is no need to </w:t>
      </w:r>
      <w:r w:rsidR="00F44623" w:rsidRPr="00F44623">
        <w:rPr>
          <w:i/>
        </w:rPr>
        <w:t>require</w:t>
      </w:r>
      <w:r w:rsidR="00F44623">
        <w:t xml:space="preserve"> the block</w:t>
      </w:r>
      <w:r w:rsidR="00BE0A2D">
        <w:t>s</w:t>
      </w:r>
      <w:r w:rsidR="00F44623">
        <w:t xml:space="preserve"> </w:t>
      </w:r>
      <w:r w:rsidR="00F5586F">
        <w:t xml:space="preserve">to </w:t>
      </w:r>
      <w:r w:rsidR="00F44623">
        <w:t>be used in a paired manner with</w:t>
      </w:r>
      <w:r w:rsidR="00F5586F">
        <w:t xml:space="preserve"> their counterparts in</w:t>
      </w:r>
      <w:r w:rsidR="00F44623">
        <w:t xml:space="preserve"> </w:t>
      </w:r>
      <w:r w:rsidR="00F5586F">
        <w:t xml:space="preserve">the Upper </w:t>
      </w:r>
      <w:r w:rsidR="00F44623">
        <w:t xml:space="preserve">AWS-4 </w:t>
      </w:r>
      <w:r w:rsidR="00F5586F">
        <w:t xml:space="preserve">Band </w:t>
      </w:r>
      <w:r w:rsidR="00F44623">
        <w:t>at 2180-2200 MHz.</w:t>
      </w:r>
      <w:r w:rsidR="00BE0A2D">
        <w:t xml:space="preserve">  While DISH could choose to aggregate o</w:t>
      </w:r>
      <w:r w:rsidR="0092466D">
        <w:t>perations of different downlink</w:t>
      </w:r>
      <w:r w:rsidR="00BE0A2D">
        <w:t xml:space="preserve"> blocks</w:t>
      </w:r>
      <w:r w:rsidR="00C17D9B">
        <w:t>, it could also choose to operate them as distinct bands, including, perhaps, pairing either or both spectrum bands with non-AWS-4 uplink bands.</w:t>
      </w:r>
      <w:r w:rsidR="00C17D9B">
        <w:rPr>
          <w:rStyle w:val="FootnoteReference"/>
        </w:rPr>
        <w:footnoteReference w:id="76"/>
      </w:r>
      <w:r w:rsidR="00F44623">
        <w:t xml:space="preserve">  Second, section 27.50(d)(7) specifies the power limits for uplink operations in the Lower AWS-4 Band.</w:t>
      </w:r>
      <w:r w:rsidR="00F44623">
        <w:rPr>
          <w:rStyle w:val="FootnoteReference"/>
        </w:rPr>
        <w:footnoteReference w:id="77"/>
      </w:r>
      <w:r w:rsidR="00F44623">
        <w:t xml:space="preserve">  Although power limits for downlink operations will be necessary, the limits set in section 27.50(d)(</w:t>
      </w:r>
      <w:r w:rsidR="003E001D">
        <w:t>7</w:t>
      </w:r>
      <w:r w:rsidR="00F44623">
        <w:t xml:space="preserve">) were </w:t>
      </w:r>
      <w:r w:rsidR="00B1609D">
        <w:t xml:space="preserve">based on the use of mobile uplink in the band, </w:t>
      </w:r>
      <w:r w:rsidR="00F44623">
        <w:t xml:space="preserve">not on the use of base or fixed stations </w:t>
      </w:r>
      <w:r w:rsidR="0092466D">
        <w:t xml:space="preserve">for downlink operations </w:t>
      </w:r>
      <w:r w:rsidR="00F44623">
        <w:t>in the band.</w:t>
      </w:r>
      <w:r w:rsidR="00C17D9B">
        <w:rPr>
          <w:rStyle w:val="FootnoteReference"/>
        </w:rPr>
        <w:footnoteReference w:id="78"/>
      </w:r>
      <w:r w:rsidR="00F44623">
        <w:t xml:space="preserve">  Accordingly, the limits in this section are not appropriate should downlink operations be used in the band.  Third, 27.53(h)(2)(ii) sets for</w:t>
      </w:r>
      <w:r w:rsidR="009E6AF2">
        <w:t>th</w:t>
      </w:r>
      <w:r w:rsidR="00F44623">
        <w:t xml:space="preserve"> the OOBE limits for operations in the Lower AWS-4 Band</w:t>
      </w:r>
      <w:r w:rsidR="00B2532A">
        <w:t>.</w:t>
      </w:r>
      <w:r w:rsidR="00F44623">
        <w:rPr>
          <w:rStyle w:val="FootnoteReference"/>
        </w:rPr>
        <w:footnoteReference w:id="79"/>
      </w:r>
      <w:r w:rsidR="00F44623">
        <w:t xml:space="preserve">  </w:t>
      </w:r>
      <w:r w:rsidR="00B2532A">
        <w:t>The Commission adopted this rule because of concerns that uplink use of the 2000-2020 MHz band would harm future downlink operations in the adjacent 1995-2000 MHz band,</w:t>
      </w:r>
      <w:r w:rsidR="00B2532A">
        <w:rPr>
          <w:rStyle w:val="FootnoteReference"/>
        </w:rPr>
        <w:footnoteReference w:id="80"/>
      </w:r>
      <w:r w:rsidR="00B2532A">
        <w:t xml:space="preserve"> concerns that would be obviated if </w:t>
      </w:r>
      <w:r w:rsidR="009E6AF2">
        <w:t>both</w:t>
      </w:r>
      <w:r w:rsidR="00B2532A">
        <w:t xml:space="preserve"> 1995-2000 MHz and 2000-2020 MHz bands were used for downlink.  Fourth, section 27.65 requires that terrestrial operations in 2000-2020 MHz accept certain interference </w:t>
      </w:r>
      <w:r w:rsidR="009E6AF2">
        <w:t xml:space="preserve">described </w:t>
      </w:r>
      <w:r w:rsidR="00B2532A">
        <w:t>in section 27.65(a).</w:t>
      </w:r>
      <w:r w:rsidR="00B2532A">
        <w:rPr>
          <w:rStyle w:val="FootnoteReference"/>
        </w:rPr>
        <w:footnoteReference w:id="81"/>
      </w:r>
      <w:r w:rsidR="00B2532A">
        <w:t xml:space="preserve">  This requirement was premised on a scenari</w:t>
      </w:r>
      <w:r w:rsidR="00826F3A">
        <w:t xml:space="preserve">o in which base-to-mobile </w:t>
      </w:r>
      <w:r w:rsidR="00B2532A">
        <w:t>operations in the 1995-2000 MHz band might cau</w:t>
      </w:r>
      <w:r w:rsidR="001A7138">
        <w:t>se interference to base station</w:t>
      </w:r>
      <w:r w:rsidR="00B2532A">
        <w:t xml:space="preserve"> receiv</w:t>
      </w:r>
      <w:r w:rsidR="007272D5">
        <w:t>ers</w:t>
      </w:r>
      <w:r w:rsidR="00B2532A">
        <w:t xml:space="preserve"> in the 2000-2020 MHz band.</w:t>
      </w:r>
      <w:r w:rsidR="00B2532A">
        <w:rPr>
          <w:rStyle w:val="FootnoteReference"/>
        </w:rPr>
        <w:footnoteReference w:id="82"/>
      </w:r>
      <w:r w:rsidR="00B2532A">
        <w:t xml:space="preserve">  Such a scenario would not occur if the 2000-2020 MHz band is used for downlink operations.  Accordingly, we </w:t>
      </w:r>
      <w:r w:rsidR="007516B2">
        <w:t xml:space="preserve">determine that waiving these four rules </w:t>
      </w:r>
      <w:r w:rsidR="00551778">
        <w:t>in the event of</w:t>
      </w:r>
      <w:r w:rsidR="00B2532A">
        <w:t xml:space="preserve"> downlink operations in the Lower AWS-4 Band</w:t>
      </w:r>
      <w:r w:rsidR="00551778">
        <w:t xml:space="preserve"> is appropriate for all of the foregoing reasons, and because the purpose of the rules premised on uplink operations would not be served by their application to downlink operations</w:t>
      </w:r>
      <w:r w:rsidR="00B2532A">
        <w:t>.</w:t>
      </w:r>
      <w:r w:rsidR="00B2532A">
        <w:rPr>
          <w:rStyle w:val="FootnoteReference"/>
        </w:rPr>
        <w:footnoteReference w:id="83"/>
      </w:r>
      <w:r w:rsidR="00BB72C5">
        <w:t xml:space="preserve">  We have also examined the remainder of the Commission’s AWS-4 rules and determine that no additional rules need to be waived in order for the Lower AWS-4 Band to be used for downlink operations.</w:t>
      </w:r>
      <w:r w:rsidR="002402F5">
        <w:t xml:space="preserve">  The following table lists the technical rules we waive in this order.</w:t>
      </w:r>
      <w:bookmarkEnd w:id="398"/>
    </w:p>
    <w:p w14:paraId="732A224E" w14:textId="77777777" w:rsidR="002402F5" w:rsidRDefault="002402F5" w:rsidP="00830128">
      <w:pPr>
        <w:keepNext/>
        <w:widowControl/>
        <w:ind w:left="1440" w:firstLine="720"/>
        <w:rPr>
          <w:b/>
        </w:rPr>
      </w:pPr>
      <w:r>
        <w:rPr>
          <w:b/>
        </w:rPr>
        <w:t xml:space="preserve">AWS-4 Technical Rules </w:t>
      </w:r>
      <w:r w:rsidR="00E46DF2">
        <w:rPr>
          <w:b/>
        </w:rPr>
        <w:t xml:space="preserve">Conditionally </w:t>
      </w:r>
      <w:r>
        <w:rPr>
          <w:b/>
        </w:rPr>
        <w:t>Waived</w:t>
      </w:r>
    </w:p>
    <w:p w14:paraId="3272F124" w14:textId="77777777" w:rsidR="002402F5" w:rsidRPr="00E46CE0" w:rsidRDefault="002402F5" w:rsidP="00830128">
      <w:pPr>
        <w:keepNext/>
        <w:widowControl/>
        <w:jc w:val="center"/>
        <w:rPr>
          <w:b/>
        </w:rPr>
      </w:pPr>
    </w:p>
    <w:tbl>
      <w:tblPr>
        <w:tblStyle w:val="TableGrid"/>
        <w:tblW w:w="9648" w:type="dxa"/>
        <w:tblLook w:val="04A0" w:firstRow="1" w:lastRow="0" w:firstColumn="1" w:lastColumn="0" w:noHBand="0" w:noVBand="1"/>
      </w:tblPr>
      <w:tblGrid>
        <w:gridCol w:w="2448"/>
        <w:gridCol w:w="7200"/>
      </w:tblGrid>
      <w:tr w:rsidR="002402F5" w14:paraId="7C580BB4" w14:textId="77777777" w:rsidTr="00C9402D">
        <w:tc>
          <w:tcPr>
            <w:tcW w:w="2448" w:type="dxa"/>
            <w:vAlign w:val="center"/>
          </w:tcPr>
          <w:p w14:paraId="7E99ADA5" w14:textId="77777777" w:rsidR="002402F5" w:rsidRPr="008074B4" w:rsidRDefault="002402F5" w:rsidP="00682224">
            <w:pPr>
              <w:pStyle w:val="ParaNum"/>
              <w:widowControl/>
              <w:numPr>
                <w:ilvl w:val="0"/>
                <w:numId w:val="0"/>
              </w:numPr>
              <w:spacing w:before="120"/>
              <w:rPr>
                <w:rFonts w:ascii="Times New Roman" w:eastAsia="Times New Roman" w:hAnsi="Times New Roman" w:cs="Times New Roman"/>
                <w:b/>
                <w:bCs/>
                <w:snapToGrid/>
                <w:szCs w:val="20"/>
              </w:rPr>
            </w:pPr>
            <w:r w:rsidRPr="008074B4">
              <w:rPr>
                <w:rFonts w:ascii="Times New Roman" w:hAnsi="Times New Roman" w:cs="Times New Roman"/>
                <w:b/>
                <w:bCs/>
              </w:rPr>
              <w:t xml:space="preserve">Part 27 Rule Section </w:t>
            </w:r>
          </w:p>
        </w:tc>
        <w:tc>
          <w:tcPr>
            <w:tcW w:w="7200" w:type="dxa"/>
            <w:vAlign w:val="center"/>
          </w:tcPr>
          <w:p w14:paraId="68A77C4A" w14:textId="77777777" w:rsidR="002402F5" w:rsidRPr="008074B4" w:rsidRDefault="002402F5" w:rsidP="00682224">
            <w:pPr>
              <w:widowControl/>
              <w:spacing w:before="120" w:after="120"/>
              <w:jc w:val="center"/>
              <w:rPr>
                <w:rFonts w:ascii="Times New Roman" w:eastAsia="Times New Roman" w:hAnsi="Times New Roman" w:cs="Times New Roman"/>
                <w:b/>
                <w:bCs/>
                <w:szCs w:val="20"/>
              </w:rPr>
            </w:pPr>
            <w:r w:rsidRPr="008074B4">
              <w:rPr>
                <w:rFonts w:ascii="Times New Roman" w:hAnsi="Times New Roman" w:cs="Times New Roman"/>
                <w:b/>
                <w:bCs/>
              </w:rPr>
              <w:t>Description</w:t>
            </w:r>
          </w:p>
        </w:tc>
      </w:tr>
      <w:tr w:rsidR="002402F5" w14:paraId="0D751B83" w14:textId="77777777" w:rsidTr="00C9402D">
        <w:tc>
          <w:tcPr>
            <w:tcW w:w="2448" w:type="dxa"/>
            <w:vAlign w:val="bottom"/>
          </w:tcPr>
          <w:p w14:paraId="58C5FD03" w14:textId="77777777" w:rsidR="002402F5" w:rsidRPr="00C37683" w:rsidRDefault="002402F5" w:rsidP="00682224">
            <w:pPr>
              <w:widowControl/>
              <w:rPr>
                <w:rFonts w:ascii="Times New Roman" w:eastAsia="Times New Roman" w:hAnsi="Times New Roman" w:cs="Times New Roman"/>
                <w:color w:val="000000"/>
                <w:szCs w:val="20"/>
              </w:rPr>
            </w:pPr>
            <w:r w:rsidRPr="00C37683">
              <w:rPr>
                <w:rFonts w:ascii="Times New Roman" w:hAnsi="Times New Roman" w:cs="Times New Roman"/>
                <w:color w:val="000000"/>
              </w:rPr>
              <w:t>27.5(j)</w:t>
            </w:r>
          </w:p>
        </w:tc>
        <w:tc>
          <w:tcPr>
            <w:tcW w:w="7200" w:type="dxa"/>
            <w:vAlign w:val="bottom"/>
          </w:tcPr>
          <w:p w14:paraId="3E884969" w14:textId="77777777" w:rsidR="002402F5" w:rsidRPr="00C37683" w:rsidRDefault="002402F5" w:rsidP="00682224">
            <w:pPr>
              <w:widowControl/>
              <w:rPr>
                <w:rFonts w:ascii="Times New Roman" w:eastAsia="Times New Roman" w:hAnsi="Times New Roman" w:cs="Times New Roman"/>
                <w:color w:val="000000"/>
                <w:szCs w:val="20"/>
              </w:rPr>
            </w:pPr>
            <w:r w:rsidRPr="00C37683">
              <w:rPr>
                <w:rFonts w:ascii="Times New Roman" w:hAnsi="Times New Roman" w:cs="Times New Roman"/>
                <w:color w:val="000000"/>
              </w:rPr>
              <w:t>AWS-4 Frequency pairings</w:t>
            </w:r>
          </w:p>
        </w:tc>
      </w:tr>
      <w:tr w:rsidR="002402F5" w14:paraId="3B55D3F1" w14:textId="77777777" w:rsidTr="00C9402D">
        <w:tc>
          <w:tcPr>
            <w:tcW w:w="2448" w:type="dxa"/>
            <w:vAlign w:val="bottom"/>
          </w:tcPr>
          <w:p w14:paraId="60AD2650" w14:textId="77777777" w:rsidR="002402F5" w:rsidRPr="00C37683" w:rsidRDefault="002402F5" w:rsidP="00682224">
            <w:pPr>
              <w:widowControl/>
              <w:rPr>
                <w:rFonts w:ascii="Times New Roman" w:eastAsia="Times New Roman" w:hAnsi="Times New Roman" w:cs="Times New Roman"/>
                <w:color w:val="000000"/>
                <w:szCs w:val="20"/>
              </w:rPr>
            </w:pPr>
            <w:r w:rsidRPr="00C37683">
              <w:rPr>
                <w:rFonts w:ascii="Times New Roman" w:hAnsi="Times New Roman" w:cs="Times New Roman"/>
                <w:color w:val="000000"/>
              </w:rPr>
              <w:t>27.53(h)(2)(ii)</w:t>
            </w:r>
          </w:p>
        </w:tc>
        <w:tc>
          <w:tcPr>
            <w:tcW w:w="7200" w:type="dxa"/>
            <w:vAlign w:val="bottom"/>
          </w:tcPr>
          <w:p w14:paraId="6DA3ADF7" w14:textId="77777777" w:rsidR="002402F5" w:rsidRPr="00C37683" w:rsidRDefault="002402F5" w:rsidP="00682224">
            <w:pPr>
              <w:widowControl/>
              <w:rPr>
                <w:rFonts w:ascii="Times New Roman" w:eastAsia="Times New Roman" w:hAnsi="Times New Roman" w:cs="Times New Roman"/>
                <w:color w:val="000000"/>
                <w:szCs w:val="20"/>
              </w:rPr>
            </w:pPr>
            <w:r w:rsidRPr="00C37683">
              <w:rPr>
                <w:rFonts w:ascii="Times New Roman" w:hAnsi="Times New Roman" w:cs="Times New Roman"/>
                <w:color w:val="000000"/>
              </w:rPr>
              <w:t>OOBE limits on AWS-4 mobiles (uplink)</w:t>
            </w:r>
          </w:p>
        </w:tc>
      </w:tr>
      <w:tr w:rsidR="002402F5" w14:paraId="42F315D4" w14:textId="77777777" w:rsidTr="00C9402D">
        <w:tc>
          <w:tcPr>
            <w:tcW w:w="2448" w:type="dxa"/>
            <w:vAlign w:val="bottom"/>
          </w:tcPr>
          <w:p w14:paraId="66B09E17" w14:textId="77777777" w:rsidR="002402F5" w:rsidRPr="00C37683" w:rsidRDefault="002402F5" w:rsidP="00682224">
            <w:pPr>
              <w:widowControl/>
              <w:rPr>
                <w:rFonts w:ascii="Times New Roman" w:eastAsia="Times New Roman" w:hAnsi="Times New Roman" w:cs="Times New Roman"/>
                <w:color w:val="000000"/>
                <w:szCs w:val="20"/>
              </w:rPr>
            </w:pPr>
            <w:r w:rsidRPr="00C37683">
              <w:rPr>
                <w:rFonts w:ascii="Times New Roman" w:hAnsi="Times New Roman" w:cs="Times New Roman"/>
                <w:color w:val="000000"/>
              </w:rPr>
              <w:t>27.50(d)(7)</w:t>
            </w:r>
          </w:p>
        </w:tc>
        <w:tc>
          <w:tcPr>
            <w:tcW w:w="7200" w:type="dxa"/>
            <w:vAlign w:val="bottom"/>
          </w:tcPr>
          <w:p w14:paraId="20ADB485" w14:textId="77777777" w:rsidR="002402F5" w:rsidRPr="00C37683" w:rsidRDefault="002402F5" w:rsidP="00682224">
            <w:pPr>
              <w:widowControl/>
              <w:rPr>
                <w:rFonts w:ascii="Times New Roman" w:eastAsia="Times New Roman" w:hAnsi="Times New Roman" w:cs="Times New Roman"/>
                <w:color w:val="000000"/>
                <w:szCs w:val="20"/>
              </w:rPr>
            </w:pPr>
            <w:r w:rsidRPr="00C37683">
              <w:rPr>
                <w:rFonts w:ascii="Times New Roman" w:hAnsi="Times New Roman" w:cs="Times New Roman"/>
                <w:color w:val="000000"/>
              </w:rPr>
              <w:t>Power limits on uplink</w:t>
            </w:r>
          </w:p>
        </w:tc>
      </w:tr>
      <w:tr w:rsidR="002402F5" w14:paraId="0D8EFBF6" w14:textId="77777777" w:rsidTr="00C9402D">
        <w:tc>
          <w:tcPr>
            <w:tcW w:w="2448" w:type="dxa"/>
            <w:vAlign w:val="bottom"/>
          </w:tcPr>
          <w:p w14:paraId="029932BF" w14:textId="77777777" w:rsidR="002402F5" w:rsidRPr="00C37683" w:rsidRDefault="002402F5" w:rsidP="00682224">
            <w:pPr>
              <w:widowControl/>
              <w:rPr>
                <w:rFonts w:ascii="Times New Roman" w:eastAsia="Times New Roman" w:hAnsi="Times New Roman" w:cs="Times New Roman"/>
                <w:color w:val="000000"/>
                <w:szCs w:val="20"/>
              </w:rPr>
            </w:pPr>
            <w:r w:rsidRPr="00C37683">
              <w:rPr>
                <w:rFonts w:ascii="Times New Roman" w:hAnsi="Times New Roman" w:cs="Times New Roman"/>
                <w:color w:val="000000"/>
              </w:rPr>
              <w:t>27.65(a)</w:t>
            </w:r>
          </w:p>
        </w:tc>
        <w:tc>
          <w:tcPr>
            <w:tcW w:w="7200" w:type="dxa"/>
            <w:vAlign w:val="bottom"/>
          </w:tcPr>
          <w:p w14:paraId="4A3C7CDD" w14:textId="77777777" w:rsidR="002402F5" w:rsidRPr="00C37683" w:rsidRDefault="002402F5" w:rsidP="00682224">
            <w:pPr>
              <w:widowControl/>
              <w:rPr>
                <w:rFonts w:ascii="Times New Roman" w:eastAsia="Times New Roman" w:hAnsi="Times New Roman" w:cs="Times New Roman"/>
                <w:color w:val="000000"/>
                <w:szCs w:val="20"/>
              </w:rPr>
            </w:pPr>
            <w:r w:rsidRPr="00C37683">
              <w:rPr>
                <w:rFonts w:ascii="Times New Roman" w:hAnsi="Times New Roman" w:cs="Times New Roman"/>
                <w:color w:val="000000"/>
              </w:rPr>
              <w:t>Acceptance of Interference in 2000-2020 MHz</w:t>
            </w:r>
          </w:p>
        </w:tc>
      </w:tr>
    </w:tbl>
    <w:p w14:paraId="4164D666" w14:textId="77777777" w:rsidR="002402F5" w:rsidRDefault="002402F5" w:rsidP="00682224">
      <w:pPr>
        <w:widowControl/>
        <w:spacing w:after="120"/>
        <w:ind w:left="720"/>
      </w:pPr>
    </w:p>
    <w:p w14:paraId="5481CC36" w14:textId="2EEBBE10" w:rsidR="00E8782F" w:rsidRDefault="00E22535" w:rsidP="00682224">
      <w:pPr>
        <w:pStyle w:val="ParaNum"/>
        <w:widowControl/>
      </w:pPr>
      <w:bookmarkStart w:id="399" w:name="_Ref374631808"/>
      <w:r>
        <w:rPr>
          <w:i/>
        </w:rPr>
        <w:t xml:space="preserve">Technical </w:t>
      </w:r>
      <w:r w:rsidR="002402F5">
        <w:rPr>
          <w:i/>
        </w:rPr>
        <w:t>requirement</w:t>
      </w:r>
      <w:r w:rsidR="00F958E2">
        <w:rPr>
          <w:i/>
        </w:rPr>
        <w:t>s</w:t>
      </w:r>
      <w:r>
        <w:rPr>
          <w:i/>
        </w:rPr>
        <w:t xml:space="preserve"> </w:t>
      </w:r>
      <w:r w:rsidR="00A800DA">
        <w:rPr>
          <w:i/>
        </w:rPr>
        <w:t xml:space="preserve">for </w:t>
      </w:r>
      <w:r>
        <w:rPr>
          <w:i/>
        </w:rPr>
        <w:t>downlink</w:t>
      </w:r>
      <w:r w:rsidR="00A800DA">
        <w:rPr>
          <w:i/>
        </w:rPr>
        <w:t xml:space="preserve"> use</w:t>
      </w:r>
      <w:r>
        <w:rPr>
          <w:i/>
        </w:rPr>
        <w:t xml:space="preserve">.  </w:t>
      </w:r>
      <w:r w:rsidR="0098168E">
        <w:t xml:space="preserve">In support of its waiver request, </w:t>
      </w:r>
      <w:r w:rsidR="006461F1">
        <w:t>DISH states that it “would commit . . . to operate any future downlink terrestrial fixed or base stations in the 2000-2020 MHz band consistent with the technical requirements applicable to other fixed/base stations in the AWS-4 band at 2180-2200 MHz and adjacent operational PCS/AWS bands.”</w:t>
      </w:r>
      <w:r w:rsidR="006461F1">
        <w:rPr>
          <w:rStyle w:val="FootnoteReference"/>
        </w:rPr>
        <w:footnoteReference w:id="84"/>
      </w:r>
      <w:r w:rsidR="000270BE">
        <w:t xml:space="preserve">  DISH </w:t>
      </w:r>
      <w:r w:rsidR="006461F1">
        <w:t xml:space="preserve">proposes to operate downlink operations in the Lower AWS-4 Band at power levels consistent </w:t>
      </w:r>
      <w:r w:rsidR="00213F9F">
        <w:t>with those set forth in sections</w:t>
      </w:r>
      <w:r w:rsidR="006461F1">
        <w:t xml:space="preserve"> 27.50(d)(1) and (d)(2) of the Commission’s rules and subject to OOBE limits consistent with those specified</w:t>
      </w:r>
      <w:r w:rsidR="00213F9F">
        <w:t xml:space="preserve"> in sections</w:t>
      </w:r>
      <w:r w:rsidR="006461F1">
        <w:t xml:space="preserve"> 27.53(h)(1) and </w:t>
      </w:r>
      <w:r w:rsidR="001062DA">
        <w:t>(h)(3) of the Commission’s rules.</w:t>
      </w:r>
      <w:r w:rsidR="001062DA">
        <w:rPr>
          <w:rStyle w:val="FootnoteReference"/>
        </w:rPr>
        <w:footnoteReference w:id="85"/>
      </w:r>
      <w:r w:rsidR="001062DA">
        <w:t xml:space="preserve">  </w:t>
      </w:r>
      <w:r w:rsidR="00AC3473">
        <w:t xml:space="preserve">DISH also proposes to operate downlink operations in the Lower AWS-4 Band in a manner consistent with the requirements </w:t>
      </w:r>
      <w:r w:rsidR="006F34BB">
        <w:t xml:space="preserve">on an AWS licensee </w:t>
      </w:r>
      <w:r w:rsidR="00AC3473">
        <w:t xml:space="preserve">of </w:t>
      </w:r>
      <w:r w:rsidR="006F34BB">
        <w:t>“</w:t>
      </w:r>
      <w:r w:rsidR="00AC3473">
        <w:t>Sections 27.1133, 27.55(a)(1), 27.50(d)(3), and 27.50(d)(10) of the Commission’s rules</w:t>
      </w:r>
      <w:r w:rsidR="006F34BB">
        <w:t xml:space="preserve"> with respect to [the Lower AWS-4 Band].”</w:t>
      </w:r>
      <w:r w:rsidR="006F34BB">
        <w:rPr>
          <w:rStyle w:val="FootnoteReference"/>
        </w:rPr>
        <w:footnoteReference w:id="86"/>
      </w:r>
      <w:r w:rsidR="006F34BB">
        <w:t xml:space="preserve"> </w:t>
      </w:r>
      <w:r w:rsidR="006461F1">
        <w:t xml:space="preserve"> </w:t>
      </w:r>
      <w:r w:rsidR="00BB72C5">
        <w:t xml:space="preserve">Sprint argues that, </w:t>
      </w:r>
      <w:r w:rsidR="00CF0C54">
        <w:t>if DISH</w:t>
      </w:r>
      <w:r w:rsidR="0012177B">
        <w:t xml:space="preserve"> is allowed to operate the L</w:t>
      </w:r>
      <w:r w:rsidR="00027644">
        <w:t>ower AWS-4 B</w:t>
      </w:r>
      <w:r w:rsidR="008E1934">
        <w:t xml:space="preserve">and as downlink, </w:t>
      </w:r>
      <w:r w:rsidR="00BB72C5">
        <w:t xml:space="preserve">DISH </w:t>
      </w:r>
      <w:r w:rsidR="008E1934">
        <w:t xml:space="preserve">should be required to follow many of the requirements that apply to </w:t>
      </w:r>
      <w:r w:rsidR="00AA679E">
        <w:t xml:space="preserve">Part 27 services in general and </w:t>
      </w:r>
      <w:r w:rsidR="00785BEF">
        <w:t>U</w:t>
      </w:r>
      <w:r w:rsidR="00B13445">
        <w:t xml:space="preserve">pper </w:t>
      </w:r>
      <w:r w:rsidR="008E1934">
        <w:t>H Block</w:t>
      </w:r>
      <w:r w:rsidR="00AA679E">
        <w:t xml:space="preserve"> operations in particular</w:t>
      </w:r>
      <w:r w:rsidR="008E1934">
        <w:t>.</w:t>
      </w:r>
      <w:r w:rsidR="007F46D5">
        <w:rPr>
          <w:rStyle w:val="FootnoteReference"/>
        </w:rPr>
        <w:footnoteReference w:id="87"/>
      </w:r>
      <w:r w:rsidR="00CF4AC3">
        <w:t xml:space="preserve">  </w:t>
      </w:r>
      <w:r w:rsidR="00FE5A6B">
        <w:t>Sprint asserts that</w:t>
      </w:r>
      <w:r w:rsidR="00AA679E">
        <w:t xml:space="preserve"> DISH should </w:t>
      </w:r>
      <w:r w:rsidR="001A06DF">
        <w:t xml:space="preserve">be </w:t>
      </w:r>
      <w:r w:rsidR="00AA679E">
        <w:t>required to meet power requirements that apply to a</w:t>
      </w:r>
      <w:r w:rsidR="00785BEF">
        <w:t xml:space="preserve">djacent downlink operations in </w:t>
      </w:r>
      <w:r w:rsidR="00F0700D">
        <w:t xml:space="preserve">the </w:t>
      </w:r>
      <w:r w:rsidR="00785BEF">
        <w:t>U</w:t>
      </w:r>
      <w:r w:rsidR="00AA679E">
        <w:t>pper H Block</w:t>
      </w:r>
      <w:r w:rsidR="001A06DF">
        <w:t xml:space="preserve">, such as </w:t>
      </w:r>
      <w:r w:rsidR="006461F1">
        <w:t>(</w:t>
      </w:r>
      <w:r w:rsidR="001A06DF">
        <w:t>1)</w:t>
      </w:r>
      <w:r w:rsidR="008E1934">
        <w:t xml:space="preserve"> section</w:t>
      </w:r>
      <w:r w:rsidR="00BE3833">
        <w:t xml:space="preserve"> 27.50</w:t>
      </w:r>
      <w:r w:rsidR="008E1934">
        <w:t>(d)(5), which contains an equipment authorization requirement and an average power measurement requirement,</w:t>
      </w:r>
      <w:r w:rsidR="008E1934">
        <w:rPr>
          <w:rStyle w:val="FootnoteReference"/>
        </w:rPr>
        <w:footnoteReference w:id="88"/>
      </w:r>
      <w:r w:rsidR="008E1934">
        <w:t xml:space="preserve"> and </w:t>
      </w:r>
      <w:r w:rsidR="006461F1">
        <w:t>(</w:t>
      </w:r>
      <w:r w:rsidR="001A06DF">
        <w:t xml:space="preserve">2) </w:t>
      </w:r>
      <w:r w:rsidR="008E1934">
        <w:t>section 27.50(d)(6), which contains peak transmit power</w:t>
      </w:r>
      <w:r w:rsidR="00BE3833">
        <w:t xml:space="preserve"> measurement requirements</w:t>
      </w:r>
      <w:r w:rsidR="008E1934">
        <w:t>.</w:t>
      </w:r>
      <w:r w:rsidR="008E1934">
        <w:rPr>
          <w:rStyle w:val="FootnoteReference"/>
        </w:rPr>
        <w:footnoteReference w:id="89"/>
      </w:r>
      <w:r w:rsidR="00C768F9">
        <w:t xml:space="preserve">  </w:t>
      </w:r>
      <w:r w:rsidR="006461F1">
        <w:t>Sprint further</w:t>
      </w:r>
      <w:r w:rsidR="00C768F9">
        <w:t xml:space="preserve"> </w:t>
      </w:r>
      <w:r w:rsidR="008E1934">
        <w:t>argues that DISH should be requi</w:t>
      </w:r>
      <w:r w:rsidR="0012177B">
        <w:t>red to coordinate high-powered L</w:t>
      </w:r>
      <w:r w:rsidR="008E1934">
        <w:t>ower AWS-4 downlink operations with adjacent H Block licensees located within 120 kilometers,</w:t>
      </w:r>
      <w:r w:rsidR="008E1934">
        <w:rPr>
          <w:rStyle w:val="FootnoteReference"/>
        </w:rPr>
        <w:footnoteReference w:id="90"/>
      </w:r>
      <w:r w:rsidR="008E1934">
        <w:t xml:space="preserve"> which would mirror a requirement </w:t>
      </w:r>
      <w:r w:rsidR="0037059D">
        <w:t>in the Commission’s</w:t>
      </w:r>
      <w:r w:rsidR="00FE5A6B">
        <w:t xml:space="preserve"> rules </w:t>
      </w:r>
      <w:r w:rsidR="00785BEF">
        <w:t>that U</w:t>
      </w:r>
      <w:r w:rsidR="008E1934">
        <w:t>pper H Block licensees coordinate such operations with adjacent PCS G Block licensees.</w:t>
      </w:r>
      <w:r w:rsidR="008E1934">
        <w:rPr>
          <w:rStyle w:val="FootnoteReference"/>
        </w:rPr>
        <w:footnoteReference w:id="91"/>
      </w:r>
      <w:r w:rsidR="008E1934">
        <w:t xml:space="preserve">  In addition, Sprint argues that we should require DISH to comply with certain rules that generally apply to all Part </w:t>
      </w:r>
      <w:r w:rsidR="00213F9F">
        <w:t>27 services, including sections</w:t>
      </w:r>
      <w:r w:rsidR="00E34057">
        <w:t xml:space="preserve"> </w:t>
      </w:r>
      <w:r w:rsidR="008E1934">
        <w:t>27.53(i) and 27.53(n), which enable the Commission to require greater attenuation when an emission outside an AWS operator’s authorized bandwidth causes harmful interference.</w:t>
      </w:r>
      <w:r w:rsidR="008E1934">
        <w:rPr>
          <w:rStyle w:val="FootnoteReference"/>
        </w:rPr>
        <w:footnoteReference w:id="92"/>
      </w:r>
      <w:r w:rsidR="008E1934">
        <w:t xml:space="preserve">  Finally, Sprint argues that we should require DISH to comply with all the technical rules in Subpart C of Part 27 and “other appropriate sections” of our technical rules.</w:t>
      </w:r>
      <w:r w:rsidR="008E1934">
        <w:rPr>
          <w:rStyle w:val="FootnoteReference"/>
        </w:rPr>
        <w:footnoteReference w:id="93"/>
      </w:r>
      <w:bookmarkEnd w:id="399"/>
    </w:p>
    <w:p w14:paraId="1284268F" w14:textId="77777777" w:rsidR="002947B1" w:rsidRDefault="002947B1" w:rsidP="00682224">
      <w:pPr>
        <w:pStyle w:val="ParaNum"/>
        <w:widowControl/>
      </w:pPr>
      <w:bookmarkStart w:id="400" w:name="_Ref374631864"/>
      <w:bookmarkStart w:id="401" w:name="_Ref245569126"/>
      <w:r>
        <w:t>I</w:t>
      </w:r>
      <w:r w:rsidR="001062DA">
        <w:t>n waiving the above rules, we agree with Sprint that</w:t>
      </w:r>
      <w:r w:rsidR="00284FE1">
        <w:t xml:space="preserve"> AWS-4 licensees must continue to comply with all applicable Commission rules not </w:t>
      </w:r>
      <w:r w:rsidR="00D9151A">
        <w:t xml:space="preserve">expressly </w:t>
      </w:r>
      <w:r w:rsidR="00284FE1">
        <w:t xml:space="preserve">waived by this order.  For example, we continue to require, as the Commission determined in the </w:t>
      </w:r>
      <w:r w:rsidR="00284FE1">
        <w:rPr>
          <w:i/>
        </w:rPr>
        <w:t>AWS-4 Report and Order</w:t>
      </w:r>
      <w:r w:rsidR="00284FE1">
        <w:t xml:space="preserve">, that “any licensee of AWS-4 operating </w:t>
      </w:r>
      <w:r w:rsidR="003D3CFC">
        <w:t>authority . . .</w:t>
      </w:r>
      <w:r w:rsidR="00284FE1">
        <w:t xml:space="preserve"> comply with other [non-Part 27] rule parts that pertain generally to wireless communications services.”</w:t>
      </w:r>
      <w:r w:rsidR="00284FE1">
        <w:rPr>
          <w:rStyle w:val="FootnoteReference"/>
        </w:rPr>
        <w:footnoteReference w:id="94"/>
      </w:r>
      <w:r w:rsidR="00284FE1">
        <w:t xml:space="preserve">  DISH must also continue to comply with all Part 27 requirements, technical or otherwise, except those waived in this order.  </w:t>
      </w:r>
      <w:r>
        <w:t>These include, but are not limited to, sections 27.50(d)(5)-(6), 27.53(i), and 27.53(n) of the Commission’s rules cited by Sprint.</w:t>
      </w:r>
      <w:r>
        <w:rPr>
          <w:rStyle w:val="FootnoteReference"/>
        </w:rPr>
        <w:footnoteReference w:id="95"/>
      </w:r>
      <w:r w:rsidR="00284FE1">
        <w:t xml:space="preserve">  </w:t>
      </w:r>
      <w:r w:rsidR="00DB0DA2" w:rsidRPr="00DB0DA2">
        <w:t>Thus, if DISH elects to use 2000-2020 MHz for terrestrial downlink operations</w:t>
      </w:r>
      <w:r w:rsidR="00DB0DA2">
        <w:t>,</w:t>
      </w:r>
      <w:r w:rsidR="00DB0DA2" w:rsidRPr="00DB0DA2">
        <w:t xml:space="preserve"> it will be subject to any rules that are generally applicable to downlink operations, except to the extent they are expressly waived by this order.</w:t>
      </w:r>
      <w:bookmarkEnd w:id="400"/>
    </w:p>
    <w:p w14:paraId="72C807D9" w14:textId="77777777" w:rsidR="002338D0" w:rsidRDefault="002947B1">
      <w:pPr>
        <w:pStyle w:val="ParaNum"/>
        <w:widowControl/>
      </w:pPr>
      <w:r>
        <w:t>In addition</w:t>
      </w:r>
      <w:r w:rsidR="00BB0116">
        <w:t xml:space="preserve">, we condition DISH’s waiver on further </w:t>
      </w:r>
      <w:r>
        <w:t>technical requirements necessary to</w:t>
      </w:r>
      <w:r w:rsidR="002338D0">
        <w:t xml:space="preserve"> govern the operation of downlink operations in the Lower AWS-4 Band.  These requirements are necessary</w:t>
      </w:r>
      <w:r>
        <w:t xml:space="preserve"> </w:t>
      </w:r>
      <w:r w:rsidR="005163AF">
        <w:t xml:space="preserve">to prevent </w:t>
      </w:r>
      <w:r>
        <w:t xml:space="preserve">downlink operations </w:t>
      </w:r>
      <w:r w:rsidR="005163AF">
        <w:t xml:space="preserve">from </w:t>
      </w:r>
      <w:r>
        <w:t xml:space="preserve">causing harmful interference to co-channel or adjacent or nearby operations.  </w:t>
      </w:r>
      <w:r w:rsidR="006F34BB">
        <w:t>DISH has committed to comply with these requirements if it elects to use the Lower AWS-4 Band for downlink operations.</w:t>
      </w:r>
      <w:r w:rsidR="006F34BB">
        <w:rPr>
          <w:rStyle w:val="FootnoteReference"/>
        </w:rPr>
        <w:footnoteReference w:id="96"/>
      </w:r>
      <w:r w:rsidR="006F34BB">
        <w:t xml:space="preserve">  </w:t>
      </w:r>
      <w:r>
        <w:t>First</w:t>
      </w:r>
      <w:r w:rsidR="00BB0116">
        <w:t>,</w:t>
      </w:r>
      <w:r>
        <w:t xml:space="preserve"> to avoid the possibility of co-channel interference </w:t>
      </w:r>
      <w:r w:rsidR="002D13B9">
        <w:t xml:space="preserve">in the event that the Lower AWS-4 Band is used for downlink operations, </w:t>
      </w:r>
      <w:r>
        <w:t>field-strength limits are necessary to prevent harmful interference between geographically adjacent licensees operating in the same spectrum.</w:t>
      </w:r>
      <w:r>
        <w:rPr>
          <w:rStyle w:val="FootnoteReference"/>
        </w:rPr>
        <w:footnoteReference w:id="97"/>
      </w:r>
      <w:r>
        <w:t xml:space="preserve">  We find that the required field-strength limits in 27.55(a)(1) </w:t>
      </w:r>
      <w:r w:rsidR="0098168E">
        <w:t>sh</w:t>
      </w:r>
      <w:r>
        <w:t>ould apply to downlink operations in the 2000-2020 MHz band</w:t>
      </w:r>
      <w:r w:rsidR="002D13B9">
        <w:t xml:space="preserve"> in the same manner that they apply to downlink operations in the </w:t>
      </w:r>
      <w:r w:rsidR="002338D0">
        <w:t xml:space="preserve">AWS-4 </w:t>
      </w:r>
      <w:r w:rsidR="002D13B9">
        <w:t>2180-2200 MHz band</w:t>
      </w:r>
      <w:r w:rsidR="002338D0">
        <w:t xml:space="preserve"> and other similar downlink AWS and wireless communications service bands</w:t>
      </w:r>
      <w:r>
        <w:t>.</w:t>
      </w:r>
      <w:r>
        <w:rPr>
          <w:rStyle w:val="FootnoteReference"/>
        </w:rPr>
        <w:footnoteReference w:id="98"/>
      </w:r>
      <w:r w:rsidR="002D53E0">
        <w:t xml:space="preserve">  Accordingly, we impose these limits on downlink operations as waiver conditions.</w:t>
      </w:r>
    </w:p>
    <w:p w14:paraId="7EE2101B" w14:textId="77777777" w:rsidR="002947B1" w:rsidRDefault="002338D0">
      <w:pPr>
        <w:pStyle w:val="ParaNum"/>
        <w:widowControl/>
      </w:pPr>
      <w:r>
        <w:t>Second,</w:t>
      </w:r>
      <w:r w:rsidR="0098168E">
        <w:t xml:space="preserve"> f</w:t>
      </w:r>
      <w:r>
        <w:t xml:space="preserve">or downlink operations in the Lower AWS-4 Band, </w:t>
      </w:r>
      <w:r w:rsidR="0098168E">
        <w:t xml:space="preserve">and </w:t>
      </w:r>
      <w:r w:rsidR="007F08DF">
        <w:t xml:space="preserve">to avoid harmful interference into adjacent and nearby bands, </w:t>
      </w:r>
      <w:r w:rsidR="00E80B92">
        <w:t>DISH has</w:t>
      </w:r>
      <w:r w:rsidR="0098168E">
        <w:t xml:space="preserve"> condition</w:t>
      </w:r>
      <w:r w:rsidR="00E80B92">
        <w:t>ed</w:t>
      </w:r>
      <w:r w:rsidR="0098168E">
        <w:t xml:space="preserve"> its request for relief on application of</w:t>
      </w:r>
      <w:r>
        <w:t xml:space="preserve"> the</w:t>
      </w:r>
      <w:r w:rsidR="002947B1">
        <w:t xml:space="preserve"> </w:t>
      </w:r>
      <w:r>
        <w:t>power-limit requirements contain</w:t>
      </w:r>
      <w:r w:rsidR="00A800DA">
        <w:t>ed</w:t>
      </w:r>
      <w:r>
        <w:t xml:space="preserve"> in section 27.50(d)(1), which specifies base or fixed </w:t>
      </w:r>
      <w:r w:rsidR="00131827">
        <w:t>equivalent isotropically radiated power (</w:t>
      </w:r>
      <w:r>
        <w:t>EIRP</w:t>
      </w:r>
      <w:r w:rsidR="00131827">
        <w:t>)</w:t>
      </w:r>
      <w:r>
        <w:t xml:space="preserve"> in rural areas, and</w:t>
      </w:r>
      <w:r w:rsidR="007F08DF">
        <w:t xml:space="preserve"> in</w:t>
      </w:r>
      <w:r>
        <w:t xml:space="preserve"> section 27.50(d)(2), which specifies base or fixed EIRP in non-rural areas.</w:t>
      </w:r>
      <w:r>
        <w:rPr>
          <w:rStyle w:val="FootnoteReference"/>
        </w:rPr>
        <w:footnoteReference w:id="99"/>
      </w:r>
      <w:r>
        <w:t xml:space="preserve">  </w:t>
      </w:r>
      <w:r w:rsidR="0098168E">
        <w:t>We agree that this condition is appropriate and necessary to ensure against harmful interference</w:t>
      </w:r>
      <w:r w:rsidR="002D53E0">
        <w:t>, and we a</w:t>
      </w:r>
      <w:r w:rsidR="00E80B92">
        <w:t xml:space="preserve">ccordingly adopt it as a </w:t>
      </w:r>
      <w:r w:rsidR="002D53E0">
        <w:t>condition</w:t>
      </w:r>
      <w:r w:rsidR="00E80B92">
        <w:t xml:space="preserve"> of grant of the waivers provided here</w:t>
      </w:r>
      <w:r w:rsidR="0098168E">
        <w:t>.  These are</w:t>
      </w:r>
      <w:r>
        <w:t xml:space="preserve"> the same power limits that </w:t>
      </w:r>
      <w:r w:rsidR="007F08DF">
        <w:t xml:space="preserve">the Commission </w:t>
      </w:r>
      <w:r w:rsidR="00A800DA">
        <w:t>has</w:t>
      </w:r>
      <w:r>
        <w:t xml:space="preserve"> consistently adopted for base stations in </w:t>
      </w:r>
      <w:r w:rsidR="007F08DF">
        <w:t>other</w:t>
      </w:r>
      <w:r>
        <w:t xml:space="preserve"> AWS services, and</w:t>
      </w:r>
      <w:r w:rsidR="003B580B">
        <w:t xml:space="preserve"> are</w:t>
      </w:r>
      <w:r>
        <w:t xml:space="preserve"> substantially similar </w:t>
      </w:r>
      <w:r w:rsidR="007F08DF">
        <w:t xml:space="preserve">to the </w:t>
      </w:r>
      <w:r>
        <w:t>power limits for PCS base stations.</w:t>
      </w:r>
      <w:r>
        <w:rPr>
          <w:rStyle w:val="FootnoteReference"/>
        </w:rPr>
        <w:footnoteReference w:id="100"/>
      </w:r>
      <w:r w:rsidR="00810C00">
        <w:t xml:space="preserve">  We also require AWS-4 </w:t>
      </w:r>
      <w:r w:rsidR="00F93518">
        <w:t>licensees</w:t>
      </w:r>
      <w:r w:rsidR="00810C00">
        <w:t xml:space="preserve"> to</w:t>
      </w:r>
      <w:r w:rsidR="00F93518">
        <w:t xml:space="preserve"> coordinate with all Government and non-Government satellite entities operating</w:t>
      </w:r>
      <w:r w:rsidR="00810C00">
        <w:t xml:space="preserve"> in the 2025-2110 MHz band to the same extent that AWS-1 downlink operations in the 2110-2155 MHz band are required to </w:t>
      </w:r>
      <w:r w:rsidR="00F93518">
        <w:t>coordinate with such</w:t>
      </w:r>
      <w:r w:rsidR="00810C00">
        <w:t xml:space="preserve"> operations in that band as specified in rule 27.5</w:t>
      </w:r>
      <w:r w:rsidR="00131827">
        <w:t>0</w:t>
      </w:r>
      <w:r w:rsidR="00810C00">
        <w:t>(d)(3).</w:t>
      </w:r>
      <w:r w:rsidR="00810C00">
        <w:rPr>
          <w:rStyle w:val="FootnoteReference"/>
        </w:rPr>
        <w:footnoteReference w:id="101"/>
      </w:r>
      <w:r w:rsidR="00810C00">
        <w:t xml:space="preserve">  AWS downlink operations in the 2000-2020 MHz band would create substantially the same interference environment for operations in the 2025-2110 MHz band as do AWS downlink operations in the 2110-2155 MHz band.  In addition to setting power limits for AWS-1 operations to protect operations in the 2025-2110 MHz band, the Commission established coordination requirements for AWS-1 licensees to protect certain operations in the 2025-2110 MHz </w:t>
      </w:r>
      <w:r w:rsidR="00F24D5C">
        <w:t>b</w:t>
      </w:r>
      <w:r w:rsidR="00810C00">
        <w:t>and, which are set forth in rule 27.</w:t>
      </w:r>
      <w:r w:rsidR="00255BA0">
        <w:t>50</w:t>
      </w:r>
      <w:r w:rsidR="00810C00">
        <w:t>(d)(3).</w:t>
      </w:r>
      <w:r w:rsidR="00810C00">
        <w:rPr>
          <w:rStyle w:val="FootnoteReference"/>
        </w:rPr>
        <w:footnoteReference w:id="102"/>
      </w:r>
      <w:r w:rsidR="00810C00">
        <w:t xml:space="preserve">  As DISH acknowledges, those coordination requirements have proven successful for avoiding harmful interference.</w:t>
      </w:r>
      <w:r w:rsidR="004C1C42">
        <w:rPr>
          <w:rStyle w:val="FootnoteReference"/>
        </w:rPr>
        <w:footnoteReference w:id="103"/>
      </w:r>
      <w:r w:rsidR="00810C00">
        <w:t xml:space="preserve">  We therefore </w:t>
      </w:r>
      <w:r w:rsidR="00832544">
        <w:t xml:space="preserve">condition the waivers granted here on compliance with </w:t>
      </w:r>
      <w:r w:rsidR="00810C00">
        <w:t>the same requirement on AWS-4 licensees in the event they elect to use the Lower AWS-4 Band for downlink operations.</w:t>
      </w:r>
      <w:r w:rsidR="004C1C42">
        <w:rPr>
          <w:rStyle w:val="FootnoteReference"/>
        </w:rPr>
        <w:footnoteReference w:id="104"/>
      </w:r>
    </w:p>
    <w:p w14:paraId="4190DAD0" w14:textId="77777777" w:rsidR="004C1C42" w:rsidRPr="00EC2A6B" w:rsidRDefault="007F08DF">
      <w:pPr>
        <w:pStyle w:val="ParaNum"/>
        <w:widowControl/>
      </w:pPr>
      <w:r>
        <w:t xml:space="preserve">Third, </w:t>
      </w:r>
      <w:r w:rsidR="004C1C42">
        <w:t xml:space="preserve">we similarly determine that, in a downlink scenario, 2000-2020 MHz licensees </w:t>
      </w:r>
      <w:r w:rsidR="002D53E0">
        <w:t>sh</w:t>
      </w:r>
      <w:r w:rsidR="004C1C42">
        <w:t>ould be required</w:t>
      </w:r>
      <w:r w:rsidR="002D53E0">
        <w:t>, as a condition of DISH’s waiver,</w:t>
      </w:r>
      <w:r w:rsidR="004C1C42">
        <w:t xml:space="preserve"> to coordinate with adjacent 1995-2000 MHz licensees in the same manner that section 27.50(d)(10) requires 1995-2000 MHz H Block licensees to coordinate with adjacent 1990-1995 MHz (PCS G Block) licensees.</w:t>
      </w:r>
      <w:r w:rsidR="004C1C42">
        <w:rPr>
          <w:rStyle w:val="FootnoteReference"/>
        </w:rPr>
        <w:footnoteReference w:id="105"/>
      </w:r>
      <w:r w:rsidR="004C1C42">
        <w:t xml:space="preserve">  Just as the Commission found in the </w:t>
      </w:r>
      <w:r w:rsidR="004C1C42" w:rsidRPr="00EC2A6B">
        <w:rPr>
          <w:i/>
        </w:rPr>
        <w:t xml:space="preserve">H Block Report and </w:t>
      </w:r>
      <w:r w:rsidR="004C1C42" w:rsidRPr="00B32DBE">
        <w:rPr>
          <w:i/>
        </w:rPr>
        <w:t>Order</w:t>
      </w:r>
      <w:r w:rsidR="004C1C42">
        <w:t xml:space="preserve"> that advanced coordination of high-powered Upper H Block downlink operations was consistent with the Commission’s statutory obligation to protect an adjacent band,</w:t>
      </w:r>
      <w:r w:rsidR="004C1C42">
        <w:rPr>
          <w:rStyle w:val="FootnoteReference"/>
        </w:rPr>
        <w:footnoteReference w:id="106"/>
      </w:r>
      <w:r w:rsidR="004C1C42">
        <w:t xml:space="preserve"> we determine here that advanced coordination of high-powered Lower AWS-4 operations would be consistent</w:t>
      </w:r>
      <w:r w:rsidR="00255BA0">
        <w:t xml:space="preserve"> with</w:t>
      </w:r>
      <w:r w:rsidR="004C1C42">
        <w:t xml:space="preserve"> protecting the adjacent Upper H Block band.  Thus, if DISH elects to use the Lower AWS-4 </w:t>
      </w:r>
      <w:r w:rsidR="00255BA0">
        <w:t xml:space="preserve">Band </w:t>
      </w:r>
      <w:r w:rsidR="004C1C42">
        <w:t xml:space="preserve">for downlink, licensees </w:t>
      </w:r>
      <w:r w:rsidR="004C1C42" w:rsidRPr="00EC2A6B">
        <w:rPr>
          <w:shd w:val="clear" w:color="auto" w:fill="FFFFFF"/>
        </w:rPr>
        <w:t xml:space="preserve">operating a base or fixed station in the 2000-2020 MHz band utilizing a power greater than 1640 watts EIRP and greater than 1640 watts/MHz EIRP </w:t>
      </w:r>
      <w:r w:rsidR="002D53E0">
        <w:rPr>
          <w:shd w:val="clear" w:color="auto" w:fill="FFFFFF"/>
        </w:rPr>
        <w:t xml:space="preserve">are </w:t>
      </w:r>
      <w:r w:rsidR="004C1C42" w:rsidRPr="00EC2A6B">
        <w:rPr>
          <w:shd w:val="clear" w:color="auto" w:fill="FFFFFF"/>
        </w:rPr>
        <w:t xml:space="preserve">required to coordinate </w:t>
      </w:r>
      <w:r w:rsidR="004C1C42">
        <w:rPr>
          <w:shd w:val="clear" w:color="auto" w:fill="FFFFFF"/>
        </w:rPr>
        <w:t>in advance with all U</w:t>
      </w:r>
      <w:r w:rsidR="004C1C42" w:rsidRPr="00EC2A6B">
        <w:rPr>
          <w:shd w:val="clear" w:color="auto" w:fill="FFFFFF"/>
        </w:rPr>
        <w:t>pper H Block licensees authorized to operate on adjacent frequency blocks in the 1990-1995 MHz band within 120 kilometers of the base or fixed station operating in this band.</w:t>
      </w:r>
    </w:p>
    <w:p w14:paraId="6D2732E7" w14:textId="77777777" w:rsidR="004C1C42" w:rsidRDefault="004C1C42">
      <w:pPr>
        <w:pStyle w:val="ParaNum"/>
        <w:widowControl/>
      </w:pPr>
      <w:r>
        <w:t xml:space="preserve">Fourth, we </w:t>
      </w:r>
      <w:r w:rsidR="003F42C1">
        <w:t>clarify</w:t>
      </w:r>
      <w:r>
        <w:t xml:space="preserve"> the OOBE limits that would apply to downlink use of the Lower AWS</w:t>
      </w:r>
      <w:r w:rsidR="008C6240">
        <w:noBreakHyphen/>
      </w:r>
      <w:r>
        <w:t>4 Band</w:t>
      </w:r>
      <w:r w:rsidR="002D53E0">
        <w:t>, and we impose t</w:t>
      </w:r>
      <w:r w:rsidR="00526BB7">
        <w:t>he</w:t>
      </w:r>
      <w:r w:rsidR="002D53E0">
        <w:t>m as a condition of DISH’s waiver.</w:t>
      </w:r>
      <w:r>
        <w:t xml:space="preserve">  Unlike for power limits, where waiver of the rule applicable to the Lower AWS-4 </w:t>
      </w:r>
      <w:r w:rsidR="00DE1358">
        <w:t>B</w:t>
      </w:r>
      <w:r>
        <w:t xml:space="preserve">and would </w:t>
      </w:r>
      <w:r w:rsidR="00DE1358">
        <w:t>leave us without a</w:t>
      </w:r>
      <w:r>
        <w:t xml:space="preserve"> specific limit absent our specifying </w:t>
      </w:r>
      <w:r w:rsidR="00FB5DFA">
        <w:t xml:space="preserve">the applicable limit in this order, the manner in which the OOBE limit rule—27.53(h)—is drafted results in </w:t>
      </w:r>
      <w:r w:rsidR="003F42C1">
        <w:t xml:space="preserve">application of </w:t>
      </w:r>
      <w:r w:rsidR="00FB5DFA">
        <w:t>a specific OOBE limit</w:t>
      </w:r>
      <w:r w:rsidR="003F42C1">
        <w:t xml:space="preserve"> </w:t>
      </w:r>
      <w:r w:rsidR="00FB5DFA">
        <w:t>for downlink use of the band.  Specifically, by operation of our waiving the additional requirement of section 27.53(h)(2)(ii), t</w:t>
      </w:r>
      <w:r>
        <w:t xml:space="preserve">he </w:t>
      </w:r>
      <w:r w:rsidRPr="00FB5DFA">
        <w:rPr>
          <w:shd w:val="clear" w:color="auto" w:fill="FFFFFF"/>
        </w:rPr>
        <w:t>general</w:t>
      </w:r>
      <w:r>
        <w:t xml:space="preserve"> OOBE protection levels specified in 27.53(h)(1) and the OOBE measurement procedure specified in 27.53(h)(3) apply by their own terms to the 2000-2020 MHz band.</w:t>
      </w:r>
      <w:r>
        <w:rPr>
          <w:rStyle w:val="FootnoteReference"/>
        </w:rPr>
        <w:footnoteReference w:id="107"/>
      </w:r>
      <w:r w:rsidR="00FB5DFA">
        <w:t xml:space="preserve">  DISH</w:t>
      </w:r>
      <w:r w:rsidR="003F42C1">
        <w:t xml:space="preserve"> confirms its understanding</w:t>
      </w:r>
      <w:r w:rsidR="00FB5DFA">
        <w:t xml:space="preserve"> that the requirements contained in these rule sections would apply to downlink use of the Lower AWS-4 Band</w:t>
      </w:r>
      <w:r w:rsidR="00A669AF">
        <w:t xml:space="preserve"> and commits to operate by these OOBE limits if downlink use of the Lower AWS-4 Band is elected</w:t>
      </w:r>
      <w:r w:rsidR="00FB5DFA">
        <w:t>.</w:t>
      </w:r>
      <w:r w:rsidR="00FB5DFA">
        <w:rPr>
          <w:rStyle w:val="FootnoteReference"/>
        </w:rPr>
        <w:footnoteReference w:id="108"/>
      </w:r>
    </w:p>
    <w:p w14:paraId="13D8C3DA" w14:textId="77777777" w:rsidR="00C5440A" w:rsidRPr="00C37683" w:rsidRDefault="00FB5DFA">
      <w:pPr>
        <w:pStyle w:val="ParaNum"/>
        <w:widowControl/>
      </w:pPr>
      <w:bookmarkStart w:id="402" w:name="_Ref374096057"/>
      <w:r>
        <w:t>Finally, for the same reasons that we determine above to apply the coordination requirements of section 27.50(d)(3) to downlink operations in the Lower AWS-4 Band, we</w:t>
      </w:r>
      <w:r w:rsidR="003F42C1">
        <w:t xml:space="preserve"> condition any use of the Lower AWS-4 Band for downlink operations on compliance with</w:t>
      </w:r>
      <w:r>
        <w:t xml:space="preserve"> the protection and coordination </w:t>
      </w:r>
      <w:r w:rsidRPr="00B32DBE">
        <w:rPr>
          <w:shd w:val="clear" w:color="auto" w:fill="FFFFFF"/>
        </w:rPr>
        <w:t>requirements</w:t>
      </w:r>
      <w:r>
        <w:t xml:space="preserve"> in section 27.1133 for previously licensed BAS and Cable Television Radio Service (CARS) operations in the 2025-2110 MHz band</w:t>
      </w:r>
      <w:r w:rsidRPr="00FD1E21">
        <w:t>.</w:t>
      </w:r>
      <w:r w:rsidRPr="00FD1E21">
        <w:rPr>
          <w:rStyle w:val="FootnoteReference"/>
          <w:sz w:val="22"/>
        </w:rPr>
        <w:footnoteReference w:id="109"/>
      </w:r>
      <w:r w:rsidRPr="00FD1E21">
        <w:t xml:space="preserve">  These requirements include an obligation to protect BAS and CARS operations and an obligation to</w:t>
      </w:r>
      <w:r w:rsidRPr="00FD1E21">
        <w:rPr>
          <w:snapToGrid/>
          <w:color w:val="000000"/>
          <w:kern w:val="0"/>
          <w:szCs w:val="14"/>
          <w:shd w:val="clear" w:color="auto" w:fill="FFFFFF"/>
        </w:rPr>
        <w:t xml:space="preserve"> coordinate planned stations with those operations before constructing and operating any base or fixed station.</w:t>
      </w:r>
      <w:r w:rsidR="008E6F29">
        <w:rPr>
          <w:snapToGrid/>
          <w:color w:val="000000"/>
          <w:kern w:val="0"/>
          <w:szCs w:val="14"/>
          <w:shd w:val="clear" w:color="auto" w:fill="FFFFFF"/>
        </w:rPr>
        <w:t xml:space="preserve">  We </w:t>
      </w:r>
      <w:r w:rsidR="00DE284D">
        <w:rPr>
          <w:snapToGrid/>
          <w:color w:val="000000"/>
          <w:kern w:val="0"/>
          <w:szCs w:val="14"/>
          <w:shd w:val="clear" w:color="auto" w:fill="FFFFFF"/>
        </w:rPr>
        <w:t>believe that</w:t>
      </w:r>
      <w:r w:rsidR="008E6F29">
        <w:rPr>
          <w:snapToGrid/>
          <w:color w:val="000000"/>
          <w:kern w:val="0"/>
          <w:szCs w:val="14"/>
          <w:shd w:val="clear" w:color="auto" w:fill="FFFFFF"/>
        </w:rPr>
        <w:t xml:space="preserve"> these </w:t>
      </w:r>
      <w:r w:rsidR="00DE284D">
        <w:rPr>
          <w:snapToGrid/>
          <w:color w:val="000000"/>
          <w:kern w:val="0"/>
          <w:szCs w:val="14"/>
          <w:shd w:val="clear" w:color="auto" w:fill="FFFFFF"/>
        </w:rPr>
        <w:t xml:space="preserve">coordination </w:t>
      </w:r>
      <w:r w:rsidR="00F321E3">
        <w:rPr>
          <w:snapToGrid/>
          <w:color w:val="000000"/>
          <w:kern w:val="0"/>
          <w:szCs w:val="14"/>
          <w:shd w:val="clear" w:color="auto" w:fill="FFFFFF"/>
        </w:rPr>
        <w:t xml:space="preserve">and protection </w:t>
      </w:r>
      <w:r w:rsidR="00DE284D">
        <w:rPr>
          <w:snapToGrid/>
          <w:color w:val="000000"/>
          <w:kern w:val="0"/>
          <w:szCs w:val="14"/>
          <w:shd w:val="clear" w:color="auto" w:fill="FFFFFF"/>
        </w:rPr>
        <w:t xml:space="preserve">requirements will provide </w:t>
      </w:r>
      <w:r w:rsidR="00F321E3">
        <w:rPr>
          <w:snapToGrid/>
          <w:color w:val="000000"/>
          <w:kern w:val="0"/>
          <w:szCs w:val="14"/>
          <w:shd w:val="clear" w:color="auto" w:fill="FFFFFF"/>
        </w:rPr>
        <w:t>needed</w:t>
      </w:r>
      <w:r w:rsidR="00DE284D">
        <w:rPr>
          <w:snapToGrid/>
          <w:color w:val="000000"/>
          <w:kern w:val="0"/>
          <w:szCs w:val="14"/>
          <w:shd w:val="clear" w:color="auto" w:fill="FFFFFF"/>
        </w:rPr>
        <w:t xml:space="preserve"> protection for</w:t>
      </w:r>
      <w:r w:rsidR="008E6F29">
        <w:rPr>
          <w:snapToGrid/>
          <w:color w:val="000000"/>
          <w:kern w:val="0"/>
          <w:szCs w:val="14"/>
          <w:shd w:val="clear" w:color="auto" w:fill="FFFFFF"/>
        </w:rPr>
        <w:t xml:space="preserve"> BAS </w:t>
      </w:r>
      <w:r w:rsidR="00F321E3">
        <w:rPr>
          <w:snapToGrid/>
          <w:color w:val="000000"/>
          <w:kern w:val="0"/>
          <w:szCs w:val="14"/>
          <w:shd w:val="clear" w:color="auto" w:fill="FFFFFF"/>
        </w:rPr>
        <w:t xml:space="preserve">and CARS </w:t>
      </w:r>
      <w:r w:rsidR="006F34BB">
        <w:rPr>
          <w:snapToGrid/>
          <w:color w:val="000000"/>
          <w:kern w:val="0"/>
          <w:szCs w:val="14"/>
          <w:shd w:val="clear" w:color="auto" w:fill="FFFFFF"/>
        </w:rPr>
        <w:t xml:space="preserve">operations </w:t>
      </w:r>
      <w:r w:rsidR="00DE284D">
        <w:rPr>
          <w:snapToGrid/>
          <w:color w:val="000000"/>
          <w:kern w:val="0"/>
          <w:szCs w:val="14"/>
          <w:shd w:val="clear" w:color="auto" w:fill="FFFFFF"/>
        </w:rPr>
        <w:t xml:space="preserve">against </w:t>
      </w:r>
      <w:r w:rsidR="006F34BB">
        <w:rPr>
          <w:snapToGrid/>
          <w:color w:val="000000"/>
          <w:kern w:val="0"/>
          <w:szCs w:val="14"/>
          <w:shd w:val="clear" w:color="auto" w:fill="FFFFFF"/>
        </w:rPr>
        <w:t xml:space="preserve">OOBE and overload </w:t>
      </w:r>
      <w:r w:rsidR="00DE284D">
        <w:rPr>
          <w:snapToGrid/>
          <w:color w:val="000000"/>
          <w:kern w:val="0"/>
          <w:szCs w:val="14"/>
          <w:shd w:val="clear" w:color="auto" w:fill="FFFFFF"/>
        </w:rPr>
        <w:t>i</w:t>
      </w:r>
      <w:r w:rsidR="008E6F29">
        <w:rPr>
          <w:snapToGrid/>
          <w:color w:val="000000"/>
          <w:kern w:val="0"/>
          <w:szCs w:val="14"/>
          <w:shd w:val="clear" w:color="auto" w:fill="FFFFFF"/>
        </w:rPr>
        <w:t xml:space="preserve">nterference from </w:t>
      </w:r>
      <w:r w:rsidR="008E6F29">
        <w:t>potential AWS-4 downlink operations</w:t>
      </w:r>
      <w:r w:rsidR="00DE284D">
        <w:t xml:space="preserve"> in 2000-2020 MHz</w:t>
      </w:r>
      <w:r w:rsidR="00710495">
        <w:t>.  For example,</w:t>
      </w:r>
      <w:r w:rsidR="008E6F29">
        <w:rPr>
          <w:snapToGrid/>
          <w:color w:val="000000"/>
          <w:kern w:val="0"/>
          <w:szCs w:val="14"/>
          <w:shd w:val="clear" w:color="auto" w:fill="FFFFFF"/>
        </w:rPr>
        <w:t xml:space="preserve"> section 27.53</w:t>
      </w:r>
      <w:r w:rsidR="0061154C">
        <w:rPr>
          <w:snapToGrid/>
          <w:color w:val="000000"/>
          <w:kern w:val="0"/>
          <w:szCs w:val="14"/>
          <w:shd w:val="clear" w:color="auto" w:fill="FFFFFF"/>
        </w:rPr>
        <w:t>(h)</w:t>
      </w:r>
      <w:r w:rsidR="00710495">
        <w:rPr>
          <w:snapToGrid/>
          <w:color w:val="000000"/>
          <w:kern w:val="0"/>
          <w:szCs w:val="14"/>
          <w:shd w:val="clear" w:color="auto" w:fill="FFFFFF"/>
        </w:rPr>
        <w:t xml:space="preserve"> of the Commission’s rules</w:t>
      </w:r>
      <w:r w:rsidR="00DE284D">
        <w:rPr>
          <w:snapToGrid/>
          <w:color w:val="000000"/>
          <w:kern w:val="0"/>
          <w:szCs w:val="14"/>
          <w:shd w:val="clear" w:color="auto" w:fill="FFFFFF"/>
        </w:rPr>
        <w:t xml:space="preserve"> sets a</w:t>
      </w:r>
      <w:r w:rsidR="00710495">
        <w:rPr>
          <w:snapToGrid/>
          <w:color w:val="000000"/>
          <w:kern w:val="0"/>
          <w:szCs w:val="14"/>
          <w:shd w:val="clear" w:color="auto" w:fill="FFFFFF"/>
        </w:rPr>
        <w:t xml:space="preserve"> general</w:t>
      </w:r>
      <w:r w:rsidR="00DE284D">
        <w:rPr>
          <w:snapToGrid/>
          <w:color w:val="000000"/>
          <w:kern w:val="0"/>
          <w:szCs w:val="14"/>
          <w:shd w:val="clear" w:color="auto" w:fill="FFFFFF"/>
        </w:rPr>
        <w:t xml:space="preserve"> OOBE limit </w:t>
      </w:r>
      <w:r w:rsidR="00710495">
        <w:rPr>
          <w:snapToGrid/>
          <w:color w:val="000000"/>
          <w:kern w:val="0"/>
          <w:szCs w:val="14"/>
          <w:shd w:val="clear" w:color="auto" w:fill="FFFFFF"/>
        </w:rPr>
        <w:t>of</w:t>
      </w:r>
      <w:r w:rsidR="00DE284D">
        <w:rPr>
          <w:snapToGrid/>
          <w:color w:val="000000"/>
          <w:kern w:val="0"/>
          <w:szCs w:val="14"/>
          <w:shd w:val="clear" w:color="auto" w:fill="FFFFFF"/>
        </w:rPr>
        <w:t xml:space="preserve"> 43 + 10 log</w:t>
      </w:r>
      <w:r w:rsidR="00DE284D">
        <w:rPr>
          <w:snapToGrid/>
          <w:color w:val="000000"/>
          <w:kern w:val="0"/>
          <w:szCs w:val="14"/>
          <w:shd w:val="clear" w:color="auto" w:fill="FFFFFF"/>
          <w:vertAlign w:val="subscript"/>
        </w:rPr>
        <w:t>10</w:t>
      </w:r>
      <w:r w:rsidR="00DE284D">
        <w:rPr>
          <w:snapToGrid/>
          <w:color w:val="000000"/>
          <w:kern w:val="0"/>
          <w:szCs w:val="14"/>
          <w:shd w:val="clear" w:color="auto" w:fill="FFFFFF"/>
        </w:rPr>
        <w:t>(P) dB for both AWS bands</w:t>
      </w:r>
      <w:r w:rsidR="00710495">
        <w:rPr>
          <w:snapToGrid/>
          <w:color w:val="000000"/>
          <w:kern w:val="0"/>
          <w:szCs w:val="14"/>
          <w:shd w:val="clear" w:color="auto" w:fill="FFFFFF"/>
        </w:rPr>
        <w:t>.  In setting this protection</w:t>
      </w:r>
      <w:r w:rsidR="00F321E3">
        <w:rPr>
          <w:snapToGrid/>
          <w:color w:val="000000"/>
          <w:kern w:val="0"/>
          <w:szCs w:val="14"/>
          <w:shd w:val="clear" w:color="auto" w:fill="FFFFFF"/>
        </w:rPr>
        <w:t xml:space="preserve"> level</w:t>
      </w:r>
      <w:r w:rsidR="00710495">
        <w:rPr>
          <w:snapToGrid/>
          <w:color w:val="000000"/>
          <w:kern w:val="0"/>
          <w:szCs w:val="14"/>
          <w:shd w:val="clear" w:color="auto" w:fill="FFFFFF"/>
        </w:rPr>
        <w:t xml:space="preserve"> for AWS-1 downlink operations, however,</w:t>
      </w:r>
      <w:r w:rsidR="00F321E3">
        <w:rPr>
          <w:snapToGrid/>
          <w:color w:val="000000"/>
          <w:kern w:val="0"/>
          <w:szCs w:val="14"/>
          <w:shd w:val="clear" w:color="auto" w:fill="FFFFFF"/>
        </w:rPr>
        <w:t xml:space="preserve"> the Commission </w:t>
      </w:r>
      <w:r w:rsidR="00710495">
        <w:rPr>
          <w:snapToGrid/>
          <w:color w:val="000000"/>
          <w:kern w:val="0"/>
          <w:szCs w:val="14"/>
          <w:shd w:val="clear" w:color="auto" w:fill="FFFFFF"/>
        </w:rPr>
        <w:t xml:space="preserve">also </w:t>
      </w:r>
      <w:r w:rsidR="00F321E3">
        <w:rPr>
          <w:snapToGrid/>
          <w:color w:val="000000"/>
          <w:kern w:val="0"/>
          <w:szCs w:val="14"/>
          <w:shd w:val="clear" w:color="auto" w:fill="FFFFFF"/>
        </w:rPr>
        <w:t xml:space="preserve">determined </w:t>
      </w:r>
      <w:r w:rsidR="00710495">
        <w:rPr>
          <w:snapToGrid/>
          <w:color w:val="000000"/>
          <w:kern w:val="0"/>
          <w:szCs w:val="14"/>
          <w:shd w:val="clear" w:color="auto" w:fill="FFFFFF"/>
        </w:rPr>
        <w:t xml:space="preserve">that it </w:t>
      </w:r>
      <w:r w:rsidR="00F321E3">
        <w:rPr>
          <w:snapToGrid/>
          <w:color w:val="000000"/>
          <w:kern w:val="0"/>
          <w:szCs w:val="14"/>
          <w:shd w:val="clear" w:color="auto" w:fill="FFFFFF"/>
        </w:rPr>
        <w:t>would be insufficient to protect BAS and CARS operations in the 2025-2110 MHz from harmful interference from AWS-1 downlink operations absent the additional coordination and protection requirements.</w:t>
      </w:r>
      <w:r w:rsidR="00F321E3">
        <w:rPr>
          <w:rStyle w:val="FootnoteReference"/>
          <w:snapToGrid/>
          <w:kern w:val="0"/>
          <w:szCs w:val="14"/>
          <w:shd w:val="clear" w:color="auto" w:fill="FFFFFF"/>
        </w:rPr>
        <w:footnoteReference w:id="110"/>
      </w:r>
      <w:bookmarkEnd w:id="402"/>
      <w:r w:rsidR="00710495">
        <w:rPr>
          <w:snapToGrid/>
          <w:color w:val="000000"/>
          <w:kern w:val="0"/>
          <w:szCs w:val="14"/>
          <w:shd w:val="clear" w:color="auto" w:fill="FFFFFF"/>
        </w:rPr>
        <w:t xml:space="preserve">  Thus, just as the Commission found coordination and protection  requirements necessary to avoid harmful interference from AWS-1 operations to BAS and CARS operations in the 2025-2110 MHz band, we find it appropriate to apply the same requirements here should DISH use the Lower AWS-4 Band for downlink operations.</w:t>
      </w:r>
    </w:p>
    <w:p w14:paraId="7DDE4674" w14:textId="77777777" w:rsidR="001E28DA" w:rsidRDefault="00BA47F5">
      <w:pPr>
        <w:pStyle w:val="ParaNum"/>
        <w:widowControl/>
      </w:pPr>
      <w:bookmarkStart w:id="403" w:name="_Ref374631821"/>
      <w:r>
        <w:t>We summarize the specific</w:t>
      </w:r>
      <w:r w:rsidR="00926CD7">
        <w:t xml:space="preserve"> technical requirements that will apply to downlink operations in the Lower AWS-4 </w:t>
      </w:r>
      <w:r w:rsidR="00926CD7" w:rsidRPr="00B32DBE">
        <w:rPr>
          <w:shd w:val="clear" w:color="auto" w:fill="FFFFFF"/>
        </w:rPr>
        <w:t>Band</w:t>
      </w:r>
      <w:r w:rsidR="00E80B92">
        <w:t xml:space="preserve"> below in Section </w:t>
      </w:r>
      <w:r w:rsidR="00E80B92">
        <w:fldChar w:fldCharType="begin"/>
      </w:r>
      <w:r w:rsidR="00E80B92">
        <w:instrText xml:space="preserve"> REF _Ref374001562 \r \h </w:instrText>
      </w:r>
      <w:r w:rsidR="00E80B92">
        <w:fldChar w:fldCharType="separate"/>
      </w:r>
      <w:r w:rsidR="00E53F09">
        <w:t>E</w:t>
      </w:r>
      <w:r w:rsidR="00E80B92">
        <w:fldChar w:fldCharType="end"/>
      </w:r>
      <w:r w:rsidR="00926CD7">
        <w:t xml:space="preserve"> (Waiver Conditions).</w:t>
      </w:r>
      <w:r w:rsidR="006E2B6C" w:rsidRPr="00FD1E21">
        <w:rPr>
          <w:rStyle w:val="FootnoteReference"/>
          <w:snapToGrid/>
          <w:kern w:val="0"/>
          <w:sz w:val="22"/>
          <w:szCs w:val="14"/>
          <w:shd w:val="clear" w:color="auto" w:fill="FFFFFF"/>
        </w:rPr>
        <w:footnoteReference w:id="111"/>
      </w:r>
      <w:bookmarkEnd w:id="403"/>
    </w:p>
    <w:p w14:paraId="5341BC30" w14:textId="77777777" w:rsidR="001E28DA" w:rsidRDefault="001E28DA">
      <w:pPr>
        <w:pStyle w:val="ParaNum"/>
        <w:widowControl/>
      </w:pPr>
      <w:bookmarkStart w:id="404" w:name="_Ref373154365"/>
      <w:bookmarkStart w:id="405" w:name="_Ref371678954"/>
      <w:r w:rsidRPr="001E28DA">
        <w:rPr>
          <w:i/>
          <w:u w:val="single"/>
        </w:rPr>
        <w:t>Waiver of Upper H Block Technical Rules</w:t>
      </w:r>
      <w:r w:rsidRPr="001E28DA">
        <w:rPr>
          <w:i/>
        </w:rPr>
        <w:t>.</w:t>
      </w:r>
      <w:r w:rsidR="0089044C">
        <w:t xml:space="preserve">  Sprint </w:t>
      </w:r>
      <w:r w:rsidR="00512307">
        <w:t xml:space="preserve">argues that the </w:t>
      </w:r>
      <w:r w:rsidRPr="006A2FBF">
        <w:t>grant of DISH’s waiver should spe</w:t>
      </w:r>
      <w:r>
        <w:t>cify that, if DISH elect</w:t>
      </w:r>
      <w:r w:rsidRPr="006A2FBF">
        <w:t xml:space="preserve">s to use </w:t>
      </w:r>
      <w:r w:rsidR="00E80B92">
        <w:t>the 2000-2020 MHz band as downlink</w:t>
      </w:r>
      <w:r w:rsidRPr="006A2FBF">
        <w:t xml:space="preserve">, a waiver will be granted to “all future H Block </w:t>
      </w:r>
      <w:r w:rsidRPr="00B32DBE">
        <w:rPr>
          <w:shd w:val="clear" w:color="auto" w:fill="FFFFFF"/>
        </w:rPr>
        <w:t>licensees</w:t>
      </w:r>
      <w:r w:rsidRPr="006A2FBF">
        <w:t xml:space="preserve"> and . . . Section 27.53(h)(2)(iv) of the rules will not apply</w:t>
      </w:r>
      <w:r w:rsidR="00142CF8">
        <w:t>.</w:t>
      </w:r>
      <w:r w:rsidRPr="006A2FBF">
        <w:t>”</w:t>
      </w:r>
      <w:r w:rsidRPr="006A2FBF">
        <w:rPr>
          <w:vertAlign w:val="superscript"/>
        </w:rPr>
        <w:footnoteReference w:id="112"/>
      </w:r>
      <w:r w:rsidRPr="006A2FBF">
        <w:t xml:space="preserve"> </w:t>
      </w:r>
      <w:r w:rsidR="00142CF8">
        <w:t xml:space="preserve"> Sprint states that, </w:t>
      </w:r>
      <w:r w:rsidR="00BD73A2">
        <w:t>because this technical rule</w:t>
      </w:r>
      <w:r w:rsidR="00AD69A4">
        <w:t xml:space="preserve"> in </w:t>
      </w:r>
      <w:r w:rsidR="003244A9">
        <w:t xml:space="preserve">the </w:t>
      </w:r>
      <w:r w:rsidR="00AD69A4">
        <w:t xml:space="preserve">Upper H Block </w:t>
      </w:r>
      <w:r w:rsidRPr="006A2FBF">
        <w:t>exist</w:t>
      </w:r>
      <w:r w:rsidR="00AD69A4">
        <w:t>s</w:t>
      </w:r>
      <w:r w:rsidRPr="006A2FBF">
        <w:t xml:space="preserve"> to preve</w:t>
      </w:r>
      <w:r>
        <w:t xml:space="preserve">nt interference to </w:t>
      </w:r>
      <w:r w:rsidR="00BD73A2">
        <w:t xml:space="preserve">adjacent band uplink operations, if the </w:t>
      </w:r>
      <w:r w:rsidR="00642446">
        <w:t xml:space="preserve">Lower </w:t>
      </w:r>
      <w:r w:rsidR="00BD73A2">
        <w:t>AWS-</w:t>
      </w:r>
      <w:r w:rsidR="00365CC6">
        <w:t>4</w:t>
      </w:r>
      <w:r w:rsidR="00BD73A2">
        <w:t xml:space="preserve"> Band were used for downlink, this H Block rule </w:t>
      </w:r>
      <w:r w:rsidRPr="006A2FBF">
        <w:t>would be unnecessary.</w:t>
      </w:r>
      <w:r w:rsidRPr="006A2FBF">
        <w:rPr>
          <w:vertAlign w:val="superscript"/>
        </w:rPr>
        <w:footnoteReference w:id="113"/>
      </w:r>
      <w:r w:rsidRPr="006A2FBF">
        <w:t xml:space="preserve">  In such a scenario, </w:t>
      </w:r>
      <w:r>
        <w:t xml:space="preserve">Sprint states, </w:t>
      </w:r>
      <w:r w:rsidRPr="006A2FBF">
        <w:t>“the normal base station OOBE requirements in 27.53(h)(1) would then apply automatically, as would be appropriate when downlink base stations operate on adjacent frequencies.”</w:t>
      </w:r>
      <w:r w:rsidRPr="006A2FBF">
        <w:rPr>
          <w:vertAlign w:val="superscript"/>
        </w:rPr>
        <w:footnoteReference w:id="114"/>
      </w:r>
      <w:r w:rsidRPr="006A2FBF">
        <w:t xml:space="preserve">  </w:t>
      </w:r>
      <w:r>
        <w:t>DISH, while not responding to</w:t>
      </w:r>
      <w:r w:rsidRPr="006A2FBF">
        <w:t xml:space="preserve"> Sprint’s proposal</w:t>
      </w:r>
      <w:r>
        <w:t>, stated in its Petition that, should the waiver be granted, it would agree “to accept a less restrictive OOBE limit on H Block emissions above 2000 MHz” under an operator-to-operator agreement or FCC regulatory action.</w:t>
      </w:r>
      <w:r>
        <w:rPr>
          <w:rStyle w:val="FootnoteReference"/>
        </w:rPr>
        <w:footnoteReference w:id="115"/>
      </w:r>
      <w:bookmarkEnd w:id="404"/>
      <w:r>
        <w:t xml:space="preserve">  </w:t>
      </w:r>
      <w:r w:rsidRPr="006A2FBF">
        <w:t xml:space="preserve"> </w:t>
      </w:r>
      <w:bookmarkEnd w:id="405"/>
    </w:p>
    <w:p w14:paraId="1BDD5495" w14:textId="77777777" w:rsidR="00F30AB8" w:rsidRDefault="001E28DA">
      <w:pPr>
        <w:pStyle w:val="ParaNum"/>
        <w:widowControl/>
      </w:pPr>
      <w:bookmarkStart w:id="406" w:name="_Ref373154366"/>
      <w:r>
        <w:t xml:space="preserve">We decline to address in this </w:t>
      </w:r>
      <w:r w:rsidRPr="00155597">
        <w:t>p</w:t>
      </w:r>
      <w:r w:rsidRPr="002E7453">
        <w:t>articular adjudication</w:t>
      </w:r>
      <w:r w:rsidR="00D411CD">
        <w:t xml:space="preserve"> Sprint’s request that, in the event DISH elects to use the Lower AWS-4 Band for downlink operations, we waive for all future H Block licensees the </w:t>
      </w:r>
      <w:r w:rsidR="00D301FC">
        <w:t>OOBE</w:t>
      </w:r>
      <w:r w:rsidR="00D411CD">
        <w:t xml:space="preserve"> limit </w:t>
      </w:r>
      <w:r w:rsidR="008B4056">
        <w:t xml:space="preserve">specified </w:t>
      </w:r>
      <w:r w:rsidR="00D411CD">
        <w:t>in section 27.53(h)(2)(iv) of the Commission’s rules</w:t>
      </w:r>
      <w:r>
        <w:t xml:space="preserve">.  </w:t>
      </w:r>
      <w:r w:rsidRPr="006A2FBF">
        <w:t>We do not believe that the</w:t>
      </w:r>
      <w:r w:rsidR="00E82195">
        <w:t xml:space="preserve"> instant</w:t>
      </w:r>
      <w:r w:rsidRPr="006A2FBF">
        <w:t xml:space="preserve"> DISH waiver proceeding </w:t>
      </w:r>
      <w:r w:rsidR="00D9154B">
        <w:t>regard</w:t>
      </w:r>
      <w:r w:rsidR="00D9154B" w:rsidRPr="006A2FBF">
        <w:t xml:space="preserve">ing </w:t>
      </w:r>
      <w:r w:rsidRPr="006A2FBF">
        <w:t xml:space="preserve">requirements for AWS-4 </w:t>
      </w:r>
      <w:r w:rsidR="00D9154B">
        <w:t>licensees</w:t>
      </w:r>
      <w:r w:rsidR="00D9154B" w:rsidRPr="006A2FBF">
        <w:t xml:space="preserve"> </w:t>
      </w:r>
      <w:r w:rsidRPr="006A2FBF">
        <w:t>is the appropriate proceeding in which to</w:t>
      </w:r>
      <w:r w:rsidR="00D411CD">
        <w:t xml:space="preserve"> address waivers of the </w:t>
      </w:r>
      <w:r w:rsidRPr="006A2FBF">
        <w:t>technical rules</w:t>
      </w:r>
      <w:r w:rsidR="00D411CD">
        <w:t xml:space="preserve"> appl</w:t>
      </w:r>
      <w:r w:rsidR="00E50C26">
        <w:t xml:space="preserve">icable to </w:t>
      </w:r>
      <w:r w:rsidR="00D411CD">
        <w:t>future H Block licensees</w:t>
      </w:r>
      <w:r w:rsidR="00F30AB8">
        <w:t>.</w:t>
      </w:r>
    </w:p>
    <w:p w14:paraId="15029520" w14:textId="77777777" w:rsidR="0016784D" w:rsidRDefault="001E28DA">
      <w:pPr>
        <w:pStyle w:val="ParaNum"/>
        <w:widowControl/>
      </w:pPr>
      <w:r w:rsidRPr="006A2FBF">
        <w:t>We recognize that, as Sprint asserts</w:t>
      </w:r>
      <w:r w:rsidR="001D4B63">
        <w:t xml:space="preserve">, the H Block rule it </w:t>
      </w:r>
      <w:r w:rsidR="00DC050F">
        <w:t xml:space="preserve">asks the Commission to waive </w:t>
      </w:r>
      <w:r w:rsidR="007018FA">
        <w:t xml:space="preserve">imposes a tighter OOBE limit than is typically set forth in the Commission’s rules and </w:t>
      </w:r>
      <w:r w:rsidR="008B4056">
        <w:t>was</w:t>
      </w:r>
      <w:r w:rsidR="008B4056" w:rsidRPr="006A2FBF">
        <w:t xml:space="preserve"> </w:t>
      </w:r>
      <w:r w:rsidRPr="006A2FBF">
        <w:t xml:space="preserve">adopted </w:t>
      </w:r>
      <w:r w:rsidR="007018FA">
        <w:t xml:space="preserve">to address a </w:t>
      </w:r>
      <w:r w:rsidR="00FB2AD7">
        <w:t xml:space="preserve">technical issue arising from the </w:t>
      </w:r>
      <w:r w:rsidR="007018FA">
        <w:t xml:space="preserve">specific interference environment </w:t>
      </w:r>
      <w:r w:rsidR="00FB2AD7">
        <w:t xml:space="preserve">in which uplink operations in </w:t>
      </w:r>
      <w:r w:rsidR="007018FA">
        <w:t>the Lower AWS-4 Band</w:t>
      </w:r>
      <w:r w:rsidR="00FB2AD7">
        <w:t xml:space="preserve"> would need to coexist with downlink operations in the adjacent Upper H Block</w:t>
      </w:r>
      <w:r w:rsidR="007018FA">
        <w:t xml:space="preserve">.  </w:t>
      </w:r>
      <w:r w:rsidR="00FB2AD7">
        <w:t>Specifically</w:t>
      </w:r>
      <w:r w:rsidR="007018FA">
        <w:t xml:space="preserve">, in the </w:t>
      </w:r>
      <w:r w:rsidR="007018FA">
        <w:rPr>
          <w:i/>
        </w:rPr>
        <w:t>H Block Report and Order</w:t>
      </w:r>
      <w:r w:rsidR="007018FA">
        <w:t>, the Commission found that “a stricter OOBE limit is warranted because the Upper H Block (downlink</w:t>
      </w:r>
      <w:r w:rsidR="00385EAA">
        <w:t>)</w:t>
      </w:r>
      <w:r w:rsidR="007018FA">
        <w:t xml:space="preserve"> is adjacent to the AWS-4 / 2</w:t>
      </w:r>
      <w:r w:rsidR="007525B4">
        <w:t> </w:t>
      </w:r>
      <w:r w:rsidR="007018FA">
        <w:t>GHz MSS uplink band.”</w:t>
      </w:r>
      <w:r>
        <w:rPr>
          <w:rStyle w:val="FootnoteReference"/>
        </w:rPr>
        <w:footnoteReference w:id="116"/>
      </w:r>
      <w:r w:rsidRPr="006A2FBF">
        <w:t xml:space="preserve">  </w:t>
      </w:r>
      <w:r w:rsidR="007525B4">
        <w:t xml:space="preserve">Should DISH elect to use the Lower AWS-4 Band for downlink purposes, the interference environment effectively would </w:t>
      </w:r>
      <w:r w:rsidR="00FB2AD7">
        <w:t>consist</w:t>
      </w:r>
      <w:r w:rsidR="007525B4">
        <w:t xml:space="preserve"> of one continuous downlink band from 1930-2020 MHz, comprised of PCS, H Block, and AWS-4</w:t>
      </w:r>
      <w:r w:rsidR="00B6727A">
        <w:t xml:space="preserve"> spectrum.  The rules and requirements in place would then require OOBE protections of all adjacent blocks within this spectrum range, including (pursuant to this waiv</w:t>
      </w:r>
      <w:r w:rsidR="009D7CD5">
        <w:t>er order) from the Lower AWS-4 B</w:t>
      </w:r>
      <w:r w:rsidR="00B6727A">
        <w:t>and into the Upper H Block, at a level of 43 +  10 log</w:t>
      </w:r>
      <w:r w:rsidR="00B6727A" w:rsidRPr="0004589F">
        <w:rPr>
          <w:vertAlign w:val="subscript"/>
        </w:rPr>
        <w:t>10</w:t>
      </w:r>
      <w:r w:rsidR="00B6727A">
        <w:t xml:space="preserve">(P) dB.  The only exception in the Commission’s rules to this consistent OOBE limit between adjacent blocks would be the </w:t>
      </w:r>
      <w:r w:rsidR="00FB2AD7">
        <w:t xml:space="preserve">section 27.53(h)(2)(iv) </w:t>
      </w:r>
      <w:r w:rsidR="00B6727A">
        <w:t>requirement that operations in the Upper H Block attenuate OOBE at 70 + 10 log</w:t>
      </w:r>
      <w:r w:rsidR="00B6727A" w:rsidRPr="0004589F">
        <w:rPr>
          <w:vertAlign w:val="subscript"/>
        </w:rPr>
        <w:t>10</w:t>
      </w:r>
      <w:r w:rsidR="00B6727A">
        <w:t xml:space="preserve">(P) dB into 2005-2020 MHz.  Such a discrepancy pertaining solely to the Upper H Block rules would appear to be </w:t>
      </w:r>
      <w:r w:rsidR="00FB2AD7">
        <w:t>unnecessary if downlink is elected in the adjacent Lower AWS-4 Band</w:t>
      </w:r>
      <w:r w:rsidR="00B6727A">
        <w:t xml:space="preserve">. </w:t>
      </w:r>
      <w:r w:rsidR="009D7CD5">
        <w:t xml:space="preserve"> </w:t>
      </w:r>
      <w:r w:rsidR="009D7CD5">
        <w:rPr>
          <w:szCs w:val="22"/>
        </w:rPr>
        <w:t>Indeed</w:t>
      </w:r>
      <w:r w:rsidR="00F30AB8" w:rsidRPr="000B4440">
        <w:rPr>
          <w:szCs w:val="22"/>
        </w:rPr>
        <w:t xml:space="preserve">, DISH has </w:t>
      </w:r>
      <w:r w:rsidRPr="000B4440">
        <w:rPr>
          <w:szCs w:val="22"/>
        </w:rPr>
        <w:t>recognized that</w:t>
      </w:r>
      <w:r w:rsidRPr="006A2FBF">
        <w:t xml:space="preserve"> the OOBE </w:t>
      </w:r>
      <w:r w:rsidR="000E0B59">
        <w:t>limits</w:t>
      </w:r>
      <w:r w:rsidR="000E0B59" w:rsidRPr="006A2FBF">
        <w:t xml:space="preserve"> </w:t>
      </w:r>
      <w:r w:rsidRPr="006A2FBF">
        <w:t xml:space="preserve">for </w:t>
      </w:r>
      <w:r w:rsidR="000E0B59">
        <w:t xml:space="preserve">Upper </w:t>
      </w:r>
      <w:r w:rsidRPr="006A2FBF">
        <w:t xml:space="preserve">H Block emissions into the </w:t>
      </w:r>
      <w:r w:rsidR="00CC70B5">
        <w:t>Lower AWS-4 Band</w:t>
      </w:r>
      <w:r w:rsidRPr="006A2FBF">
        <w:t xml:space="preserve"> could be relaxed if it is granted the flexibility, and so elects, to use </w:t>
      </w:r>
      <w:r w:rsidR="00E82195">
        <w:t xml:space="preserve">the Lower AWS-4 </w:t>
      </w:r>
      <w:r w:rsidR="00CC70B5">
        <w:t>B</w:t>
      </w:r>
      <w:r w:rsidR="00E82195">
        <w:t>and</w:t>
      </w:r>
      <w:r w:rsidRPr="006A2FBF">
        <w:t xml:space="preserve"> for downlink operations.</w:t>
      </w:r>
      <w:r>
        <w:rPr>
          <w:rStyle w:val="FootnoteReference"/>
        </w:rPr>
        <w:footnoteReference w:id="117"/>
      </w:r>
      <w:r w:rsidR="00517C58">
        <w:t xml:space="preserve">  </w:t>
      </w:r>
      <w:r w:rsidR="00517C58">
        <w:rPr>
          <w:szCs w:val="22"/>
        </w:rPr>
        <w:t xml:space="preserve">Thus, </w:t>
      </w:r>
      <w:r w:rsidR="00E82195">
        <w:rPr>
          <w:szCs w:val="22"/>
        </w:rPr>
        <w:t>absent the potential for</w:t>
      </w:r>
      <w:r w:rsidR="00517C58">
        <w:rPr>
          <w:szCs w:val="22"/>
        </w:rPr>
        <w:t xml:space="preserve"> </w:t>
      </w:r>
      <w:r w:rsidR="000E0B59">
        <w:rPr>
          <w:szCs w:val="22"/>
        </w:rPr>
        <w:t xml:space="preserve">harmful </w:t>
      </w:r>
      <w:r w:rsidR="00517C58">
        <w:rPr>
          <w:szCs w:val="22"/>
        </w:rPr>
        <w:t xml:space="preserve">interference </w:t>
      </w:r>
      <w:r w:rsidR="00E82195">
        <w:rPr>
          <w:szCs w:val="22"/>
        </w:rPr>
        <w:t>to</w:t>
      </w:r>
      <w:r w:rsidR="000E0B59">
        <w:rPr>
          <w:szCs w:val="22"/>
        </w:rPr>
        <w:t xml:space="preserve"> </w:t>
      </w:r>
      <w:r w:rsidR="00E82195">
        <w:rPr>
          <w:szCs w:val="22"/>
        </w:rPr>
        <w:t>adjacent Lower AWS-4 Band operations</w:t>
      </w:r>
      <w:r w:rsidR="00517C58">
        <w:rPr>
          <w:szCs w:val="22"/>
        </w:rPr>
        <w:t xml:space="preserve">, </w:t>
      </w:r>
      <w:r w:rsidR="00CC70B5">
        <w:rPr>
          <w:szCs w:val="22"/>
        </w:rPr>
        <w:t>it</w:t>
      </w:r>
      <w:r w:rsidR="00517C58">
        <w:rPr>
          <w:szCs w:val="22"/>
        </w:rPr>
        <w:t xml:space="preserve"> would </w:t>
      </w:r>
      <w:r w:rsidR="00CC70B5">
        <w:rPr>
          <w:szCs w:val="22"/>
        </w:rPr>
        <w:t xml:space="preserve">appear appropriate to examine whether to </w:t>
      </w:r>
      <w:r w:rsidR="00517C58">
        <w:rPr>
          <w:szCs w:val="22"/>
        </w:rPr>
        <w:t xml:space="preserve">relax the OOBE limits on the Upper H Block.  </w:t>
      </w:r>
    </w:p>
    <w:p w14:paraId="1F1F9A8F" w14:textId="77777777" w:rsidR="00FB5DFA" w:rsidRPr="00C37683" w:rsidRDefault="001E28DA">
      <w:pPr>
        <w:pStyle w:val="ParaNum"/>
        <w:widowControl/>
      </w:pPr>
      <w:bookmarkStart w:id="407" w:name="_Ref374008554"/>
      <w:r>
        <w:t>W</w:t>
      </w:r>
      <w:r w:rsidRPr="006A2FBF">
        <w:t xml:space="preserve">e </w:t>
      </w:r>
      <w:r>
        <w:t>find, however, that it is premature to address this request</w:t>
      </w:r>
      <w:r w:rsidRPr="006A2FBF">
        <w:t xml:space="preserve"> to waive the H Block OOBE </w:t>
      </w:r>
      <w:r w:rsidR="00A63C0F">
        <w:t>requirements</w:t>
      </w:r>
      <w:r w:rsidR="00CC70B5">
        <w:t xml:space="preserve"> in this order</w:t>
      </w:r>
      <w:r>
        <w:t>, given that the H Block auction has not yet occurred and</w:t>
      </w:r>
      <w:r w:rsidR="00560223">
        <w:t xml:space="preserve"> that </w:t>
      </w:r>
      <w:r>
        <w:t>it is not yet clear if the AWS-4 band will be used for uplink or downlink</w:t>
      </w:r>
      <w:r w:rsidRPr="006A2FBF">
        <w:t xml:space="preserve">.  To the extent that Sprint, or any other party, desires </w:t>
      </w:r>
      <w:r>
        <w:t>a</w:t>
      </w:r>
      <w:r w:rsidRPr="006A2FBF">
        <w:t xml:space="preserve"> waiver or change of any of the H Block rules in light of this </w:t>
      </w:r>
      <w:r>
        <w:t>o</w:t>
      </w:r>
      <w:r w:rsidRPr="006A2FBF">
        <w:t xml:space="preserve">rder, </w:t>
      </w:r>
      <w:r>
        <w:t xml:space="preserve">or DISH’s subsequent actions pursuant to the order, </w:t>
      </w:r>
      <w:r w:rsidRPr="006A2FBF">
        <w:t xml:space="preserve">it </w:t>
      </w:r>
      <w:r>
        <w:t>may fi</w:t>
      </w:r>
      <w:r w:rsidRPr="006A2FBF">
        <w:t>le a</w:t>
      </w:r>
      <w:r>
        <w:t>n appropriate</w:t>
      </w:r>
      <w:r w:rsidRPr="006A2FBF">
        <w:t xml:space="preserve"> request.</w:t>
      </w:r>
      <w:bookmarkEnd w:id="406"/>
      <w:bookmarkEnd w:id="407"/>
      <w:r w:rsidRPr="006A2FBF">
        <w:t xml:space="preserve"> </w:t>
      </w:r>
    </w:p>
    <w:p w14:paraId="1A7920B1" w14:textId="77777777" w:rsidR="00BB5BE6" w:rsidRPr="00BB5BE6" w:rsidRDefault="00BB5BE6" w:rsidP="00830128">
      <w:pPr>
        <w:pStyle w:val="Heading2"/>
        <w:widowControl/>
      </w:pPr>
      <w:bookmarkStart w:id="408" w:name="_Toc373163490"/>
      <w:bookmarkStart w:id="409" w:name="_Toc373168372"/>
      <w:bookmarkStart w:id="410" w:name="_Toc373168408"/>
      <w:bookmarkStart w:id="411" w:name="_Toc373168567"/>
      <w:bookmarkStart w:id="412" w:name="_Toc373168855"/>
      <w:bookmarkStart w:id="413" w:name="_Toc374110199"/>
      <w:bookmarkStart w:id="414" w:name="_Toc374110240"/>
      <w:bookmarkStart w:id="415" w:name="_Ref371588486"/>
      <w:bookmarkEnd w:id="401"/>
      <w:r>
        <w:t>Election P</w:t>
      </w:r>
      <w:r w:rsidR="007F7053" w:rsidRPr="00BB5BE6">
        <w:t>eriod</w:t>
      </w:r>
      <w:bookmarkEnd w:id="408"/>
      <w:bookmarkEnd w:id="409"/>
      <w:bookmarkEnd w:id="410"/>
      <w:bookmarkEnd w:id="411"/>
      <w:bookmarkEnd w:id="412"/>
      <w:bookmarkEnd w:id="413"/>
      <w:bookmarkEnd w:id="414"/>
      <w:r w:rsidR="007F7053" w:rsidRPr="00BB5BE6">
        <w:t xml:space="preserve">  </w:t>
      </w:r>
    </w:p>
    <w:p w14:paraId="33E7D761" w14:textId="77777777" w:rsidR="007F7053" w:rsidRPr="007F7053" w:rsidRDefault="007F7053" w:rsidP="00682224">
      <w:pPr>
        <w:pStyle w:val="ParaNum"/>
        <w:widowControl/>
      </w:pPr>
      <w:bookmarkStart w:id="416" w:name="_Ref373154333"/>
      <w:r w:rsidRPr="007F7053">
        <w:t xml:space="preserve">In seeking flexibility to determine whether to use the AWS-4 2000-2020 MHz band for uplink or downlink </w:t>
      </w:r>
      <w:r w:rsidRPr="00B32DBE">
        <w:rPr>
          <w:shd w:val="clear" w:color="auto" w:fill="FFFFFF"/>
        </w:rPr>
        <w:t>operations</w:t>
      </w:r>
      <w:r w:rsidRPr="007F7053">
        <w:t xml:space="preserve">, DISH </w:t>
      </w:r>
      <w:r w:rsidR="003F42C1">
        <w:t xml:space="preserve">commits </w:t>
      </w:r>
      <w:r w:rsidR="009413F3">
        <w:t xml:space="preserve">that, </w:t>
      </w:r>
      <w:r w:rsidR="003F42C1">
        <w:t>as soon as commercially practicable but no later than</w:t>
      </w:r>
      <w:r w:rsidRPr="007F7053">
        <w:t xml:space="preserve"> 30 months after grant of its petition</w:t>
      </w:r>
      <w:r w:rsidR="009413F3">
        <w:t>, it will</w:t>
      </w:r>
      <w:r w:rsidRPr="007F7053">
        <w:t xml:space="preserve"> file an election stating which option it chooses.</w:t>
      </w:r>
      <w:r w:rsidRPr="007F7053">
        <w:rPr>
          <w:rStyle w:val="FootnoteReference"/>
          <w:sz w:val="22"/>
        </w:rPr>
        <w:footnoteReference w:id="118"/>
      </w:r>
      <w:r w:rsidRPr="007F7053">
        <w:t xml:space="preserve">  DISH maintains that it needs this flexibility in order to “obtain[] a degree of certainty as to the availability of new uplink spectrum, and the extent to which such spectrum would be suitable for pairing.”</w:t>
      </w:r>
      <w:r w:rsidRPr="007F7053">
        <w:rPr>
          <w:rStyle w:val="FootnoteReference"/>
          <w:sz w:val="22"/>
        </w:rPr>
        <w:footnoteReference w:id="119"/>
      </w:r>
      <w:bookmarkEnd w:id="416"/>
      <w:r w:rsidRPr="007F7053">
        <w:t xml:space="preserve">  </w:t>
      </w:r>
      <w:bookmarkEnd w:id="415"/>
    </w:p>
    <w:p w14:paraId="603E7D1A" w14:textId="77777777" w:rsidR="009141A0" w:rsidRDefault="00AD431F" w:rsidP="00682224">
      <w:pPr>
        <w:pStyle w:val="ParaNum"/>
        <w:widowControl/>
      </w:pPr>
      <w:bookmarkStart w:id="417" w:name="_Ref372798738"/>
      <w:bookmarkStart w:id="418" w:name="_Ref373154344"/>
      <w:bookmarkStart w:id="419" w:name="_Ref371588489"/>
      <w:r>
        <w:t xml:space="preserve">We </w:t>
      </w:r>
      <w:r w:rsidR="00086A18">
        <w:t xml:space="preserve">condition DISH’s </w:t>
      </w:r>
      <w:r w:rsidR="001F047D">
        <w:t xml:space="preserve">waiver on making an </w:t>
      </w:r>
      <w:r w:rsidR="00086A18">
        <w:t>election in accordance with this time limitation</w:t>
      </w:r>
      <w:r w:rsidR="00CB6F64">
        <w:t>.</w:t>
      </w:r>
      <w:r>
        <w:t xml:space="preserve">  DISH states that it nee</w:t>
      </w:r>
      <w:r w:rsidR="00F923FA">
        <w:t>d</w:t>
      </w:r>
      <w:r>
        <w:t>s this time to fully evaluate its options for putting the spectrum to its best use</w:t>
      </w:r>
      <w:r w:rsidR="002D53E0">
        <w:t>.  N</w:t>
      </w:r>
      <w:r>
        <w:t>o party substantively respond</w:t>
      </w:r>
      <w:r w:rsidR="00F923FA">
        <w:t>ed</w:t>
      </w:r>
      <w:r>
        <w:t xml:space="preserve"> to this rationale</w:t>
      </w:r>
      <w:r w:rsidR="002D53E0">
        <w:t>, and t</w:t>
      </w:r>
      <w:r>
        <w:t xml:space="preserve">he only party to comment on this election time frame, NTCH, </w:t>
      </w:r>
      <w:r w:rsidR="002D53E0">
        <w:t xml:space="preserve">neither </w:t>
      </w:r>
      <w:r>
        <w:t>comment</w:t>
      </w:r>
      <w:r w:rsidR="002D53E0">
        <w:t>s</w:t>
      </w:r>
      <w:r>
        <w:t xml:space="preserve"> on the utility of the potential use of the Lower AWS-4 Band as downlink</w:t>
      </w:r>
      <w:r w:rsidR="00086A18">
        <w:t xml:space="preserve">, </w:t>
      </w:r>
      <w:r w:rsidR="002D53E0">
        <w:t>n</w:t>
      </w:r>
      <w:r w:rsidR="00086A18">
        <w:t>or address</w:t>
      </w:r>
      <w:r w:rsidR="002D53E0">
        <w:t>es</w:t>
      </w:r>
      <w:r w:rsidR="00086A18">
        <w:t xml:space="preserve"> DISH’s argument that it needs this time to ensure its ability to find new uplink spectrum for pairing with 2000-2020 MHz downlink spectrum</w:t>
      </w:r>
      <w:r>
        <w:t>.</w:t>
      </w:r>
      <w:r w:rsidR="00086A18">
        <w:rPr>
          <w:rStyle w:val="FootnoteReference"/>
        </w:rPr>
        <w:footnoteReference w:id="120"/>
      </w:r>
      <w:r>
        <w:t xml:space="preserve">  Rather</w:t>
      </w:r>
      <w:r w:rsidR="002D53E0">
        <w:t>, NTCH</w:t>
      </w:r>
      <w:r>
        <w:t xml:space="preserve"> </w:t>
      </w:r>
      <w:r w:rsidRPr="007F7053">
        <w:t>argues that an election period extending beyond the upcoming H-Block auction</w:t>
      </w:r>
      <w:r w:rsidRPr="00AD4368">
        <w:rPr>
          <w:rStyle w:val="FootnoteReference"/>
        </w:rPr>
        <w:footnoteReference w:id="121"/>
      </w:r>
      <w:r w:rsidRPr="007F7053">
        <w:t xml:space="preserve"> would unfairly advantage DISH</w:t>
      </w:r>
      <w:r w:rsidR="00CC1C04">
        <w:t xml:space="preserve"> in that auction</w:t>
      </w:r>
      <w:r w:rsidRPr="007F7053">
        <w:t xml:space="preserve">, </w:t>
      </w:r>
      <w:r>
        <w:t>because DISH’s</w:t>
      </w:r>
      <w:r w:rsidRPr="007F7053">
        <w:t xml:space="preserve"> ”unilateral control [of] the technical configuration of the adjacent [AWS-4] band” would create uncertainty about the value of the H Block during the auction.</w:t>
      </w:r>
      <w:r w:rsidRPr="00AD4368">
        <w:rPr>
          <w:rStyle w:val="FootnoteReference"/>
        </w:rPr>
        <w:footnoteReference w:id="122"/>
      </w:r>
      <w:r>
        <w:t xml:space="preserve">  We are unpersuaded by NTCH</w:t>
      </w:r>
      <w:r w:rsidR="000F5589">
        <w:t>’s argument</w:t>
      </w:r>
      <w:r>
        <w:t>.</w:t>
      </w:r>
      <w:r w:rsidR="007F7053" w:rsidRPr="007F7053">
        <w:t xml:space="preserve">  </w:t>
      </w:r>
      <w:r>
        <w:t xml:space="preserve">Rather, </w:t>
      </w:r>
      <w:r w:rsidR="007F7053" w:rsidRPr="007F7053">
        <w:t>DISH correctly observes that neither of its election options would decrease the value of the H Block;</w:t>
      </w:r>
      <w:r w:rsidR="007F7053" w:rsidRPr="00AD4368">
        <w:rPr>
          <w:rStyle w:val="FootnoteReference"/>
        </w:rPr>
        <w:footnoteReference w:id="123"/>
      </w:r>
      <w:r w:rsidR="007F7053" w:rsidRPr="007F7053">
        <w:t xml:space="preserve"> the only possible change would be an increase resulting from the improved usability described above.</w:t>
      </w:r>
      <w:r w:rsidR="007F7053" w:rsidRPr="00AD4368">
        <w:rPr>
          <w:rStyle w:val="FootnoteReference"/>
        </w:rPr>
        <w:footnoteReference w:id="124"/>
      </w:r>
      <w:r w:rsidR="007F7053" w:rsidRPr="007F7053">
        <w:t xml:space="preserve">  Moreover, </w:t>
      </w:r>
      <w:r w:rsidR="006B4CC0">
        <w:t>regardless of which election DISH ultimately makes, the interference environment is known now and H Block licensees will receive appropriate interference protections from AWS-4 licensees.</w:t>
      </w:r>
      <w:r w:rsidR="00621A13">
        <w:t xml:space="preserve">  </w:t>
      </w:r>
      <w:r w:rsidR="00C9402D">
        <w:t>In addition</w:t>
      </w:r>
      <w:r w:rsidR="00621A13">
        <w:t>,</w:t>
      </w:r>
      <w:r w:rsidR="00CB6F64" w:rsidRPr="007F7053">
        <w:t xml:space="preserve"> </w:t>
      </w:r>
      <w:r w:rsidR="007F7053" w:rsidRPr="007F7053">
        <w:t xml:space="preserve">all H Block bidders should be aware of </w:t>
      </w:r>
      <w:r w:rsidR="00DC050F">
        <w:t xml:space="preserve">DISH’s request for </w:t>
      </w:r>
      <w:r w:rsidR="00086A18">
        <w:t>the waiver granted in this order</w:t>
      </w:r>
      <w:r w:rsidR="007F7053" w:rsidRPr="007F7053">
        <w:t>,</w:t>
      </w:r>
      <w:r w:rsidR="00DC050F" w:rsidRPr="007F7053">
        <w:rPr>
          <w:vertAlign w:val="superscript"/>
        </w:rPr>
        <w:footnoteReference w:id="125"/>
      </w:r>
      <w:r w:rsidR="007F7053" w:rsidRPr="007F7053">
        <w:t xml:space="preserve"> and </w:t>
      </w:r>
      <w:r w:rsidR="00DC050F">
        <w:t xml:space="preserve">should be able to </w:t>
      </w:r>
      <w:r w:rsidR="007F7053" w:rsidRPr="007F7053">
        <w:t xml:space="preserve">take </w:t>
      </w:r>
      <w:r w:rsidR="00DC050F">
        <w:t>the terms of the waiver</w:t>
      </w:r>
      <w:r w:rsidR="007F7053" w:rsidRPr="007F7053">
        <w:t xml:space="preserve"> into account in their bidding strategies.</w:t>
      </w:r>
      <w:bookmarkEnd w:id="417"/>
      <w:r w:rsidR="009353C0">
        <w:t xml:space="preserve">  </w:t>
      </w:r>
      <w:r w:rsidR="009353C0" w:rsidRPr="00AA4793">
        <w:t>Thus, we are not persuaded that the length of the election period will create uncertainty with regard to the interference protection environment or give DISH any advantage in that regard.</w:t>
      </w:r>
      <w:bookmarkEnd w:id="418"/>
      <w:r w:rsidR="007F7053" w:rsidRPr="007F7053">
        <w:t xml:space="preserve">  </w:t>
      </w:r>
    </w:p>
    <w:p w14:paraId="5852389E" w14:textId="77777777" w:rsidR="00034158" w:rsidRDefault="007D48CA" w:rsidP="00682224">
      <w:pPr>
        <w:pStyle w:val="ParaNum"/>
        <w:widowControl/>
      </w:pPr>
      <w:bookmarkStart w:id="420" w:name="_Ref373152894"/>
      <w:r>
        <w:t xml:space="preserve">In granting DISH as long as is commercially practicable, up to 30 months, to make its uplink or downlink election, we clarify that the election is a one-time, irrevocable event, and that it must be filed in the manner described </w:t>
      </w:r>
      <w:r w:rsidRPr="00B32DBE">
        <w:rPr>
          <w:shd w:val="clear" w:color="auto" w:fill="FFFFFF"/>
        </w:rPr>
        <w:t>below</w:t>
      </w:r>
      <w:r>
        <w:t>.</w:t>
      </w:r>
      <w:r w:rsidR="00CC2E06">
        <w:rPr>
          <w:rStyle w:val="FootnoteReference"/>
        </w:rPr>
        <w:footnoteReference w:id="126"/>
      </w:r>
      <w:r>
        <w:t xml:space="preserve">  Once DISH determines how it will utilize the band, nearby licensees must have the certainty of knowing how the band will be utilized, for uplink operations or for downlink operations.  Thus, the election must occur only once.  </w:t>
      </w:r>
      <w:r w:rsidR="003D63E9">
        <w:t>Further, the election must, as DISH states, “apply uniformly to all AWS-4 licenses in the nation.”</w:t>
      </w:r>
      <w:r w:rsidR="003D63E9">
        <w:rPr>
          <w:rStyle w:val="FootnoteReference"/>
        </w:rPr>
        <w:footnoteReference w:id="127"/>
      </w:r>
      <w:r w:rsidR="003D63E9">
        <w:t xml:space="preserve">  </w:t>
      </w:r>
      <w:r w:rsidRPr="007F7053">
        <w:t>Ac</w:t>
      </w:r>
      <w:r w:rsidR="00777FE1">
        <w:t>cordingly, DISH’s waiver is</w:t>
      </w:r>
      <w:r w:rsidRPr="007F7053">
        <w:t xml:space="preserve"> conditioned on its filing an election within 30 months of </w:t>
      </w:r>
      <w:r>
        <w:t xml:space="preserve">the date of the </w:t>
      </w:r>
      <w:r w:rsidRPr="007F7053">
        <w:t>release</w:t>
      </w:r>
      <w:r>
        <w:t xml:space="preserve"> </w:t>
      </w:r>
      <w:r w:rsidRPr="007F7053">
        <w:t>of this order, as DISH has proposed.</w:t>
      </w:r>
      <w:bookmarkEnd w:id="420"/>
    </w:p>
    <w:p w14:paraId="6552EDFF" w14:textId="77777777" w:rsidR="00034158" w:rsidRPr="006A2FBF" w:rsidRDefault="00034158" w:rsidP="00682224">
      <w:pPr>
        <w:pStyle w:val="Heading2"/>
        <w:widowControl/>
        <w:spacing w:before="240"/>
      </w:pPr>
      <w:bookmarkStart w:id="421" w:name="_Toc372273912"/>
      <w:bookmarkStart w:id="422" w:name="_Toc372293879"/>
      <w:bookmarkStart w:id="423" w:name="_Toc372810090"/>
      <w:bookmarkStart w:id="424" w:name="_Toc373163491"/>
      <w:bookmarkStart w:id="425" w:name="_Toc373168373"/>
      <w:bookmarkStart w:id="426" w:name="_Toc373168409"/>
      <w:bookmarkStart w:id="427" w:name="_Toc373168568"/>
      <w:bookmarkStart w:id="428" w:name="_Toc373168856"/>
      <w:bookmarkStart w:id="429" w:name="_Toc374110200"/>
      <w:bookmarkStart w:id="430" w:name="_Toc374110241"/>
      <w:r>
        <w:t>One-Year Waiver of</w:t>
      </w:r>
      <w:r w:rsidRPr="006A2FBF">
        <w:t xml:space="preserve"> </w:t>
      </w:r>
      <w:r>
        <w:t>the</w:t>
      </w:r>
      <w:r w:rsidRPr="006A2FBF">
        <w:t xml:space="preserve"> Final </w:t>
      </w:r>
      <w:r>
        <w:t>Build-Out</w:t>
      </w:r>
      <w:r w:rsidRPr="006A2FBF">
        <w:t xml:space="preserve"> Milestone</w:t>
      </w:r>
      <w:bookmarkEnd w:id="421"/>
      <w:bookmarkEnd w:id="422"/>
      <w:bookmarkEnd w:id="423"/>
      <w:bookmarkEnd w:id="424"/>
      <w:bookmarkEnd w:id="425"/>
      <w:bookmarkEnd w:id="426"/>
      <w:bookmarkEnd w:id="427"/>
      <w:bookmarkEnd w:id="428"/>
      <w:bookmarkEnd w:id="429"/>
      <w:bookmarkEnd w:id="430"/>
    </w:p>
    <w:p w14:paraId="39813F5B" w14:textId="77777777" w:rsidR="00034158" w:rsidRPr="006A2FBF" w:rsidRDefault="00034158" w:rsidP="00682224">
      <w:pPr>
        <w:pStyle w:val="ParaNum"/>
        <w:widowControl/>
      </w:pPr>
      <w:r>
        <w:rPr>
          <w:i/>
        </w:rPr>
        <w:t xml:space="preserve">Background.  </w:t>
      </w:r>
      <w:r w:rsidRPr="006A2FBF">
        <w:t>DISH also seeks a one-year extension</w:t>
      </w:r>
      <w:r>
        <w:t xml:space="preserve"> or waiver</w:t>
      </w:r>
      <w:r w:rsidRPr="006A2FBF">
        <w:t xml:space="preserve"> of the final construction milestone for its AWS-4 licenses.</w:t>
      </w:r>
      <w:r w:rsidRPr="006A2FBF">
        <w:rPr>
          <w:vertAlign w:val="superscript"/>
        </w:rPr>
        <w:footnoteReference w:id="128"/>
      </w:r>
      <w:r>
        <w:t xml:space="preserve">  Section 27.14(q) states that AWS-4 licensees must </w:t>
      </w:r>
      <w:r w:rsidRPr="006A2FBF">
        <w:t>provide coverage and servi</w:t>
      </w:r>
      <w:r>
        <w:t>ce to at least (1) 40 percent of their</w:t>
      </w:r>
      <w:r w:rsidRPr="006A2FBF">
        <w:t xml:space="preserve"> </w:t>
      </w:r>
      <w:r>
        <w:t xml:space="preserve">aggregate </w:t>
      </w:r>
      <w:r w:rsidRPr="006A2FBF">
        <w:t xml:space="preserve">license areas’ population within four years </w:t>
      </w:r>
      <w:r>
        <w:t>(interim build-out requirement),</w:t>
      </w:r>
      <w:r w:rsidRPr="006A2FBF">
        <w:rPr>
          <w:vertAlign w:val="superscript"/>
        </w:rPr>
        <w:footnoteReference w:id="129"/>
      </w:r>
      <w:r>
        <w:t xml:space="preserve"> and (2) </w:t>
      </w:r>
      <w:r w:rsidRPr="006A2FBF">
        <w:t>70 percent of the populati</w:t>
      </w:r>
      <w:r>
        <w:t>on in each of their</w:t>
      </w:r>
      <w:r w:rsidRPr="006A2FBF">
        <w:t xml:space="preserve"> license areas within seven years (final build-out </w:t>
      </w:r>
      <w:r>
        <w:t>requirement).</w:t>
      </w:r>
      <w:r w:rsidRPr="006A2FBF">
        <w:rPr>
          <w:vertAlign w:val="superscript"/>
        </w:rPr>
        <w:footnoteReference w:id="130"/>
      </w:r>
      <w:r>
        <w:t xml:space="preserve">  </w:t>
      </w:r>
      <w:bookmarkStart w:id="431" w:name="I81F6DAC8701C11E2BF6187D58508B38D"/>
      <w:bookmarkStart w:id="432" w:name="I81F6DABB701C11E2BF6187D58508B38D"/>
      <w:bookmarkStart w:id="433" w:name="SP;adbc0000986f3"/>
      <w:bookmarkEnd w:id="431"/>
      <w:bookmarkEnd w:id="432"/>
      <w:bookmarkEnd w:id="433"/>
      <w:r w:rsidRPr="006A2FBF">
        <w:t xml:space="preserve">DISH </w:t>
      </w:r>
      <w:r>
        <w:t xml:space="preserve">seeks </w:t>
      </w:r>
      <w:r w:rsidRPr="006A2FBF">
        <w:t xml:space="preserve">only </w:t>
      </w:r>
      <w:r>
        <w:t>a one-year waiver of the final build-out requirement deadline,</w:t>
      </w:r>
      <w:r w:rsidRPr="006A2FBF">
        <w:t xml:space="preserve"> </w:t>
      </w:r>
      <w:r>
        <w:t xml:space="preserve">which would </w:t>
      </w:r>
      <w:r w:rsidRPr="006A2FBF">
        <w:t>allow it eight years ra</w:t>
      </w:r>
      <w:r>
        <w:t>ther than seven years to meet</w:t>
      </w:r>
      <w:r w:rsidRPr="006A2FBF">
        <w:t xml:space="preserve"> the final build-out requirement.</w:t>
      </w:r>
      <w:r>
        <w:rPr>
          <w:rStyle w:val="FootnoteReference"/>
        </w:rPr>
        <w:footnoteReference w:id="131"/>
      </w:r>
    </w:p>
    <w:p w14:paraId="2E68593B" w14:textId="77777777" w:rsidR="00034158" w:rsidRPr="006A2FBF" w:rsidRDefault="00034158" w:rsidP="00682224">
      <w:pPr>
        <w:pStyle w:val="ParaNum"/>
        <w:widowControl/>
      </w:pPr>
      <w:r w:rsidRPr="006A2FBF">
        <w:t xml:space="preserve">DISH </w:t>
      </w:r>
      <w:r>
        <w:t xml:space="preserve">justifies its </w:t>
      </w:r>
      <w:r w:rsidRPr="00B32DBE">
        <w:rPr>
          <w:shd w:val="clear" w:color="auto" w:fill="FFFFFF"/>
        </w:rPr>
        <w:t>request</w:t>
      </w:r>
      <w:r>
        <w:t xml:space="preserve"> by stating that electing to use the Lower AWS-4 Band for downlink operations would engender new and additional work for network design and the development of base stations for use in the band.</w:t>
      </w:r>
      <w:r w:rsidRPr="006A2FBF">
        <w:rPr>
          <w:vertAlign w:val="superscript"/>
        </w:rPr>
        <w:footnoteReference w:id="132"/>
      </w:r>
      <w:r w:rsidRPr="006A2FBF">
        <w:t xml:space="preserve">  DISH </w:t>
      </w:r>
      <w:r>
        <w:t>observes</w:t>
      </w:r>
      <w:r w:rsidRPr="006A2FBF">
        <w:t xml:space="preserve"> that the Commission has previously extended construction milestones due to band reconfigurations and technical changes.</w:t>
      </w:r>
      <w:r w:rsidRPr="006A2FBF">
        <w:rPr>
          <w:vertAlign w:val="superscript"/>
        </w:rPr>
        <w:footnoteReference w:id="133"/>
      </w:r>
      <w:r w:rsidRPr="006A2FBF">
        <w:t xml:space="preserve">  It argues that the brief extension it seeks would promote the public interest by spurring broadband deployment, making more efficient use of available spectrum, and encouraging innovation.</w:t>
      </w:r>
      <w:r w:rsidRPr="006A2FBF">
        <w:rPr>
          <w:vertAlign w:val="superscript"/>
        </w:rPr>
        <w:footnoteReference w:id="134"/>
      </w:r>
      <w:r w:rsidRPr="006A2FBF">
        <w:t xml:space="preserve">  DISH also notes that it does not seek an extension of the applicable interim build-out milestone that applies to the 2000-2020 MHz band.</w:t>
      </w:r>
      <w:r w:rsidRPr="006A2FBF">
        <w:rPr>
          <w:vertAlign w:val="superscript"/>
        </w:rPr>
        <w:footnoteReference w:id="135"/>
      </w:r>
    </w:p>
    <w:p w14:paraId="7433F7BC" w14:textId="77777777" w:rsidR="00034158" w:rsidRDefault="00034158">
      <w:pPr>
        <w:pStyle w:val="ParaNum"/>
        <w:widowControl/>
      </w:pPr>
      <w:bookmarkStart w:id="434" w:name="_Ref371587251"/>
      <w:r w:rsidRPr="00AF21EF">
        <w:rPr>
          <w:i/>
        </w:rPr>
        <w:t>Discussion.</w:t>
      </w:r>
      <w:r w:rsidRPr="006A2FBF">
        <w:t xml:space="preserve">  </w:t>
      </w:r>
      <w:r>
        <w:t>Under the waiver standard articulated above, w</w:t>
      </w:r>
      <w:r w:rsidRPr="006A2FBF">
        <w:t>e grant the</w:t>
      </w:r>
      <w:r>
        <w:t xml:space="preserve"> </w:t>
      </w:r>
      <w:r w:rsidRPr="006A2FBF">
        <w:t xml:space="preserve">one-year </w:t>
      </w:r>
      <w:r>
        <w:t xml:space="preserve">waiver DISH requests.  In adopting the AWS-4 performance requirements, the Commission observed it “establishes performance </w:t>
      </w:r>
      <w:r w:rsidRPr="00B32DBE">
        <w:rPr>
          <w:shd w:val="clear" w:color="auto" w:fill="FFFFFF"/>
        </w:rPr>
        <w:t>requirements</w:t>
      </w:r>
      <w:r>
        <w:t xml:space="preserve"> </w:t>
      </w:r>
      <w:r>
        <w:rPr>
          <w:color w:val="000000"/>
        </w:rPr>
        <w:t xml:space="preserve">to promote </w:t>
      </w:r>
      <w:r>
        <w:rPr>
          <w:szCs w:val="22"/>
        </w:rPr>
        <w:t>the productive use of spectrum, to encourage licensees to provide service to customers expeditiously, and to promote the provision of innovative services throughout the license area(s), including in rural areas.”</w:t>
      </w:r>
      <w:r>
        <w:rPr>
          <w:rStyle w:val="FootnoteReference"/>
          <w:szCs w:val="22"/>
        </w:rPr>
        <w:footnoteReference w:id="136"/>
      </w:r>
      <w:r w:rsidR="00857D61">
        <w:rPr>
          <w:szCs w:val="22"/>
        </w:rPr>
        <w:t xml:space="preserve">  Other than NTCH’s</w:t>
      </w:r>
      <w:r>
        <w:rPr>
          <w:szCs w:val="22"/>
        </w:rPr>
        <w:t xml:space="preserve"> objection, </w:t>
      </w:r>
      <w:r w:rsidR="00857D61">
        <w:rPr>
          <w:szCs w:val="22"/>
        </w:rPr>
        <w:t xml:space="preserve">which is conclusory and merely ancillary to its opposition to the waiver of the uplink provision described below, </w:t>
      </w:r>
      <w:r>
        <w:rPr>
          <w:szCs w:val="22"/>
        </w:rPr>
        <w:t>no party opposed a one-year waiver of the final build-out deadline.</w:t>
      </w:r>
      <w:r>
        <w:rPr>
          <w:rStyle w:val="FootnoteReference"/>
          <w:szCs w:val="22"/>
        </w:rPr>
        <w:footnoteReference w:id="137"/>
      </w:r>
      <w:r>
        <w:rPr>
          <w:szCs w:val="22"/>
        </w:rPr>
        <w:t xml:space="preserve">  Under the unique circumstances of this case, </w:t>
      </w:r>
      <w:r>
        <w:t xml:space="preserve">because DISH must make a determination about </w:t>
      </w:r>
      <w:r w:rsidR="00027644">
        <w:t>whether to use the Lower AWS-4 B</w:t>
      </w:r>
      <w:r>
        <w:t>and for uplink or downlink operations, allowing it an extra year to complete its final build-out requirement is a reasonable accommodation to ensure that it has sufficient time to assess how this band might be put to more efficient use, without unduly delaying completion of the required full build-out due to the limited, one-year nature of the extension.  DISH does not seek a waiver of the interim build-out deadline.</w:t>
      </w:r>
      <w:r>
        <w:rPr>
          <w:rStyle w:val="FootnoteReference"/>
        </w:rPr>
        <w:footnoteReference w:id="138"/>
      </w:r>
      <w:r>
        <w:t xml:space="preserve">  </w:t>
      </w:r>
      <w:r w:rsidR="00E07A75">
        <w:t>I</w:t>
      </w:r>
      <w:r>
        <w:t>n the AWS-4 proceeding, DISH committed to “aggressively build-out a broadband network” using AWS-4 spectrum and the Commission stated that it “expect[ed] this commitment to be met.”</w:t>
      </w:r>
      <w:r>
        <w:rPr>
          <w:rStyle w:val="FootnoteReference"/>
        </w:rPr>
        <w:footnoteReference w:id="139"/>
      </w:r>
      <w:r>
        <w:t xml:space="preserve">  Furthermore, given the public interest benefits we have found in waiving the technical rules for DISH, we find that those same public interest benefits would support the limited waiver of the final build-out deadline that we grant today.  We observe that DISH’s circumstances are readily distinguishable from cases where applicants have had an extended period of time to build out and made a choice not to build facilities.</w:t>
      </w:r>
      <w:r>
        <w:rPr>
          <w:rStyle w:val="FootnoteReference"/>
        </w:rPr>
        <w:footnoteReference w:id="140"/>
      </w:r>
      <w:r>
        <w:t xml:space="preserve"> </w:t>
      </w:r>
      <w:r w:rsidRPr="006A2FBF">
        <w:t xml:space="preserve">  </w:t>
      </w:r>
      <w:r>
        <w:t xml:space="preserve">  </w:t>
      </w:r>
      <w:bookmarkEnd w:id="434"/>
      <w:r>
        <w:t xml:space="preserve">  </w:t>
      </w:r>
    </w:p>
    <w:p w14:paraId="08B3D632" w14:textId="77777777" w:rsidR="00265376" w:rsidRDefault="00265376" w:rsidP="00830128">
      <w:pPr>
        <w:pStyle w:val="Heading2"/>
        <w:widowControl/>
      </w:pPr>
      <w:bookmarkStart w:id="435" w:name="_Toc373163492"/>
      <w:bookmarkStart w:id="436" w:name="_Toc373168374"/>
      <w:bookmarkStart w:id="437" w:name="_Toc373168410"/>
      <w:bookmarkStart w:id="438" w:name="_Toc373168569"/>
      <w:bookmarkStart w:id="439" w:name="_Toc373168857"/>
      <w:bookmarkStart w:id="440" w:name="_Ref374001562"/>
      <w:bookmarkStart w:id="441" w:name="_Toc374110201"/>
      <w:bookmarkStart w:id="442" w:name="_Toc374110242"/>
      <w:r>
        <w:t>Waiver Conditions</w:t>
      </w:r>
      <w:bookmarkEnd w:id="435"/>
      <w:bookmarkEnd w:id="436"/>
      <w:bookmarkEnd w:id="437"/>
      <w:bookmarkEnd w:id="438"/>
      <w:bookmarkEnd w:id="439"/>
      <w:bookmarkEnd w:id="440"/>
      <w:bookmarkEnd w:id="441"/>
      <w:bookmarkEnd w:id="442"/>
    </w:p>
    <w:p w14:paraId="762CE90B" w14:textId="77777777" w:rsidR="009B1D6B" w:rsidRPr="00A85009" w:rsidRDefault="00A85009" w:rsidP="00682224">
      <w:pPr>
        <w:pStyle w:val="ParaNum"/>
        <w:widowControl/>
      </w:pPr>
      <w:r w:rsidRPr="00A85009">
        <w:rPr>
          <w:szCs w:val="22"/>
        </w:rPr>
        <w:t>If DISH elects to use the Lower AWS-4 Band for terrestrial downlink operations, such use will be subject to any rules that are generally applicable to</w:t>
      </w:r>
      <w:r w:rsidR="001808B5">
        <w:rPr>
          <w:szCs w:val="22"/>
        </w:rPr>
        <w:t xml:space="preserve"> AWS</w:t>
      </w:r>
      <w:r w:rsidRPr="00A85009">
        <w:rPr>
          <w:szCs w:val="22"/>
        </w:rPr>
        <w:t xml:space="preserve"> downlink operations,</w:t>
      </w:r>
      <w:r w:rsidRPr="00A85009">
        <w:rPr>
          <w:rStyle w:val="FootnoteReference"/>
          <w:szCs w:val="22"/>
        </w:rPr>
        <w:footnoteReference w:id="141"/>
      </w:r>
      <w:r w:rsidRPr="00A85009">
        <w:rPr>
          <w:szCs w:val="22"/>
        </w:rPr>
        <w:t xml:space="preserve"> except to the extent they are expressly waived by this order,</w:t>
      </w:r>
      <w:r w:rsidRPr="00A85009">
        <w:rPr>
          <w:rStyle w:val="FootnoteReference"/>
          <w:szCs w:val="22"/>
        </w:rPr>
        <w:footnoteReference w:id="142"/>
      </w:r>
      <w:r w:rsidRPr="00A85009">
        <w:rPr>
          <w:szCs w:val="22"/>
        </w:rPr>
        <w:t xml:space="preserve"> as well as all applicable license conditions and </w:t>
      </w:r>
      <w:r w:rsidR="005B6FB0" w:rsidRPr="00A85009">
        <w:t>the following</w:t>
      </w:r>
      <w:r w:rsidR="009B1D6B" w:rsidRPr="00A85009">
        <w:t xml:space="preserve"> express condit</w:t>
      </w:r>
      <w:r w:rsidR="00A561B3" w:rsidRPr="00A85009">
        <w:t>ions.</w:t>
      </w:r>
    </w:p>
    <w:p w14:paraId="33F543A2" w14:textId="77777777" w:rsidR="007D48CA" w:rsidRDefault="009B1D6B" w:rsidP="00682224">
      <w:pPr>
        <w:pStyle w:val="ParaNum"/>
        <w:widowControl/>
      </w:pPr>
      <w:bookmarkStart w:id="443" w:name="_Ref373152969"/>
      <w:r>
        <w:rPr>
          <w:i/>
        </w:rPr>
        <w:t>Election period.</w:t>
      </w:r>
      <w:r w:rsidR="007D48CA">
        <w:t xml:space="preserve">  </w:t>
      </w:r>
      <w:r>
        <w:t>W</w:t>
      </w:r>
      <w:r w:rsidR="007D48CA">
        <w:t xml:space="preserve">e </w:t>
      </w:r>
      <w:r w:rsidR="007D48CA" w:rsidRPr="00B32DBE">
        <w:rPr>
          <w:shd w:val="clear" w:color="auto" w:fill="FFFFFF"/>
        </w:rPr>
        <w:t>require</w:t>
      </w:r>
      <w:r w:rsidR="007D48CA">
        <w:t xml:space="preserve"> DISH to s</w:t>
      </w:r>
      <w:r w:rsidR="007D48CA" w:rsidRPr="006A2FBF">
        <w:t>ubmit</w:t>
      </w:r>
      <w:r w:rsidR="007D48CA">
        <w:t xml:space="preserve"> or cause to be submitted</w:t>
      </w:r>
      <w:r w:rsidR="007D48CA" w:rsidRPr="006A2FBF">
        <w:t xml:space="preserve"> </w:t>
      </w:r>
      <w:r w:rsidR="007D48CA">
        <w:t xml:space="preserve">as soon as commercially practicable but </w:t>
      </w:r>
      <w:r w:rsidR="007D48CA" w:rsidRPr="006A2FBF">
        <w:t xml:space="preserve">no later than 30 months from the </w:t>
      </w:r>
      <w:r w:rsidR="007D48CA">
        <w:t xml:space="preserve">release date </w:t>
      </w:r>
      <w:r w:rsidR="007D48CA" w:rsidRPr="006A2FBF">
        <w:t>of th</w:t>
      </w:r>
      <w:r w:rsidR="007D48CA">
        <w:t>is</w:t>
      </w:r>
      <w:r w:rsidR="00EA42C2">
        <w:t xml:space="preserve"> Memorandum Opinion and Order</w:t>
      </w:r>
      <w:r w:rsidR="007D48CA" w:rsidRPr="006A2FBF">
        <w:t xml:space="preserve"> a filing</w:t>
      </w:r>
      <w:r w:rsidR="007D48CA">
        <w:t>(s)</w:t>
      </w:r>
      <w:r w:rsidR="007D48CA" w:rsidRPr="006A2FBF">
        <w:t xml:space="preserve"> in WT Docket 13-225 and in </w:t>
      </w:r>
      <w:r w:rsidR="007D48CA">
        <w:t>the Universal Licensing System (</w:t>
      </w:r>
      <w:r w:rsidR="007D48CA" w:rsidRPr="006A2FBF">
        <w:t>ULS</w:t>
      </w:r>
      <w:r w:rsidR="007D48CA">
        <w:t>)</w:t>
      </w:r>
      <w:r w:rsidR="007D48CA" w:rsidRPr="006A2FBF">
        <w:t xml:space="preserve"> for all AWS-4 licenses, stating unequivocally its election</w:t>
      </w:r>
      <w:r w:rsidR="007D48CA">
        <w:t>—applicable to all AWS-4 licenses—</w:t>
      </w:r>
      <w:r w:rsidR="007D48CA" w:rsidRPr="006A2FBF">
        <w:t xml:space="preserve">of either uplink or downlink operations (but not both) at 2000-2020 MHz.  </w:t>
      </w:r>
      <w:r w:rsidR="00436A71">
        <w:t xml:space="preserve">Failure to meet this condition will terminate the waivers granted herein, without the need for further agency action.  </w:t>
      </w:r>
      <w:r w:rsidR="007D48CA">
        <w:t>Notwithstanding that the election will not be made for up to 30 months, the election when made by DISH shall be binding on all AWS-4 licensees who are AWS-4 licensees on the release date of this Memorandum Opinion and Order or at any time thereafter.</w:t>
      </w:r>
      <w:bookmarkEnd w:id="443"/>
      <w:r w:rsidR="00A85009">
        <w:rPr>
          <w:rStyle w:val="FootnoteReference"/>
        </w:rPr>
        <w:footnoteReference w:id="143"/>
      </w:r>
    </w:p>
    <w:p w14:paraId="63306269" w14:textId="77777777" w:rsidR="00365720" w:rsidRDefault="00365720" w:rsidP="00682224">
      <w:pPr>
        <w:pStyle w:val="ParaNum"/>
        <w:widowControl/>
      </w:pPr>
      <w:r>
        <w:rPr>
          <w:i/>
          <w:iCs/>
        </w:rPr>
        <w:t xml:space="preserve">H Block Auction Commitment. </w:t>
      </w:r>
      <w:r>
        <w:t xml:space="preserve">Given our public interest analysis of DISH’s bidding commitment in the H Block auction, we grant this waiver on the express condition that DISH fulfill its commitment to bid “at least a net </w:t>
      </w:r>
      <w:r w:rsidRPr="00B32DBE">
        <w:rPr>
          <w:shd w:val="clear" w:color="auto" w:fill="FFFFFF"/>
        </w:rPr>
        <w:t>clearing</w:t>
      </w:r>
      <w:r>
        <w:t xml:space="preserve"> price” equal to the aggregate reserve price of $1.564 billion in the H Block</w:t>
      </w:r>
      <w:r w:rsidR="004740C6">
        <w:t xml:space="preserve"> auction</w:t>
      </w:r>
      <w:r>
        <w:t>.  Failure by DISH to meet thi</w:t>
      </w:r>
      <w:r w:rsidR="00CF0358">
        <w:t xml:space="preserve">s commitment </w:t>
      </w:r>
      <w:r w:rsidR="00CF0358" w:rsidRPr="00B32DBE">
        <w:rPr>
          <w:shd w:val="clear" w:color="auto" w:fill="FFFFFF"/>
        </w:rPr>
        <w:t>will</w:t>
      </w:r>
      <w:r w:rsidR="00CF0358">
        <w:t xml:space="preserve"> terminate the</w:t>
      </w:r>
      <w:r>
        <w:t xml:space="preserve"> waiver</w:t>
      </w:r>
      <w:r w:rsidR="000B6213">
        <w:t>s</w:t>
      </w:r>
      <w:r w:rsidR="001E1FC2">
        <w:t xml:space="preserve"> granted herein</w:t>
      </w:r>
      <w:r>
        <w:t>, without the need for further agency action.</w:t>
      </w:r>
      <w:r w:rsidR="00A85009">
        <w:rPr>
          <w:rStyle w:val="FootnoteReference"/>
        </w:rPr>
        <w:footnoteReference w:id="144"/>
      </w:r>
    </w:p>
    <w:p w14:paraId="523C37B3" w14:textId="77777777" w:rsidR="00365720" w:rsidRPr="00365720" w:rsidRDefault="00365720" w:rsidP="007E3D52">
      <w:pPr>
        <w:pStyle w:val="ParaNum"/>
        <w:keepNext/>
        <w:widowControl/>
      </w:pPr>
      <w:r>
        <w:rPr>
          <w:i/>
          <w:iCs/>
        </w:rPr>
        <w:t xml:space="preserve">Downlink Operations in 2000-2020 MHz. </w:t>
      </w:r>
      <w:r w:rsidR="00B32DBE">
        <w:rPr>
          <w:i/>
          <w:iCs/>
        </w:rPr>
        <w:t xml:space="preserve"> </w:t>
      </w:r>
      <w:r>
        <w:t xml:space="preserve">If DISH does elect to use 2000-2020 MHz for downlink operations, </w:t>
      </w:r>
      <w:r w:rsidR="0079349F">
        <w:t>in place of the rules waived above</w:t>
      </w:r>
      <w:r w:rsidR="004B465A">
        <w:t>,</w:t>
      </w:r>
      <w:r w:rsidR="0079349F">
        <w:t xml:space="preserve"> </w:t>
      </w:r>
      <w:r>
        <w:t xml:space="preserve">the following requirements </w:t>
      </w:r>
      <w:r w:rsidR="004B465A">
        <w:t>(</w:t>
      </w:r>
      <w:r>
        <w:t>based on our technical analysis</w:t>
      </w:r>
      <w:r w:rsidR="009112CD">
        <w:t xml:space="preserve"> detailed above)</w:t>
      </w:r>
      <w:r>
        <w:t>, shall apply:</w:t>
      </w:r>
      <w:r w:rsidR="00A85009">
        <w:rPr>
          <w:rStyle w:val="FootnoteReference"/>
        </w:rPr>
        <w:footnoteReference w:id="145"/>
      </w:r>
    </w:p>
    <w:p w14:paraId="6B31BAE5" w14:textId="77777777" w:rsidR="00365720" w:rsidRPr="00E46CE0" w:rsidRDefault="00365720" w:rsidP="00682224">
      <w:pPr>
        <w:keepNext/>
        <w:widowControl/>
        <w:jc w:val="center"/>
        <w:rPr>
          <w:b/>
        </w:rPr>
      </w:pPr>
    </w:p>
    <w:tbl>
      <w:tblPr>
        <w:tblStyle w:val="TableGrid"/>
        <w:tblW w:w="9648" w:type="dxa"/>
        <w:tblLook w:val="04A0" w:firstRow="1" w:lastRow="0" w:firstColumn="1" w:lastColumn="0" w:noHBand="0" w:noVBand="1"/>
      </w:tblPr>
      <w:tblGrid>
        <w:gridCol w:w="2448"/>
        <w:gridCol w:w="7200"/>
      </w:tblGrid>
      <w:tr w:rsidR="00365720" w14:paraId="42FC8684" w14:textId="77777777" w:rsidTr="00090CD6">
        <w:trPr>
          <w:tblHeader/>
        </w:trPr>
        <w:tc>
          <w:tcPr>
            <w:tcW w:w="2448" w:type="dxa"/>
            <w:vAlign w:val="bottom"/>
          </w:tcPr>
          <w:p w14:paraId="6DDBE078" w14:textId="77777777" w:rsidR="00365720" w:rsidRPr="008074B4" w:rsidRDefault="00365720">
            <w:pPr>
              <w:keepNext/>
              <w:widowControl/>
              <w:spacing w:before="120" w:after="120"/>
              <w:rPr>
                <w:rFonts w:ascii="Times New Roman" w:eastAsia="Times New Roman" w:hAnsi="Times New Roman" w:cs="Times New Roman"/>
                <w:b/>
                <w:bCs/>
                <w:snapToGrid/>
                <w:szCs w:val="20"/>
              </w:rPr>
            </w:pPr>
            <w:r w:rsidRPr="008074B4">
              <w:rPr>
                <w:rFonts w:ascii="Times New Roman" w:hAnsi="Times New Roman" w:cs="Times New Roman"/>
                <w:b/>
                <w:bCs/>
              </w:rPr>
              <w:t>Technical Issue</w:t>
            </w:r>
          </w:p>
        </w:tc>
        <w:tc>
          <w:tcPr>
            <w:tcW w:w="7200" w:type="dxa"/>
            <w:vAlign w:val="bottom"/>
          </w:tcPr>
          <w:p w14:paraId="273F5069" w14:textId="77777777" w:rsidR="00365720" w:rsidRPr="008074B4" w:rsidRDefault="00365720">
            <w:pPr>
              <w:keepNext/>
              <w:widowControl/>
              <w:spacing w:before="120" w:after="120"/>
              <w:jc w:val="center"/>
              <w:rPr>
                <w:rFonts w:ascii="Times New Roman" w:eastAsia="Times New Roman" w:hAnsi="Times New Roman" w:cs="Times New Roman"/>
                <w:szCs w:val="20"/>
              </w:rPr>
            </w:pPr>
            <w:r w:rsidRPr="008074B4">
              <w:rPr>
                <w:rFonts w:ascii="Times New Roman" w:hAnsi="Times New Roman" w:cs="Times New Roman"/>
                <w:b/>
                <w:bCs/>
              </w:rPr>
              <w:t>Requirement</w:t>
            </w:r>
          </w:p>
        </w:tc>
      </w:tr>
      <w:tr w:rsidR="00365720" w14:paraId="7501BE52" w14:textId="77777777" w:rsidTr="00090CD6">
        <w:tc>
          <w:tcPr>
            <w:tcW w:w="2448" w:type="dxa"/>
            <w:vAlign w:val="center"/>
          </w:tcPr>
          <w:p w14:paraId="6CC13C88" w14:textId="77777777" w:rsidR="00365720" w:rsidRPr="00C37683" w:rsidRDefault="00365720" w:rsidP="00682224">
            <w:pPr>
              <w:keepNext/>
              <w:widowControl/>
              <w:rPr>
                <w:rFonts w:ascii="Times New Roman" w:eastAsia="Times New Roman" w:hAnsi="Times New Roman" w:cs="Times New Roman"/>
                <w:snapToGrid/>
                <w:color w:val="000000"/>
                <w:szCs w:val="20"/>
              </w:rPr>
            </w:pPr>
            <w:r w:rsidRPr="00C37683">
              <w:rPr>
                <w:rFonts w:ascii="Times New Roman" w:hAnsi="Times New Roman" w:cs="Times New Roman"/>
                <w:color w:val="000000"/>
              </w:rPr>
              <w:t xml:space="preserve">Power Limits </w:t>
            </w:r>
          </w:p>
        </w:tc>
        <w:tc>
          <w:tcPr>
            <w:tcW w:w="7200" w:type="dxa"/>
            <w:vAlign w:val="bottom"/>
          </w:tcPr>
          <w:p w14:paraId="4C3C31A7" w14:textId="77777777" w:rsidR="00365720" w:rsidRPr="00C37683" w:rsidRDefault="00365720" w:rsidP="00682224">
            <w:pPr>
              <w:pStyle w:val="ListParagraph"/>
              <w:keepNext/>
              <w:widowControl/>
              <w:numPr>
                <w:ilvl w:val="0"/>
                <w:numId w:val="3"/>
              </w:numPr>
              <w:rPr>
                <w:rFonts w:ascii="Times New Roman" w:eastAsia="Times New Roman" w:hAnsi="Times New Roman" w:cs="Times New Roman"/>
                <w:color w:val="000000"/>
                <w:szCs w:val="20"/>
              </w:rPr>
            </w:pPr>
            <w:r w:rsidRPr="00C37683">
              <w:rPr>
                <w:rFonts w:ascii="Times New Roman" w:hAnsi="Times New Roman" w:cs="Times New Roman"/>
                <w:color w:val="000000"/>
              </w:rPr>
              <w:t>The EIRP limits for rural and non-rural areas set forth in rule sections 27.50(d)(1)-(2);</w:t>
            </w:r>
            <w:r w:rsidR="0024753A">
              <w:rPr>
                <w:rFonts w:ascii="Times New Roman" w:hAnsi="Times New Roman" w:cs="Times New Roman"/>
                <w:color w:val="000000"/>
              </w:rPr>
              <w:t xml:space="preserve"> and</w:t>
            </w:r>
          </w:p>
          <w:p w14:paraId="3C49C470" w14:textId="77777777" w:rsidR="00365720" w:rsidRPr="00C37683" w:rsidRDefault="00365720" w:rsidP="00682224">
            <w:pPr>
              <w:pStyle w:val="ListParagraph"/>
              <w:keepNext/>
              <w:widowControl/>
              <w:numPr>
                <w:ilvl w:val="0"/>
                <w:numId w:val="3"/>
              </w:numPr>
              <w:rPr>
                <w:rFonts w:ascii="Times New Roman" w:eastAsia="Times New Roman" w:hAnsi="Times New Roman" w:cs="Times New Roman"/>
                <w:color w:val="000000"/>
                <w:szCs w:val="20"/>
              </w:rPr>
            </w:pPr>
            <w:r w:rsidRPr="00C37683">
              <w:rPr>
                <w:rFonts w:ascii="Times New Roman" w:hAnsi="Times New Roman" w:cs="Times New Roman"/>
                <w:color w:val="000000"/>
              </w:rPr>
              <w:t xml:space="preserve">Coordination with 1995-2000 MHz licensees in the same manner that rule section </w:t>
            </w:r>
            <w:r>
              <w:rPr>
                <w:rFonts w:ascii="Times New Roman" w:hAnsi="Times New Roman" w:cs="Times New Roman"/>
                <w:color w:val="000000"/>
              </w:rPr>
              <w:t xml:space="preserve">27.50(d)(10) </w:t>
            </w:r>
            <w:r w:rsidRPr="00C37683">
              <w:rPr>
                <w:rFonts w:ascii="Times New Roman" w:hAnsi="Times New Roman" w:cs="Times New Roman"/>
                <w:color w:val="000000"/>
              </w:rPr>
              <w:t>requires 1995-2000 MHz licensees to coordinate with 1990-1995 MHz licensees.</w:t>
            </w:r>
          </w:p>
        </w:tc>
      </w:tr>
      <w:tr w:rsidR="00365720" w14:paraId="0ACE929E" w14:textId="77777777" w:rsidTr="00090CD6">
        <w:tc>
          <w:tcPr>
            <w:tcW w:w="2448" w:type="dxa"/>
            <w:vAlign w:val="center"/>
          </w:tcPr>
          <w:p w14:paraId="5EEF547C" w14:textId="77777777" w:rsidR="00365720" w:rsidRPr="00C37683" w:rsidRDefault="00365720" w:rsidP="00682224">
            <w:pPr>
              <w:keepNext/>
              <w:widowControl/>
              <w:rPr>
                <w:rFonts w:ascii="Times New Roman" w:eastAsia="Times New Roman" w:hAnsi="Times New Roman" w:cs="Times New Roman"/>
                <w:color w:val="000000"/>
                <w:szCs w:val="20"/>
              </w:rPr>
            </w:pPr>
            <w:r w:rsidRPr="00C37683">
              <w:rPr>
                <w:rFonts w:ascii="Times New Roman" w:hAnsi="Times New Roman" w:cs="Times New Roman"/>
                <w:color w:val="000000"/>
              </w:rPr>
              <w:t xml:space="preserve">OOBE Limits </w:t>
            </w:r>
          </w:p>
        </w:tc>
        <w:tc>
          <w:tcPr>
            <w:tcW w:w="7200" w:type="dxa"/>
            <w:vAlign w:val="bottom"/>
          </w:tcPr>
          <w:p w14:paraId="1E890D43" w14:textId="77777777" w:rsidR="00365720" w:rsidRPr="00C37683" w:rsidRDefault="00365720" w:rsidP="00682224">
            <w:pPr>
              <w:keepNext/>
              <w:widowControl/>
              <w:rPr>
                <w:rFonts w:ascii="Times New Roman" w:eastAsia="Times New Roman" w:hAnsi="Times New Roman" w:cs="Times New Roman"/>
                <w:color w:val="000000"/>
                <w:szCs w:val="20"/>
              </w:rPr>
            </w:pPr>
            <w:r w:rsidRPr="00C37683">
              <w:rPr>
                <w:rFonts w:ascii="Times New Roman" w:hAnsi="Times New Roman" w:cs="Times New Roman"/>
                <w:color w:val="000000"/>
              </w:rPr>
              <w:t>The OOBE limit set forth in rule section 27.53(h)(1), with the measurement procedure set forth in rule 27.53(h)(3).</w:t>
            </w:r>
          </w:p>
        </w:tc>
      </w:tr>
      <w:tr w:rsidR="00365720" w14:paraId="5AE410E8" w14:textId="77777777" w:rsidTr="00090CD6">
        <w:tc>
          <w:tcPr>
            <w:tcW w:w="2448" w:type="dxa"/>
            <w:vAlign w:val="bottom"/>
          </w:tcPr>
          <w:p w14:paraId="31DB719E" w14:textId="77777777" w:rsidR="00365720" w:rsidRPr="00C37683" w:rsidRDefault="00365720" w:rsidP="00682224">
            <w:pPr>
              <w:keepNext/>
              <w:widowControl/>
              <w:rPr>
                <w:rFonts w:ascii="Times New Roman" w:eastAsia="Times New Roman" w:hAnsi="Times New Roman" w:cs="Times New Roman"/>
                <w:color w:val="000000"/>
                <w:szCs w:val="20"/>
              </w:rPr>
            </w:pPr>
            <w:r w:rsidRPr="00C37683">
              <w:rPr>
                <w:rFonts w:ascii="Times New Roman" w:hAnsi="Times New Roman" w:cs="Times New Roman"/>
                <w:color w:val="000000"/>
              </w:rPr>
              <w:t xml:space="preserve">Power Strength Limits (Co-Channel Interference) </w:t>
            </w:r>
          </w:p>
        </w:tc>
        <w:tc>
          <w:tcPr>
            <w:tcW w:w="7200" w:type="dxa"/>
            <w:vAlign w:val="center"/>
          </w:tcPr>
          <w:p w14:paraId="4AA29968" w14:textId="77777777" w:rsidR="00365720" w:rsidRPr="00C37683" w:rsidRDefault="00365720" w:rsidP="00682224">
            <w:pPr>
              <w:keepNext/>
              <w:widowControl/>
              <w:rPr>
                <w:rFonts w:ascii="Times New Roman" w:eastAsia="Times New Roman" w:hAnsi="Times New Roman" w:cs="Times New Roman"/>
                <w:color w:val="000000"/>
                <w:szCs w:val="20"/>
              </w:rPr>
            </w:pPr>
            <w:r w:rsidRPr="00C37683">
              <w:rPr>
                <w:rFonts w:ascii="Times New Roman" w:hAnsi="Times New Roman" w:cs="Times New Roman"/>
                <w:color w:val="000000"/>
              </w:rPr>
              <w:t>The field strength limits set forth in rule section 27.55(a)(1).</w:t>
            </w:r>
          </w:p>
        </w:tc>
      </w:tr>
      <w:tr w:rsidR="00365720" w14:paraId="202DEC09" w14:textId="77777777" w:rsidTr="00090CD6">
        <w:tc>
          <w:tcPr>
            <w:tcW w:w="2448" w:type="dxa"/>
            <w:vAlign w:val="bottom"/>
          </w:tcPr>
          <w:p w14:paraId="7A698439" w14:textId="77777777" w:rsidR="00365720" w:rsidRPr="00C37683" w:rsidRDefault="00365720" w:rsidP="00682224">
            <w:pPr>
              <w:widowControl/>
              <w:rPr>
                <w:rFonts w:ascii="Times New Roman" w:eastAsia="Times New Roman" w:hAnsi="Times New Roman" w:cs="Times New Roman"/>
                <w:color w:val="000000"/>
                <w:szCs w:val="20"/>
              </w:rPr>
            </w:pPr>
            <w:r w:rsidRPr="00C37683">
              <w:rPr>
                <w:rFonts w:ascii="Times New Roman" w:hAnsi="Times New Roman" w:cs="Times New Roman"/>
                <w:color w:val="000000"/>
              </w:rPr>
              <w:t xml:space="preserve">Coordination with and protection of </w:t>
            </w:r>
            <w:r>
              <w:rPr>
                <w:rFonts w:ascii="Times New Roman" w:hAnsi="Times New Roman" w:cs="Times New Roman"/>
                <w:color w:val="000000"/>
              </w:rPr>
              <w:t xml:space="preserve">certain </w:t>
            </w:r>
            <w:r w:rsidRPr="00C37683">
              <w:rPr>
                <w:rFonts w:ascii="Times New Roman" w:hAnsi="Times New Roman" w:cs="Times New Roman"/>
                <w:color w:val="000000"/>
              </w:rPr>
              <w:t>operations in the 2025-2110 MHz band</w:t>
            </w:r>
          </w:p>
        </w:tc>
        <w:tc>
          <w:tcPr>
            <w:tcW w:w="7200" w:type="dxa"/>
            <w:vAlign w:val="center"/>
          </w:tcPr>
          <w:p w14:paraId="3D0266C8" w14:textId="77777777" w:rsidR="00365720" w:rsidRPr="00C37683" w:rsidRDefault="00365720" w:rsidP="00682224">
            <w:pPr>
              <w:keepNext/>
              <w:widowControl/>
              <w:rPr>
                <w:rFonts w:ascii="Times New Roman" w:eastAsia="Times New Roman" w:hAnsi="Times New Roman" w:cs="Times New Roman"/>
                <w:color w:val="000000"/>
                <w:szCs w:val="20"/>
              </w:rPr>
            </w:pPr>
            <w:r w:rsidRPr="00C37683">
              <w:rPr>
                <w:rFonts w:ascii="Times New Roman" w:hAnsi="Times New Roman" w:cs="Times New Roman"/>
                <w:color w:val="000000"/>
              </w:rPr>
              <w:t>The coordination and protection requirements set forth in rule sections 27.50(d)(3) and 27.1133.</w:t>
            </w:r>
          </w:p>
        </w:tc>
      </w:tr>
    </w:tbl>
    <w:p w14:paraId="1CC4E5E5" w14:textId="77777777" w:rsidR="0007249A" w:rsidRDefault="008C5588" w:rsidP="00682224">
      <w:pPr>
        <w:pStyle w:val="Heading2"/>
        <w:widowControl/>
        <w:spacing w:before="240"/>
      </w:pPr>
      <w:bookmarkStart w:id="444" w:name="_Toc373163493"/>
      <w:bookmarkStart w:id="445" w:name="_Toc373168375"/>
      <w:bookmarkStart w:id="446" w:name="_Toc373168411"/>
      <w:bookmarkStart w:id="447" w:name="_Toc373168570"/>
      <w:bookmarkStart w:id="448" w:name="_Toc373168858"/>
      <w:bookmarkStart w:id="449" w:name="_Toc374110202"/>
      <w:bookmarkStart w:id="450" w:name="_Toc374110243"/>
      <w:bookmarkStart w:id="451" w:name="_Toc372273913"/>
      <w:bookmarkStart w:id="452" w:name="_Toc372293880"/>
      <w:bookmarkStart w:id="453" w:name="_Toc372810091"/>
      <w:bookmarkEnd w:id="419"/>
      <w:r>
        <w:t>Other Record Matters</w:t>
      </w:r>
      <w:bookmarkEnd w:id="444"/>
      <w:bookmarkEnd w:id="445"/>
      <w:bookmarkEnd w:id="446"/>
      <w:bookmarkEnd w:id="447"/>
      <w:bookmarkEnd w:id="448"/>
      <w:bookmarkEnd w:id="449"/>
      <w:bookmarkEnd w:id="450"/>
    </w:p>
    <w:p w14:paraId="48B446C0" w14:textId="77777777" w:rsidR="006A2FBF" w:rsidRPr="006A2FBF" w:rsidRDefault="006A2FBF" w:rsidP="00830128">
      <w:pPr>
        <w:pStyle w:val="Heading3"/>
        <w:widowControl/>
      </w:pPr>
      <w:bookmarkStart w:id="454" w:name="_Toc373154181"/>
      <w:bookmarkStart w:id="455" w:name="_Toc373163494"/>
      <w:bookmarkStart w:id="456" w:name="_Toc373168376"/>
      <w:bookmarkStart w:id="457" w:name="_Toc373168412"/>
      <w:bookmarkStart w:id="458" w:name="_Toc373168571"/>
      <w:bookmarkStart w:id="459" w:name="_Toc373168859"/>
      <w:bookmarkStart w:id="460" w:name="_Toc374110203"/>
      <w:bookmarkStart w:id="461" w:name="_Toc374110244"/>
      <w:r w:rsidRPr="006A2FBF">
        <w:t>Reimbursement</w:t>
      </w:r>
      <w:r w:rsidR="008468A7">
        <w:t xml:space="preserve"> of BAS Clearing Costs</w:t>
      </w:r>
      <w:bookmarkEnd w:id="451"/>
      <w:bookmarkEnd w:id="452"/>
      <w:bookmarkEnd w:id="453"/>
      <w:bookmarkEnd w:id="454"/>
      <w:bookmarkEnd w:id="455"/>
      <w:bookmarkEnd w:id="456"/>
      <w:bookmarkEnd w:id="457"/>
      <w:bookmarkEnd w:id="458"/>
      <w:bookmarkEnd w:id="459"/>
      <w:bookmarkEnd w:id="460"/>
      <w:bookmarkEnd w:id="461"/>
    </w:p>
    <w:p w14:paraId="470B154E" w14:textId="77777777" w:rsidR="006A2FBF" w:rsidRPr="006A2FBF" w:rsidRDefault="006A2FBF" w:rsidP="00682224">
      <w:pPr>
        <w:pStyle w:val="ParaNum"/>
        <w:widowControl/>
      </w:pPr>
      <w:bookmarkStart w:id="462" w:name="_Ref371679035"/>
      <w:r w:rsidRPr="00AF21EF">
        <w:rPr>
          <w:i/>
        </w:rPr>
        <w:t>Background.</w:t>
      </w:r>
      <w:r w:rsidRPr="006A2FBF">
        <w:t xml:space="preserve">  Sprint requests that the Commission condition its grant of the DISH Petition upon “DISH’s timely and complete reimbursement to Sprint of the BAS clearing expenses for any H Block licenses that DISH may be granted through the H Block auction.”</w:t>
      </w:r>
      <w:r w:rsidRPr="006A2FBF">
        <w:rPr>
          <w:vertAlign w:val="superscript"/>
        </w:rPr>
        <w:footnoteReference w:id="146"/>
      </w:r>
      <w:r w:rsidRPr="006A2FBF">
        <w:t xml:space="preserve">  DISH opposes such a condition because the Commission has already imposed a reimbursement obligation on all winning bidders in the H Block auction.</w:t>
      </w:r>
      <w:r w:rsidRPr="006A2FBF">
        <w:rPr>
          <w:vertAlign w:val="superscript"/>
        </w:rPr>
        <w:footnoteReference w:id="147"/>
      </w:r>
      <w:r w:rsidRPr="006A2FBF">
        <w:t xml:space="preserve">  DISH argues that the Commission should not apply a different enforcement regime to one prospective licensee (DISH).</w:t>
      </w:r>
      <w:r w:rsidRPr="006A2FBF">
        <w:rPr>
          <w:vertAlign w:val="superscript"/>
        </w:rPr>
        <w:footnoteReference w:id="148"/>
      </w:r>
      <w:r w:rsidRPr="006A2FBF">
        <w:t xml:space="preserve">  It also states unequivocally that it does not object to Sprint</w:t>
      </w:r>
      <w:r w:rsidR="004D3887">
        <w:t>’s</w:t>
      </w:r>
      <w:r w:rsidRPr="006A2FBF">
        <w:t xml:space="preserve"> being reimbursed under the terms outlined in the </w:t>
      </w:r>
      <w:r w:rsidRPr="00F27630">
        <w:rPr>
          <w:i/>
        </w:rPr>
        <w:t>H Block Report and Order</w:t>
      </w:r>
      <w:r w:rsidRPr="006A2FBF">
        <w:t>.</w:t>
      </w:r>
      <w:r w:rsidRPr="006A2FBF">
        <w:rPr>
          <w:vertAlign w:val="superscript"/>
        </w:rPr>
        <w:footnoteReference w:id="149"/>
      </w:r>
      <w:r w:rsidRPr="006A2FBF">
        <w:t xml:space="preserve">  Sprint responds, stating that DISH’s past challenges to the Commi</w:t>
      </w:r>
      <w:r w:rsidR="00D25BD3">
        <w:t>ssion’s cost-sharing rules show</w:t>
      </w:r>
      <w:r w:rsidRPr="006A2FBF">
        <w:t xml:space="preserve"> that the Commission should attach conditions to its grant of the waiver </w:t>
      </w:r>
      <w:r w:rsidR="008D2DBC">
        <w:t>to</w:t>
      </w:r>
      <w:r w:rsidR="008D2DBC" w:rsidRPr="006A2FBF">
        <w:t xml:space="preserve"> </w:t>
      </w:r>
      <w:r w:rsidRPr="006A2FBF">
        <w:t xml:space="preserve">assure that DISH </w:t>
      </w:r>
      <w:r w:rsidR="008D2DBC">
        <w:t>will</w:t>
      </w:r>
      <w:r w:rsidR="008D2DBC" w:rsidRPr="006A2FBF">
        <w:t xml:space="preserve"> </w:t>
      </w:r>
      <w:r w:rsidRPr="006A2FBF">
        <w:t>complete its obligations in a timely and complete manner.</w:t>
      </w:r>
      <w:r w:rsidRPr="006A2FBF">
        <w:rPr>
          <w:vertAlign w:val="superscript"/>
        </w:rPr>
        <w:footnoteReference w:id="150"/>
      </w:r>
      <w:bookmarkEnd w:id="462"/>
    </w:p>
    <w:p w14:paraId="0F3D3E36" w14:textId="77777777" w:rsidR="006A2FBF" w:rsidRPr="006A2FBF" w:rsidRDefault="006A2FBF" w:rsidP="00682224">
      <w:pPr>
        <w:pStyle w:val="ParaNum"/>
        <w:widowControl/>
      </w:pPr>
      <w:bookmarkStart w:id="463" w:name="_Ref371679039"/>
      <w:r w:rsidRPr="00AF21EF">
        <w:rPr>
          <w:i/>
        </w:rPr>
        <w:t>Discussion.</w:t>
      </w:r>
      <w:r w:rsidRPr="006A2FBF">
        <w:t xml:space="preserve">  We decline to impose a specific cost-sharing reimbursement condition on our grant of DISH’s waiver request.  When granting relief to a licensee, the Commission generally declines to impose conditions that require that licensee to comply with rules and policies that it is already obligated to follow.</w:t>
      </w:r>
      <w:r w:rsidRPr="006A2FBF">
        <w:rPr>
          <w:vertAlign w:val="superscript"/>
        </w:rPr>
        <w:footnoteReference w:id="151"/>
      </w:r>
      <w:r w:rsidR="008849C9">
        <w:t xml:space="preserve">  As DISH explains</w:t>
      </w:r>
      <w:r w:rsidRPr="006A2FBF">
        <w:t>, in the instant case a fully enforceable cost-sharing rule already applies to any and all H Block winning bidders.</w:t>
      </w:r>
      <w:r w:rsidRPr="006A2FBF">
        <w:rPr>
          <w:vertAlign w:val="superscript"/>
        </w:rPr>
        <w:footnoteReference w:id="152"/>
      </w:r>
      <w:r w:rsidRPr="006A2FBF">
        <w:t xml:space="preserve">  Thus, to the extent that DISH (directly</w:t>
      </w:r>
      <w:r w:rsidR="00103D51">
        <w:t xml:space="preserve"> or</w:t>
      </w:r>
      <w:r w:rsidRPr="006A2FBF">
        <w:t xml:space="preserve"> indirectly) is a winning bidder at the H Block auction, it (as well as any other winning bidders) will be</w:t>
      </w:r>
      <w:r w:rsidR="00935B71">
        <w:t xml:space="preserve"> required by</w:t>
      </w:r>
      <w:r w:rsidRPr="006A2FBF">
        <w:t xml:space="preserve"> the terms of the </w:t>
      </w:r>
      <w:r w:rsidRPr="00935B71">
        <w:rPr>
          <w:i/>
        </w:rPr>
        <w:t>H Block Report and Order</w:t>
      </w:r>
      <w:r w:rsidRPr="006A2FBF">
        <w:t xml:space="preserve"> and </w:t>
      </w:r>
      <w:r w:rsidR="00935B71">
        <w:t>the rules promulgated ther</w:t>
      </w:r>
      <w:r w:rsidR="00380230">
        <w:t>eunder</w:t>
      </w:r>
      <w:r w:rsidRPr="006A2FBF">
        <w:t xml:space="preserve"> to make the relevant cost-sharing payments.</w:t>
      </w:r>
      <w:r w:rsidRPr="006A2FBF">
        <w:rPr>
          <w:vertAlign w:val="superscript"/>
        </w:rPr>
        <w:footnoteReference w:id="153"/>
      </w:r>
      <w:r w:rsidRPr="006A2FBF">
        <w:t xml:space="preserve">  We are not persuaded by Sprint’s argument that DISH’s past challenges to the application of Commission cost-sharing rules and policies show that we must attach extra conditions here.  Rather, we expect all H Block winning bidders to follow the applicable Commission bidding and other requirements.  We believe that, as explained in the </w:t>
      </w:r>
      <w:r w:rsidRPr="006A2FBF">
        <w:rPr>
          <w:i/>
        </w:rPr>
        <w:t>H Block Report and Order</w:t>
      </w:r>
      <w:r w:rsidRPr="006A2FBF">
        <w:t>, the Commission’s existing enforcement mecha</w:t>
      </w:r>
      <w:r w:rsidR="00D455C2">
        <w:t>nisms are adequate</w:t>
      </w:r>
      <w:r w:rsidR="009E2303">
        <w:t xml:space="preserve"> tools</w:t>
      </w:r>
      <w:r w:rsidRPr="006A2FBF">
        <w:t xml:space="preserve"> to address any issues regarding a failure to make required cost-sharing payments.</w:t>
      </w:r>
      <w:r w:rsidRPr="006A2FBF">
        <w:rPr>
          <w:vertAlign w:val="superscript"/>
        </w:rPr>
        <w:footnoteReference w:id="154"/>
      </w:r>
      <w:bookmarkEnd w:id="463"/>
    </w:p>
    <w:p w14:paraId="3B884E2C" w14:textId="77777777" w:rsidR="006A2FBF" w:rsidRPr="006A2FBF" w:rsidRDefault="006A2FBF" w:rsidP="00830128">
      <w:pPr>
        <w:pStyle w:val="Heading3"/>
        <w:widowControl/>
      </w:pPr>
      <w:bookmarkStart w:id="464" w:name="_Toc372273914"/>
      <w:bookmarkStart w:id="465" w:name="_Toc372293881"/>
      <w:bookmarkStart w:id="466" w:name="_Toc372810092"/>
      <w:bookmarkStart w:id="467" w:name="_Toc373154182"/>
      <w:bookmarkStart w:id="468" w:name="_Toc373163495"/>
      <w:bookmarkStart w:id="469" w:name="_Toc373168377"/>
      <w:bookmarkStart w:id="470" w:name="_Toc373168413"/>
      <w:bookmarkStart w:id="471" w:name="_Toc373168572"/>
      <w:bookmarkStart w:id="472" w:name="_Toc373168860"/>
      <w:bookmarkStart w:id="473" w:name="_Toc374110204"/>
      <w:bookmarkStart w:id="474" w:name="_Toc374110245"/>
      <w:r w:rsidRPr="006A2FBF">
        <w:t>NTCH Objections</w:t>
      </w:r>
      <w:bookmarkEnd w:id="464"/>
      <w:bookmarkEnd w:id="465"/>
      <w:bookmarkEnd w:id="466"/>
      <w:bookmarkEnd w:id="467"/>
      <w:bookmarkEnd w:id="468"/>
      <w:bookmarkEnd w:id="469"/>
      <w:bookmarkEnd w:id="470"/>
      <w:bookmarkEnd w:id="471"/>
      <w:bookmarkEnd w:id="472"/>
      <w:bookmarkEnd w:id="473"/>
      <w:bookmarkEnd w:id="474"/>
    </w:p>
    <w:p w14:paraId="772BBC6E" w14:textId="77777777" w:rsidR="006A2FBF" w:rsidRPr="006A2FBF" w:rsidRDefault="006A2FBF" w:rsidP="00682224">
      <w:pPr>
        <w:pStyle w:val="ParaNum"/>
        <w:widowControl/>
      </w:pPr>
      <w:r w:rsidRPr="00AF21EF">
        <w:rPr>
          <w:i/>
        </w:rPr>
        <w:t>Background.</w:t>
      </w:r>
      <w:r w:rsidRPr="006A2FBF">
        <w:t xml:space="preserve">  NTCH raises a number of objections to our granting the DISH Petition.  First, NTCH observes tha</w:t>
      </w:r>
      <w:r w:rsidR="00940809">
        <w:t xml:space="preserve">t it has a pending </w:t>
      </w:r>
      <w:r w:rsidRPr="006A2FBF">
        <w:t xml:space="preserve">reconsideration </w:t>
      </w:r>
      <w:r w:rsidR="00940809">
        <w:t xml:space="preserve">petition </w:t>
      </w:r>
      <w:r w:rsidRPr="006A2FBF">
        <w:t>before the Commission and that, while the issues raised in that petition “remain[] up in the air, the Commission cannot usefully evaluate the instant [DISH] waiver request.”</w:t>
      </w:r>
      <w:r w:rsidR="00987E6D">
        <w:rPr>
          <w:rStyle w:val="FootnoteReference"/>
        </w:rPr>
        <w:footnoteReference w:id="155"/>
      </w:r>
      <w:r w:rsidRPr="006A2FBF">
        <w:t xml:space="preserve">  NTCH requests that the Commission resolve its reconsideration petition before resolving the DISH Petition.</w:t>
      </w:r>
      <w:r w:rsidRPr="006A2FBF">
        <w:rPr>
          <w:vertAlign w:val="superscript"/>
        </w:rPr>
        <w:footnoteReference w:id="156"/>
      </w:r>
      <w:r w:rsidRPr="00061BE2">
        <w:rPr>
          <w:sz w:val="20"/>
        </w:rPr>
        <w:t xml:space="preserve">  </w:t>
      </w:r>
      <w:r w:rsidRPr="006A2FBF">
        <w:t>Second, NTCH asserts that the Commission is moving too “hastily” and implies that the comment cycle was insufficient, particularly as the proceeding raises interference issues that can normally take months or years to resolve.</w:t>
      </w:r>
      <w:r w:rsidRPr="006A2FBF">
        <w:rPr>
          <w:vertAlign w:val="superscript"/>
        </w:rPr>
        <w:footnoteReference w:id="157"/>
      </w:r>
      <w:r w:rsidRPr="006A2FBF">
        <w:t xml:space="preserve">  Third, NTCH claims that there is “the appearance of impropriety in the dealings between DISH and the Commission.”</w:t>
      </w:r>
      <w:r w:rsidRPr="006A2FBF">
        <w:rPr>
          <w:vertAlign w:val="superscript"/>
        </w:rPr>
        <w:footnoteReference w:id="158"/>
      </w:r>
      <w:r w:rsidR="00CC504D">
        <w:t xml:space="preserve">  </w:t>
      </w:r>
      <w:r w:rsidR="008E448C">
        <w:t>F</w:t>
      </w:r>
      <w:r w:rsidRPr="006A2FBF">
        <w:t>ourth, NTCH asserts that the DISH Petition should be treated as a petition for rulemaking, not as a waiver request.</w:t>
      </w:r>
      <w:r w:rsidRPr="006A2FBF">
        <w:rPr>
          <w:vertAlign w:val="superscript"/>
        </w:rPr>
        <w:footnoteReference w:id="159"/>
      </w:r>
      <w:r w:rsidRPr="006A2FBF">
        <w:t xml:space="preserve">  DISH responds that NTCH </w:t>
      </w:r>
      <w:r w:rsidR="00D64340">
        <w:t>fails to address</w:t>
      </w:r>
      <w:r w:rsidRPr="006A2FBF">
        <w:t xml:space="preserve"> the public interest benefits of DISH’s petition,</w:t>
      </w:r>
      <w:r w:rsidRPr="006A2FBF">
        <w:rPr>
          <w:vertAlign w:val="superscript"/>
        </w:rPr>
        <w:footnoteReference w:id="160"/>
      </w:r>
      <w:r w:rsidRPr="006A2FBF">
        <w:t xml:space="preserve">  </w:t>
      </w:r>
      <w:r w:rsidR="00A76831">
        <w:t xml:space="preserve">and </w:t>
      </w:r>
      <w:r w:rsidRPr="006A2FBF">
        <w:t>that past practice and precedent have allowed the Commission discretion in addressing similar (or even broader) waivers than DISH’s requested relief.</w:t>
      </w:r>
      <w:r w:rsidR="00F86D65">
        <w:rPr>
          <w:rStyle w:val="FootnoteReference"/>
        </w:rPr>
        <w:footnoteReference w:id="161"/>
      </w:r>
    </w:p>
    <w:p w14:paraId="63E8CEFB" w14:textId="77777777" w:rsidR="0049549C" w:rsidRDefault="006A2FBF" w:rsidP="00682224">
      <w:pPr>
        <w:pStyle w:val="ParaNum"/>
        <w:widowControl/>
      </w:pPr>
      <w:r w:rsidRPr="00AF21EF">
        <w:rPr>
          <w:i/>
        </w:rPr>
        <w:t>Discussion.</w:t>
      </w:r>
      <w:r w:rsidRPr="006A2FBF">
        <w:t xml:space="preserve">  We are not persuaded by NTCH’s arguments that we should delay or deny DISH’s request.  We respond to each of NTCH’s arguments in turn.  First, </w:t>
      </w:r>
      <w:r w:rsidR="00126D4E">
        <w:t>we disagree with</w:t>
      </w:r>
      <w:r w:rsidR="00F1159D">
        <w:t xml:space="preserve"> </w:t>
      </w:r>
      <w:r w:rsidRPr="006A2FBF">
        <w:t xml:space="preserve">NTCH’s assertion that we should </w:t>
      </w:r>
      <w:r w:rsidR="00126D4E">
        <w:t>defer our consideration of DISH’s request.  Rather</w:t>
      </w:r>
      <w:r w:rsidRPr="006A2FBF">
        <w:t>, we conclude that there is merit to waiving the applicable tech</w:t>
      </w:r>
      <w:r w:rsidR="003F038F">
        <w:t xml:space="preserve">nical rules </w:t>
      </w:r>
      <w:r w:rsidR="008E448C">
        <w:t>for the Lower AWS-4 Band at this time</w:t>
      </w:r>
      <w:r w:rsidRPr="006A2FBF">
        <w:t>.</w:t>
      </w:r>
      <w:r w:rsidR="008E448C">
        <w:rPr>
          <w:rStyle w:val="FootnoteReference"/>
        </w:rPr>
        <w:footnoteReference w:id="162"/>
      </w:r>
      <w:r w:rsidRPr="006A2FBF">
        <w:t xml:space="preserve">  Specifically, waiving the rule now </w:t>
      </w:r>
      <w:r w:rsidR="00126D4E">
        <w:t xml:space="preserve">is consistent with our overall spectrum management obligation and </w:t>
      </w:r>
      <w:r w:rsidRPr="006A2FBF">
        <w:t xml:space="preserve">will </w:t>
      </w:r>
      <w:r w:rsidR="00126D4E">
        <w:t xml:space="preserve">provide </w:t>
      </w:r>
      <w:r w:rsidR="003F038F">
        <w:t xml:space="preserve">DISH, </w:t>
      </w:r>
      <w:r w:rsidRPr="006A2FBF">
        <w:t>the licensee at 2000-2020 MHz</w:t>
      </w:r>
      <w:r w:rsidR="003F038F">
        <w:t>,</w:t>
      </w:r>
      <w:r w:rsidRPr="006A2FBF">
        <w:t xml:space="preserve"> </w:t>
      </w:r>
      <w:r w:rsidR="00126D4E">
        <w:t>with the ability to develop its plan to utilize the AWS-4 spectrum</w:t>
      </w:r>
      <w:r w:rsidR="002D52B0">
        <w:t xml:space="preserve"> </w:t>
      </w:r>
      <w:r w:rsidR="0046637E">
        <w:t xml:space="preserve">most </w:t>
      </w:r>
      <w:r w:rsidR="002D52B0">
        <w:t>efficiently</w:t>
      </w:r>
      <w:r w:rsidR="00126D4E">
        <w:t xml:space="preserve">.  Delaying action on the waiver would not </w:t>
      </w:r>
      <w:r w:rsidR="00670ABF">
        <w:t xml:space="preserve">advance the Commission’s policy goal of </w:t>
      </w:r>
      <w:r w:rsidR="009074BD">
        <w:t>promoting d</w:t>
      </w:r>
      <w:r w:rsidR="00670ABF">
        <w:t>eployment of broadband service in this band</w:t>
      </w:r>
      <w:r w:rsidR="00126D4E">
        <w:t>.  Thus, b</w:t>
      </w:r>
      <w:r w:rsidR="003F038F">
        <w:t>y granting DISH</w:t>
      </w:r>
      <w:r w:rsidR="00126D4E">
        <w:t xml:space="preserve"> Petition at this time</w:t>
      </w:r>
      <w:r w:rsidR="003F038F">
        <w:t xml:space="preserve">, we maximize the </w:t>
      </w:r>
      <w:r w:rsidR="00703771">
        <w:t xml:space="preserve">opportunity for </w:t>
      </w:r>
      <w:r w:rsidR="003F038F">
        <w:t>planning and flexibility that DISH seeks through its request</w:t>
      </w:r>
      <w:r w:rsidR="00155597">
        <w:t xml:space="preserve">, and </w:t>
      </w:r>
      <w:r w:rsidR="002E7453">
        <w:t xml:space="preserve">also </w:t>
      </w:r>
      <w:r w:rsidR="00155597">
        <w:t xml:space="preserve">do so </w:t>
      </w:r>
      <w:r w:rsidR="002E7453">
        <w:t>in advance of the January 2014 H Block auction so as to permit DISH to “develop [its] business plans</w:t>
      </w:r>
      <w:r w:rsidR="003F038F">
        <w:t>.</w:t>
      </w:r>
      <w:r w:rsidR="002E7453">
        <w:t>”</w:t>
      </w:r>
      <w:r w:rsidR="002E7453">
        <w:rPr>
          <w:rStyle w:val="FootnoteReference"/>
        </w:rPr>
        <w:footnoteReference w:id="163"/>
      </w:r>
      <w:r w:rsidR="008871E6">
        <w:t xml:space="preserve">  T</w:t>
      </w:r>
      <w:r w:rsidR="008871E6" w:rsidRPr="00126D4E">
        <w:rPr>
          <w:szCs w:val="22"/>
        </w:rPr>
        <w:t xml:space="preserve">he NTCH </w:t>
      </w:r>
      <w:r w:rsidR="005A276E">
        <w:rPr>
          <w:szCs w:val="22"/>
        </w:rPr>
        <w:t>reconsideration petitions remain</w:t>
      </w:r>
      <w:r w:rsidR="000E0814">
        <w:rPr>
          <w:szCs w:val="22"/>
        </w:rPr>
        <w:t xml:space="preserve"> pending and </w:t>
      </w:r>
      <w:r w:rsidR="0049549C" w:rsidRPr="00126D4E">
        <w:rPr>
          <w:szCs w:val="22"/>
        </w:rPr>
        <w:t>will be resolved in separate proceeding</w:t>
      </w:r>
      <w:r w:rsidR="00061BE2">
        <w:rPr>
          <w:szCs w:val="22"/>
        </w:rPr>
        <w:t>s</w:t>
      </w:r>
      <w:r w:rsidR="0049549C" w:rsidRPr="00126D4E">
        <w:rPr>
          <w:szCs w:val="22"/>
        </w:rPr>
        <w:t xml:space="preserve">.  </w:t>
      </w:r>
    </w:p>
    <w:p w14:paraId="7559594F" w14:textId="77777777" w:rsidR="006A2FBF" w:rsidRPr="006A2FBF" w:rsidRDefault="006A2FBF" w:rsidP="00682224">
      <w:pPr>
        <w:pStyle w:val="ParaNum"/>
        <w:widowControl/>
      </w:pPr>
      <w:r w:rsidRPr="006A2FBF">
        <w:t xml:space="preserve">Second, we disagree with NTCH that the comment cycle was insufficient.  </w:t>
      </w:r>
      <w:r w:rsidR="0003422F" w:rsidRPr="002E7453">
        <w:t xml:space="preserve">In this case, DISH filed its waiver request on </w:t>
      </w:r>
      <w:r w:rsidR="002E7453">
        <w:t>September 9, 2013;</w:t>
      </w:r>
      <w:r w:rsidR="0003422F" w:rsidRPr="002E7453">
        <w:t xml:space="preserve"> the Commission released a public notice seeking comment on the petition on </w:t>
      </w:r>
      <w:r w:rsidR="002E7453">
        <w:t>September 13, 2013;</w:t>
      </w:r>
      <w:r w:rsidR="0003422F" w:rsidRPr="002E7453">
        <w:t xml:space="preserve"> the public notice specified that comments were due on </w:t>
      </w:r>
      <w:r w:rsidR="002E7453">
        <w:t>September 30, 2013,</w:t>
      </w:r>
      <w:r w:rsidR="0003422F" w:rsidRPr="002E7453">
        <w:t xml:space="preserve"> and that reply comments would be due on </w:t>
      </w:r>
      <w:r w:rsidR="002E7453">
        <w:t>October 10, 2013</w:t>
      </w:r>
      <w:r w:rsidR="004070C3">
        <w:t xml:space="preserve">.  Following the intervening closure of the Commission, </w:t>
      </w:r>
      <w:r w:rsidR="0003422F" w:rsidRPr="002E7453">
        <w:t xml:space="preserve">on </w:t>
      </w:r>
      <w:r w:rsidR="00B926DE">
        <w:t>October 17, 2013,</w:t>
      </w:r>
      <w:r w:rsidR="0003422F" w:rsidRPr="002E7453">
        <w:t xml:space="preserve"> the Commission extended the </w:t>
      </w:r>
      <w:r w:rsidR="00B926DE">
        <w:t>reply</w:t>
      </w:r>
      <w:r w:rsidR="0003422F" w:rsidRPr="002E7453">
        <w:t xml:space="preserve"> comment deadline until </w:t>
      </w:r>
      <w:r w:rsidR="00B926DE">
        <w:t>October 28, 2013</w:t>
      </w:r>
      <w:r w:rsidR="0003422F" w:rsidRPr="002E7453">
        <w:t>.</w:t>
      </w:r>
      <w:r w:rsidR="00B926DE">
        <w:rPr>
          <w:rStyle w:val="FootnoteReference"/>
        </w:rPr>
        <w:footnoteReference w:id="164"/>
      </w:r>
      <w:r w:rsidR="0003422F" w:rsidRPr="002E7453">
        <w:t xml:space="preserve">  </w:t>
      </w:r>
      <w:r w:rsidRPr="006A2FBF">
        <w:t xml:space="preserve">There is no set pleading cycle for waiver requests specified in the Communications Act or the Commission’s rules.  </w:t>
      </w:r>
      <w:r w:rsidR="00355D27">
        <w:t>NTCH</w:t>
      </w:r>
      <w:r w:rsidR="004070C3">
        <w:t>, which filed comments on the original deadline</w:t>
      </w:r>
      <w:r w:rsidR="00F31056">
        <w:t>,</w:t>
      </w:r>
      <w:r w:rsidR="00355D27">
        <w:t xml:space="preserve"> does not make any demonstration that it has been denied a meaningful opportunity to be heard on DISH’s petition.  </w:t>
      </w:r>
      <w:r w:rsidRPr="006A2FBF">
        <w:t xml:space="preserve">In this case, we have </w:t>
      </w:r>
      <w:r w:rsidR="004070C3">
        <w:t xml:space="preserve">thoroughly </w:t>
      </w:r>
      <w:r w:rsidRPr="006A2FBF">
        <w:t>considered the record in support of and in opposition to DISH’s request</w:t>
      </w:r>
      <w:r w:rsidR="004070C3">
        <w:t xml:space="preserve">, </w:t>
      </w:r>
      <w:r w:rsidRPr="006A2FBF">
        <w:t>and we conclude that the time period allowed did not preclude interested parties from obtaining a meani</w:t>
      </w:r>
      <w:r w:rsidR="004070C3">
        <w:t>ngful opportunity to be heard.</w:t>
      </w:r>
    </w:p>
    <w:p w14:paraId="7FC41BA3" w14:textId="77777777" w:rsidR="006A2FBF" w:rsidRPr="006A2FBF" w:rsidRDefault="006A2FBF" w:rsidP="00682224">
      <w:pPr>
        <w:pStyle w:val="ParaNum"/>
        <w:widowControl/>
      </w:pPr>
      <w:r w:rsidRPr="006A2FBF">
        <w:t xml:space="preserve">Third, we reject NTCH’s </w:t>
      </w:r>
      <w:r w:rsidR="00355D27">
        <w:t>argument about “the appearance of impropriety” in</w:t>
      </w:r>
      <w:r w:rsidRPr="006A2FBF">
        <w:t xml:space="preserve"> addressing the DISH Petition.  </w:t>
      </w:r>
      <w:r w:rsidR="00355D27">
        <w:t xml:space="preserve">The terms and conditions requested by DISH in connection with its waiver are contained in </w:t>
      </w:r>
      <w:r w:rsidR="00B12372">
        <w:t xml:space="preserve">the DISH Petition, as well as </w:t>
      </w:r>
      <w:r w:rsidR="00355D27">
        <w:t xml:space="preserve">in its filing dated September 10, 2013, in </w:t>
      </w:r>
      <w:r w:rsidR="00B12372">
        <w:t>the lower 700 MHz interoperability proceeding (</w:t>
      </w:r>
      <w:r w:rsidR="00355D27">
        <w:t>WT Docket No. 12-69</w:t>
      </w:r>
      <w:r w:rsidR="00B12372">
        <w:t>)</w:t>
      </w:r>
      <w:r w:rsidR="00355D27">
        <w:t>.  W</w:t>
      </w:r>
      <w:r w:rsidRPr="006A2FBF">
        <w:t xml:space="preserve">e are addressing the DISH Petition based on the public record before </w:t>
      </w:r>
      <w:r w:rsidR="0062370F">
        <w:t xml:space="preserve">us </w:t>
      </w:r>
      <w:r w:rsidRPr="006A2FBF">
        <w:t xml:space="preserve">and our analysis thereof, which is explained throughout the course of this order.  </w:t>
      </w:r>
      <w:r w:rsidR="004070C3">
        <w:t xml:space="preserve">All interested parties, </w:t>
      </w:r>
      <w:r w:rsidRPr="006A2FBF">
        <w:t>including NTCH, have had an opportunity to review these terms and commitments and to comment on whether the Commission should grant the DISH Petition</w:t>
      </w:r>
      <w:r w:rsidR="00355D27">
        <w:t xml:space="preserve"> on these terms</w:t>
      </w:r>
      <w:r w:rsidR="004070C3">
        <w:t>, as well as to suggest additional terms or conditions, as did Sprint</w:t>
      </w:r>
      <w:r w:rsidRPr="006A2FBF">
        <w:t xml:space="preserve">.  </w:t>
      </w:r>
      <w:r w:rsidR="008C1C86">
        <w:t>W</w:t>
      </w:r>
      <w:r w:rsidRPr="006A2FBF">
        <w:t xml:space="preserve">e have addressed DISH’s proposal </w:t>
      </w:r>
      <w:r w:rsidR="008C1C86">
        <w:t xml:space="preserve">based on the public interest benefits set forth in its filings and the comments </w:t>
      </w:r>
      <w:r w:rsidR="004070C3">
        <w:t xml:space="preserve">received </w:t>
      </w:r>
      <w:r w:rsidR="008C1C86">
        <w:t>and our independent evaluation of the interference questions</w:t>
      </w:r>
      <w:r w:rsidR="0003422F">
        <w:t xml:space="preserve"> and public interest considerations</w:t>
      </w:r>
      <w:r w:rsidR="008C1C86">
        <w:t xml:space="preserve"> discussed above</w:t>
      </w:r>
      <w:r w:rsidRPr="006A2FBF">
        <w:t xml:space="preserve">.  Thus, we reject NTCH’s assertions that DISH’s proposal </w:t>
      </w:r>
      <w:r w:rsidR="000E0814">
        <w:t>and our consideration of it have</w:t>
      </w:r>
      <w:r w:rsidRPr="006A2FBF">
        <w:t xml:space="preserve"> not be</w:t>
      </w:r>
      <w:r w:rsidR="00D671FC">
        <w:t>en</w:t>
      </w:r>
      <w:r w:rsidRPr="006A2FBF">
        <w:t xml:space="preserve"> transparent to the public.</w:t>
      </w:r>
      <w:r w:rsidR="008C1C86">
        <w:t xml:space="preserve">  </w:t>
      </w:r>
      <w:r w:rsidR="00D21FCD">
        <w:t xml:space="preserve">Further, we do not find it inappropriate to consider </w:t>
      </w:r>
      <w:r w:rsidR="008C1C86">
        <w:t>DISH’s commitment to ensure that the H Block auction satisfies the aggregate reserve price</w:t>
      </w:r>
      <w:r w:rsidR="00ED7C54">
        <w:t>, because</w:t>
      </w:r>
      <w:r w:rsidR="008C1C86">
        <w:t xml:space="preserve"> we traditionally ev</w:t>
      </w:r>
      <w:r w:rsidR="00446687">
        <w:t xml:space="preserve">aluate requests </w:t>
      </w:r>
      <w:r w:rsidR="00A26BE4">
        <w:t xml:space="preserve">for waiver of </w:t>
      </w:r>
      <w:r w:rsidR="00446687">
        <w:t>the Commission’s</w:t>
      </w:r>
      <w:r w:rsidR="008C1C86">
        <w:t xml:space="preserve"> rules</w:t>
      </w:r>
      <w:r w:rsidR="00A26BE4">
        <w:t xml:space="preserve"> using a public interest calculus</w:t>
      </w:r>
      <w:r w:rsidR="008C1C86">
        <w:t>.</w:t>
      </w:r>
      <w:r w:rsidR="008C1C86">
        <w:rPr>
          <w:rStyle w:val="FootnoteReference"/>
        </w:rPr>
        <w:footnoteReference w:id="165"/>
      </w:r>
      <w:r w:rsidR="00950D46">
        <w:t xml:space="preserve">  </w:t>
      </w:r>
      <w:r w:rsidR="005F11B5">
        <w:t xml:space="preserve">As discussed above, we have set a reserve price pursuant to the policies in the statute after considering the record.  Regardless of NTCH’s wholly speculative claims about what parties may or may not participate in the H Block auction, the fact that DISH has undertaken to ensure that the auction successfully meets that reserve price </w:t>
      </w:r>
      <w:r w:rsidR="006D4D09">
        <w:t xml:space="preserve">(which also furthers an added statutory goal of providing funding for FirstNet) </w:t>
      </w:r>
      <w:r w:rsidR="005F11B5">
        <w:t>is an additional public interest benefit to be considered in connection with evaluation of its waiver request.</w:t>
      </w:r>
    </w:p>
    <w:p w14:paraId="21654ACE" w14:textId="77777777" w:rsidR="006A2FBF" w:rsidRPr="006A2FBF" w:rsidRDefault="006A2FBF" w:rsidP="00682224">
      <w:pPr>
        <w:pStyle w:val="ParaNum"/>
        <w:widowControl/>
      </w:pPr>
      <w:r w:rsidRPr="006A2FBF">
        <w:t xml:space="preserve">Fourth, we disagree with NTCH that DISH’s request must be addressed by rulemaking rather than adjudication.  </w:t>
      </w:r>
      <w:r w:rsidR="001844C6">
        <w:t>Indeed, we have</w:t>
      </w:r>
      <w:r w:rsidRPr="006A2FBF">
        <w:t xml:space="preserve"> granted similar waivers of </w:t>
      </w:r>
      <w:r w:rsidR="000E0814">
        <w:t>the Commission’s</w:t>
      </w:r>
      <w:r w:rsidR="000E0814" w:rsidRPr="006A2FBF">
        <w:t xml:space="preserve"> </w:t>
      </w:r>
      <w:r w:rsidRPr="006A2FBF">
        <w:t>technical rules</w:t>
      </w:r>
      <w:r w:rsidR="00950D46">
        <w:t xml:space="preserve"> </w:t>
      </w:r>
      <w:r w:rsidRPr="006A2FBF">
        <w:t xml:space="preserve">when the waiver allowed licensees to operate in a manner not contemplated by </w:t>
      </w:r>
      <w:r w:rsidR="000E0814">
        <w:t>the</w:t>
      </w:r>
      <w:r w:rsidRPr="006A2FBF">
        <w:t xml:space="preserve"> rules.</w:t>
      </w:r>
      <w:r w:rsidRPr="006A2FBF">
        <w:rPr>
          <w:vertAlign w:val="superscript"/>
        </w:rPr>
        <w:footnoteReference w:id="166"/>
      </w:r>
      <w:r w:rsidR="00950D46">
        <w:t xml:space="preserve">  As the courts have made clear, </w:t>
      </w:r>
      <w:r w:rsidR="002371BF">
        <w:t>the Commission’s “discretion to proceed in difficult areas through general rules is intimately linked to the existence of a safety valve procedure for consideration of an application for exemption based on special circumstances.”</w:t>
      </w:r>
      <w:r w:rsidR="002371BF">
        <w:rPr>
          <w:rStyle w:val="FootnoteReference"/>
        </w:rPr>
        <w:footnoteReference w:id="167"/>
      </w:r>
      <w:r w:rsidRPr="006A2FBF">
        <w:t xml:space="preserve">  </w:t>
      </w:r>
      <w:r w:rsidR="002371BF">
        <w:t xml:space="preserve">To the extent NTCH is suggesting that such an adjudicatory </w:t>
      </w:r>
      <w:r w:rsidR="00022AEC" w:rsidRPr="00C83832">
        <w:t>approach to technical rules</w:t>
      </w:r>
      <w:r w:rsidR="002371BF">
        <w:t xml:space="preserve"> based on individual facts and circumstances is somehow inapplicable to</w:t>
      </w:r>
      <w:r w:rsidR="00022AEC">
        <w:t xml:space="preserve"> </w:t>
      </w:r>
      <w:r w:rsidR="002371BF">
        <w:t xml:space="preserve">services in which there is only one (or a small number) of licensees, it is inconsistent </w:t>
      </w:r>
      <w:r w:rsidR="0018038E">
        <w:t>with this basic corollary to the Commission’s</w:t>
      </w:r>
      <w:r w:rsidR="002371BF">
        <w:t xml:space="preserve"> rulemaking authority.  </w:t>
      </w:r>
      <w:r w:rsidR="00186EBD">
        <w:t xml:space="preserve">As noted above, we have determined that the unique situation </w:t>
      </w:r>
      <w:r w:rsidR="00AB2CC8">
        <w:t xml:space="preserve">we have </w:t>
      </w:r>
      <w:r w:rsidR="00186EBD">
        <w:t>described warrants a deviation from one aspect of those rules.</w:t>
      </w:r>
      <w:r w:rsidR="00426C54">
        <w:t xml:space="preserve">  </w:t>
      </w:r>
      <w:r w:rsidR="00FD6AA0">
        <w:t xml:space="preserve">That determination is well within the scope of our waiver authority under </w:t>
      </w:r>
      <w:r w:rsidR="00DF46A4">
        <w:t>s</w:t>
      </w:r>
      <w:r w:rsidR="00FD6AA0">
        <w:t>ections 1.3 and 1.925 of the Commission’s rules.</w:t>
      </w:r>
      <w:r w:rsidR="00FD6AA0">
        <w:rPr>
          <w:rStyle w:val="FootnoteReference"/>
        </w:rPr>
        <w:footnoteReference w:id="168"/>
      </w:r>
      <w:r w:rsidRPr="006A2FBF">
        <w:t xml:space="preserve">  </w:t>
      </w:r>
      <w:r w:rsidR="008C1C86">
        <w:t>NTCH has also</w:t>
      </w:r>
      <w:r w:rsidRPr="006A2FBF">
        <w:t xml:space="preserve"> had a full and fair opportunity to comment on DISH’s proposal and </w:t>
      </w:r>
      <w:r w:rsidR="008C1C86">
        <w:t>makes no showing of prejudice from our decision to address that proposal based on the particular facts and circumstances of DISH’s AWS-4 and 2 GHz MSS license holdings in accordance with our well established rules governing waivers</w:t>
      </w:r>
      <w:r w:rsidR="00FD6AA0">
        <w:t>, and after notice and opportunity to comment.</w:t>
      </w:r>
      <w:r w:rsidRPr="006A2FBF">
        <w:t xml:space="preserve">  </w:t>
      </w:r>
    </w:p>
    <w:p w14:paraId="45F38DCA" w14:textId="77777777" w:rsidR="00BC6145" w:rsidRDefault="00BC6145" w:rsidP="00830128">
      <w:pPr>
        <w:pStyle w:val="Heading1"/>
        <w:widowControl/>
      </w:pPr>
      <w:bookmarkStart w:id="475" w:name="_Toc351749808"/>
      <w:bookmarkStart w:id="476" w:name="_Toc351753292"/>
      <w:bookmarkStart w:id="477" w:name="_Toc351754328"/>
      <w:bookmarkStart w:id="478" w:name="_Toc353553271"/>
      <w:bookmarkStart w:id="479" w:name="_Toc353563296"/>
      <w:bookmarkStart w:id="480" w:name="_Toc354162303"/>
      <w:bookmarkStart w:id="481" w:name="_Toc354162363"/>
      <w:bookmarkStart w:id="482" w:name="_Toc354166964"/>
      <w:bookmarkStart w:id="483" w:name="_Toc354168165"/>
      <w:bookmarkStart w:id="484" w:name="_Toc355287724"/>
      <w:bookmarkStart w:id="485" w:name="_Toc355297657"/>
      <w:bookmarkStart w:id="486" w:name="_Toc356229306"/>
      <w:bookmarkStart w:id="487" w:name="_Toc356229790"/>
      <w:bookmarkStart w:id="488" w:name="_Toc356234210"/>
      <w:bookmarkStart w:id="489" w:name="_Toc356234742"/>
      <w:bookmarkStart w:id="490" w:name="_Toc356234927"/>
      <w:bookmarkStart w:id="491" w:name="_Toc356235136"/>
      <w:bookmarkStart w:id="492" w:name="_Toc356235262"/>
      <w:bookmarkStart w:id="493" w:name="_Toc356235338"/>
      <w:bookmarkStart w:id="494" w:name="_Toc356235415"/>
      <w:bookmarkStart w:id="495" w:name="_Toc356235505"/>
      <w:bookmarkStart w:id="496" w:name="_Toc356235586"/>
      <w:bookmarkStart w:id="497" w:name="_Toc356235638"/>
      <w:bookmarkStart w:id="498" w:name="_Toc356235714"/>
      <w:bookmarkStart w:id="499" w:name="_Toc356296775"/>
      <w:bookmarkStart w:id="500" w:name="_Toc356296906"/>
      <w:bookmarkStart w:id="501" w:name="_Toc356297013"/>
      <w:bookmarkStart w:id="502" w:name="_Toc356297072"/>
      <w:bookmarkStart w:id="503" w:name="_Toc356297190"/>
      <w:bookmarkStart w:id="504" w:name="_Toc356297242"/>
      <w:bookmarkStart w:id="505" w:name="_Toc356297327"/>
      <w:bookmarkStart w:id="506" w:name="_Toc356297951"/>
      <w:bookmarkStart w:id="507" w:name="_Toc356298110"/>
      <w:bookmarkStart w:id="508" w:name="_Toc356298375"/>
      <w:bookmarkStart w:id="509" w:name="_Toc356298548"/>
      <w:bookmarkStart w:id="510" w:name="_Toc356414489"/>
      <w:bookmarkStart w:id="511" w:name="_Toc358018571"/>
      <w:bookmarkStart w:id="512" w:name="_Toc359408111"/>
      <w:bookmarkStart w:id="513" w:name="_Toc359412281"/>
      <w:bookmarkStart w:id="514" w:name="_Toc359510829"/>
      <w:bookmarkStart w:id="515" w:name="_Toc359859162"/>
      <w:bookmarkStart w:id="516" w:name="_Toc359867643"/>
      <w:bookmarkStart w:id="517" w:name="_Toc359867715"/>
      <w:bookmarkStart w:id="518" w:name="_Toc359927960"/>
      <w:bookmarkStart w:id="519" w:name="_Toc359928916"/>
      <w:bookmarkStart w:id="520" w:name="_Toc360003277"/>
      <w:bookmarkStart w:id="521" w:name="_Toc360030545"/>
      <w:bookmarkStart w:id="522" w:name="_Toc360043884"/>
      <w:bookmarkStart w:id="523" w:name="_Toc360099357"/>
      <w:bookmarkStart w:id="524" w:name="_Toc360125738"/>
      <w:bookmarkStart w:id="525" w:name="_Toc360199877"/>
      <w:bookmarkStart w:id="526" w:name="_Toc362002200"/>
      <w:bookmarkStart w:id="527" w:name="_Toc362030719"/>
      <w:bookmarkStart w:id="528" w:name="_Toc362271743"/>
      <w:bookmarkStart w:id="529" w:name="_Toc362281508"/>
      <w:bookmarkStart w:id="530" w:name="_Toc362350630"/>
      <w:bookmarkStart w:id="531" w:name="_Toc362350944"/>
      <w:bookmarkStart w:id="532" w:name="_Toc362356407"/>
      <w:bookmarkStart w:id="533" w:name="_Toc372273916"/>
      <w:bookmarkStart w:id="534" w:name="_Toc372293883"/>
      <w:bookmarkStart w:id="535" w:name="_Toc372810093"/>
      <w:bookmarkStart w:id="536" w:name="_Toc373163496"/>
      <w:bookmarkStart w:id="537" w:name="_Toc373168378"/>
      <w:bookmarkStart w:id="538" w:name="_Toc373168414"/>
      <w:bookmarkStart w:id="539" w:name="_Toc373168573"/>
      <w:bookmarkStart w:id="540" w:name="_Toc373168861"/>
      <w:bookmarkStart w:id="541" w:name="_Toc374110205"/>
      <w:bookmarkStart w:id="542" w:name="_Toc37411024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t>Ordering clauses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2B9346C4" w14:textId="77777777" w:rsidR="00693082" w:rsidRDefault="00693082" w:rsidP="00682224">
      <w:pPr>
        <w:pStyle w:val="ParaNum"/>
        <w:widowControl/>
      </w:pPr>
      <w:r>
        <w:t>ACCORDINGLY</w:t>
      </w:r>
      <w:r w:rsidR="009B495F" w:rsidRPr="009B495F">
        <w:t xml:space="preserve">, IT IS ORDERED, pursuant to </w:t>
      </w:r>
      <w:r>
        <w:t>Section 4(i)</w:t>
      </w:r>
      <w:r w:rsidR="009D7B1A">
        <w:t xml:space="preserve"> </w:t>
      </w:r>
      <w:r w:rsidR="009B495F" w:rsidRPr="009B495F">
        <w:t xml:space="preserve">of the Communications Act of 1934, as amended, 47 U.S.C. </w:t>
      </w:r>
      <w:r>
        <w:t>§ 154(i), and Sections 1.3 and 1.925 of the Commission’s Rules, 47 C.F.R. §§ 1.3, 1.925,</w:t>
      </w:r>
      <w:r w:rsidR="009B495F" w:rsidRPr="009B495F">
        <w:t xml:space="preserve"> that </w:t>
      </w:r>
      <w:r>
        <w:t>the Petition for Waiver of Sections 27.5(j) and 27.53(h)(2)(ii) and Request for Extension of Time filed by DISH Network Corporation on Sep</w:t>
      </w:r>
      <w:r w:rsidR="00106203">
        <w:t xml:space="preserve">tember 9, 2013 IS </w:t>
      </w:r>
      <w:r>
        <w:t xml:space="preserve">GRANTED </w:t>
      </w:r>
      <w:r w:rsidR="00106203">
        <w:t>subject to the conditions</w:t>
      </w:r>
      <w:r>
        <w:t xml:space="preserve"> indicated herein.</w:t>
      </w:r>
    </w:p>
    <w:p w14:paraId="4C0E9283" w14:textId="77777777" w:rsidR="009B495F" w:rsidRPr="009B495F" w:rsidRDefault="00693082" w:rsidP="00682224">
      <w:pPr>
        <w:pStyle w:val="ParaNum"/>
        <w:widowControl/>
      </w:pPr>
      <w:r>
        <w:t>IT IS FURTHER ORDERED that</w:t>
      </w:r>
      <w:r w:rsidR="00D46B14">
        <w:t xml:space="preserve"> </w:t>
      </w:r>
      <w:r w:rsidR="00330193">
        <w:t>AWS-4 licenses of</w:t>
      </w:r>
      <w:r>
        <w:t xml:space="preserve"> Gamma Acquisitions L.L.C.</w:t>
      </w:r>
      <w:r w:rsidR="00D46B14">
        <w:t>, call sign</w:t>
      </w:r>
      <w:r w:rsidR="00330193">
        <w:t>s T060430001 through T060430176</w:t>
      </w:r>
      <w:r w:rsidR="00D46B14">
        <w:t xml:space="preserve">, and the </w:t>
      </w:r>
      <w:r w:rsidR="00330193">
        <w:t>AWS-4 l</w:t>
      </w:r>
      <w:r w:rsidR="00D46B14">
        <w:t>icense</w:t>
      </w:r>
      <w:r w:rsidR="00330193">
        <w:t>s</w:t>
      </w:r>
      <w:r>
        <w:t xml:space="preserve"> of New DBSD Satellite Services G.P.</w:t>
      </w:r>
      <w:r w:rsidR="00D46B14">
        <w:t>, call sign</w:t>
      </w:r>
      <w:r w:rsidR="00330193">
        <w:t>s TO70272001 through T070272176</w:t>
      </w:r>
      <w:r w:rsidR="00227FB0">
        <w:t>,</w:t>
      </w:r>
      <w:r>
        <w:t xml:space="preserve"> SHALL BE REFERRED to the Wireless Telecommunications Bureau, Broadband Division, for processing consistent with </w:t>
      </w:r>
      <w:r w:rsidR="009B495F" w:rsidRPr="009B495F">
        <w:t xml:space="preserve">this </w:t>
      </w:r>
      <w:r w:rsidR="00ED423E">
        <w:t>Memorandum Opinion and Order</w:t>
      </w:r>
      <w:r w:rsidR="009B495F" w:rsidRPr="009B495F">
        <w:t>.</w:t>
      </w:r>
    </w:p>
    <w:p w14:paraId="6617861A" w14:textId="77777777" w:rsidR="00BC6145" w:rsidRDefault="00BC6145" w:rsidP="00682224">
      <w:pPr>
        <w:pStyle w:val="ParaNum"/>
        <w:widowControl/>
      </w:pPr>
      <w:r>
        <w:t xml:space="preserve">IT IS FURTHER ORDERED that </w:t>
      </w:r>
      <w:r w:rsidR="00693082">
        <w:t>this Memorandum Opinion and Order, or a summary thereof, SHALL BE PU</w:t>
      </w:r>
      <w:r w:rsidR="00E11FAF">
        <w:t>BLISHED in the Federal Register</w:t>
      </w:r>
      <w:r w:rsidR="00693082">
        <w:t>.</w:t>
      </w:r>
    </w:p>
    <w:p w14:paraId="2F807D78" w14:textId="77777777" w:rsidR="008A2CD2" w:rsidRDefault="0090696F" w:rsidP="00682224">
      <w:pPr>
        <w:pStyle w:val="ParaNum"/>
        <w:widowControl/>
      </w:pPr>
      <w:r w:rsidRPr="00CE6EED">
        <w:t xml:space="preserve">IT IS FURTHER ORDERED that </w:t>
      </w:r>
      <w:r w:rsidR="00693082">
        <w:t>this Memorandum Opinion and Order SHALL BE EFFECTIVE upon release.</w:t>
      </w:r>
    </w:p>
    <w:p w14:paraId="6F5A3F41" w14:textId="77777777" w:rsidR="00BC6145" w:rsidRPr="00CE6EED" w:rsidRDefault="00693082" w:rsidP="00682224">
      <w:pPr>
        <w:pStyle w:val="ParaNum"/>
        <w:widowControl/>
      </w:pPr>
      <w:r>
        <w:t>This action is taken under delegated authority pursuant to Sections 0.131 and 0.331 of the Commission’s rules, 47 C.F.R. §§ 0.131, 0.331.</w:t>
      </w:r>
    </w:p>
    <w:p w14:paraId="74399892" w14:textId="77777777" w:rsidR="00BC6145" w:rsidRPr="000773FB" w:rsidRDefault="00BC6145">
      <w:pPr>
        <w:keepNext/>
        <w:keepLines/>
        <w:widowControl/>
        <w:ind w:left="3600" w:firstLine="720"/>
        <w:rPr>
          <w:caps/>
          <w:color w:val="000000"/>
        </w:rPr>
      </w:pPr>
      <w:r w:rsidRPr="000773FB">
        <w:rPr>
          <w:caps/>
          <w:color w:val="000000"/>
        </w:rPr>
        <w:t>Federal Communications Commission</w:t>
      </w:r>
    </w:p>
    <w:p w14:paraId="609F11E6" w14:textId="77777777" w:rsidR="00BC6145" w:rsidRDefault="00BC6145">
      <w:pPr>
        <w:keepNext/>
        <w:keepLines/>
        <w:widowControl/>
        <w:ind w:left="3600" w:firstLine="720"/>
        <w:rPr>
          <w:color w:val="000000"/>
        </w:rPr>
      </w:pPr>
    </w:p>
    <w:p w14:paraId="517E7DF2" w14:textId="77777777" w:rsidR="000F144C" w:rsidRDefault="000F144C">
      <w:pPr>
        <w:keepLines/>
        <w:widowControl/>
        <w:ind w:left="3600" w:firstLine="720"/>
        <w:rPr>
          <w:color w:val="000000"/>
        </w:rPr>
      </w:pPr>
    </w:p>
    <w:p w14:paraId="7CB27B23" w14:textId="77777777" w:rsidR="00BC6145" w:rsidRDefault="00BC6145">
      <w:pPr>
        <w:keepLines/>
        <w:widowControl/>
        <w:ind w:left="3600" w:firstLine="720"/>
        <w:rPr>
          <w:color w:val="000000"/>
        </w:rPr>
      </w:pPr>
    </w:p>
    <w:p w14:paraId="662ADFD4" w14:textId="77777777" w:rsidR="008A2CD2" w:rsidRPr="000773FB" w:rsidRDefault="008A2CD2">
      <w:pPr>
        <w:keepLines/>
        <w:widowControl/>
        <w:ind w:left="3600" w:firstLine="720"/>
        <w:rPr>
          <w:color w:val="000000"/>
        </w:rPr>
      </w:pPr>
    </w:p>
    <w:p w14:paraId="15D9BA6F" w14:textId="77777777" w:rsidR="00BC6145" w:rsidRPr="000773FB" w:rsidRDefault="008074B4">
      <w:pPr>
        <w:keepNext/>
        <w:keepLines/>
        <w:widowControl/>
        <w:ind w:left="3600" w:firstLine="720"/>
        <w:rPr>
          <w:color w:val="000000"/>
        </w:rPr>
      </w:pPr>
      <w:r>
        <w:rPr>
          <w:color w:val="000000"/>
        </w:rPr>
        <w:t xml:space="preserve">Roger </w:t>
      </w:r>
      <w:r w:rsidR="00795A43">
        <w:rPr>
          <w:color w:val="000000"/>
        </w:rPr>
        <w:t xml:space="preserve">C. </w:t>
      </w:r>
      <w:r>
        <w:rPr>
          <w:color w:val="000000"/>
        </w:rPr>
        <w:t>Sherman</w:t>
      </w:r>
    </w:p>
    <w:p w14:paraId="5CD1F5CF" w14:textId="77777777" w:rsidR="00BC6145" w:rsidRPr="00656BA5" w:rsidRDefault="00795A43">
      <w:pPr>
        <w:keepNext/>
        <w:keepLines/>
        <w:widowControl/>
        <w:ind w:left="3600" w:firstLine="720"/>
        <w:rPr>
          <w:color w:val="000000"/>
        </w:rPr>
      </w:pPr>
      <w:r>
        <w:rPr>
          <w:color w:val="000000"/>
        </w:rPr>
        <w:t xml:space="preserve">Acting </w:t>
      </w:r>
      <w:r w:rsidR="000632C8">
        <w:rPr>
          <w:color w:val="000000"/>
        </w:rPr>
        <w:t>Chief, Wireless Telecommunications Bureau</w:t>
      </w:r>
    </w:p>
    <w:p w14:paraId="7DCFFCF5" w14:textId="77777777" w:rsidR="00940C44" w:rsidRPr="005A6644" w:rsidRDefault="00940C44">
      <w:pPr>
        <w:widowControl/>
      </w:pPr>
    </w:p>
    <w:p w14:paraId="2F283F63" w14:textId="77777777" w:rsidR="00940C44" w:rsidRDefault="00940C44">
      <w:pPr>
        <w:widowControl/>
      </w:pPr>
      <w:r>
        <w:br w:type="page"/>
      </w:r>
    </w:p>
    <w:p w14:paraId="36148086" w14:textId="77777777" w:rsidR="00940C44" w:rsidRPr="00567F36" w:rsidRDefault="00295DE4">
      <w:pPr>
        <w:widowControl/>
        <w:spacing w:line="276" w:lineRule="auto"/>
        <w:jc w:val="center"/>
        <w:rPr>
          <w:b/>
        </w:rPr>
      </w:pPr>
      <w:r>
        <w:rPr>
          <w:b/>
        </w:rPr>
        <w:t>APPENDIX</w:t>
      </w:r>
    </w:p>
    <w:p w14:paraId="4B935A10" w14:textId="77777777" w:rsidR="00536B2E" w:rsidRDefault="00536B2E">
      <w:pPr>
        <w:widowControl/>
        <w:jc w:val="center"/>
        <w:rPr>
          <w:b/>
        </w:rPr>
      </w:pPr>
    </w:p>
    <w:p w14:paraId="6EF2F94B" w14:textId="77777777" w:rsidR="00ED423E" w:rsidRDefault="00ED423E">
      <w:pPr>
        <w:widowControl/>
        <w:jc w:val="center"/>
        <w:rPr>
          <w:b/>
        </w:rPr>
      </w:pPr>
      <w:r>
        <w:rPr>
          <w:b/>
        </w:rPr>
        <w:t xml:space="preserve">List of Comments </w:t>
      </w:r>
      <w:r w:rsidR="0030096A">
        <w:rPr>
          <w:b/>
        </w:rPr>
        <w:t>and Reply Comments</w:t>
      </w:r>
    </w:p>
    <w:p w14:paraId="7A529825" w14:textId="77777777" w:rsidR="00ED423E" w:rsidRDefault="00ED423E">
      <w:pPr>
        <w:widowControl/>
        <w:rPr>
          <w:b/>
        </w:rPr>
      </w:pPr>
    </w:p>
    <w:p w14:paraId="4DA3C4D8" w14:textId="77777777" w:rsidR="00ED423E" w:rsidRDefault="00ED423E">
      <w:pPr>
        <w:widowControl/>
        <w:rPr>
          <w:b/>
        </w:rPr>
      </w:pPr>
    </w:p>
    <w:p w14:paraId="1EC3609F" w14:textId="77777777" w:rsidR="00ED423E" w:rsidRPr="00ED423E" w:rsidRDefault="00ED423E">
      <w:pPr>
        <w:widowControl/>
        <w:spacing w:line="360" w:lineRule="auto"/>
        <w:rPr>
          <w:b/>
          <w:u w:val="single"/>
        </w:rPr>
      </w:pPr>
      <w:r w:rsidRPr="00ED423E">
        <w:rPr>
          <w:b/>
          <w:u w:val="single"/>
        </w:rPr>
        <w:t>Comments</w:t>
      </w:r>
    </w:p>
    <w:p w14:paraId="485E788C" w14:textId="77777777" w:rsidR="00ED423E" w:rsidRPr="00020644" w:rsidRDefault="00020644">
      <w:pPr>
        <w:widowControl/>
      </w:pPr>
      <w:r w:rsidRPr="00020644">
        <w:t>AT&amp;T Inc.</w:t>
      </w:r>
    </w:p>
    <w:p w14:paraId="6B4362F5" w14:textId="77777777" w:rsidR="00ED423E" w:rsidRPr="00020644" w:rsidRDefault="00020644">
      <w:pPr>
        <w:widowControl/>
      </w:pPr>
      <w:r w:rsidRPr="00020644">
        <w:t>NTCH, Inc.</w:t>
      </w:r>
    </w:p>
    <w:p w14:paraId="13383184" w14:textId="77777777" w:rsidR="00020644" w:rsidRPr="00020644" w:rsidRDefault="00020644">
      <w:pPr>
        <w:widowControl/>
      </w:pPr>
      <w:r w:rsidRPr="00020644">
        <w:t>Sprint Corporation</w:t>
      </w:r>
    </w:p>
    <w:p w14:paraId="6DD046A1" w14:textId="77777777" w:rsidR="00ED423E" w:rsidRPr="00020644" w:rsidRDefault="00ED423E">
      <w:pPr>
        <w:widowControl/>
      </w:pPr>
    </w:p>
    <w:p w14:paraId="6A3278BC" w14:textId="77777777" w:rsidR="00ED423E" w:rsidRPr="00020644" w:rsidRDefault="00ED423E">
      <w:pPr>
        <w:widowControl/>
      </w:pPr>
    </w:p>
    <w:p w14:paraId="2D4EB404" w14:textId="77777777" w:rsidR="00ED423E" w:rsidRPr="00020644" w:rsidRDefault="00ED423E">
      <w:pPr>
        <w:widowControl/>
      </w:pPr>
    </w:p>
    <w:p w14:paraId="3F5CD0A0" w14:textId="77777777" w:rsidR="00ED423E" w:rsidRPr="00ED423E" w:rsidRDefault="00ED423E">
      <w:pPr>
        <w:widowControl/>
        <w:spacing w:line="360" w:lineRule="auto"/>
        <w:rPr>
          <w:b/>
          <w:u w:val="single"/>
        </w:rPr>
      </w:pPr>
      <w:r w:rsidRPr="00ED423E">
        <w:rPr>
          <w:b/>
          <w:u w:val="single"/>
        </w:rPr>
        <w:t>Reply Comments</w:t>
      </w:r>
    </w:p>
    <w:p w14:paraId="66BC556D" w14:textId="77777777" w:rsidR="00ED423E" w:rsidRPr="00020644" w:rsidRDefault="00020644">
      <w:pPr>
        <w:widowControl/>
      </w:pPr>
      <w:r>
        <w:t>DISH Network Corporation</w:t>
      </w:r>
    </w:p>
    <w:p w14:paraId="6226257D" w14:textId="77777777" w:rsidR="00ED423E" w:rsidRPr="00020644" w:rsidRDefault="00B927E8">
      <w:pPr>
        <w:widowControl/>
      </w:pPr>
      <w:r>
        <w:t>Sprint Corporation</w:t>
      </w:r>
    </w:p>
    <w:sectPr w:rsidR="00ED423E" w:rsidRPr="00020644" w:rsidSect="008974B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57744" w14:textId="77777777" w:rsidR="00B3334E" w:rsidRDefault="00B3334E">
      <w:pPr>
        <w:spacing w:line="20" w:lineRule="exact"/>
      </w:pPr>
    </w:p>
  </w:endnote>
  <w:endnote w:type="continuationSeparator" w:id="0">
    <w:p w14:paraId="7BBAB20C" w14:textId="77777777" w:rsidR="00B3334E" w:rsidRDefault="00B3334E">
      <w:r>
        <w:t xml:space="preserve"> </w:t>
      </w:r>
    </w:p>
  </w:endnote>
  <w:endnote w:type="continuationNotice" w:id="1">
    <w:p w14:paraId="6BB31982" w14:textId="77777777" w:rsidR="00B3334E" w:rsidRDefault="00B333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92AA" w14:textId="77777777" w:rsidR="005074E0" w:rsidRDefault="00507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919400"/>
      <w:docPartObj>
        <w:docPartGallery w:val="Page Numbers (Bottom of Page)"/>
        <w:docPartUnique/>
      </w:docPartObj>
    </w:sdtPr>
    <w:sdtEndPr>
      <w:rPr>
        <w:noProof/>
      </w:rPr>
    </w:sdtEndPr>
    <w:sdtContent>
      <w:p w14:paraId="1C432B78" w14:textId="77777777" w:rsidR="00947526" w:rsidRDefault="00947526">
        <w:pPr>
          <w:pStyle w:val="Footer"/>
          <w:jc w:val="center"/>
        </w:pPr>
        <w:r>
          <w:fldChar w:fldCharType="begin"/>
        </w:r>
        <w:r>
          <w:instrText xml:space="preserve"> PAGE   \* MERGEFORMAT </w:instrText>
        </w:r>
        <w:r>
          <w:fldChar w:fldCharType="separate"/>
        </w:r>
        <w:r w:rsidR="009B7CFE">
          <w:rPr>
            <w:noProof/>
          </w:rPr>
          <w:t>2</w:t>
        </w:r>
        <w:r>
          <w:rPr>
            <w:noProof/>
          </w:rPr>
          <w:fldChar w:fldCharType="end"/>
        </w:r>
      </w:p>
    </w:sdtContent>
  </w:sdt>
  <w:p w14:paraId="57E75BC8" w14:textId="27400D56" w:rsidR="00947526" w:rsidRDefault="00947526" w:rsidP="00B46E80">
    <w:pPr>
      <w:pStyle w:val="Footer"/>
      <w:tabs>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478B" w14:textId="625E0940" w:rsidR="00947526" w:rsidRDefault="0094752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1D1CD" w14:textId="77777777" w:rsidR="00B3334E" w:rsidRDefault="00B3334E">
      <w:r>
        <w:separator/>
      </w:r>
    </w:p>
  </w:footnote>
  <w:footnote w:type="continuationSeparator" w:id="0">
    <w:p w14:paraId="69C0B399" w14:textId="77777777" w:rsidR="00B3334E" w:rsidRDefault="00B3334E">
      <w:pPr>
        <w:rPr>
          <w:sz w:val="20"/>
        </w:rPr>
      </w:pPr>
      <w:r>
        <w:rPr>
          <w:sz w:val="20"/>
        </w:rPr>
        <w:t xml:space="preserve">(Continued from previous page)  </w:t>
      </w:r>
      <w:r>
        <w:rPr>
          <w:sz w:val="20"/>
        </w:rPr>
        <w:separator/>
      </w:r>
    </w:p>
  </w:footnote>
  <w:footnote w:type="continuationNotice" w:id="1">
    <w:p w14:paraId="259D3769" w14:textId="77777777" w:rsidR="00B3334E" w:rsidRDefault="00B3334E">
      <w:pPr>
        <w:rPr>
          <w:sz w:val="20"/>
        </w:rPr>
      </w:pPr>
      <w:r>
        <w:rPr>
          <w:sz w:val="20"/>
        </w:rPr>
        <w:t>(continued….)</w:t>
      </w:r>
    </w:p>
  </w:footnote>
  <w:footnote w:id="2">
    <w:p w14:paraId="1D0C52C0" w14:textId="77777777" w:rsidR="00947526" w:rsidRPr="00BD5380" w:rsidRDefault="00947526" w:rsidP="001D6D86">
      <w:pPr>
        <w:pStyle w:val="FootnoteText"/>
      </w:pPr>
      <w:r w:rsidRPr="00BD5380">
        <w:rPr>
          <w:rStyle w:val="FootnoteReference"/>
        </w:rPr>
        <w:footnoteRef/>
      </w:r>
      <w:r w:rsidRPr="00BD5380">
        <w:t xml:space="preserve"> </w:t>
      </w:r>
      <w:r w:rsidRPr="00BD5380">
        <w:rPr>
          <w:i/>
        </w:rPr>
        <w:t xml:space="preserve">See </w:t>
      </w:r>
      <w:r w:rsidRPr="00BD5380">
        <w:t xml:space="preserve">DISH Network Corporation, Petition for Waiver of Sections 27.5(j) and 27.53(h)(2)(ii) and Request for Extension of Time, WT Docket No. 13-225 (filed Sept. 9, 2013) (“DISH Petition”).  DISH filed its waiver request on behalf of itself and its wholly owned subsidiaries Gamma Acquisitions L.L.C. and New DBSD Satellite Services G.P.  </w:t>
      </w:r>
      <w:r w:rsidRPr="00BD5380">
        <w:rPr>
          <w:i/>
        </w:rPr>
        <w:t>Id.</w:t>
      </w:r>
      <w:r w:rsidRPr="00BD5380">
        <w:t xml:space="preserve"> at 1.  This order refers to DISH Network Corporation and these subsidiaries collectively as “DISH.”</w:t>
      </w:r>
    </w:p>
  </w:footnote>
  <w:footnote w:id="3">
    <w:p w14:paraId="7CCF4E76" w14:textId="447BF94C" w:rsidR="00947526" w:rsidRPr="009D08C3" w:rsidRDefault="00947526" w:rsidP="00B31C32">
      <w:pPr>
        <w:pStyle w:val="FootnoteText"/>
        <w:rPr>
          <w:snapToGrid w:val="0"/>
          <w:color w:val="000000"/>
          <w:shd w:val="clear" w:color="auto" w:fill="FFFFFF"/>
        </w:rPr>
      </w:pPr>
      <w:r w:rsidRPr="00BD5380">
        <w:rPr>
          <w:rStyle w:val="FootnoteReference"/>
        </w:rPr>
        <w:footnoteRef/>
      </w:r>
      <w:r w:rsidRPr="00BD5380">
        <w:t xml:space="preserve"> </w:t>
      </w:r>
      <w:r w:rsidRPr="00BD5380">
        <w:rPr>
          <w:i/>
        </w:rPr>
        <w:t xml:space="preserve">See </w:t>
      </w:r>
      <w:r w:rsidRPr="00BD5380">
        <w:rPr>
          <w:snapToGrid w:val="0"/>
          <w:color w:val="000000"/>
          <w:shd w:val="clear" w:color="auto" w:fill="FFFFFF"/>
        </w:rPr>
        <w:t xml:space="preserve">Auction of H Block Licenses in the 1915-1920 MHz and 1995-2000 MHz Bands Scheduled for January 14, 2014; Notice and Filing Requirements, Minimum Opening Bids, Upfront Payments, and other Procedures for Auction 96, AU Docket No. 13-178, </w:t>
      </w:r>
      <w:r w:rsidRPr="00BD5380">
        <w:rPr>
          <w:i/>
          <w:snapToGrid w:val="0"/>
          <w:color w:val="000000"/>
          <w:shd w:val="clear" w:color="auto" w:fill="FFFFFF"/>
        </w:rPr>
        <w:t>Public Notice</w:t>
      </w:r>
      <w:r w:rsidRPr="00BD5380">
        <w:rPr>
          <w:snapToGrid w:val="0"/>
          <w:color w:val="000000"/>
          <w:shd w:val="clear" w:color="auto" w:fill="FFFFFF"/>
        </w:rPr>
        <w:t>, 28 FCC Rcd 13019, 13064 ¶ 172 (WTB 2013) (“</w:t>
      </w:r>
      <w:r w:rsidRPr="00BD5380">
        <w:rPr>
          <w:i/>
          <w:snapToGrid w:val="0"/>
          <w:color w:val="000000"/>
          <w:shd w:val="clear" w:color="auto" w:fill="FFFFFF"/>
        </w:rPr>
        <w:t>Auction 96 Procedures PN</w:t>
      </w:r>
      <w:r w:rsidRPr="00BD5380">
        <w:rPr>
          <w:snapToGrid w:val="0"/>
          <w:color w:val="000000"/>
          <w:shd w:val="clear" w:color="auto" w:fill="FFFFFF"/>
        </w:rPr>
        <w:t>”);</w:t>
      </w:r>
      <w:r>
        <w:rPr>
          <w:snapToGrid w:val="0"/>
          <w:color w:val="000000"/>
          <w:shd w:val="clear" w:color="auto" w:fill="FFFFFF"/>
        </w:rPr>
        <w:t xml:space="preserve"> NTCH, Inc. Petition for Reconsideration of Public Notice Announcing Procedures and Reserve Price for Auction of H Block Licenses (Auction 96), AU Docket No. 13-176, </w:t>
      </w:r>
      <w:r>
        <w:rPr>
          <w:i/>
          <w:snapToGrid w:val="0"/>
          <w:color w:val="000000"/>
          <w:shd w:val="clear" w:color="auto" w:fill="FFFFFF"/>
        </w:rPr>
        <w:t>Memorandum Opinion and Order</w:t>
      </w:r>
      <w:r>
        <w:rPr>
          <w:snapToGrid w:val="0"/>
          <w:color w:val="000000"/>
          <w:shd w:val="clear" w:color="auto" w:fill="FFFFFF"/>
        </w:rPr>
        <w:t xml:space="preserve">, DA 13-2281 (WTB/Auctions Division, Nov. 27, 2013) </w:t>
      </w:r>
      <w:r w:rsidRPr="009D08C3">
        <w:rPr>
          <w:snapToGrid w:val="0"/>
          <w:color w:val="000000"/>
          <w:shd w:val="clear" w:color="auto" w:fill="FFFFFF"/>
        </w:rPr>
        <w:t>(“</w:t>
      </w:r>
      <w:r>
        <w:rPr>
          <w:i/>
          <w:snapToGrid w:val="0"/>
          <w:color w:val="000000"/>
          <w:shd w:val="clear" w:color="auto" w:fill="FFFFFF"/>
        </w:rPr>
        <w:t>Auction 96 Procedures PN Recon Order</w:t>
      </w:r>
      <w:r>
        <w:rPr>
          <w:snapToGrid w:val="0"/>
          <w:color w:val="000000"/>
          <w:shd w:val="clear" w:color="auto" w:fill="FFFFFF"/>
        </w:rPr>
        <w:t>”)</w:t>
      </w:r>
      <w:r w:rsidRPr="00BD5380">
        <w:rPr>
          <w:color w:val="000000"/>
          <w:shd w:val="clear" w:color="auto" w:fill="FFFFFF"/>
        </w:rPr>
        <w:t xml:space="preserve">; </w:t>
      </w:r>
      <w:r w:rsidRPr="00BD5380">
        <w:rPr>
          <w:i/>
          <w:color w:val="000000"/>
          <w:shd w:val="clear" w:color="auto" w:fill="FFFFFF"/>
        </w:rPr>
        <w:t xml:space="preserve">see also </w:t>
      </w:r>
      <w:r w:rsidRPr="00BD5380">
        <w:rPr>
          <w:color w:val="000000"/>
          <w:shd w:val="clear" w:color="auto" w:fill="FFFFFF"/>
        </w:rPr>
        <w:t>DISH Petition at 15.</w:t>
      </w:r>
    </w:p>
  </w:footnote>
  <w:footnote w:id="4">
    <w:p w14:paraId="38020658" w14:textId="0DE1B5B2" w:rsidR="00947526" w:rsidRDefault="00947526">
      <w:pPr>
        <w:pStyle w:val="FootnoteText"/>
      </w:pPr>
      <w:r>
        <w:rPr>
          <w:rStyle w:val="FootnoteReference"/>
        </w:rPr>
        <w:footnoteRef/>
      </w:r>
      <w:r>
        <w:t xml:space="preserve"> </w:t>
      </w:r>
      <w:r w:rsidRPr="00BD5380">
        <w:rPr>
          <w:i/>
        </w:rPr>
        <w:t xml:space="preserve">See infra </w:t>
      </w:r>
      <w:r w:rsidRPr="00BD5380">
        <w:t>at ¶¶</w:t>
      </w:r>
      <w:r>
        <w:t xml:space="preserve"> </w:t>
      </w:r>
      <w:r>
        <w:fldChar w:fldCharType="begin"/>
      </w:r>
      <w:r>
        <w:instrText xml:space="preserve"> REF _Ref373154344 \r \h </w:instrText>
      </w:r>
      <w:r>
        <w:fldChar w:fldCharType="separate"/>
      </w:r>
      <w:r>
        <w:t>39</w:t>
      </w:r>
      <w:r>
        <w:fldChar w:fldCharType="end"/>
      </w:r>
      <w:r>
        <w:t>-</w:t>
      </w:r>
      <w:r>
        <w:fldChar w:fldCharType="begin"/>
      </w:r>
      <w:r>
        <w:instrText xml:space="preserve"> REF _Ref373152894 \r \h </w:instrText>
      </w:r>
      <w:r>
        <w:fldChar w:fldCharType="separate"/>
      </w:r>
      <w:r>
        <w:t>40</w:t>
      </w:r>
      <w:r>
        <w:fldChar w:fldCharType="end"/>
      </w:r>
      <w:r>
        <w:t>.</w:t>
      </w:r>
    </w:p>
  </w:footnote>
  <w:footnote w:id="5">
    <w:p w14:paraId="40BA3303" w14:textId="2DD04C88" w:rsidR="00947526" w:rsidRPr="0091453A" w:rsidRDefault="00947526" w:rsidP="00DB7497">
      <w:pPr>
        <w:pStyle w:val="FootnoteText"/>
      </w:pPr>
      <w:r>
        <w:rPr>
          <w:rStyle w:val="FootnoteReference"/>
        </w:rPr>
        <w:footnoteRef/>
      </w:r>
      <w:r>
        <w:t xml:space="preserve"> MSS is a radiocommunication</w:t>
      </w:r>
      <w:r w:rsidR="00AD2FCE">
        <w:t>s</w:t>
      </w:r>
      <w:r>
        <w:t xml:space="preserve"> service involving transmission between mobile earth stations and one or more space stations.  </w:t>
      </w:r>
      <w:r>
        <w:rPr>
          <w:i/>
        </w:rPr>
        <w:t>See</w:t>
      </w:r>
      <w:r>
        <w:t xml:space="preserve"> 47 C.F.R. § 2.1(c).  The ATC rules allowed authorized MSS operators to augment their satellite services with terrestrial facilities.  </w:t>
      </w:r>
      <w:r>
        <w:rPr>
          <w:i/>
        </w:rPr>
        <w:t>See</w:t>
      </w:r>
      <w:r>
        <w:t xml:space="preserve"> Flexibility for Delivery of Communications by Mobile Satellite Service Providers in the 2 GHz Band, the L-Band, and the 1.6/2.4 Bands, IB Docket Nos. 01-185, 02-364, </w:t>
      </w:r>
      <w:r>
        <w:rPr>
          <w:i/>
        </w:rPr>
        <w:t>Report and Order and Notice of Proposed Rulemaking</w:t>
      </w:r>
      <w:r>
        <w:t>, 18 FCC Rcd 1962, 1964 ¶ 1 (2003).</w:t>
      </w:r>
    </w:p>
  </w:footnote>
  <w:footnote w:id="6">
    <w:p w14:paraId="4243DA26" w14:textId="77777777" w:rsidR="00947526" w:rsidRPr="00BD5380" w:rsidRDefault="00947526" w:rsidP="00DB7497">
      <w:pPr>
        <w:pStyle w:val="FootnoteText"/>
      </w:pPr>
      <w:r w:rsidRPr="00BD5380">
        <w:rPr>
          <w:rStyle w:val="FootnoteReference"/>
        </w:rPr>
        <w:footnoteRef/>
      </w:r>
      <w:r w:rsidRPr="00BD5380">
        <w:t xml:space="preserve"> Fixed and Mobile Services in the Mobile Satellite Service Bands at 1525-1559 MHz and 1626.5-1660.5 MHz, 1610-1626.5 MHz and 2483.5-2500 MHz, and 2000-2020 MHz and 2180-2200 MHz, ET Docket No. 10-142, </w:t>
      </w:r>
      <w:r w:rsidRPr="00BD5380">
        <w:rPr>
          <w:i/>
        </w:rPr>
        <w:t>Report and Order</w:t>
      </w:r>
      <w:r w:rsidRPr="00BD5380">
        <w:t>, 26 FCC Rcd 5710 (2011) (“</w:t>
      </w:r>
      <w:r w:rsidRPr="00BD5380">
        <w:rPr>
          <w:i/>
        </w:rPr>
        <w:t>2 GHz Band Co-Allocation Order</w:t>
      </w:r>
      <w:r w:rsidRPr="00BD5380">
        <w:t>”).</w:t>
      </w:r>
    </w:p>
  </w:footnote>
  <w:footnote w:id="7">
    <w:p w14:paraId="4014B866" w14:textId="39375EE0" w:rsidR="00947526" w:rsidRPr="00BD5380" w:rsidRDefault="00947526" w:rsidP="00DB7497">
      <w:pPr>
        <w:pStyle w:val="FootnoteText"/>
      </w:pPr>
      <w:r w:rsidRPr="00BD5380">
        <w:rPr>
          <w:rStyle w:val="FootnoteReference"/>
        </w:rPr>
        <w:footnoteRef/>
      </w:r>
      <w:r w:rsidRPr="00BD5380">
        <w:t xml:space="preserve"> </w:t>
      </w:r>
      <w:r>
        <w:rPr>
          <w:i/>
        </w:rPr>
        <w:t>Id.</w:t>
      </w:r>
      <w:r w:rsidRPr="00BD5380">
        <w:t xml:space="preserve"> at 5714, 5716 ¶¶ 8</w:t>
      </w:r>
      <w:r>
        <w:t xml:space="preserve">, </w:t>
      </w:r>
      <w:r w:rsidRPr="00BD5380">
        <w:t>13.</w:t>
      </w:r>
    </w:p>
  </w:footnote>
  <w:footnote w:id="8">
    <w:p w14:paraId="75F2FDAA" w14:textId="77777777" w:rsidR="00947526" w:rsidRPr="00BD5380" w:rsidRDefault="00947526" w:rsidP="00DB7497">
      <w:pPr>
        <w:pStyle w:val="FootnoteText"/>
      </w:pPr>
      <w:r w:rsidRPr="00BD5380">
        <w:rPr>
          <w:rStyle w:val="FootnoteReference"/>
        </w:rPr>
        <w:footnoteRef/>
      </w:r>
      <w:r w:rsidRPr="00BD5380">
        <w:t xml:space="preserve"> Service Rules for Advanced Wireless Services in the 2000-2020 MHz and 2180-2200 MHz Bands, WT Docket No. 12-70, </w:t>
      </w:r>
      <w:r w:rsidRPr="00BD5380">
        <w:rPr>
          <w:i/>
        </w:rPr>
        <w:t>Report and Order and Order of Proposed Modification</w:t>
      </w:r>
      <w:r w:rsidRPr="00BD5380">
        <w:t>, 27 FCC Rcd 16102, 16108, at ¶ 10 (2012) (“</w:t>
      </w:r>
      <w:r w:rsidRPr="00BD5380">
        <w:rPr>
          <w:i/>
        </w:rPr>
        <w:t>AWS-4 Report and Order</w:t>
      </w:r>
      <w:r w:rsidRPr="00BD5380">
        <w:t>”).</w:t>
      </w:r>
    </w:p>
  </w:footnote>
  <w:footnote w:id="9">
    <w:p w14:paraId="05FA5015" w14:textId="77777777" w:rsidR="00947526" w:rsidRPr="00BD5380" w:rsidRDefault="00947526" w:rsidP="00DB7497">
      <w:pPr>
        <w:pStyle w:val="FootnoteText"/>
        <w:rPr>
          <w:i/>
        </w:rPr>
      </w:pPr>
      <w:r w:rsidRPr="00BD5380">
        <w:rPr>
          <w:rStyle w:val="FootnoteReference"/>
        </w:rPr>
        <w:footnoteRef/>
      </w:r>
      <w:r w:rsidRPr="00BD5380">
        <w:t xml:space="preserve"> </w:t>
      </w:r>
      <w:r w:rsidRPr="00BD5380">
        <w:rPr>
          <w:i/>
        </w:rPr>
        <w:t>See generally AWS-4 Report and Order</w:t>
      </w:r>
      <w:r w:rsidRPr="00BD5380">
        <w:t>, 27 FCC Rcd 16102</w:t>
      </w:r>
      <w:r w:rsidRPr="00BD5380">
        <w:rPr>
          <w:i/>
        </w:rPr>
        <w:t>.</w:t>
      </w:r>
      <w:r w:rsidRPr="00BD5380">
        <w:t xml:space="preserve">  AWS-4 service refers to terrestrial wireless service in the 2000-2020 MHz and 2180-2200 MHz frequency bands.  </w:t>
      </w:r>
      <w:r w:rsidRPr="00BD5380">
        <w:rPr>
          <w:i/>
        </w:rPr>
        <w:t>Id.</w:t>
      </w:r>
      <w:r w:rsidRPr="00BD5380">
        <w:t xml:space="preserve"> at 16103 ¶ 1</w:t>
      </w:r>
      <w:r w:rsidRPr="00BD5380">
        <w:rPr>
          <w:i/>
        </w:rPr>
        <w:t>.</w:t>
      </w:r>
    </w:p>
  </w:footnote>
  <w:footnote w:id="10">
    <w:p w14:paraId="6EDEE9B4" w14:textId="77777777" w:rsidR="00947526" w:rsidRPr="00BD5380" w:rsidRDefault="00947526" w:rsidP="00DB7497">
      <w:pPr>
        <w:pStyle w:val="FootnoteText"/>
      </w:pPr>
      <w:r w:rsidRPr="00BD5380">
        <w:rPr>
          <w:rStyle w:val="FootnoteReference"/>
        </w:rPr>
        <w:footnoteRef/>
      </w:r>
      <w:r w:rsidRPr="00BD5380">
        <w:t xml:space="preserve"> 47 C.F.R. § 27.5(j) (“</w:t>
      </w:r>
      <w:r w:rsidRPr="00BD5380">
        <w:rPr>
          <w:color w:val="000000"/>
          <w:shd w:val="clear" w:color="auto" w:fill="FFFFFF"/>
        </w:rPr>
        <w:t>Two paired channel blocks of 10 megahertz each are available for assignment as follows: Block A: 2000-2010 MHz and 2180-2190 MHz; and Block B: 2010-2020 MHz and 2190-2200 MHz</w:t>
      </w:r>
      <w:r>
        <w:t>.”)</w:t>
      </w:r>
      <w:r w:rsidRPr="00BD5380">
        <w:t xml:space="preserve">; </w:t>
      </w:r>
      <w:r w:rsidRPr="00BD5380">
        <w:rPr>
          <w:i/>
        </w:rPr>
        <w:t>AWS-4 Report and Order</w:t>
      </w:r>
      <w:r w:rsidRPr="00BD5380">
        <w:t>, 27 FCC Rcd at 16116 ¶</w:t>
      </w:r>
      <w:r>
        <w:t xml:space="preserve"> </w:t>
      </w:r>
      <w:r w:rsidRPr="00BD5380">
        <w:t>33 (we “establish the AWS-4 spectrum band as 2000-2020 MHz uplink band paired with 2180-2200 MHz downlink band”).</w:t>
      </w:r>
    </w:p>
  </w:footnote>
  <w:footnote w:id="11">
    <w:p w14:paraId="78B88171" w14:textId="77777777" w:rsidR="00947526" w:rsidRPr="00BD5380" w:rsidRDefault="00947526" w:rsidP="00DB7497">
      <w:pPr>
        <w:pStyle w:val="FootnoteText"/>
      </w:pPr>
      <w:r w:rsidRPr="00BD5380">
        <w:rPr>
          <w:rStyle w:val="FootnoteReference"/>
        </w:rPr>
        <w:footnoteRef/>
      </w:r>
      <w:r w:rsidRPr="00BD5380">
        <w:t xml:space="preserve"> </w:t>
      </w:r>
      <w:r w:rsidRPr="00BD5380">
        <w:rPr>
          <w:i/>
        </w:rPr>
        <w:t xml:space="preserve">AWS-4 Report and Order, </w:t>
      </w:r>
      <w:r w:rsidRPr="00BD5380">
        <w:t>27 FCC Rcd at 16117 ¶ 39.</w:t>
      </w:r>
    </w:p>
  </w:footnote>
  <w:footnote w:id="12">
    <w:p w14:paraId="594AD159" w14:textId="77777777" w:rsidR="00947526" w:rsidRPr="00BD5380" w:rsidRDefault="00947526">
      <w:pPr>
        <w:pStyle w:val="FootnoteText"/>
      </w:pPr>
      <w:r w:rsidRPr="00BD5380">
        <w:rPr>
          <w:rStyle w:val="FootnoteReference"/>
        </w:rPr>
        <w:footnoteRef/>
      </w:r>
      <w:r w:rsidRPr="00BD5380">
        <w:t xml:space="preserve"> The AWS-4 and associated MSS licenses are held by DISH subsidiaries Gamma Acquisitions L.L.C. (MSS call sign E060430, AWS-4 call signs T060430001 through T060430176) and New DBSD Satellite Services G.P. (MSS call sign E070272, AWS-4 call signs T070272001 through T070272176).</w:t>
      </w:r>
    </w:p>
  </w:footnote>
  <w:footnote w:id="13">
    <w:p w14:paraId="264E2291" w14:textId="4099B619" w:rsidR="00947526" w:rsidRPr="00BD5380" w:rsidRDefault="00947526">
      <w:pPr>
        <w:pStyle w:val="FootnoteText"/>
      </w:pPr>
      <w:r w:rsidRPr="00BD5380">
        <w:rPr>
          <w:rStyle w:val="FootnoteReference"/>
        </w:rPr>
        <w:footnoteRef/>
      </w:r>
      <w:r w:rsidRPr="00BD5380">
        <w:t xml:space="preserve"> New DBSB Satellite Service G.P., Debtor-in-Possession, and TerreStar Licensee Inc., Debtor-in-Possession, Request for Rule Waivers and Modified Ancillary Terrestrial Component Authority, </w:t>
      </w:r>
      <w:r w:rsidRPr="00BD5380">
        <w:rPr>
          <w:i/>
        </w:rPr>
        <w:t xml:space="preserve">Order, </w:t>
      </w:r>
      <w:r w:rsidRPr="00BD5380">
        <w:t>27 FCC Rcd 2250</w:t>
      </w:r>
      <w:r>
        <w:t>, 2250-51, 2262 ¶¶ 1, 31 (2012)</w:t>
      </w:r>
      <w:r w:rsidRPr="00BD5380">
        <w:t>.</w:t>
      </w:r>
    </w:p>
  </w:footnote>
  <w:footnote w:id="14">
    <w:p w14:paraId="1E90E959" w14:textId="727C4D26" w:rsidR="00947526" w:rsidRPr="00BD5380" w:rsidRDefault="00947526" w:rsidP="00061BE2">
      <w:pPr>
        <w:pStyle w:val="FootnoteText"/>
      </w:pPr>
      <w:r w:rsidRPr="00BD5380">
        <w:rPr>
          <w:rStyle w:val="FootnoteReference"/>
        </w:rPr>
        <w:footnoteRef/>
      </w:r>
      <w:r w:rsidRPr="00BD5380">
        <w:t xml:space="preserve"> </w:t>
      </w:r>
      <w:r>
        <w:rPr>
          <w:i/>
        </w:rPr>
        <w:t>Id.</w:t>
      </w:r>
      <w:r w:rsidRPr="00BD5380">
        <w:t xml:space="preserve"> at 2261 ¶</w:t>
      </w:r>
      <w:r>
        <w:t xml:space="preserve"> </w:t>
      </w:r>
      <w:r w:rsidRPr="00BD5380">
        <w:t xml:space="preserve">29 (citing </w:t>
      </w:r>
      <w:r w:rsidRPr="00BD5380">
        <w:rPr>
          <w:i/>
        </w:rPr>
        <w:t>2 GHz Band Co-Allocation Order</w:t>
      </w:r>
      <w:r w:rsidRPr="00BD5380">
        <w:t xml:space="preserve">, 26 FCC Rcd 5710; Connecting America:  The National Broadband Plan, Recommendation 5.8.4 at 87-88 (2010), </w:t>
      </w:r>
      <w:r w:rsidRPr="00BD5380">
        <w:rPr>
          <w:i/>
        </w:rPr>
        <w:t>available at</w:t>
      </w:r>
      <w:r w:rsidRPr="00BD5380">
        <w:t xml:space="preserve"> </w:t>
      </w:r>
      <w:hyperlink r:id="rId1" w:history="1">
        <w:r w:rsidRPr="00BD5380">
          <w:rPr>
            <w:rStyle w:val="Hyperlink"/>
            <w:snapToGrid w:val="0"/>
            <w:kern w:val="28"/>
          </w:rPr>
          <w:t>http://hraunfoss.fcc.gov/edocs_public/attachment/DOC-296935A1.pdf</w:t>
        </w:r>
      </w:hyperlink>
      <w:r w:rsidRPr="00BD5380">
        <w:t xml:space="preserve"> (last visited Nov. 22, 2013) (“National Broadband Plan”)).  </w:t>
      </w:r>
    </w:p>
  </w:footnote>
  <w:footnote w:id="15">
    <w:p w14:paraId="3854B88D" w14:textId="77777777" w:rsidR="00947526" w:rsidRPr="00BD5380" w:rsidRDefault="00947526">
      <w:pPr>
        <w:pStyle w:val="FootnoteText"/>
      </w:pPr>
      <w:r w:rsidRPr="00BD5380">
        <w:rPr>
          <w:rStyle w:val="FootnoteReference"/>
        </w:rPr>
        <w:footnoteRef/>
      </w:r>
      <w:r w:rsidRPr="00BD5380">
        <w:t xml:space="preserve"> </w:t>
      </w:r>
      <w:r w:rsidRPr="00BD5380">
        <w:rPr>
          <w:i/>
        </w:rPr>
        <w:t>AWS-4 Report and Order</w:t>
      </w:r>
      <w:r w:rsidRPr="00BD5380">
        <w:t>, 27 FCC R</w:t>
      </w:r>
      <w:r>
        <w:t>cd at 16164-73, 16220-22, 16224</w:t>
      </w:r>
      <w:r w:rsidRPr="00BD5380">
        <w:t xml:space="preserve"> ¶¶ 161-86, 319-22, 331-32.</w:t>
      </w:r>
    </w:p>
  </w:footnote>
  <w:footnote w:id="16">
    <w:p w14:paraId="2538BC10" w14:textId="289E55C9" w:rsidR="00947526" w:rsidRPr="00BD5380" w:rsidRDefault="00947526" w:rsidP="00AF2367">
      <w:pPr>
        <w:pStyle w:val="FootnoteText"/>
      </w:pPr>
      <w:r w:rsidRPr="00BD5380">
        <w:rPr>
          <w:rStyle w:val="FootnoteReference"/>
        </w:rPr>
        <w:footnoteRef/>
      </w:r>
      <w:r w:rsidRPr="00BD5380">
        <w:t xml:space="preserve"> </w:t>
      </w:r>
      <w:r>
        <w:rPr>
          <w:i/>
        </w:rPr>
        <w:t>Id.</w:t>
      </w:r>
      <w:r>
        <w:t xml:space="preserve"> at 16164-73</w:t>
      </w:r>
      <w:r w:rsidRPr="007C3CB6">
        <w:t>, 16220-22</w:t>
      </w:r>
      <w:r>
        <w:t xml:space="preserve">, 16224 </w:t>
      </w:r>
      <w:r w:rsidRPr="00BD5380">
        <w:t>¶¶</w:t>
      </w:r>
      <w:r>
        <w:t xml:space="preserve"> 161-86, 319-22, 331-34.</w:t>
      </w:r>
    </w:p>
  </w:footnote>
  <w:footnote w:id="17">
    <w:p w14:paraId="0C936631" w14:textId="77777777" w:rsidR="00947526" w:rsidRDefault="00947526">
      <w:pPr>
        <w:pStyle w:val="FootnoteText"/>
      </w:pPr>
      <w:r>
        <w:rPr>
          <w:rStyle w:val="FootnoteReference"/>
        </w:rPr>
        <w:footnoteRef/>
      </w:r>
      <w:r>
        <w:t xml:space="preserve"> </w:t>
      </w:r>
      <w:r w:rsidRPr="00BD5380">
        <w:t>Letter from Jeffrey H. Blum, Senior Vice President &amp; Deputy General Counsel, DISH, to Marlene H. Dortch, Sec’y, Federal Communications Commission, WT Docket No. 12-70 (filed Jan. 22, 2013).</w:t>
      </w:r>
    </w:p>
  </w:footnote>
  <w:footnote w:id="18">
    <w:p w14:paraId="0DC41802"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generally </w:t>
      </w:r>
      <w:r w:rsidRPr="00BD5380">
        <w:t xml:space="preserve">Service Rules for Advanced Wireless Services in the 2000-2020 MHz and 2180-2200 MHz Bands, </w:t>
      </w:r>
      <w:r w:rsidRPr="00BD5380">
        <w:rPr>
          <w:i/>
        </w:rPr>
        <w:t>Order of Modification</w:t>
      </w:r>
      <w:r w:rsidRPr="00BD5380">
        <w:t>, 28 FCC Rcd 1276 (2013) (“</w:t>
      </w:r>
      <w:r w:rsidRPr="00BD5380">
        <w:rPr>
          <w:i/>
        </w:rPr>
        <w:t>AWS</w:t>
      </w:r>
      <w:r w:rsidRPr="00BD5380">
        <w:rPr>
          <w:i/>
        </w:rPr>
        <w:noBreakHyphen/>
        <w:t>4 Order of Modification</w:t>
      </w:r>
      <w:r w:rsidRPr="00BD5380">
        <w:t>”).</w:t>
      </w:r>
    </w:p>
  </w:footnote>
  <w:footnote w:id="19">
    <w:p w14:paraId="36D9ACAA" w14:textId="2044BB43" w:rsidR="00947526" w:rsidRPr="00BD5380" w:rsidRDefault="00947526" w:rsidP="00C45919">
      <w:pPr>
        <w:pStyle w:val="FootnoteText"/>
      </w:pPr>
      <w:r w:rsidRPr="00BD5380">
        <w:rPr>
          <w:rStyle w:val="FootnoteReference"/>
        </w:rPr>
        <w:footnoteRef/>
      </w:r>
      <w:r w:rsidRPr="00BD5380">
        <w:t xml:space="preserve"> </w:t>
      </w:r>
      <w:r w:rsidRPr="00BD5380">
        <w:rPr>
          <w:i/>
        </w:rPr>
        <w:t>See</w:t>
      </w:r>
      <w:r w:rsidRPr="00BD5380">
        <w:t xml:space="preserve"> Auction of H-Block Licenses in the 1915-1920 MHz and 1995-2000 MHz Bands; Comment Sought on Competitive Bidding Procedures for Auction 96, AU Docket No. 13-178, </w:t>
      </w:r>
      <w:r w:rsidRPr="00BD5380">
        <w:rPr>
          <w:i/>
        </w:rPr>
        <w:t>Public Notice</w:t>
      </w:r>
      <w:r w:rsidRPr="00BD5380">
        <w:t>, DA 13-1540, 28 FCC Rcd 10013, 10026 ¶¶</w:t>
      </w:r>
      <w:r>
        <w:t xml:space="preserve"> </w:t>
      </w:r>
      <w:r w:rsidRPr="00BD5380">
        <w:t>52-53 (WTB 2013) (“</w:t>
      </w:r>
      <w:r>
        <w:rPr>
          <w:i/>
        </w:rPr>
        <w:t>Auction 96 Comment PN</w:t>
      </w:r>
      <w:r w:rsidRPr="00BD5380">
        <w:t xml:space="preserve">”). </w:t>
      </w:r>
      <w:r>
        <w:t xml:space="preserve"> </w:t>
      </w:r>
      <w:r w:rsidRPr="00BD5380">
        <w:t>A summary of this public notice was published at 78 Fed. Reg. 45524 (Jul. 29, 2013).</w:t>
      </w:r>
    </w:p>
  </w:footnote>
  <w:footnote w:id="20">
    <w:p w14:paraId="57C1C87A" w14:textId="0A39CF89" w:rsidR="00947526" w:rsidRPr="00BD5380" w:rsidRDefault="00947526" w:rsidP="00C45919">
      <w:pPr>
        <w:pStyle w:val="FootnoteText"/>
      </w:pPr>
      <w:r w:rsidRPr="00BD5380">
        <w:rPr>
          <w:rStyle w:val="FootnoteReference"/>
        </w:rPr>
        <w:footnoteRef/>
      </w:r>
      <w:r w:rsidRPr="00BD5380">
        <w:t xml:space="preserve"> Letter from Jeffrey H. Blum, Senior Vice President &amp; Deputy General Counsel, DISH, to Marlene H. Dortch, Sec’y, Federal Communications Commission, AU Docket No. 13-178, at 1 (filed Sept. 9, 2013</w:t>
      </w:r>
      <w:r>
        <w:t xml:space="preserve">).  </w:t>
      </w:r>
      <w:r w:rsidRPr="00BD5380">
        <w:t xml:space="preserve">In support of its proposal, DISH stated that the 2006 AWS-1 spectrum auction resulted in an average valuation of $0.54 per MHz-pop, and recent secondary market purchases of AWS spectrum valued it between $0.61 and $0.69 per MHz-pop, with financial institutions giving current estimates of the value of the H Block spectrum at between $0.62 and $1.00 per MHz-pop.  </w:t>
      </w:r>
      <w:r w:rsidRPr="00BD5380">
        <w:rPr>
          <w:i/>
        </w:rPr>
        <w:t>Id</w:t>
      </w:r>
      <w:r w:rsidRPr="00BD5380">
        <w:t>.</w:t>
      </w:r>
    </w:p>
  </w:footnote>
  <w:footnote w:id="21">
    <w:p w14:paraId="4034DE8A" w14:textId="65E96B29" w:rsidR="00947526" w:rsidRPr="00BD5380" w:rsidRDefault="00947526" w:rsidP="00C45919">
      <w:pPr>
        <w:pStyle w:val="FootnoteText"/>
      </w:pPr>
      <w:r w:rsidRPr="00BD5380">
        <w:rPr>
          <w:rStyle w:val="FootnoteReference"/>
        </w:rPr>
        <w:footnoteRef/>
      </w:r>
      <w:r>
        <w:t xml:space="preserve"> </w:t>
      </w:r>
      <w:r w:rsidRPr="00BD5380">
        <w:rPr>
          <w:i/>
          <w:snapToGrid w:val="0"/>
          <w:color w:val="000000"/>
          <w:shd w:val="clear" w:color="auto" w:fill="FFFFFF"/>
        </w:rPr>
        <w:t>Auction 96 Procedures PN</w:t>
      </w:r>
      <w:r>
        <w:rPr>
          <w:i/>
          <w:snapToGrid w:val="0"/>
          <w:color w:val="000000"/>
          <w:shd w:val="clear" w:color="auto" w:fill="FFFFFF"/>
        </w:rPr>
        <w:t>,</w:t>
      </w:r>
      <w:r w:rsidRPr="00BD5380">
        <w:t xml:space="preserve"> 28 FCC Rcd</w:t>
      </w:r>
      <w:r>
        <w:t xml:space="preserve"> at 13064 ¶ 172</w:t>
      </w:r>
      <w:r w:rsidRPr="00BD5380">
        <w:t>.</w:t>
      </w:r>
    </w:p>
  </w:footnote>
  <w:footnote w:id="22">
    <w:p w14:paraId="474A3564" w14:textId="0416D49B" w:rsidR="00947526" w:rsidRPr="00BD5380" w:rsidRDefault="00947526" w:rsidP="00C45919">
      <w:pPr>
        <w:pStyle w:val="FootnoteText"/>
      </w:pPr>
      <w:r w:rsidRPr="00BD5380">
        <w:rPr>
          <w:rStyle w:val="FootnoteReference"/>
        </w:rPr>
        <w:footnoteRef/>
      </w:r>
      <w:r w:rsidRPr="00BD5380">
        <w:t xml:space="preserve"> </w:t>
      </w:r>
      <w:r>
        <w:rPr>
          <w:i/>
        </w:rPr>
        <w:t>Id.</w:t>
      </w:r>
      <w:r>
        <w:t xml:space="preserve"> at 13064 </w:t>
      </w:r>
      <w:r w:rsidRPr="00BD5380">
        <w:t>¶</w:t>
      </w:r>
      <w:r>
        <w:t xml:space="preserve">¶ </w:t>
      </w:r>
      <w:r w:rsidRPr="00BD5380">
        <w:t>170, 172.</w:t>
      </w:r>
    </w:p>
  </w:footnote>
  <w:footnote w:id="23">
    <w:p w14:paraId="04EF0E54" w14:textId="77777777" w:rsidR="00947526" w:rsidRPr="00BD5380" w:rsidRDefault="00947526" w:rsidP="00C45919">
      <w:pPr>
        <w:pStyle w:val="FootnoteText"/>
      </w:pPr>
      <w:r w:rsidRPr="00BD5380">
        <w:rPr>
          <w:rStyle w:val="FootnoteReference"/>
        </w:rPr>
        <w:footnoteRef/>
      </w:r>
      <w:r w:rsidRPr="00BD5380">
        <w:t xml:space="preserve"> Petition for Reconsideration of NTCH, Inc., AU Docket No. 13-178 (filed Oct. 18, 2013).</w:t>
      </w:r>
    </w:p>
  </w:footnote>
  <w:footnote w:id="24">
    <w:p w14:paraId="62056D8D" w14:textId="77777777" w:rsidR="00947526" w:rsidRPr="00BD5380" w:rsidRDefault="00947526" w:rsidP="00C45919">
      <w:pPr>
        <w:pStyle w:val="FootnoteText"/>
      </w:pPr>
      <w:r w:rsidRPr="00BD5380">
        <w:rPr>
          <w:rStyle w:val="FootnoteReference"/>
        </w:rPr>
        <w:footnoteRef/>
      </w:r>
      <w:r w:rsidRPr="00BD5380">
        <w:t xml:space="preserve"> </w:t>
      </w:r>
      <w:r w:rsidRPr="00BD5380">
        <w:rPr>
          <w:i/>
        </w:rPr>
        <w:t>See</w:t>
      </w:r>
      <w:r>
        <w:rPr>
          <w:i/>
        </w:rPr>
        <w:t xml:space="preserve"> </w:t>
      </w:r>
      <w:r>
        <w:rPr>
          <w:i/>
          <w:snapToGrid w:val="0"/>
          <w:color w:val="000000"/>
          <w:shd w:val="clear" w:color="auto" w:fill="FFFFFF"/>
        </w:rPr>
        <w:t>Auction 96 Procedures PN Recon Order</w:t>
      </w:r>
      <w:r>
        <w:rPr>
          <w:snapToGrid w:val="0"/>
          <w:color w:val="000000"/>
          <w:shd w:val="clear" w:color="auto" w:fill="FFFFFF"/>
        </w:rPr>
        <w:t>.</w:t>
      </w:r>
    </w:p>
  </w:footnote>
  <w:footnote w:id="25">
    <w:p w14:paraId="0548AD8B" w14:textId="77777777" w:rsidR="00947526" w:rsidRPr="00BD5380" w:rsidRDefault="00947526">
      <w:pPr>
        <w:pStyle w:val="FootnoteText"/>
      </w:pPr>
      <w:r w:rsidRPr="00BD5380">
        <w:rPr>
          <w:rStyle w:val="FootnoteReference"/>
        </w:rPr>
        <w:footnoteRef/>
      </w:r>
      <w:r w:rsidRPr="00BD5380">
        <w:t xml:space="preserve"> Letter from Jeffrey H. Blum, Senior Vice President &amp; Deputy General Counsel, DISH, to Marlene H. Dortch, Sec’y, Federal Communications Commission, WT Docket No. 12-69 (filed Sept. 10, 2013).  </w:t>
      </w:r>
    </w:p>
  </w:footnote>
  <w:footnote w:id="26">
    <w:p w14:paraId="50364F83" w14:textId="77777777" w:rsidR="00947526" w:rsidRPr="00BD5380" w:rsidRDefault="00947526" w:rsidP="0047196F">
      <w:pPr>
        <w:pStyle w:val="FootnoteText"/>
      </w:pPr>
      <w:r w:rsidRPr="00BD5380">
        <w:rPr>
          <w:rStyle w:val="FootnoteReference"/>
        </w:rPr>
        <w:footnoteRef/>
      </w:r>
      <w:r w:rsidRPr="00BD5380">
        <w:t xml:space="preserve"> DISH Petition at 2.</w:t>
      </w:r>
    </w:p>
  </w:footnote>
  <w:footnote w:id="27">
    <w:p w14:paraId="4E954043" w14:textId="7B77CCD9" w:rsidR="00947526" w:rsidRPr="00BD5380" w:rsidRDefault="00947526">
      <w:pPr>
        <w:pStyle w:val="FootnoteText"/>
      </w:pPr>
      <w:r w:rsidRPr="00BD5380">
        <w:rPr>
          <w:rStyle w:val="FootnoteReference"/>
        </w:rPr>
        <w:footnoteRef/>
      </w:r>
      <w:r>
        <w:t xml:space="preserve"> </w:t>
      </w:r>
      <w:r>
        <w:rPr>
          <w:i/>
        </w:rPr>
        <w:t>Id.</w:t>
      </w:r>
      <w:r w:rsidRPr="00BD5380">
        <w:t xml:space="preserve"> at 16-19.  The AWS-4 construction deadlines are specified in section 27.14(q) of the Commission’s rules. </w:t>
      </w:r>
      <w:r>
        <w:t xml:space="preserve"> </w:t>
      </w:r>
      <w:r w:rsidRPr="00BD5380">
        <w:t>47 C.F.R. § 27.14(q).</w:t>
      </w:r>
    </w:p>
  </w:footnote>
  <w:footnote w:id="28">
    <w:p w14:paraId="4ECF24DA" w14:textId="77777777" w:rsidR="00947526" w:rsidRPr="00BD5380" w:rsidRDefault="00947526">
      <w:pPr>
        <w:pStyle w:val="FootnoteText"/>
      </w:pPr>
      <w:r w:rsidRPr="00BD5380">
        <w:rPr>
          <w:rStyle w:val="FootnoteReference"/>
        </w:rPr>
        <w:footnoteRef/>
      </w:r>
      <w:r w:rsidRPr="00BD5380">
        <w:t xml:space="preserve"> DISH Petition at 1-2, 15.  DISH states that its bidding commitment is contingent on the waiver being granted at least 30 days before the H Block auction commences.  </w:t>
      </w:r>
      <w:r w:rsidRPr="00BD5380">
        <w:rPr>
          <w:i/>
        </w:rPr>
        <w:t>Id.</w:t>
      </w:r>
      <w:r w:rsidRPr="00BD5380">
        <w:t xml:space="preserve"> at 2, 15.</w:t>
      </w:r>
    </w:p>
  </w:footnote>
  <w:footnote w:id="29">
    <w:p w14:paraId="7BC5A937" w14:textId="77777777" w:rsidR="00947526" w:rsidRPr="00BD5380" w:rsidRDefault="00947526">
      <w:pPr>
        <w:pStyle w:val="FootnoteText"/>
      </w:pPr>
      <w:r w:rsidRPr="00BD5380">
        <w:rPr>
          <w:rStyle w:val="FootnoteReference"/>
        </w:rPr>
        <w:footnoteRef/>
      </w:r>
      <w:r w:rsidRPr="00BD5380">
        <w:t xml:space="preserve"> Wireless Telecommunications Bureau Opens Docket to Seek Comment on DISH Network Corporation’s Petition for Waiver and Request for Extension of Time, WT Docket No. 13-225, </w:t>
      </w:r>
      <w:r w:rsidRPr="00BD5380">
        <w:rPr>
          <w:i/>
        </w:rPr>
        <w:t>Public Notice</w:t>
      </w:r>
      <w:r w:rsidRPr="00BD5380">
        <w:t>, DA 13-1877 (Sept. 13, 2013), published at 78 Fed. Reg. 59,633 (Sept. 27, 2013).</w:t>
      </w:r>
    </w:p>
  </w:footnote>
  <w:footnote w:id="30">
    <w:p w14:paraId="68F9A401" w14:textId="77777777" w:rsidR="00947526" w:rsidRPr="00BD5380" w:rsidRDefault="00947526" w:rsidP="00D7306A">
      <w:pPr>
        <w:pStyle w:val="FootnoteText"/>
      </w:pPr>
      <w:r w:rsidRPr="00BD5380">
        <w:rPr>
          <w:rStyle w:val="FootnoteReference"/>
        </w:rPr>
        <w:footnoteRef/>
      </w:r>
      <w:r w:rsidRPr="00BD5380">
        <w:t xml:space="preserve"> </w:t>
      </w:r>
      <w:r w:rsidRPr="00BD5380">
        <w:rPr>
          <w:i/>
        </w:rPr>
        <w:t>Id</w:t>
      </w:r>
      <w:r w:rsidRPr="00BD5380">
        <w:t xml:space="preserve">.; Revised Filing Deadlines Following Resumption of Normal Commission Operations, </w:t>
      </w:r>
      <w:r w:rsidRPr="00BD5380">
        <w:rPr>
          <w:i/>
        </w:rPr>
        <w:t>Public Notice</w:t>
      </w:r>
      <w:r w:rsidRPr="00BD5380">
        <w:t>, DA 13-2025, at 6 (Oct. 17, 2013), published at 78 Fed. Reg. 66,002 (Nov. 4, 2013).</w:t>
      </w:r>
    </w:p>
  </w:footnote>
  <w:footnote w:id="31">
    <w:p w14:paraId="4C15B279"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Appendix A.</w:t>
      </w:r>
    </w:p>
  </w:footnote>
  <w:footnote w:id="32">
    <w:p w14:paraId="776CAC50" w14:textId="77777777" w:rsidR="00947526" w:rsidRPr="00BD5380" w:rsidRDefault="00947526" w:rsidP="002B4367">
      <w:pPr>
        <w:pStyle w:val="FootnoteText"/>
      </w:pPr>
      <w:r w:rsidRPr="00BD5380">
        <w:rPr>
          <w:rStyle w:val="FootnoteReference"/>
        </w:rPr>
        <w:footnoteRef/>
      </w:r>
      <w:r w:rsidRPr="00BD5380">
        <w:t xml:space="preserve"> AT&amp;T Comments at 2 (capitalization omitted).</w:t>
      </w:r>
    </w:p>
  </w:footnote>
  <w:footnote w:id="33">
    <w:p w14:paraId="1F1B6988" w14:textId="77777777" w:rsidR="00947526" w:rsidRPr="00BD5380" w:rsidRDefault="00947526" w:rsidP="00A34332">
      <w:pPr>
        <w:pStyle w:val="FootnoteText"/>
      </w:pPr>
      <w:r w:rsidRPr="00BD5380">
        <w:rPr>
          <w:rStyle w:val="FootnoteReference"/>
        </w:rPr>
        <w:footnoteRef/>
      </w:r>
      <w:r w:rsidRPr="00BD5380">
        <w:t xml:space="preserve"> </w:t>
      </w:r>
      <w:r w:rsidRPr="00BD5380">
        <w:rPr>
          <w:i/>
        </w:rPr>
        <w:t xml:space="preserve">See generally </w:t>
      </w:r>
      <w:r w:rsidRPr="00BD5380">
        <w:t>NTCH Comments.</w:t>
      </w:r>
    </w:p>
  </w:footnote>
  <w:footnote w:id="34">
    <w:p w14:paraId="79AC529B" w14:textId="77777777" w:rsidR="00947526" w:rsidRPr="00BD5380" w:rsidRDefault="00947526" w:rsidP="00A15C8A">
      <w:pPr>
        <w:pStyle w:val="FootnoteText"/>
      </w:pPr>
      <w:r w:rsidRPr="00BD5380">
        <w:rPr>
          <w:rStyle w:val="FootnoteReference"/>
        </w:rPr>
        <w:footnoteRef/>
      </w:r>
      <w:r w:rsidRPr="00BD5380">
        <w:t xml:space="preserve"> </w:t>
      </w:r>
      <w:r w:rsidRPr="00BD5380">
        <w:rPr>
          <w:i/>
        </w:rPr>
        <w:t xml:space="preserve">See </w:t>
      </w:r>
      <w:r w:rsidRPr="00BD5380">
        <w:t xml:space="preserve">Sprint Comments at 3-7; Sprint </w:t>
      </w:r>
      <w:r>
        <w:t>Reply</w:t>
      </w:r>
      <w:r w:rsidRPr="00BD5380">
        <w:t xml:space="preserve"> at 2 (“In its comments, Sprint expressed narrow and qualified support for DISH’s waiver request, noting that the public interest benefits of revising the Commission’s AWS-4 technical rules were uncertain and that a grant of the waiver should be subject to two important conditions.”)</w:t>
      </w:r>
    </w:p>
  </w:footnote>
  <w:footnote w:id="35">
    <w:p w14:paraId="62E9FA18" w14:textId="77777777" w:rsidR="00947526" w:rsidRPr="00BD5380" w:rsidRDefault="00947526">
      <w:pPr>
        <w:pStyle w:val="FootnoteText"/>
      </w:pPr>
      <w:r w:rsidRPr="00BD5380">
        <w:rPr>
          <w:rStyle w:val="FootnoteReference"/>
        </w:rPr>
        <w:footnoteRef/>
      </w:r>
      <w:r w:rsidRPr="00BD5380">
        <w:t xml:space="preserve"> DISH Reply at 2-3.</w:t>
      </w:r>
    </w:p>
  </w:footnote>
  <w:footnote w:id="36">
    <w:p w14:paraId="452C593D" w14:textId="3198FD92" w:rsidR="00947526" w:rsidRDefault="00947526">
      <w:pPr>
        <w:pStyle w:val="FootnoteText"/>
      </w:pPr>
      <w:r>
        <w:rPr>
          <w:rStyle w:val="FootnoteReference"/>
        </w:rPr>
        <w:footnoteRef/>
      </w:r>
      <w:r>
        <w:t xml:space="preserve"> </w:t>
      </w:r>
      <w:r>
        <w:rPr>
          <w:i/>
        </w:rPr>
        <w:t>Id.</w:t>
      </w:r>
      <w:r>
        <w:t xml:space="preserve"> at 4-6.</w:t>
      </w:r>
    </w:p>
  </w:footnote>
  <w:footnote w:id="37">
    <w:p w14:paraId="51684FED" w14:textId="77777777" w:rsidR="00947526" w:rsidRDefault="00947526">
      <w:pPr>
        <w:pStyle w:val="FootnoteText"/>
      </w:pPr>
      <w:r>
        <w:rPr>
          <w:rStyle w:val="FootnoteReference"/>
        </w:rPr>
        <w:footnoteRef/>
      </w:r>
      <w:r>
        <w:t xml:space="preserve"> Letter from Jeffrey H. Blum, Senior Vice President and Deputy General Counsel, DISH, to Marlene H. Dortch, Sec’y, Federal Communications Commission, WT Docket No. 13-225 (filed Dec. 13, 2013) (“DISH December 13 Letter”).</w:t>
      </w:r>
    </w:p>
  </w:footnote>
  <w:footnote w:id="38">
    <w:p w14:paraId="29CF1DFA" w14:textId="77777777" w:rsidR="00947526" w:rsidRPr="00BD5380" w:rsidRDefault="00947526">
      <w:pPr>
        <w:pStyle w:val="FootnoteText"/>
      </w:pPr>
      <w:r w:rsidRPr="00BD5380">
        <w:rPr>
          <w:rStyle w:val="FootnoteReference"/>
        </w:rPr>
        <w:footnoteRef/>
      </w:r>
      <w:r w:rsidRPr="00BD5380">
        <w:t xml:space="preserve"> 47 C.F.R. § 1.3.</w:t>
      </w:r>
    </w:p>
  </w:footnote>
  <w:footnote w:id="39">
    <w:p w14:paraId="09BDC25C"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e.g., </w:t>
      </w:r>
      <w:r w:rsidRPr="00BD5380">
        <w:t xml:space="preserve">Lazo Technologies, Inc., </w:t>
      </w:r>
      <w:r w:rsidRPr="00BD5380">
        <w:rPr>
          <w:i/>
        </w:rPr>
        <w:t xml:space="preserve">Order on Reconsideration, </w:t>
      </w:r>
      <w:r w:rsidRPr="00BD5380">
        <w:t xml:space="preserve">26 FCC Rcd 16661, 16668 &amp; n.56 (2011); </w:t>
      </w:r>
      <w:r w:rsidRPr="00BD5380">
        <w:rPr>
          <w:i/>
        </w:rPr>
        <w:t>see also Northeast Cellular Te</w:t>
      </w:r>
      <w:r>
        <w:rPr>
          <w:i/>
        </w:rPr>
        <w:t>l</w:t>
      </w:r>
      <w:r w:rsidRPr="00BD5380">
        <w:rPr>
          <w:i/>
        </w:rPr>
        <w:t xml:space="preserve">. Co. v. FCC, </w:t>
      </w:r>
      <w:r>
        <w:t>897 F</w:t>
      </w:r>
      <w:r w:rsidRPr="00BD5380">
        <w:t xml:space="preserve">.2d 1164  (D.C. Cir. 1990).  </w:t>
      </w:r>
    </w:p>
  </w:footnote>
  <w:footnote w:id="40">
    <w:p w14:paraId="4FD60249" w14:textId="77777777" w:rsidR="00947526" w:rsidRPr="00BD5380" w:rsidRDefault="00947526">
      <w:pPr>
        <w:pStyle w:val="FootnoteText"/>
      </w:pPr>
      <w:r w:rsidRPr="00BD5380">
        <w:rPr>
          <w:rStyle w:val="FootnoteReference"/>
        </w:rPr>
        <w:footnoteRef/>
      </w:r>
      <w:r w:rsidRPr="00BD5380">
        <w:t xml:space="preserve"> 47 C.F.R. § 1.925(b)(3).  This rule applicable to wireless services requires “substantially the same” showing as 47 C.F.R. § 1.3.  Barry P. Lunderville, </w:t>
      </w:r>
      <w:r w:rsidRPr="00BD5380">
        <w:rPr>
          <w:i/>
        </w:rPr>
        <w:t xml:space="preserve">Memorandum Opinion and Order, </w:t>
      </w:r>
      <w:r w:rsidRPr="00BD5380">
        <w:t>28 FCC Rcd 665 ¶ 14 n.51 (2013).</w:t>
      </w:r>
    </w:p>
  </w:footnote>
  <w:footnote w:id="41">
    <w:p w14:paraId="60229391" w14:textId="77777777" w:rsidR="00947526" w:rsidRDefault="00947526">
      <w:pPr>
        <w:pStyle w:val="FootnoteText"/>
      </w:pPr>
      <w:r>
        <w:rPr>
          <w:rStyle w:val="FootnoteReference"/>
        </w:rPr>
        <w:footnoteRef/>
      </w:r>
      <w:r>
        <w:t xml:space="preserve"> 47 C.F.R. §§ 0.131, 0.331.</w:t>
      </w:r>
    </w:p>
  </w:footnote>
  <w:footnote w:id="42">
    <w:p w14:paraId="298414D8" w14:textId="67A5FEA7" w:rsidR="00947526" w:rsidRPr="00BD5380" w:rsidRDefault="00947526">
      <w:pPr>
        <w:pStyle w:val="FootnoteText"/>
      </w:pPr>
      <w:r w:rsidRPr="00BD5380">
        <w:rPr>
          <w:rStyle w:val="FootnoteReference"/>
        </w:rPr>
        <w:footnoteRef/>
      </w:r>
      <w:r w:rsidRPr="00BD5380">
        <w:t xml:space="preserve"> </w:t>
      </w:r>
      <w:r w:rsidRPr="00BD5380">
        <w:rPr>
          <w:i/>
        </w:rPr>
        <w:t>AWS-4 Report and Order</w:t>
      </w:r>
      <w:r w:rsidRPr="00BD5380">
        <w:t>, 27 FCC Rcd at 16111</w:t>
      </w:r>
      <w:r>
        <w:t xml:space="preserve">, </w:t>
      </w:r>
      <w:r w:rsidRPr="00BD5380">
        <w:t>16126-45</w:t>
      </w:r>
      <w:r>
        <w:t xml:space="preserve">, </w:t>
      </w:r>
      <w:r w:rsidRPr="00BD5380">
        <w:t>16157-61 ¶¶</w:t>
      </w:r>
      <w:r>
        <w:t xml:space="preserve"> 18, 61-100, </w:t>
      </w:r>
      <w:r w:rsidRPr="00BD5380">
        <w:t xml:space="preserve">135-51; </w:t>
      </w:r>
      <w:r w:rsidRPr="00BD5380">
        <w:rPr>
          <w:i/>
        </w:rPr>
        <w:t>see also</w:t>
      </w:r>
      <w:r w:rsidRPr="00BD5380">
        <w:t xml:space="preserve"> Service Rules for Advanced Wireless Services H Block—Implementing Section 6401 of the Middle Class Tax Relief and Job Creation Act of 2012 Related to the 1915-1920 MHz and 1995-2000 MHz Bands, WT Docket No. 12-357, </w:t>
      </w:r>
      <w:r w:rsidRPr="00BD5380">
        <w:rPr>
          <w:i/>
        </w:rPr>
        <w:t>Report and Order</w:t>
      </w:r>
      <w:r w:rsidRPr="00BD5380">
        <w:t>, 28 FCC Rcd 9483, 9503 ¶ 50 (2013) (“</w:t>
      </w:r>
      <w:r w:rsidRPr="00BD5380">
        <w:rPr>
          <w:i/>
        </w:rPr>
        <w:t>H Block Report and Order</w:t>
      </w:r>
      <w:r w:rsidRPr="00BD5380">
        <w:t>”).</w:t>
      </w:r>
    </w:p>
  </w:footnote>
  <w:footnote w:id="43">
    <w:p w14:paraId="4B205CEA" w14:textId="32EA454B" w:rsidR="00947526" w:rsidRPr="00BD5380" w:rsidRDefault="00947526">
      <w:pPr>
        <w:pStyle w:val="FootnoteText"/>
        <w:rPr>
          <w:rFonts w:ascii="TimesNewRoman" w:hAnsi="TimesNewRoman"/>
        </w:rPr>
      </w:pPr>
      <w:r w:rsidRPr="00BD5380">
        <w:rPr>
          <w:rStyle w:val="FootnoteReference"/>
        </w:rPr>
        <w:footnoteRef/>
      </w:r>
      <w:r w:rsidRPr="00BD5380">
        <w:t xml:space="preserve"> </w:t>
      </w:r>
      <w:r w:rsidRPr="00BD5380">
        <w:rPr>
          <w:i/>
        </w:rPr>
        <w:t>H Block Report and Order</w:t>
      </w:r>
      <w:r w:rsidRPr="00BD5380">
        <w:t xml:space="preserve">, 28 FCC Rcd at 9508-13 ¶¶ 63-73.  The OOBE limits from </w:t>
      </w:r>
      <w:r>
        <w:t xml:space="preserve">the </w:t>
      </w:r>
      <w:r w:rsidRPr="00BD5380">
        <w:t xml:space="preserve">Upper H Block were set such that “the overall interference imposed on the AWS-4 uplink operations [at 2000-2020 MHz] is no more than currently exists, to the greatest extent possible, without imposing a harsh and undue burden on Upper H Block downlink operations.”  </w:t>
      </w:r>
      <w:r w:rsidRPr="00BD5380">
        <w:rPr>
          <w:i/>
        </w:rPr>
        <w:t>Id.</w:t>
      </w:r>
      <w:r w:rsidRPr="00BD5380">
        <w:t xml:space="preserve"> at 9509 ¶ 66.  To balance the utility of the H Block and the AWS-4 spectrum bands, the H Block OOBE limit was set at 43+10log(P) dB overall, with a tighter limit of 70+10log(P) dB imposed on emissions into the 2005-2020 MHz band.  </w:t>
      </w:r>
      <w:r w:rsidRPr="00BD5380">
        <w:rPr>
          <w:i/>
        </w:rPr>
        <w:t>See id.</w:t>
      </w:r>
      <w:r w:rsidRPr="00BD5380">
        <w:t xml:space="preserve"> </w:t>
      </w:r>
      <w:r>
        <w:t xml:space="preserve">at </w:t>
      </w:r>
      <w:r w:rsidRPr="00BD5380">
        <w:t xml:space="preserve">9508-9513 ¶¶ 63-73.  In balancing the needs of these bands, the Commission also required AWS-4 and 2 GHz MSS licensees to accept harmful interference from lawful Upper H Block operations if such interference is due to OOBE into the 2000-2005 MHz band or due to receiver overload into the 2000-2020 MHz band.  </w:t>
      </w:r>
      <w:r w:rsidRPr="00BD5380">
        <w:rPr>
          <w:i/>
        </w:rPr>
        <w:t>See AWS-4 Report and Order</w:t>
      </w:r>
      <w:r w:rsidRPr="00BD5380">
        <w:t>, 27 FCC Rcd at 16135, 16160-61, 16220 ¶¶ 80-81, 149-51, 319.</w:t>
      </w:r>
    </w:p>
  </w:footnote>
  <w:footnote w:id="44">
    <w:p w14:paraId="33994A8F" w14:textId="77777777" w:rsidR="00947526" w:rsidRPr="00BD5380" w:rsidRDefault="00947526">
      <w:pPr>
        <w:pStyle w:val="FootnoteText"/>
      </w:pPr>
      <w:r w:rsidRPr="00BD5380">
        <w:rPr>
          <w:rStyle w:val="FootnoteReference"/>
        </w:rPr>
        <w:footnoteRef/>
      </w:r>
      <w:r w:rsidRPr="00BD5380">
        <w:t xml:space="preserve"> DISH Petition at 1-2.</w:t>
      </w:r>
    </w:p>
  </w:footnote>
  <w:footnote w:id="45">
    <w:p w14:paraId="1ACE29B7" w14:textId="14A10A2D" w:rsidR="00947526" w:rsidRPr="00BD5380" w:rsidRDefault="00947526" w:rsidP="00263DEE">
      <w:pPr>
        <w:pStyle w:val="FootnoteText"/>
      </w:pPr>
      <w:r w:rsidRPr="00BD5380">
        <w:rPr>
          <w:rStyle w:val="FootnoteReference"/>
        </w:rPr>
        <w:footnoteRef/>
      </w:r>
      <w:r>
        <w:t xml:space="preserve"> </w:t>
      </w:r>
      <w:r>
        <w:rPr>
          <w:i/>
        </w:rPr>
        <w:t>Id.</w:t>
      </w:r>
      <w:r w:rsidRPr="00BD5380">
        <w:t xml:space="preserve"> at 2 n.2; </w:t>
      </w:r>
      <w:r w:rsidRPr="00BD5380">
        <w:rPr>
          <w:i/>
        </w:rPr>
        <w:t xml:space="preserve">see </w:t>
      </w:r>
      <w:r w:rsidRPr="00BD5380">
        <w:t>47 C.F.R. §§ 27.5(j), 27.50(d), 27.53(h)(2)(ii), 27.65.</w:t>
      </w:r>
    </w:p>
  </w:footnote>
  <w:footnote w:id="46">
    <w:p w14:paraId="72231C2E" w14:textId="77777777" w:rsidR="00947526" w:rsidRPr="00BD5380" w:rsidRDefault="00947526" w:rsidP="005D77FC">
      <w:pPr>
        <w:pStyle w:val="FootnoteText"/>
      </w:pPr>
      <w:r w:rsidRPr="00BD5380">
        <w:rPr>
          <w:rStyle w:val="FootnoteReference"/>
        </w:rPr>
        <w:footnoteRef/>
      </w:r>
      <w:r w:rsidRPr="00BD5380">
        <w:t xml:space="preserve"> DISH Petition at 9-10.</w:t>
      </w:r>
    </w:p>
  </w:footnote>
  <w:footnote w:id="47">
    <w:p w14:paraId="47FD1496" w14:textId="49AD5A95" w:rsidR="00947526" w:rsidRPr="00BD5380" w:rsidRDefault="00947526">
      <w:pPr>
        <w:pStyle w:val="FootnoteText"/>
      </w:pPr>
      <w:r w:rsidRPr="00BD5380">
        <w:rPr>
          <w:rStyle w:val="FootnoteReference"/>
        </w:rPr>
        <w:footnoteRef/>
      </w:r>
      <w:r>
        <w:t xml:space="preserve"> </w:t>
      </w:r>
      <w:r>
        <w:rPr>
          <w:i/>
        </w:rPr>
        <w:t>Id.</w:t>
      </w:r>
      <w:r w:rsidRPr="00BD5380">
        <w:t xml:space="preserve"> at 13 (footnote omitted).</w:t>
      </w:r>
    </w:p>
  </w:footnote>
  <w:footnote w:id="48">
    <w:p w14:paraId="530B8C58" w14:textId="1CE66922" w:rsidR="00947526" w:rsidRPr="00BD5380" w:rsidRDefault="00947526" w:rsidP="005D77FC">
      <w:pPr>
        <w:pStyle w:val="FootnoteText"/>
      </w:pPr>
      <w:r w:rsidRPr="00BD5380">
        <w:rPr>
          <w:rStyle w:val="FootnoteReference"/>
        </w:rPr>
        <w:footnoteRef/>
      </w:r>
      <w:r>
        <w:t xml:space="preserve"> </w:t>
      </w:r>
      <w:r>
        <w:rPr>
          <w:i/>
        </w:rPr>
        <w:t>Id.</w:t>
      </w:r>
      <w:r w:rsidRPr="00BD5380">
        <w:t xml:space="preserve"> at 14.</w:t>
      </w:r>
    </w:p>
  </w:footnote>
  <w:footnote w:id="49">
    <w:p w14:paraId="7D13DB3D" w14:textId="51260351" w:rsidR="00947526" w:rsidRPr="00BD5380" w:rsidRDefault="00947526" w:rsidP="00AE2278">
      <w:pPr>
        <w:pStyle w:val="FootnoteText"/>
      </w:pPr>
      <w:r w:rsidRPr="00BD5380">
        <w:rPr>
          <w:rStyle w:val="FootnoteReference"/>
        </w:rPr>
        <w:footnoteRef/>
      </w:r>
      <w:r>
        <w:t xml:space="preserve"> </w:t>
      </w:r>
      <w:r>
        <w:rPr>
          <w:i/>
        </w:rPr>
        <w:t>Id.</w:t>
      </w:r>
      <w:r w:rsidRPr="00BD5380">
        <w:t xml:space="preserve"> at 2.</w:t>
      </w:r>
    </w:p>
  </w:footnote>
  <w:footnote w:id="50">
    <w:p w14:paraId="7DCEBA1A" w14:textId="2D72AE75" w:rsidR="00947526" w:rsidRPr="00BD5380" w:rsidRDefault="00947526">
      <w:pPr>
        <w:pStyle w:val="FootnoteText"/>
      </w:pPr>
      <w:r w:rsidRPr="00BD5380">
        <w:rPr>
          <w:rStyle w:val="FootnoteReference"/>
        </w:rPr>
        <w:footnoteRef/>
      </w:r>
      <w:r>
        <w:t xml:space="preserve"> </w:t>
      </w:r>
      <w:r>
        <w:rPr>
          <w:i/>
        </w:rPr>
        <w:t>Id.</w:t>
      </w:r>
      <w:r w:rsidRPr="00BD5380">
        <w:t xml:space="preserve"> at 11.</w:t>
      </w:r>
    </w:p>
  </w:footnote>
  <w:footnote w:id="51">
    <w:p w14:paraId="7EC67CE4" w14:textId="77777777" w:rsidR="00947526" w:rsidRDefault="00947526">
      <w:pPr>
        <w:pStyle w:val="FootnoteText"/>
      </w:pPr>
      <w:r>
        <w:rPr>
          <w:rStyle w:val="FootnoteReference"/>
        </w:rPr>
        <w:footnoteRef/>
      </w:r>
      <w:r>
        <w:t xml:space="preserve"> DISH December 13 Letter.</w:t>
      </w:r>
    </w:p>
  </w:footnote>
  <w:footnote w:id="52">
    <w:p w14:paraId="1FB22400" w14:textId="77777777" w:rsidR="00947526" w:rsidRPr="00BD5380" w:rsidRDefault="00947526" w:rsidP="008F3757">
      <w:pPr>
        <w:pStyle w:val="FootnoteText"/>
      </w:pPr>
      <w:r w:rsidRPr="00BD5380">
        <w:rPr>
          <w:rStyle w:val="FootnoteReference"/>
        </w:rPr>
        <w:footnoteRef/>
      </w:r>
      <w:r w:rsidRPr="00BD5380">
        <w:t xml:space="preserve"> DISH Petition at 14.</w:t>
      </w:r>
    </w:p>
  </w:footnote>
  <w:footnote w:id="53">
    <w:p w14:paraId="101BE081" w14:textId="77777777" w:rsidR="00947526" w:rsidRPr="00BD5380" w:rsidRDefault="00947526" w:rsidP="00E435ED">
      <w:pPr>
        <w:pStyle w:val="FootnoteText"/>
      </w:pPr>
      <w:r w:rsidRPr="00BD5380">
        <w:rPr>
          <w:rStyle w:val="FootnoteReference"/>
        </w:rPr>
        <w:footnoteRef/>
      </w:r>
      <w:r w:rsidRPr="00BD5380">
        <w:t xml:space="preserve"> Amendment of the Commission’s Rules with Regard to Commercial Operations in the 1695-1710 MHz, 1755-1780 MHz, and 2155-2180 MHz Bands, GN Docket No. 13-185, </w:t>
      </w:r>
      <w:r w:rsidRPr="00BD5380">
        <w:rPr>
          <w:i/>
        </w:rPr>
        <w:t>Notice of Proposed Rulemaking and Order on Reconsideration,</w:t>
      </w:r>
      <w:r w:rsidRPr="00BD5380">
        <w:t xml:space="preserve"> 28 FCC Rcd 11479, 11500</w:t>
      </w:r>
      <w:r>
        <w:t>, 11501 ¶</w:t>
      </w:r>
      <w:r w:rsidRPr="00BD5380">
        <w:t>¶ 44</w:t>
      </w:r>
      <w:r>
        <w:t xml:space="preserve">, </w:t>
      </w:r>
      <w:r w:rsidRPr="00BD5380">
        <w:t>48 (2013) (“</w:t>
      </w:r>
      <w:r w:rsidRPr="00BD5380">
        <w:rPr>
          <w:i/>
        </w:rPr>
        <w:t>AWS-3 Notice of Proposed Rulemaking</w:t>
      </w:r>
      <w:r w:rsidRPr="00BD5380">
        <w:t xml:space="preserve">”).  The Commission’s proposal envisions using the 2020-2025 MHz band either with yet-to-be-identified spectrum or unpaired.  </w:t>
      </w:r>
      <w:r w:rsidRPr="00BD5380">
        <w:rPr>
          <w:i/>
        </w:rPr>
        <w:t>Id.</w:t>
      </w:r>
      <w:r w:rsidRPr="00BD5380">
        <w:t xml:space="preserve"> at 11482 ¶¶ 2-3.</w:t>
      </w:r>
    </w:p>
  </w:footnote>
  <w:footnote w:id="54">
    <w:p w14:paraId="188079CD" w14:textId="77777777" w:rsidR="00947526" w:rsidRPr="00BD5380" w:rsidRDefault="00947526" w:rsidP="00E435ED">
      <w:pPr>
        <w:pStyle w:val="FootnoteText"/>
      </w:pPr>
      <w:r w:rsidRPr="00BD5380">
        <w:rPr>
          <w:rStyle w:val="FootnoteReference"/>
        </w:rPr>
        <w:footnoteRef/>
      </w:r>
      <w:r w:rsidRPr="00BD5380">
        <w:t xml:space="preserve"> DISH Petition at 15-16.</w:t>
      </w:r>
    </w:p>
  </w:footnote>
  <w:footnote w:id="55">
    <w:p w14:paraId="13CD6526" w14:textId="5B2D7015" w:rsidR="00947526" w:rsidRPr="00BD5380" w:rsidRDefault="00947526" w:rsidP="00E435ED">
      <w:pPr>
        <w:pStyle w:val="FootnoteText"/>
      </w:pPr>
      <w:r w:rsidRPr="00BD5380">
        <w:rPr>
          <w:rStyle w:val="FootnoteReference"/>
        </w:rPr>
        <w:footnoteRef/>
      </w:r>
      <w:r>
        <w:t xml:space="preserve"> </w:t>
      </w:r>
      <w:r>
        <w:rPr>
          <w:i/>
        </w:rPr>
        <w:t>Id.</w:t>
      </w:r>
      <w:r w:rsidRPr="00BD5380">
        <w:t xml:space="preserve"> at 16.</w:t>
      </w:r>
    </w:p>
  </w:footnote>
  <w:footnote w:id="56">
    <w:p w14:paraId="49AE14B5" w14:textId="11A2F3F7" w:rsidR="00947526" w:rsidRPr="00BD5380" w:rsidRDefault="00947526" w:rsidP="00E435ED">
      <w:pPr>
        <w:pStyle w:val="FootnoteText"/>
      </w:pPr>
      <w:r w:rsidRPr="00BD5380">
        <w:rPr>
          <w:rStyle w:val="FootnoteReference"/>
        </w:rPr>
        <w:footnoteRef/>
      </w:r>
      <w:r>
        <w:t xml:space="preserve"> </w:t>
      </w:r>
      <w:r>
        <w:rPr>
          <w:i/>
        </w:rPr>
        <w:t>Id</w:t>
      </w:r>
      <w:r w:rsidRPr="00BD5380">
        <w:t>.  While DISH seeks the ability to elect to use both AWS-4 bands for downlink operations, it does not seek any waiver of the configuration of the 2 GHz MSS band plan.  DISH acknowledges that its proposal “may introduce certain MSS/AWS-4 interference issues,” but maintains that</w:t>
      </w:r>
      <w:r>
        <w:t>,</w:t>
      </w:r>
      <w:r w:rsidRPr="00BD5380">
        <w:t xml:space="preserve"> due to its common control of both MSS and AWS-4 networks, it will be able to mitigate interference and use its MSS facilities dynamically to a</w:t>
      </w:r>
      <w:r>
        <w:t xml:space="preserve">ugment terrestrial services.  </w:t>
      </w:r>
      <w:r>
        <w:rPr>
          <w:i/>
        </w:rPr>
        <w:t>Id.</w:t>
      </w:r>
      <w:r w:rsidRPr="00BD5380">
        <w:t xml:space="preserve"> at 12-14.  </w:t>
      </w:r>
      <w:r>
        <w:t xml:space="preserve">Specifically, DISH states that </w:t>
      </w:r>
      <w:r w:rsidRPr="00BD5380">
        <w:t>“</w:t>
      </w:r>
      <w:r>
        <w:t>[o]</w:t>
      </w:r>
      <w:r w:rsidRPr="00BD5380">
        <w:t xml:space="preserve">nly DISH is in a position to implement a unified reverse-mode solution.”  </w:t>
      </w:r>
      <w:r w:rsidRPr="00BD5380">
        <w:rPr>
          <w:i/>
        </w:rPr>
        <w:t>Id.</w:t>
      </w:r>
      <w:r w:rsidRPr="00BD5380">
        <w:t xml:space="preserve"> at 13 n.25.</w:t>
      </w:r>
    </w:p>
  </w:footnote>
  <w:footnote w:id="57">
    <w:p w14:paraId="365D3C8B" w14:textId="64B4D3B5" w:rsidR="00947526" w:rsidRPr="00BD5380" w:rsidRDefault="00947526" w:rsidP="00C1793F">
      <w:pPr>
        <w:pStyle w:val="FootnoteText"/>
      </w:pPr>
      <w:r w:rsidRPr="00BD5380">
        <w:rPr>
          <w:rStyle w:val="FootnoteReference"/>
        </w:rPr>
        <w:footnoteRef/>
      </w:r>
      <w:r>
        <w:t xml:space="preserve"> DISH Petition</w:t>
      </w:r>
      <w:r w:rsidRPr="00BD5380">
        <w:t xml:space="preserve"> at 2.</w:t>
      </w:r>
    </w:p>
  </w:footnote>
  <w:footnote w:id="58">
    <w:p w14:paraId="31E883B4" w14:textId="631A8C8E" w:rsidR="00947526" w:rsidRPr="00BD5380" w:rsidRDefault="00947526">
      <w:pPr>
        <w:pStyle w:val="FootnoteText"/>
      </w:pPr>
      <w:r w:rsidRPr="00BD5380">
        <w:rPr>
          <w:rStyle w:val="FootnoteReference"/>
        </w:rPr>
        <w:footnoteRef/>
      </w:r>
      <w:r>
        <w:t xml:space="preserve"> </w:t>
      </w:r>
      <w:r>
        <w:rPr>
          <w:i/>
        </w:rPr>
        <w:t>Id.</w:t>
      </w:r>
      <w:r w:rsidRPr="00BD5380">
        <w:t xml:space="preserve"> at 3-5.</w:t>
      </w:r>
    </w:p>
  </w:footnote>
  <w:footnote w:id="59">
    <w:p w14:paraId="401156C0" w14:textId="77777777" w:rsidR="00947526" w:rsidRPr="00BD5380" w:rsidRDefault="00947526" w:rsidP="00C63D99">
      <w:pPr>
        <w:pStyle w:val="FootnoteText"/>
      </w:pPr>
      <w:r w:rsidRPr="00BD5380">
        <w:rPr>
          <w:rStyle w:val="FootnoteReference"/>
        </w:rPr>
        <w:footnoteRef/>
      </w:r>
      <w:r w:rsidRPr="00BD5380">
        <w:t xml:space="preserve"> AT&amp;T Comments at 2.</w:t>
      </w:r>
    </w:p>
  </w:footnote>
  <w:footnote w:id="60">
    <w:p w14:paraId="7439CCBA" w14:textId="77777777" w:rsidR="00947526" w:rsidRPr="00BD5380" w:rsidRDefault="00947526">
      <w:pPr>
        <w:pStyle w:val="FootnoteText"/>
      </w:pPr>
      <w:r w:rsidRPr="00BD5380">
        <w:rPr>
          <w:rStyle w:val="FootnoteReference"/>
        </w:rPr>
        <w:footnoteRef/>
      </w:r>
      <w:r w:rsidRPr="00BD5380">
        <w:t xml:space="preserve"> </w:t>
      </w:r>
      <w:r w:rsidRPr="00BD5380">
        <w:rPr>
          <w:i/>
        </w:rPr>
        <w:t>See, e.g.</w:t>
      </w:r>
      <w:r w:rsidRPr="00BD5380">
        <w:t xml:space="preserve">, Allocation of Spectrum Below 5 GHz Transferred from Federal Government Use, ET Docket No. 94-32, </w:t>
      </w:r>
      <w:r w:rsidRPr="00BD5380">
        <w:rPr>
          <w:i/>
        </w:rPr>
        <w:t>Second Report and Order</w:t>
      </w:r>
      <w:r w:rsidRPr="00BD5380">
        <w:t xml:space="preserve">, 11 FCC Rcd 624, 631 ¶ 15 (1995); </w:t>
      </w:r>
      <w:r w:rsidRPr="00BD5380">
        <w:rPr>
          <w:i/>
        </w:rPr>
        <w:t>AWS-4 Report and Order</w:t>
      </w:r>
      <w:r w:rsidRPr="00BD5380">
        <w:t>, 27 FCC Rcd at 16187-88 ¶¶ 224-25.</w:t>
      </w:r>
    </w:p>
  </w:footnote>
  <w:footnote w:id="61">
    <w:p w14:paraId="686FF8A0" w14:textId="46839115" w:rsidR="00947526" w:rsidRPr="00BD5380" w:rsidRDefault="00947526" w:rsidP="00425F37">
      <w:pPr>
        <w:pStyle w:val="FootnoteText"/>
      </w:pPr>
      <w:r w:rsidRPr="00BD5380">
        <w:rPr>
          <w:rStyle w:val="FootnoteReference"/>
        </w:rPr>
        <w:footnoteRef/>
      </w:r>
      <w:r w:rsidRPr="00BD5380">
        <w:t xml:space="preserve"> </w:t>
      </w:r>
      <w:r w:rsidRPr="00BD5380">
        <w:rPr>
          <w:i/>
        </w:rPr>
        <w:t xml:space="preserve">See </w:t>
      </w:r>
      <w:r w:rsidRPr="00BD5380">
        <w:t xml:space="preserve">Spectrum Policy Task Force, ET Docket No. 02-135, </w:t>
      </w:r>
      <w:r w:rsidRPr="00BD5380">
        <w:rPr>
          <w:i/>
        </w:rPr>
        <w:t>Report</w:t>
      </w:r>
      <w:r w:rsidRPr="00BD5380">
        <w:t>, p. 16 (rel. Nov. 15, 2002)</w:t>
      </w:r>
      <w:r w:rsidRPr="00BD5380">
        <w:rPr>
          <w:i/>
        </w:rPr>
        <w:t>,</w:t>
      </w:r>
      <w:r w:rsidRPr="00BD5380">
        <w:t xml:space="preserve"> </w:t>
      </w:r>
      <w:r w:rsidRPr="00BD5380">
        <w:rPr>
          <w:i/>
        </w:rPr>
        <w:t xml:space="preserve">available at </w:t>
      </w:r>
      <w:hyperlink r:id="rId2" w:history="1">
        <w:r w:rsidRPr="00BD5380">
          <w:rPr>
            <w:rStyle w:val="Hyperlink"/>
          </w:rPr>
          <w:t>http://hraunfoss.fcc.gov/edocs_public/attachmatch/DOC-228542A1.pdf</w:t>
        </w:r>
      </w:hyperlink>
      <w:r w:rsidRPr="00BD5380">
        <w:rPr>
          <w:rStyle w:val="Hyperlink"/>
        </w:rPr>
        <w:t xml:space="preserve"> (last visited Nov. 22, 2013)</w:t>
      </w:r>
      <w:r w:rsidRPr="00BD5380">
        <w:t xml:space="preserve">; </w:t>
      </w:r>
      <w:r w:rsidRPr="00BD5380">
        <w:rPr>
          <w:i/>
        </w:rPr>
        <w:t>AWS-4 Report and Order</w:t>
      </w:r>
      <w:r w:rsidRPr="00BD5380">
        <w:t xml:space="preserve">, 27 FCC Rcd at 16186-88 ¶¶ 221-26; </w:t>
      </w:r>
      <w:r w:rsidRPr="00BD5380">
        <w:rPr>
          <w:i/>
        </w:rPr>
        <w:t xml:space="preserve">see also </w:t>
      </w:r>
      <w:r w:rsidRPr="00BD5380">
        <w:t>DISH Petition at 8-9 n.18 (quoting Spectrum Policy Task Force)</w:t>
      </w:r>
      <w:r>
        <w:t>;</w:t>
      </w:r>
      <w:r w:rsidRPr="00BD5380">
        <w:t xml:space="preserve"> AT&amp;T Comments at 2.</w:t>
      </w:r>
    </w:p>
  </w:footnote>
  <w:footnote w:id="62">
    <w:p w14:paraId="2AA1F21C" w14:textId="5C015237" w:rsidR="00947526" w:rsidRPr="00BD5380" w:rsidRDefault="00947526">
      <w:pPr>
        <w:pStyle w:val="FootnoteText"/>
      </w:pPr>
      <w:r w:rsidRPr="00BD5380">
        <w:rPr>
          <w:rStyle w:val="FootnoteReference"/>
        </w:rPr>
        <w:footnoteRef/>
      </w:r>
      <w:r w:rsidRPr="00BD5380">
        <w:t xml:space="preserve"> </w:t>
      </w:r>
      <w:r w:rsidRPr="00BD5380">
        <w:rPr>
          <w:i/>
        </w:rPr>
        <w:t>AWS-4 Report and Order</w:t>
      </w:r>
      <w:r w:rsidRPr="00BD5380">
        <w:t>, 27 FCC Rcd at</w:t>
      </w:r>
      <w:r>
        <w:t xml:space="preserve"> </w:t>
      </w:r>
      <w:r w:rsidRPr="00BD5380">
        <w:t>16124, 16126 ¶¶ 55, 61.</w:t>
      </w:r>
    </w:p>
  </w:footnote>
  <w:footnote w:id="63">
    <w:p w14:paraId="21D1E9CD" w14:textId="1E555AC7" w:rsidR="00947526" w:rsidRPr="00BD5380" w:rsidRDefault="00947526">
      <w:pPr>
        <w:pStyle w:val="FootnoteText"/>
      </w:pPr>
      <w:r w:rsidRPr="00BD5380">
        <w:rPr>
          <w:rStyle w:val="FootnoteReference"/>
        </w:rPr>
        <w:footnoteRef/>
      </w:r>
      <w:r w:rsidRPr="00BD5380">
        <w:t xml:space="preserve"> </w:t>
      </w:r>
      <w:r w:rsidRPr="00BD5380">
        <w:rPr>
          <w:i/>
        </w:rPr>
        <w:t xml:space="preserve">See </w:t>
      </w:r>
      <w:r>
        <w:t xml:space="preserve">47 U.S.C. § </w:t>
      </w:r>
      <w:r w:rsidRPr="00BD5380">
        <w:t>309(j)(3)(A) (“development and rapid deployment of new technologies, products, and services for the benefit of the public, including those residing in rural areas”), 309(j)(3)(C) (“recovery for the public of a portion of the value of the public spectrum resources made available for commercial use”), 309(j)(3)(D) (“efficient and intensive use of the electroma</w:t>
      </w:r>
      <w:r>
        <w:t>gnetic spectrum”), 309(j)(4)(F) (reserve price or minimum bid required absent Commission determination that it is not in the public interest)</w:t>
      </w:r>
      <w:r w:rsidRPr="00BD5380">
        <w:t>.  We observe that the Bureau established a reserve price after carefully considering the record it received on its proposal to do so, mindful of its obligation to promote recovery for the public of a portion of the value of the spectrum resource under Section 309(j)(3)(C).</w:t>
      </w:r>
    </w:p>
  </w:footnote>
  <w:footnote w:id="64">
    <w:p w14:paraId="0D0317D8" w14:textId="5825BE6A"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 xml:space="preserve">47 U.S.C. §§ 309(j)(8)(F), 1457; </w:t>
      </w:r>
      <w:r w:rsidRPr="00BD5380">
        <w:rPr>
          <w:i/>
        </w:rPr>
        <w:t>H Block Report and Order</w:t>
      </w:r>
      <w:r w:rsidRPr="00BD5380">
        <w:t xml:space="preserve">, 28 FCC Rcd </w:t>
      </w:r>
      <w:r>
        <w:t xml:space="preserve">at </w:t>
      </w:r>
      <w:r w:rsidRPr="00BD5380">
        <w:t>9486 ¶ 3 &amp; n.16.</w:t>
      </w:r>
    </w:p>
  </w:footnote>
  <w:footnote w:id="65">
    <w:p w14:paraId="4AB6800D" w14:textId="77777777" w:rsidR="00947526" w:rsidRPr="00BD5380" w:rsidRDefault="00947526">
      <w:pPr>
        <w:pStyle w:val="FootnoteText"/>
      </w:pPr>
      <w:r w:rsidRPr="00BD5380">
        <w:rPr>
          <w:rStyle w:val="FootnoteReference"/>
        </w:rPr>
        <w:footnoteRef/>
      </w:r>
      <w:r w:rsidRPr="00BD5380">
        <w:t xml:space="preserve"> </w:t>
      </w:r>
      <w:r w:rsidRPr="00BD5380">
        <w:rPr>
          <w:i/>
        </w:rPr>
        <w:t>H Block Report and Order</w:t>
      </w:r>
      <w:r w:rsidRPr="00BD5380">
        <w:t>, 28 FCC Rcd at 9493 ¶ 21.</w:t>
      </w:r>
    </w:p>
  </w:footnote>
  <w:footnote w:id="66">
    <w:p w14:paraId="565B509B"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 xml:space="preserve">Sprint Comments at 4; Sprint </w:t>
      </w:r>
      <w:r>
        <w:t>Reply</w:t>
      </w:r>
      <w:r w:rsidRPr="00BD5380">
        <w:t xml:space="preserve"> at 3-4.  According to DISH, implementation of the terrestrial band plan change may also open the door to possible harmonization of the 2020-2025 MHz band (also referred to as the J Block), if that band were ultimately devoted to downlink operations.  DISH Petition at 15-16.  However, the Commission has currently proposed to use this band for uplink.  </w:t>
      </w:r>
      <w:r w:rsidRPr="00BD5380">
        <w:rPr>
          <w:i/>
        </w:rPr>
        <w:t>See AWS-3 Notice of Proposed Rulemaking</w:t>
      </w:r>
      <w:r w:rsidRPr="00BD5380">
        <w:t>, 28 FCC Rcd at 11497 ¶</w:t>
      </w:r>
      <w:r>
        <w:t xml:space="preserve"> </w:t>
      </w:r>
      <w:r w:rsidRPr="00BD5380">
        <w:t xml:space="preserve">35.  Because that question will be resolved in WT Docket No. 12-185 based on the record in that proceeding, we do not rely in our decision here on any such potential harmonization.  </w:t>
      </w:r>
    </w:p>
  </w:footnote>
  <w:footnote w:id="67">
    <w:p w14:paraId="08303B01" w14:textId="28AE42EC"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Service Rules for Advance</w:t>
      </w:r>
      <w:r>
        <w:t>d</w:t>
      </w:r>
      <w:r w:rsidRPr="00BD5380">
        <w:t xml:space="preserve"> Wireless Services in the 2000-2020 MHz and 2180-2200 MHz, </w:t>
      </w:r>
      <w:r w:rsidRPr="00BD5380">
        <w:rPr>
          <w:i/>
        </w:rPr>
        <w:t>Notice of Proposed Rulemaking and Notice of Inquiry</w:t>
      </w:r>
      <w:r w:rsidRPr="00BD5380">
        <w:t>, 27 FCC Rcd 3607, 3607-3611 ¶</w:t>
      </w:r>
      <w:r>
        <w:t>¶ 137-47 (2012</w:t>
      </w:r>
      <w:r w:rsidRPr="00BD5380">
        <w:t xml:space="preserve">).  Because of the band plan established in the </w:t>
      </w:r>
      <w:r w:rsidRPr="00BD5380">
        <w:rPr>
          <w:i/>
        </w:rPr>
        <w:t>AWS-4 Report and Order</w:t>
      </w:r>
      <w:r w:rsidRPr="00BD5380">
        <w:t xml:space="preserve">, including setting the 2000-2020 MHz band for uplink, the Commission declined to pursue the </w:t>
      </w:r>
      <w:r w:rsidRPr="00BD5380">
        <w:rPr>
          <w:i/>
        </w:rPr>
        <w:t>AWS-4 Notice of Inquiry</w:t>
      </w:r>
      <w:r>
        <w:t xml:space="preserve"> concept. </w:t>
      </w:r>
      <w:r w:rsidRPr="00BD5380">
        <w:t xml:space="preserve"> </w:t>
      </w:r>
      <w:r w:rsidRPr="00BD5380">
        <w:rPr>
          <w:i/>
        </w:rPr>
        <w:t>AWS-4 Report and Order</w:t>
      </w:r>
      <w:r w:rsidRPr="00BD5380">
        <w:t>, 27 FCC Rcd at</w:t>
      </w:r>
      <w:r>
        <w:t> </w:t>
      </w:r>
      <w:r w:rsidRPr="00BD5380">
        <w:t>16222 ¶ 323.</w:t>
      </w:r>
    </w:p>
  </w:footnote>
  <w:footnote w:id="68">
    <w:p w14:paraId="3D545008" w14:textId="77777777" w:rsidR="00947526" w:rsidRPr="00BD5380" w:rsidRDefault="00947526" w:rsidP="00796206">
      <w:pPr>
        <w:pStyle w:val="FootnoteText"/>
      </w:pPr>
      <w:r w:rsidRPr="00BD5380">
        <w:rPr>
          <w:rStyle w:val="FootnoteReference"/>
        </w:rPr>
        <w:footnoteRef/>
      </w:r>
      <w:r w:rsidRPr="00BD5380">
        <w:t xml:space="preserve"> </w:t>
      </w:r>
      <w:r w:rsidRPr="00BD5380">
        <w:rPr>
          <w:i/>
        </w:rPr>
        <w:t>See</w:t>
      </w:r>
      <w:r w:rsidRPr="00BD5380">
        <w:t xml:space="preserve"> DISH Petition at 2.</w:t>
      </w:r>
    </w:p>
  </w:footnote>
  <w:footnote w:id="69">
    <w:p w14:paraId="668F255C" w14:textId="77777777" w:rsidR="00947526" w:rsidRPr="00BD5380" w:rsidRDefault="00947526">
      <w:pPr>
        <w:pStyle w:val="FootnoteText"/>
      </w:pPr>
      <w:r w:rsidRPr="00BD5380">
        <w:rPr>
          <w:rStyle w:val="FootnoteReference"/>
        </w:rPr>
        <w:footnoteRef/>
      </w:r>
      <w:r w:rsidRPr="00BD5380">
        <w:t xml:space="preserve"> </w:t>
      </w:r>
      <w:r w:rsidRPr="00BD5380">
        <w:rPr>
          <w:i/>
        </w:rPr>
        <w:t>Cf. AWS-4 Report and Order</w:t>
      </w:r>
      <w:r w:rsidRPr="00BD5380">
        <w:t>, 27 FCC Rcd at 16127-45 ¶¶ 64-100.</w:t>
      </w:r>
    </w:p>
  </w:footnote>
  <w:footnote w:id="70">
    <w:p w14:paraId="1C992E30" w14:textId="6E43A03D" w:rsidR="00947526" w:rsidRPr="00BD5380" w:rsidRDefault="00947526">
      <w:pPr>
        <w:pStyle w:val="FootnoteText"/>
      </w:pPr>
      <w:r w:rsidRPr="00BD5380">
        <w:rPr>
          <w:rStyle w:val="FootnoteReference"/>
        </w:rPr>
        <w:footnoteRef/>
      </w:r>
      <w:r w:rsidRPr="00BD5380">
        <w:t xml:space="preserve"> DISH Petition at </w:t>
      </w:r>
      <w:r>
        <w:t>2</w:t>
      </w:r>
      <w:r w:rsidRPr="00BD5380">
        <w:t>.</w:t>
      </w:r>
    </w:p>
  </w:footnote>
  <w:footnote w:id="71">
    <w:p w14:paraId="3B8DB344" w14:textId="77777777" w:rsidR="00947526" w:rsidRPr="0064314A" w:rsidRDefault="00947526" w:rsidP="001D18BC">
      <w:pPr>
        <w:pStyle w:val="FootnoteText"/>
        <w:rPr>
          <w:i/>
        </w:rPr>
      </w:pPr>
      <w:r w:rsidRPr="00BD5380">
        <w:rPr>
          <w:rStyle w:val="FootnoteReference"/>
        </w:rPr>
        <w:footnoteRef/>
      </w:r>
      <w:r w:rsidRPr="00BD5380">
        <w:t xml:space="preserve"> </w:t>
      </w:r>
      <w:r w:rsidRPr="00BD5380">
        <w:rPr>
          <w:i/>
        </w:rPr>
        <w:t>Auction 96 Procedures PN</w:t>
      </w:r>
      <w:r>
        <w:t xml:space="preserve">, 28 FCC Rcd at 13063 </w:t>
      </w:r>
      <w:r w:rsidRPr="00BD5380">
        <w:t>¶</w:t>
      </w:r>
      <w:r>
        <w:t xml:space="preserve"> 172; </w:t>
      </w:r>
      <w:r>
        <w:rPr>
          <w:i/>
          <w:snapToGrid w:val="0"/>
          <w:color w:val="000000"/>
          <w:shd w:val="clear" w:color="auto" w:fill="FFFFFF"/>
        </w:rPr>
        <w:t>Auction 96 Procedures PN Recon Order</w:t>
      </w:r>
      <w:r>
        <w:rPr>
          <w:snapToGrid w:val="0"/>
          <w:color w:val="000000"/>
          <w:shd w:val="clear" w:color="auto" w:fill="FFFFFF"/>
        </w:rPr>
        <w:t xml:space="preserve"> at </w:t>
      </w:r>
      <w:r w:rsidRPr="00BD5380">
        <w:t>¶</w:t>
      </w:r>
      <w:r>
        <w:t xml:space="preserve"> 14</w:t>
      </w:r>
      <w:r>
        <w:rPr>
          <w:i/>
          <w:snapToGrid w:val="0"/>
          <w:color w:val="000000"/>
          <w:shd w:val="clear" w:color="auto" w:fill="FFFFFF"/>
        </w:rPr>
        <w:t>.</w:t>
      </w:r>
    </w:p>
  </w:footnote>
  <w:footnote w:id="72">
    <w:p w14:paraId="46230AA6" w14:textId="77777777" w:rsidR="00947526" w:rsidRPr="00BD5380" w:rsidRDefault="00947526" w:rsidP="00607ECD">
      <w:pPr>
        <w:pStyle w:val="FootnoteText"/>
      </w:pPr>
      <w:r w:rsidRPr="00BD5380">
        <w:rPr>
          <w:rStyle w:val="FootnoteReference"/>
        </w:rPr>
        <w:footnoteRef/>
      </w:r>
      <w:r w:rsidRPr="00BD5380">
        <w:t xml:space="preserve"> </w:t>
      </w:r>
      <w:r w:rsidRPr="00BD5380">
        <w:rPr>
          <w:i/>
        </w:rPr>
        <w:t xml:space="preserve">See </w:t>
      </w:r>
      <w:r w:rsidRPr="00BD5380">
        <w:t>Sprint Reply at 5.</w:t>
      </w:r>
    </w:p>
  </w:footnote>
  <w:footnote w:id="73">
    <w:p w14:paraId="495C5F11" w14:textId="77777777" w:rsidR="00947526" w:rsidRDefault="00947526">
      <w:pPr>
        <w:pStyle w:val="FootnoteText"/>
      </w:pPr>
      <w:r>
        <w:rPr>
          <w:rStyle w:val="FootnoteReference"/>
        </w:rPr>
        <w:footnoteRef/>
      </w:r>
      <w:r>
        <w:t xml:space="preserve"> </w:t>
      </w:r>
      <w:r>
        <w:rPr>
          <w:i/>
        </w:rPr>
        <w:t>See</w:t>
      </w:r>
      <w:r>
        <w:t xml:space="preserve"> Sprint Comments at 4 (“the Commission should ensure . . . it has the ability to enforce DISH’s commitments and ensure its compliance with the Commission’s rules”).</w:t>
      </w:r>
    </w:p>
  </w:footnote>
  <w:footnote w:id="74">
    <w:p w14:paraId="77B7E411" w14:textId="77777777" w:rsidR="00947526" w:rsidRPr="00BD5380" w:rsidRDefault="00947526">
      <w:pPr>
        <w:pStyle w:val="FootnoteText"/>
      </w:pPr>
      <w:r w:rsidRPr="00BD5380">
        <w:rPr>
          <w:rStyle w:val="FootnoteReference"/>
        </w:rPr>
        <w:footnoteRef/>
      </w:r>
      <w:r w:rsidRPr="00BD5380">
        <w:t xml:space="preserve"> </w:t>
      </w:r>
      <w:r w:rsidRPr="00BD5380">
        <w:rPr>
          <w:i/>
        </w:rPr>
        <w:t>See</w:t>
      </w:r>
      <w:r w:rsidRPr="00BD5380">
        <w:t xml:space="preserve"> </w:t>
      </w:r>
      <w:r w:rsidRPr="00BD5380">
        <w:rPr>
          <w:i/>
        </w:rPr>
        <w:t>AWS-4 Report and Order</w:t>
      </w:r>
      <w:r w:rsidRPr="00BD5380">
        <w:t>, 27 FCC Rcd at 16124 ¶ 55 (the Commission’s “aim in establishing technical rules is to maximize the flexible use of spectrum while appropriately protecting operations in neighboring bands.”);  AT&amp;T Comments at 2 (“flexibility should be allowed, but only consistent with interference constraints”).</w:t>
      </w:r>
    </w:p>
  </w:footnote>
  <w:footnote w:id="75">
    <w:p w14:paraId="64B558A9" w14:textId="77777777" w:rsidR="00947526" w:rsidRPr="00BD5380" w:rsidRDefault="00947526" w:rsidP="00017BF8">
      <w:pPr>
        <w:pStyle w:val="FootnoteText"/>
      </w:pPr>
      <w:r w:rsidRPr="00BD5380">
        <w:rPr>
          <w:rStyle w:val="FootnoteReference"/>
        </w:rPr>
        <w:footnoteRef/>
      </w:r>
      <w:r w:rsidRPr="00BD5380">
        <w:t xml:space="preserve"> 47 C.F.R. § 27.5(j)(1).</w:t>
      </w:r>
    </w:p>
  </w:footnote>
  <w:footnote w:id="76">
    <w:p w14:paraId="1C17283C"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DISH Petition at 3-4.</w:t>
      </w:r>
    </w:p>
  </w:footnote>
  <w:footnote w:id="77">
    <w:p w14:paraId="3F6F3B4C" w14:textId="77777777" w:rsidR="00947526" w:rsidRPr="00BD5380" w:rsidRDefault="00947526">
      <w:pPr>
        <w:pStyle w:val="FootnoteText"/>
      </w:pPr>
      <w:r w:rsidRPr="00BD5380">
        <w:rPr>
          <w:rStyle w:val="FootnoteReference"/>
        </w:rPr>
        <w:footnoteRef/>
      </w:r>
      <w:r w:rsidRPr="00BD5380">
        <w:t xml:space="preserve"> 47 C.F.R. § 27.50(d)(7).</w:t>
      </w:r>
    </w:p>
  </w:footnote>
  <w:footnote w:id="78">
    <w:p w14:paraId="2942A09D" w14:textId="77777777" w:rsidR="00947526" w:rsidRPr="00BD5380" w:rsidRDefault="00947526">
      <w:pPr>
        <w:pStyle w:val="FootnoteText"/>
      </w:pPr>
      <w:r w:rsidRPr="00BD5380">
        <w:rPr>
          <w:rStyle w:val="FootnoteReference"/>
        </w:rPr>
        <w:footnoteRef/>
      </w:r>
      <w:r w:rsidRPr="00BD5380">
        <w:t xml:space="preserve"> </w:t>
      </w:r>
      <w:r w:rsidRPr="00BD5380">
        <w:rPr>
          <w:i/>
        </w:rPr>
        <w:t>See</w:t>
      </w:r>
      <w:r w:rsidRPr="00BD5380">
        <w:t xml:space="preserve"> </w:t>
      </w:r>
      <w:r w:rsidRPr="00BD5380">
        <w:rPr>
          <w:i/>
        </w:rPr>
        <w:t>AWS-4 Report and Order</w:t>
      </w:r>
      <w:r w:rsidRPr="00BD5380">
        <w:t>, 27 FCC Rcd at 16157-60 ¶¶ 135-48.</w:t>
      </w:r>
    </w:p>
  </w:footnote>
  <w:footnote w:id="79">
    <w:p w14:paraId="7C185DE1" w14:textId="77777777" w:rsidR="00947526" w:rsidRPr="00BD5380" w:rsidRDefault="00947526" w:rsidP="00F44623">
      <w:pPr>
        <w:pStyle w:val="FootnoteText"/>
      </w:pPr>
      <w:r w:rsidRPr="00BD5380">
        <w:rPr>
          <w:rStyle w:val="FootnoteReference"/>
        </w:rPr>
        <w:footnoteRef/>
      </w:r>
      <w:r w:rsidRPr="00BD5380">
        <w:t xml:space="preserve"> 47 C.F.R. § 27.53(h)(2)(ii).</w:t>
      </w:r>
    </w:p>
  </w:footnote>
  <w:footnote w:id="80">
    <w:p w14:paraId="4DD67F71" w14:textId="77777777" w:rsidR="00947526" w:rsidRPr="00BD5380" w:rsidRDefault="00947526">
      <w:pPr>
        <w:pStyle w:val="FootnoteText"/>
      </w:pPr>
      <w:r w:rsidRPr="00BD5380">
        <w:rPr>
          <w:rStyle w:val="FootnoteReference"/>
        </w:rPr>
        <w:footnoteRef/>
      </w:r>
      <w:r w:rsidRPr="00BD5380">
        <w:t xml:space="preserve"> </w:t>
      </w:r>
      <w:r w:rsidRPr="00BD5380">
        <w:rPr>
          <w:i/>
        </w:rPr>
        <w:t>AWS-4 Report and Order</w:t>
      </w:r>
      <w:r w:rsidRPr="00BD5380">
        <w:t>, 27 FCC Rcd at 16126-27 ¶¶ 62-63.</w:t>
      </w:r>
    </w:p>
  </w:footnote>
  <w:footnote w:id="81">
    <w:p w14:paraId="38E3F1E3" w14:textId="77777777" w:rsidR="00947526" w:rsidRPr="00BD5380" w:rsidRDefault="00947526" w:rsidP="00B2532A">
      <w:pPr>
        <w:pStyle w:val="FootnoteText"/>
      </w:pPr>
      <w:r w:rsidRPr="00BD5380">
        <w:rPr>
          <w:rStyle w:val="FootnoteReference"/>
        </w:rPr>
        <w:footnoteRef/>
      </w:r>
      <w:r w:rsidRPr="00BD5380">
        <w:t xml:space="preserve"> 47 C.F.R. § 27.65.</w:t>
      </w:r>
    </w:p>
  </w:footnote>
  <w:footnote w:id="82">
    <w:p w14:paraId="1BC35128" w14:textId="16EC156B" w:rsidR="00947526" w:rsidRPr="00BD5380" w:rsidRDefault="00947526" w:rsidP="00B2532A">
      <w:pPr>
        <w:pStyle w:val="FootnoteText"/>
      </w:pPr>
      <w:r w:rsidRPr="00BD5380">
        <w:rPr>
          <w:rStyle w:val="FootnoteReference"/>
        </w:rPr>
        <w:footnoteRef/>
      </w:r>
      <w:r w:rsidRPr="00BD5380">
        <w:t xml:space="preserve"> </w:t>
      </w:r>
      <w:r w:rsidRPr="00BD5380">
        <w:rPr>
          <w:i/>
        </w:rPr>
        <w:t>AWS-4 Report and Order</w:t>
      </w:r>
      <w:r w:rsidRPr="00BD5380">
        <w:t>, 27 FCC Rcd at 16160-61</w:t>
      </w:r>
      <w:r>
        <w:t xml:space="preserve"> </w:t>
      </w:r>
      <w:r w:rsidRPr="00BD5380">
        <w:t>¶¶ 149-50.</w:t>
      </w:r>
    </w:p>
  </w:footnote>
  <w:footnote w:id="83">
    <w:p w14:paraId="2F0D2E25" w14:textId="77777777" w:rsidR="00947526" w:rsidRPr="00BD5380" w:rsidRDefault="00947526">
      <w:pPr>
        <w:pStyle w:val="FootnoteText"/>
      </w:pPr>
      <w:r w:rsidRPr="00BD5380">
        <w:rPr>
          <w:rStyle w:val="FootnoteReference"/>
        </w:rPr>
        <w:footnoteRef/>
      </w:r>
      <w:r w:rsidRPr="00BD5380">
        <w:t xml:space="preserve"> In waiving section 27.5(j) of the Commission’s rules, we waive only the requirement that the AWS-4 bands be paired.  We do not waive the specifying of 2000-2020 MHz and 2180-2200 MHz as AWS-4 spectrum.</w:t>
      </w:r>
    </w:p>
  </w:footnote>
  <w:footnote w:id="84">
    <w:p w14:paraId="27B00747" w14:textId="77777777" w:rsidR="00947526" w:rsidRPr="00BD5380" w:rsidRDefault="00947526">
      <w:pPr>
        <w:pStyle w:val="FootnoteText"/>
      </w:pPr>
      <w:r w:rsidRPr="00BD5380">
        <w:rPr>
          <w:rStyle w:val="FootnoteReference"/>
        </w:rPr>
        <w:footnoteRef/>
      </w:r>
      <w:r w:rsidRPr="00BD5380">
        <w:t xml:space="preserve"> DISH Petition at 11.</w:t>
      </w:r>
    </w:p>
  </w:footnote>
  <w:footnote w:id="85">
    <w:p w14:paraId="2713ED5C" w14:textId="0DAF1CE9" w:rsidR="00947526" w:rsidRPr="00BD5380" w:rsidRDefault="00947526">
      <w:pPr>
        <w:pStyle w:val="FootnoteText"/>
      </w:pPr>
      <w:r w:rsidRPr="00BD5380">
        <w:rPr>
          <w:rStyle w:val="FootnoteReference"/>
        </w:rPr>
        <w:footnoteRef/>
      </w:r>
      <w:r>
        <w:t xml:space="preserve"> </w:t>
      </w:r>
      <w:r>
        <w:rPr>
          <w:i/>
        </w:rPr>
        <w:t>Id.</w:t>
      </w:r>
      <w:r w:rsidRPr="00BD5380">
        <w:t xml:space="preserve"> at 11-12; </w:t>
      </w:r>
      <w:r w:rsidRPr="00BD5380">
        <w:rPr>
          <w:i/>
        </w:rPr>
        <w:t>see</w:t>
      </w:r>
      <w:r w:rsidRPr="00BD5380">
        <w:t xml:space="preserve"> 47 C.F.R. §§ 27.50(d)(1)-(2), 27.53(h)(1), (3).</w:t>
      </w:r>
    </w:p>
  </w:footnote>
  <w:footnote w:id="86">
    <w:p w14:paraId="4285AF99" w14:textId="77777777" w:rsidR="00947526" w:rsidRDefault="00947526">
      <w:pPr>
        <w:pStyle w:val="FootnoteText"/>
      </w:pPr>
      <w:r>
        <w:rPr>
          <w:rStyle w:val="FootnoteReference"/>
        </w:rPr>
        <w:footnoteRef/>
      </w:r>
      <w:r>
        <w:t xml:space="preserve"> DISH December 13 Letter.</w:t>
      </w:r>
    </w:p>
  </w:footnote>
  <w:footnote w:id="87">
    <w:p w14:paraId="1DAE5DDF"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Sprint Reply at 4-6.</w:t>
      </w:r>
    </w:p>
  </w:footnote>
  <w:footnote w:id="88">
    <w:p w14:paraId="4553ECF5" w14:textId="239F9835" w:rsidR="00947526" w:rsidRPr="00BD5380" w:rsidRDefault="00947526" w:rsidP="008E1934">
      <w:pPr>
        <w:pStyle w:val="FootnoteText"/>
      </w:pPr>
      <w:r w:rsidRPr="00BD5380">
        <w:rPr>
          <w:rStyle w:val="FootnoteReference"/>
        </w:rPr>
        <w:footnoteRef/>
      </w:r>
      <w:r>
        <w:t xml:space="preserve"> 47 C.F.R. § 27.50</w:t>
      </w:r>
      <w:r w:rsidRPr="00BD5380">
        <w:t>(d)(5).</w:t>
      </w:r>
    </w:p>
  </w:footnote>
  <w:footnote w:id="89">
    <w:p w14:paraId="3FB64EA4" w14:textId="77777777" w:rsidR="00947526" w:rsidRPr="00BD5380" w:rsidRDefault="00947526" w:rsidP="008E1934">
      <w:pPr>
        <w:pStyle w:val="FootnoteText"/>
      </w:pPr>
      <w:r w:rsidRPr="00BD5380">
        <w:rPr>
          <w:rStyle w:val="FootnoteReference"/>
        </w:rPr>
        <w:footnoteRef/>
      </w:r>
      <w:r w:rsidRPr="00BD5380">
        <w:t xml:space="preserve"> 47 C.F.R. § 27.50(d)(6).</w:t>
      </w:r>
    </w:p>
  </w:footnote>
  <w:footnote w:id="90">
    <w:p w14:paraId="4FF3C909" w14:textId="77777777" w:rsidR="00947526" w:rsidRPr="00BD5380" w:rsidRDefault="00947526" w:rsidP="008E1934">
      <w:pPr>
        <w:pStyle w:val="FootnoteText"/>
      </w:pPr>
      <w:r w:rsidRPr="00BD5380">
        <w:rPr>
          <w:rStyle w:val="FootnoteReference"/>
        </w:rPr>
        <w:footnoteRef/>
      </w:r>
      <w:r w:rsidRPr="00BD5380">
        <w:t xml:space="preserve"> Sprint Reply at 5.</w:t>
      </w:r>
    </w:p>
  </w:footnote>
  <w:footnote w:id="91">
    <w:p w14:paraId="567447D8" w14:textId="77777777" w:rsidR="00947526" w:rsidRPr="00BD5380" w:rsidRDefault="00947526" w:rsidP="008E1934">
      <w:pPr>
        <w:pStyle w:val="FootnoteText"/>
      </w:pPr>
      <w:r w:rsidRPr="00BD5380">
        <w:rPr>
          <w:rStyle w:val="FootnoteReference"/>
        </w:rPr>
        <w:footnoteRef/>
      </w:r>
      <w:r w:rsidRPr="00BD5380">
        <w:t xml:space="preserve"> </w:t>
      </w:r>
      <w:r w:rsidRPr="00BD5380">
        <w:rPr>
          <w:i/>
        </w:rPr>
        <w:t xml:space="preserve">See </w:t>
      </w:r>
      <w:r w:rsidRPr="00BD5380">
        <w:t>47 C.F.R. § 27.50(d)(10).</w:t>
      </w:r>
    </w:p>
  </w:footnote>
  <w:footnote w:id="92">
    <w:p w14:paraId="45F500AF" w14:textId="2CF96EAC" w:rsidR="00947526" w:rsidRPr="00BD5380" w:rsidRDefault="00947526" w:rsidP="008E1934">
      <w:pPr>
        <w:pStyle w:val="FootnoteText"/>
      </w:pPr>
      <w:r w:rsidRPr="00BD5380">
        <w:rPr>
          <w:rStyle w:val="FootnoteReference"/>
        </w:rPr>
        <w:footnoteRef/>
      </w:r>
      <w:r>
        <w:t xml:space="preserve"> 47 C.F.R. § 27.53(i), </w:t>
      </w:r>
      <w:r w:rsidRPr="00BD5380">
        <w:t>(n).</w:t>
      </w:r>
    </w:p>
  </w:footnote>
  <w:footnote w:id="93">
    <w:p w14:paraId="632823E5" w14:textId="77777777" w:rsidR="00947526" w:rsidRPr="00BD5380" w:rsidRDefault="00947526" w:rsidP="008E1934">
      <w:pPr>
        <w:pStyle w:val="FootnoteText"/>
      </w:pPr>
      <w:r w:rsidRPr="00BD5380">
        <w:rPr>
          <w:rStyle w:val="FootnoteReference"/>
        </w:rPr>
        <w:footnoteRef/>
      </w:r>
      <w:r w:rsidRPr="00BD5380">
        <w:t xml:space="preserve"> 47 C.F.R. Part 27.  Sprint also argues that our waiver grant should include (1) a waiver of certain out-of-band emissions limits on H Block licensees in the event that DISH elects to use lower AWS-4 as downlink, </w:t>
      </w:r>
      <w:r w:rsidRPr="00BD5380">
        <w:rPr>
          <w:i/>
        </w:rPr>
        <w:t>see</w:t>
      </w:r>
      <w:r w:rsidRPr="00BD5380">
        <w:t xml:space="preserve"> 47 C.F.R. § 27.53(h)(2)(iv), and should be conditioned on DISH complying with certain cost-sharing rules, </w:t>
      </w:r>
      <w:r w:rsidRPr="00BD5380">
        <w:rPr>
          <w:i/>
        </w:rPr>
        <w:t>see</w:t>
      </w:r>
      <w:r w:rsidRPr="00BD5380">
        <w:t xml:space="preserve"> 47 C.F.R. §§ 1021 (cost-sharing reimbursement obligation of licenses at 1915-1920 MHz), 1031 (cost-sharing reimbursement obligation of licensees at 1995-2000 MHz).  </w:t>
      </w:r>
      <w:r w:rsidRPr="00BD5380">
        <w:rPr>
          <w:i/>
        </w:rPr>
        <w:t xml:space="preserve">See </w:t>
      </w:r>
      <w:r w:rsidRPr="00BD5380">
        <w:t xml:space="preserve">Sprint Reply at 6.  We address these arguments below.  </w:t>
      </w:r>
      <w:r w:rsidRPr="00BD5380">
        <w:rPr>
          <w:i/>
        </w:rPr>
        <w:t xml:space="preserve">See infra </w:t>
      </w:r>
      <w:r w:rsidRPr="00BD5380">
        <w:t xml:space="preserve">at ¶¶ </w:t>
      </w:r>
      <w:r w:rsidRPr="00BD5380">
        <w:fldChar w:fldCharType="begin"/>
      </w:r>
      <w:r w:rsidRPr="00BD5380">
        <w:instrText xml:space="preserve"> REF _Ref373154365 \r \h </w:instrText>
      </w:r>
      <w:r>
        <w:instrText xml:space="preserve"> \* MERGEFORMAT </w:instrText>
      </w:r>
      <w:r w:rsidRPr="00BD5380">
        <w:fldChar w:fldCharType="separate"/>
      </w:r>
      <w:r>
        <w:t>34</w:t>
      </w:r>
      <w:r w:rsidRPr="00BD5380">
        <w:fldChar w:fldCharType="end"/>
      </w:r>
      <w:r w:rsidRPr="00BD5380">
        <w:t>-</w:t>
      </w:r>
      <w:r>
        <w:fldChar w:fldCharType="begin"/>
      </w:r>
      <w:r>
        <w:instrText xml:space="preserve"> REF _Ref374008554 \r \h </w:instrText>
      </w:r>
      <w:r>
        <w:fldChar w:fldCharType="separate"/>
      </w:r>
      <w:r>
        <w:t>37</w:t>
      </w:r>
      <w:r>
        <w:fldChar w:fldCharType="end"/>
      </w:r>
      <w:r w:rsidRPr="00BD5380">
        <w:t xml:space="preserve">, </w:t>
      </w:r>
      <w:r>
        <w:fldChar w:fldCharType="begin"/>
      </w:r>
      <w:r>
        <w:instrText xml:space="preserve"> REF _Ref371679035 \r \h </w:instrText>
      </w:r>
      <w:r>
        <w:fldChar w:fldCharType="separate"/>
      </w:r>
      <w:r>
        <w:t>48</w:t>
      </w:r>
      <w:r>
        <w:fldChar w:fldCharType="end"/>
      </w:r>
      <w:r w:rsidRPr="00BD5380">
        <w:t>-</w:t>
      </w:r>
      <w:r>
        <w:fldChar w:fldCharType="begin"/>
      </w:r>
      <w:r>
        <w:instrText xml:space="preserve"> REF _Ref371679039 \r \h </w:instrText>
      </w:r>
      <w:r>
        <w:fldChar w:fldCharType="separate"/>
      </w:r>
      <w:r>
        <w:t>49</w:t>
      </w:r>
      <w:r>
        <w:fldChar w:fldCharType="end"/>
      </w:r>
      <w:r w:rsidRPr="00BD5380">
        <w:t>.</w:t>
      </w:r>
    </w:p>
  </w:footnote>
  <w:footnote w:id="94">
    <w:p w14:paraId="15F5FEBB" w14:textId="0B47B7D7" w:rsidR="00947526" w:rsidRPr="00BD5380" w:rsidRDefault="00947526">
      <w:pPr>
        <w:pStyle w:val="FootnoteText"/>
      </w:pPr>
      <w:r w:rsidRPr="00BD5380">
        <w:rPr>
          <w:rStyle w:val="FootnoteReference"/>
        </w:rPr>
        <w:footnoteRef/>
      </w:r>
      <w:r w:rsidRPr="00BD5380">
        <w:t xml:space="preserve"> </w:t>
      </w:r>
      <w:r w:rsidRPr="00BD5380">
        <w:rPr>
          <w:i/>
        </w:rPr>
        <w:t>See, e.g., AWS-4 Report and Order</w:t>
      </w:r>
      <w:r w:rsidRPr="00BD5380">
        <w:t xml:space="preserve">, 27 FCC Rcd at </w:t>
      </w:r>
      <w:r>
        <w:t xml:space="preserve">16203-04 </w:t>
      </w:r>
      <w:r w:rsidRPr="00BD5380">
        <w:t>¶¶ 277-78</w:t>
      </w:r>
      <w:r>
        <w:t>.</w:t>
      </w:r>
    </w:p>
  </w:footnote>
  <w:footnote w:id="95">
    <w:p w14:paraId="193A0D0D" w14:textId="77777777" w:rsidR="00947526" w:rsidRPr="00BD5380" w:rsidRDefault="00947526">
      <w:pPr>
        <w:pStyle w:val="FootnoteText"/>
      </w:pPr>
      <w:r w:rsidRPr="00BD5380">
        <w:rPr>
          <w:rStyle w:val="FootnoteReference"/>
        </w:rPr>
        <w:footnoteRef/>
      </w:r>
      <w:r w:rsidRPr="00BD5380">
        <w:t xml:space="preserve"> Sprint Reply at 5.</w:t>
      </w:r>
    </w:p>
  </w:footnote>
  <w:footnote w:id="96">
    <w:p w14:paraId="63135947" w14:textId="77777777" w:rsidR="00947526" w:rsidRDefault="00947526" w:rsidP="006F34BB">
      <w:pPr>
        <w:pStyle w:val="FootnoteText"/>
      </w:pPr>
      <w:r>
        <w:rPr>
          <w:rStyle w:val="FootnoteReference"/>
        </w:rPr>
        <w:footnoteRef/>
      </w:r>
      <w:r>
        <w:t xml:space="preserve"> DISH Petition at 10-12; DISH December 13 Letter.</w:t>
      </w:r>
    </w:p>
  </w:footnote>
  <w:footnote w:id="97">
    <w:p w14:paraId="7854E36A" w14:textId="199D2516" w:rsidR="00947526" w:rsidRPr="00BD5380" w:rsidRDefault="00947526" w:rsidP="002947B1">
      <w:pPr>
        <w:pStyle w:val="FootnoteText"/>
      </w:pPr>
      <w:r w:rsidRPr="00BD5380">
        <w:rPr>
          <w:rStyle w:val="FootnoteReference"/>
        </w:rPr>
        <w:footnoteRef/>
      </w:r>
      <w:r w:rsidRPr="00BD5380">
        <w:t xml:space="preserve"> </w:t>
      </w:r>
      <w:r w:rsidRPr="00BD5380">
        <w:rPr>
          <w:i/>
        </w:rPr>
        <w:t>C.f. AWS-4 Report and Order</w:t>
      </w:r>
      <w:r w:rsidRPr="00BD5380">
        <w:t xml:space="preserve">, 27 FCC Rcd at </w:t>
      </w:r>
      <w:r>
        <w:t xml:space="preserve">16154 </w:t>
      </w:r>
      <w:r w:rsidRPr="00BD5380">
        <w:t>¶ 125.</w:t>
      </w:r>
    </w:p>
  </w:footnote>
  <w:footnote w:id="98">
    <w:p w14:paraId="6BA5458D" w14:textId="77777777" w:rsidR="00947526" w:rsidRPr="00BD5380" w:rsidRDefault="00947526" w:rsidP="002947B1">
      <w:pPr>
        <w:pStyle w:val="FootnoteText"/>
      </w:pPr>
      <w:r w:rsidRPr="00BD5380">
        <w:rPr>
          <w:rStyle w:val="FootnoteReference"/>
        </w:rPr>
        <w:footnoteRef/>
      </w:r>
      <w:r w:rsidRPr="00BD5380">
        <w:t xml:space="preserve"> 47 C.F.R. § 27.55(a)(1).</w:t>
      </w:r>
    </w:p>
  </w:footnote>
  <w:footnote w:id="99">
    <w:p w14:paraId="3E6A2FBA" w14:textId="77777777" w:rsidR="00947526" w:rsidRPr="00BD5380" w:rsidRDefault="00947526" w:rsidP="002338D0">
      <w:pPr>
        <w:pStyle w:val="FootnoteText"/>
      </w:pPr>
      <w:r w:rsidRPr="00BD5380">
        <w:rPr>
          <w:rStyle w:val="FootnoteReference"/>
        </w:rPr>
        <w:footnoteRef/>
      </w:r>
      <w:r w:rsidRPr="00BD5380">
        <w:t xml:space="preserve"> 47 C.F.R. § 27.50(d)(1), (d)(2); </w:t>
      </w:r>
      <w:r w:rsidRPr="00BD5380">
        <w:rPr>
          <w:i/>
        </w:rPr>
        <w:t xml:space="preserve">see </w:t>
      </w:r>
      <w:r w:rsidRPr="00BD5380">
        <w:t>DISH Petition at 11.</w:t>
      </w:r>
    </w:p>
  </w:footnote>
  <w:footnote w:id="100">
    <w:p w14:paraId="0AB5D601" w14:textId="77777777" w:rsidR="00947526" w:rsidRPr="00BD5380" w:rsidRDefault="00947526" w:rsidP="002338D0">
      <w:pPr>
        <w:pStyle w:val="FootnoteText"/>
      </w:pPr>
      <w:r w:rsidRPr="00BD5380">
        <w:rPr>
          <w:rStyle w:val="FootnoteReference"/>
        </w:rPr>
        <w:footnoteRef/>
      </w:r>
      <w:r w:rsidRPr="00BD5380">
        <w:t xml:space="preserve"> </w:t>
      </w:r>
      <w:r w:rsidRPr="00BD5380">
        <w:rPr>
          <w:i/>
        </w:rPr>
        <w:t>H Block Report and Order</w:t>
      </w:r>
      <w:r w:rsidRPr="00BD5380">
        <w:t xml:space="preserve">, 28 FCC Rcd at 9504-06 ¶¶ 53, 57.  </w:t>
      </w:r>
    </w:p>
  </w:footnote>
  <w:footnote w:id="101">
    <w:p w14:paraId="7CDF9942"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47 C.F.R. § 27.50(d)(3).</w:t>
      </w:r>
    </w:p>
  </w:footnote>
  <w:footnote w:id="102">
    <w:p w14:paraId="29078252" w14:textId="37332A7D" w:rsidR="00947526" w:rsidRPr="00BD5380" w:rsidRDefault="00947526">
      <w:pPr>
        <w:pStyle w:val="FootnoteText"/>
      </w:pPr>
      <w:r w:rsidRPr="00BD5380">
        <w:rPr>
          <w:rStyle w:val="FootnoteReference"/>
        </w:rPr>
        <w:footnoteRef/>
      </w:r>
      <w:r w:rsidRPr="00BD5380">
        <w:t xml:space="preserve"> </w:t>
      </w:r>
      <w:r>
        <w:rPr>
          <w:i/>
        </w:rPr>
        <w:t xml:space="preserve">See </w:t>
      </w:r>
      <w:r>
        <w:t xml:space="preserve">Biennial Regulatory Review – Amendment of Parts 1, 22, 24, 27 and 90 to Streamline and Harmonize Various Rules Affecting Wireless Radio Services, WT Docket No. 03-264, </w:t>
      </w:r>
      <w:r>
        <w:rPr>
          <w:i/>
        </w:rPr>
        <w:t>Third Report and Order</w:t>
      </w:r>
      <w:r>
        <w:t xml:space="preserve">, 23 FCC Rcd 5319, 5330-31 ¶ 26 (2008); Facilitating the Provision of Spectrum-Based Services to Rural Areas and Promoting Opportunities for Rural Telephone Companies To Provide Spectrum-Based Services, WT Docket Nos. 02-381, 01-14, 03-202, </w:t>
      </w:r>
      <w:r>
        <w:rPr>
          <w:i/>
        </w:rPr>
        <w:t>Report and Order and Further Notice of Proposed Rulemaking</w:t>
      </w:r>
      <w:r>
        <w:t xml:space="preserve">, 19 FCC Rcd 19078, 19133-4 ¶¶ 100-01 n.305 (2004).  </w:t>
      </w:r>
      <w:r w:rsidRPr="00BD5380">
        <w:t xml:space="preserve">As discussed below, additional coordination requirements are contained in section 27.1133 of the Commission’s rules.  </w:t>
      </w:r>
      <w:r w:rsidRPr="00BD5380">
        <w:rPr>
          <w:i/>
        </w:rPr>
        <w:t xml:space="preserve">See </w:t>
      </w:r>
      <w:r>
        <w:rPr>
          <w:i/>
        </w:rPr>
        <w:t xml:space="preserve">infra </w:t>
      </w:r>
      <w:r w:rsidRPr="00BD5380">
        <w:t>¶</w:t>
      </w:r>
      <w:r>
        <w:t xml:space="preserve"> </w:t>
      </w:r>
      <w:r>
        <w:fldChar w:fldCharType="begin"/>
      </w:r>
      <w:r>
        <w:instrText xml:space="preserve"> REF _Ref374096057 \r \h </w:instrText>
      </w:r>
      <w:r>
        <w:fldChar w:fldCharType="separate"/>
      </w:r>
      <w:r>
        <w:t>32</w:t>
      </w:r>
      <w:r>
        <w:fldChar w:fldCharType="end"/>
      </w:r>
      <w:r>
        <w:t xml:space="preserve"> (discussing </w:t>
      </w:r>
      <w:r w:rsidRPr="00BD5380">
        <w:t>47 C.F.R. § 27.1133</w:t>
      </w:r>
      <w:r>
        <w:t>)</w:t>
      </w:r>
      <w:r w:rsidRPr="00BD5380">
        <w:t>.</w:t>
      </w:r>
    </w:p>
  </w:footnote>
  <w:footnote w:id="103">
    <w:p w14:paraId="201F5BAF" w14:textId="77777777" w:rsidR="00947526" w:rsidRPr="00BD5380" w:rsidRDefault="00947526">
      <w:pPr>
        <w:pStyle w:val="FootnoteText"/>
      </w:pPr>
      <w:r w:rsidRPr="00BD5380">
        <w:rPr>
          <w:rStyle w:val="FootnoteReference"/>
        </w:rPr>
        <w:footnoteRef/>
      </w:r>
      <w:r w:rsidRPr="00BD5380">
        <w:t xml:space="preserve"> DISH </w:t>
      </w:r>
      <w:r>
        <w:t>Reply</w:t>
      </w:r>
      <w:r w:rsidRPr="00BD5380">
        <w:t xml:space="preserve"> at 16; </w:t>
      </w:r>
      <w:r w:rsidRPr="00BD5380">
        <w:rPr>
          <w:i/>
        </w:rPr>
        <w:t xml:space="preserve">see also </w:t>
      </w:r>
      <w:r w:rsidRPr="00BD5380">
        <w:t>Reply Comments of DISH Network Corporation, GN Docket No. 13-185, WT Docket Nos. 07-195, 04-356, 07-16, 07-30, at 4-5 (</w:t>
      </w:r>
      <w:r>
        <w:t xml:space="preserve">filed </w:t>
      </w:r>
      <w:r w:rsidRPr="00BD5380">
        <w:t>Oct. 17, 2013).</w:t>
      </w:r>
    </w:p>
  </w:footnote>
  <w:footnote w:id="104">
    <w:p w14:paraId="6E0CFE85" w14:textId="77777777" w:rsidR="00947526" w:rsidRDefault="00947526">
      <w:pPr>
        <w:pStyle w:val="FootnoteText"/>
      </w:pPr>
      <w:r w:rsidRPr="00BD5380">
        <w:rPr>
          <w:rStyle w:val="FootnoteReference"/>
        </w:rPr>
        <w:footnoteRef/>
      </w:r>
      <w:r w:rsidRPr="00BD5380">
        <w:t xml:space="preserve"> </w:t>
      </w:r>
      <w:r>
        <w:t xml:space="preserve">In requiring compliance with this requirement, we clarify that AWS-4 licensees need not follow the coordination requirements in section 27.50(d)(3) pertaining to the Broadband Radio Service in the 2155-2160 MHz band because the Lower AWS-4 Band is not proximate to the 2155-2160 MHz Band.  </w:t>
      </w:r>
    </w:p>
    <w:p w14:paraId="038D2C21" w14:textId="77777777" w:rsidR="00947526" w:rsidRPr="00BD5380" w:rsidRDefault="00947526" w:rsidP="0082198C">
      <w:pPr>
        <w:pStyle w:val="FootnoteText"/>
        <w:ind w:firstLine="270"/>
      </w:pPr>
      <w:r>
        <w:t>In addition, we observe that t</w:t>
      </w:r>
      <w:r w:rsidRPr="00BD5380">
        <w:t xml:space="preserve">he 2020-2025 MHz band, which is located between the Lower AWS-4 Band and the 2025-2110 MHz band is currently unassigned and service rules for that band are subject to an on-going proceeding.  </w:t>
      </w:r>
      <w:r w:rsidRPr="00BD5380">
        <w:rPr>
          <w:i/>
        </w:rPr>
        <w:t>See</w:t>
      </w:r>
      <w:r w:rsidRPr="00BD5380">
        <w:t xml:space="preserve"> </w:t>
      </w:r>
      <w:r w:rsidRPr="00BD5380">
        <w:rPr>
          <w:i/>
        </w:rPr>
        <w:t>AWS-3 Notice of Proposed Rulemaking</w:t>
      </w:r>
      <w:r w:rsidRPr="00BD5380">
        <w:t>, 28 FCC Rcd at 11497 ¶</w:t>
      </w:r>
      <w:r w:rsidRPr="00BD5380" w:rsidDel="00242480">
        <w:t xml:space="preserve"> </w:t>
      </w:r>
      <w:r w:rsidRPr="00BD5380">
        <w:t>35.</w:t>
      </w:r>
    </w:p>
  </w:footnote>
  <w:footnote w:id="105">
    <w:p w14:paraId="59E2B28C" w14:textId="6AB01CF0" w:rsidR="00947526" w:rsidRPr="00BD5380" w:rsidRDefault="00947526" w:rsidP="004C1C42">
      <w:pPr>
        <w:pStyle w:val="FootnoteText"/>
      </w:pPr>
      <w:r w:rsidRPr="00BD5380">
        <w:rPr>
          <w:rStyle w:val="FootnoteReference"/>
        </w:rPr>
        <w:footnoteRef/>
      </w:r>
      <w:r w:rsidRPr="00BD5380">
        <w:t xml:space="preserve"> 47 C.F.R. § 27.50(d)(10).  The Commission’s rules also contain similar rules requiring coordination between adjacent AWS-1 block operations in the 2110-2155 band and requiring coordination between adjacent AWS-4 blocks in the 2</w:t>
      </w:r>
      <w:r>
        <w:t>180-2200 MHz band.  47 C.F.R. §</w:t>
      </w:r>
      <w:r w:rsidRPr="00BD5380">
        <w:t xml:space="preserve"> 27.50(d)(3), (8).</w:t>
      </w:r>
    </w:p>
  </w:footnote>
  <w:footnote w:id="106">
    <w:p w14:paraId="68E8866A" w14:textId="77777777" w:rsidR="00947526" w:rsidRPr="00BD5380" w:rsidRDefault="00947526" w:rsidP="004C1C42">
      <w:pPr>
        <w:pStyle w:val="FootnoteText"/>
      </w:pPr>
      <w:r w:rsidRPr="00BD5380">
        <w:rPr>
          <w:rStyle w:val="FootnoteReference"/>
        </w:rPr>
        <w:footnoteRef/>
      </w:r>
      <w:r w:rsidRPr="00BD5380">
        <w:t xml:space="preserve"> </w:t>
      </w:r>
      <w:r w:rsidRPr="00BD5380">
        <w:rPr>
          <w:i/>
        </w:rPr>
        <w:t>H Block Report and Order</w:t>
      </w:r>
      <w:r w:rsidRPr="00BD5380">
        <w:t>, 28 FCC Rcd at 9504-05 ¶ 53.</w:t>
      </w:r>
    </w:p>
  </w:footnote>
  <w:footnote w:id="107">
    <w:p w14:paraId="3B797D61" w14:textId="0D8ED276" w:rsidR="00947526" w:rsidRPr="00163692" w:rsidRDefault="00947526" w:rsidP="004C1C42">
      <w:pPr>
        <w:pStyle w:val="FootnoteText"/>
      </w:pPr>
      <w:r w:rsidRPr="00BD5380">
        <w:rPr>
          <w:rStyle w:val="FootnoteReference"/>
        </w:rPr>
        <w:footnoteRef/>
      </w:r>
      <w:r>
        <w:t xml:space="preserve"> 47 C.F.R. §</w:t>
      </w:r>
      <w:r w:rsidRPr="00BD5380">
        <w:t xml:space="preserve"> 27.53(h)(1), (h)(3).</w:t>
      </w:r>
      <w:r w:rsidRPr="00AB162D">
        <w:rPr>
          <w:snapToGrid w:val="0"/>
        </w:rPr>
        <w:t xml:space="preserve"> </w:t>
      </w:r>
      <w:r>
        <w:rPr>
          <w:snapToGrid w:val="0"/>
        </w:rPr>
        <w:t xml:space="preserve"> </w:t>
      </w:r>
      <w:r w:rsidRPr="003B580B">
        <w:rPr>
          <w:snapToGrid w:val="0"/>
        </w:rPr>
        <w:t xml:space="preserve">In waiving section 27.53(h)(2)(ii), above, and applying the general OOBE limit set forth in section 27.53(h)(1) instead, if downlink is elected, we clarify that we are not requiring DISH to apply the requirements of section 27.53(h)(2)(i) to downlink operations in the Lower AWS-4 Band.  </w:t>
      </w:r>
      <w:r w:rsidRPr="003B580B">
        <w:rPr>
          <w:i/>
          <w:iCs/>
          <w:snapToGrid w:val="0"/>
        </w:rPr>
        <w:t xml:space="preserve">See </w:t>
      </w:r>
      <w:r>
        <w:rPr>
          <w:snapToGrid w:val="0"/>
        </w:rPr>
        <w:t>47 C.F.R. §</w:t>
      </w:r>
      <w:r w:rsidRPr="003B580B">
        <w:rPr>
          <w:snapToGrid w:val="0"/>
        </w:rPr>
        <w:t xml:space="preserve"> 27.53(h)(1)-(2)(ii).  Section 27.53(h)(2)(i) applies specifically to operations </w:t>
      </w:r>
      <w:r>
        <w:rPr>
          <w:snapToGrid w:val="0"/>
        </w:rPr>
        <w:t>in the 2180-2200 MHz band.  47 C.F.R. § 27.53(h)(2)(i).</w:t>
      </w:r>
    </w:p>
  </w:footnote>
  <w:footnote w:id="108">
    <w:p w14:paraId="3ECBC928"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DISH Petition at 11-12.</w:t>
      </w:r>
    </w:p>
  </w:footnote>
  <w:footnote w:id="109">
    <w:p w14:paraId="2AF0D1FC" w14:textId="77777777" w:rsidR="00947526" w:rsidRPr="00BD5380" w:rsidRDefault="00947526" w:rsidP="00DA6C0D">
      <w:pPr>
        <w:pStyle w:val="FootnoteText"/>
        <w:rPr>
          <w:color w:val="000000"/>
          <w:shd w:val="clear" w:color="auto" w:fill="FFFFFF"/>
        </w:rPr>
      </w:pPr>
      <w:r w:rsidRPr="00BD5380">
        <w:rPr>
          <w:rStyle w:val="FootnoteReference"/>
        </w:rPr>
        <w:footnoteRef/>
      </w:r>
      <w:r w:rsidRPr="00BD5380">
        <w:t xml:space="preserve"> 47 C.F.R. § 27.1133 (“</w:t>
      </w:r>
      <w:r w:rsidRPr="00BD5380">
        <w:rPr>
          <w:color w:val="000000"/>
          <w:shd w:val="clear" w:color="auto" w:fill="FFFFFF"/>
        </w:rPr>
        <w:t>AWS operators must protect previously licensed Broadcast Auxiliary Service (BAS) or Cable Television Radio Service (CARS) operations in the adjacent 2025-2110 MHz band.”)</w:t>
      </w:r>
      <w:r w:rsidRPr="00BD5380">
        <w:t xml:space="preserve">  Arguably, this rule would apply to downlink use of </w:t>
      </w:r>
      <w:r>
        <w:t xml:space="preserve">the </w:t>
      </w:r>
      <w:r w:rsidRPr="00BD5380">
        <w:t>Lower AWS-4 Band on its own terms without an additional express determination here.  We need not reach that issue insofar as we affirmatively require the protection and coordination requirements contained therein to apply to downlink use of the Lower AWS-4 Band.</w:t>
      </w:r>
    </w:p>
  </w:footnote>
  <w:footnote w:id="110">
    <w:p w14:paraId="73B46AD7" w14:textId="77777777" w:rsidR="00947526" w:rsidRPr="00BD5380" w:rsidRDefault="00947526">
      <w:pPr>
        <w:pStyle w:val="FootnoteText"/>
      </w:pPr>
      <w:r w:rsidRPr="00BD5380">
        <w:rPr>
          <w:rStyle w:val="FootnoteReference"/>
        </w:rPr>
        <w:footnoteRef/>
      </w:r>
      <w:r w:rsidRPr="00BD5380">
        <w:t xml:space="preserve"> Service Rules for Advanced Wireless Services in the 1.7 GHz and 2.1 GHz Bands, </w:t>
      </w:r>
      <w:r w:rsidRPr="00BD5380">
        <w:rPr>
          <w:i/>
        </w:rPr>
        <w:t>Report and Order</w:t>
      </w:r>
      <w:r w:rsidRPr="00BD5380">
        <w:t xml:space="preserve">, </w:t>
      </w:r>
      <w:r>
        <w:t xml:space="preserve">WT Docket No. 02-353, 18 FCC Rcd </w:t>
      </w:r>
      <w:r w:rsidRPr="00BD5380">
        <w:t>25162</w:t>
      </w:r>
      <w:r>
        <w:t>,</w:t>
      </w:r>
      <w:r w:rsidRPr="00BD5380">
        <w:t xml:space="preserve"> 25211-12 ¶¶</w:t>
      </w:r>
      <w:r>
        <w:t xml:space="preserve"> </w:t>
      </w:r>
      <w:r w:rsidRPr="00BD5380">
        <w:t>129-30 (2003).</w:t>
      </w:r>
    </w:p>
  </w:footnote>
  <w:footnote w:id="111">
    <w:p w14:paraId="6B73A015" w14:textId="77777777" w:rsidR="00947526" w:rsidRPr="00BD5380" w:rsidRDefault="00947526" w:rsidP="006E2B6C">
      <w:pPr>
        <w:pStyle w:val="FootnoteText"/>
      </w:pPr>
      <w:r w:rsidRPr="00BD5380">
        <w:rPr>
          <w:rStyle w:val="FootnoteReference"/>
        </w:rPr>
        <w:footnoteRef/>
      </w:r>
      <w:r w:rsidRPr="00BD5380">
        <w:t xml:space="preserve"> In applying these requirements to downlink use of the Lower AWS-4 Band, we acknowledge that such requirements will not apply should DISH</w:t>
      </w:r>
      <w:r>
        <w:t xml:space="preserve"> elect</w:t>
      </w:r>
      <w:r w:rsidRPr="00BD5380">
        <w:t xml:space="preserve"> not to use the Lower AWS-4 Band for downlink use.</w:t>
      </w:r>
    </w:p>
  </w:footnote>
  <w:footnote w:id="112">
    <w:p w14:paraId="4DD127B6" w14:textId="77777777" w:rsidR="00947526" w:rsidRPr="00BD5380" w:rsidRDefault="00947526" w:rsidP="001E28DA">
      <w:pPr>
        <w:pStyle w:val="FootnoteText"/>
      </w:pPr>
      <w:r w:rsidRPr="00BD5380">
        <w:rPr>
          <w:rStyle w:val="FootnoteReference"/>
        </w:rPr>
        <w:footnoteRef/>
      </w:r>
      <w:r w:rsidRPr="00BD5380">
        <w:t xml:space="preserve"> Sprint </w:t>
      </w:r>
      <w:r>
        <w:t>Reply</w:t>
      </w:r>
      <w:r w:rsidRPr="00BD5380">
        <w:t xml:space="preserve"> at 8.</w:t>
      </w:r>
    </w:p>
  </w:footnote>
  <w:footnote w:id="113">
    <w:p w14:paraId="6BED421D" w14:textId="77777777" w:rsidR="00947526" w:rsidRPr="00BD5380" w:rsidRDefault="00947526" w:rsidP="001E28DA">
      <w:pPr>
        <w:pStyle w:val="FootnoteText"/>
      </w:pPr>
      <w:r w:rsidRPr="00BD5380">
        <w:rPr>
          <w:rStyle w:val="FootnoteReference"/>
        </w:rPr>
        <w:footnoteRef/>
      </w:r>
      <w:r w:rsidRPr="00BD5380">
        <w:t xml:space="preserve"> Sprint Comments at 8.</w:t>
      </w:r>
    </w:p>
  </w:footnote>
  <w:footnote w:id="114">
    <w:p w14:paraId="080E39F1" w14:textId="5060A249" w:rsidR="00947526" w:rsidRPr="00BD5380" w:rsidRDefault="00947526" w:rsidP="001E28DA">
      <w:pPr>
        <w:pStyle w:val="FootnoteText"/>
      </w:pPr>
      <w:r w:rsidRPr="00BD5380">
        <w:rPr>
          <w:rStyle w:val="FootnoteReference"/>
        </w:rPr>
        <w:footnoteRef/>
      </w:r>
      <w:r>
        <w:t xml:space="preserve"> </w:t>
      </w:r>
      <w:r>
        <w:rPr>
          <w:i/>
        </w:rPr>
        <w:t>Id.</w:t>
      </w:r>
      <w:r w:rsidRPr="00BD5380">
        <w:t xml:space="preserve"> at 8.</w:t>
      </w:r>
    </w:p>
  </w:footnote>
  <w:footnote w:id="115">
    <w:p w14:paraId="24D17924" w14:textId="77777777" w:rsidR="00947526" w:rsidRPr="00BD5380" w:rsidRDefault="00947526" w:rsidP="001E28DA">
      <w:pPr>
        <w:pStyle w:val="FootnoteText"/>
      </w:pPr>
      <w:r w:rsidRPr="00BD5380">
        <w:rPr>
          <w:rStyle w:val="FootnoteReference"/>
        </w:rPr>
        <w:footnoteRef/>
      </w:r>
      <w:r w:rsidRPr="00BD5380">
        <w:t xml:space="preserve"> DISH Petition at 14.</w:t>
      </w:r>
    </w:p>
  </w:footnote>
  <w:footnote w:id="116">
    <w:p w14:paraId="13212276" w14:textId="3B06CFC2" w:rsidR="00947526" w:rsidRPr="00BD5380" w:rsidRDefault="00947526" w:rsidP="001E28DA">
      <w:pPr>
        <w:pStyle w:val="FootnoteText"/>
      </w:pPr>
      <w:r w:rsidRPr="00BD5380">
        <w:rPr>
          <w:rStyle w:val="FootnoteReference"/>
        </w:rPr>
        <w:footnoteRef/>
      </w:r>
      <w:r w:rsidRPr="00BD5380">
        <w:t xml:space="preserve"> </w:t>
      </w:r>
      <w:r w:rsidRPr="00BD5380">
        <w:rPr>
          <w:i/>
        </w:rPr>
        <w:t>H Block Report and Order</w:t>
      </w:r>
      <w:r w:rsidRPr="00BD5380">
        <w:t xml:space="preserve">, 28 FCC Rcd at </w:t>
      </w:r>
      <w:r>
        <w:t xml:space="preserve">9513 </w:t>
      </w:r>
      <w:r w:rsidRPr="00BD5380">
        <w:t>¶</w:t>
      </w:r>
      <w:r>
        <w:t xml:space="preserve"> 73 (adopting an OOBE limit of 70 + 10 log</w:t>
      </w:r>
      <w:r w:rsidRPr="00830128">
        <w:rPr>
          <w:vertAlign w:val="subscript"/>
        </w:rPr>
        <w:t>10</w:t>
      </w:r>
      <w:r>
        <w:t xml:space="preserve">(P) dB into 2005-2020 MHz); </w:t>
      </w:r>
      <w:r>
        <w:rPr>
          <w:i/>
        </w:rPr>
        <w:t>see generally</w:t>
      </w:r>
      <w:r w:rsidRPr="0087787C">
        <w:rPr>
          <w:i/>
        </w:rPr>
        <w:t xml:space="preserve"> </w:t>
      </w:r>
      <w:r w:rsidRPr="00BD5380">
        <w:rPr>
          <w:i/>
        </w:rPr>
        <w:t>H Block Report and Order</w:t>
      </w:r>
      <w:r w:rsidRPr="00BD5380">
        <w:t>, 28 FCC Rcd at</w:t>
      </w:r>
      <w:r>
        <w:t xml:space="preserve"> 9503-9516 ¶¶ 49-80;</w:t>
      </w:r>
      <w:r>
        <w:rPr>
          <w:i/>
        </w:rPr>
        <w:t xml:space="preserve"> </w:t>
      </w:r>
      <w:r w:rsidRPr="00BD5380">
        <w:t>Sprint Comments at</w:t>
      </w:r>
      <w:r>
        <w:t> </w:t>
      </w:r>
      <w:r w:rsidRPr="00BD5380">
        <w:t>8</w:t>
      </w:r>
      <w:r>
        <w:t xml:space="preserve">. </w:t>
      </w:r>
    </w:p>
  </w:footnote>
  <w:footnote w:id="117">
    <w:p w14:paraId="7933CE2C" w14:textId="77777777" w:rsidR="00947526" w:rsidRPr="00BD5380" w:rsidRDefault="00947526" w:rsidP="001E28DA">
      <w:pPr>
        <w:pStyle w:val="FootnoteText"/>
      </w:pPr>
      <w:r w:rsidRPr="00BD5380">
        <w:rPr>
          <w:rStyle w:val="FootnoteReference"/>
        </w:rPr>
        <w:footnoteRef/>
      </w:r>
      <w:r w:rsidRPr="00BD5380">
        <w:t xml:space="preserve"> DISH Petition at 14.</w:t>
      </w:r>
    </w:p>
  </w:footnote>
  <w:footnote w:id="118">
    <w:p w14:paraId="53796EDC" w14:textId="4DE9FA37" w:rsidR="00947526" w:rsidRPr="00BD5380" w:rsidRDefault="00947526" w:rsidP="007F7053">
      <w:pPr>
        <w:pStyle w:val="FootnoteText"/>
      </w:pPr>
      <w:r w:rsidRPr="00BD5380">
        <w:rPr>
          <w:rStyle w:val="FootnoteReference"/>
        </w:rPr>
        <w:footnoteRef/>
      </w:r>
      <w:r>
        <w:t xml:space="preserve"> </w:t>
      </w:r>
      <w:r>
        <w:rPr>
          <w:i/>
        </w:rPr>
        <w:t>Id.</w:t>
      </w:r>
      <w:r w:rsidRPr="00BD5380">
        <w:t xml:space="preserve"> at 1-2.</w:t>
      </w:r>
    </w:p>
  </w:footnote>
  <w:footnote w:id="119">
    <w:p w14:paraId="749ED7F1" w14:textId="77777777" w:rsidR="00947526" w:rsidRPr="00BD5380" w:rsidRDefault="00947526" w:rsidP="007F7053">
      <w:pPr>
        <w:pStyle w:val="FootnoteText"/>
      </w:pPr>
      <w:r w:rsidRPr="00BD5380">
        <w:rPr>
          <w:rStyle w:val="FootnoteReference"/>
        </w:rPr>
        <w:footnoteRef/>
      </w:r>
      <w:r w:rsidRPr="00BD5380">
        <w:t xml:space="preserve"> DISH </w:t>
      </w:r>
      <w:r>
        <w:t>Reply</w:t>
      </w:r>
      <w:r w:rsidRPr="00BD5380">
        <w:t xml:space="preserve"> at 4-5 n.14.</w:t>
      </w:r>
    </w:p>
  </w:footnote>
  <w:footnote w:id="120">
    <w:p w14:paraId="0CCF3995"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 xml:space="preserve">DISH Petition at 4; DISH </w:t>
      </w:r>
      <w:r>
        <w:t>Reply</w:t>
      </w:r>
      <w:r w:rsidRPr="00BD5380">
        <w:t xml:space="preserve"> at 4 n.14.</w:t>
      </w:r>
    </w:p>
  </w:footnote>
  <w:footnote w:id="121">
    <w:p w14:paraId="04E0B484" w14:textId="77777777" w:rsidR="00947526" w:rsidRPr="00BD5380" w:rsidRDefault="00947526" w:rsidP="00AD431F">
      <w:pPr>
        <w:pStyle w:val="FootnoteText"/>
      </w:pPr>
      <w:r w:rsidRPr="00BD5380">
        <w:rPr>
          <w:rStyle w:val="FootnoteReference"/>
        </w:rPr>
        <w:footnoteRef/>
      </w:r>
      <w:r w:rsidRPr="00BD5380">
        <w:t xml:space="preserve"> The H-Block auction is scheduled to begin on January 22, 2014.  Auction of H Block Licenses in the 1915-1920 MHz and 1995-2000 MHz Bands Rescheduled for January 22, 2014, AU Docket No. 13-178, </w:t>
      </w:r>
      <w:r w:rsidRPr="00BD5380">
        <w:rPr>
          <w:i/>
        </w:rPr>
        <w:t>Public Notice</w:t>
      </w:r>
      <w:r w:rsidRPr="00BD5380">
        <w:t>, DA 13-2033</w:t>
      </w:r>
      <w:r w:rsidRPr="00BD5380">
        <w:rPr>
          <w:color w:val="000000"/>
          <w:shd w:val="clear" w:color="auto" w:fill="FFFFFF"/>
        </w:rPr>
        <w:t xml:space="preserve"> (Oct. 21, 2013)</w:t>
      </w:r>
      <w:r w:rsidRPr="00BD5380">
        <w:t>.</w:t>
      </w:r>
    </w:p>
  </w:footnote>
  <w:footnote w:id="122">
    <w:p w14:paraId="3B79E5F3" w14:textId="77777777" w:rsidR="00947526" w:rsidRPr="00BD5380" w:rsidRDefault="00947526" w:rsidP="00AD431F">
      <w:pPr>
        <w:pStyle w:val="FootnoteText"/>
      </w:pPr>
      <w:r w:rsidRPr="00BD5380">
        <w:rPr>
          <w:rStyle w:val="FootnoteReference"/>
        </w:rPr>
        <w:footnoteRef/>
      </w:r>
      <w:r w:rsidRPr="00BD5380">
        <w:t xml:space="preserve"> NTCH Comments at 4-5.</w:t>
      </w:r>
    </w:p>
  </w:footnote>
  <w:footnote w:id="123">
    <w:p w14:paraId="4E776562" w14:textId="77777777" w:rsidR="00947526" w:rsidRPr="00BD5380" w:rsidRDefault="00947526" w:rsidP="007F7053">
      <w:pPr>
        <w:pStyle w:val="FootnoteText"/>
      </w:pPr>
      <w:r w:rsidRPr="00BD5380">
        <w:rPr>
          <w:rStyle w:val="FootnoteReference"/>
        </w:rPr>
        <w:footnoteRef/>
      </w:r>
      <w:r w:rsidRPr="00BD5380">
        <w:t xml:space="preserve"> That is, neither option would subject the Upper H Block to more stringent technical requirements than now apply, and neither would adversely affect the interests of potential bidders in the H-Block auction.</w:t>
      </w:r>
    </w:p>
  </w:footnote>
  <w:footnote w:id="124">
    <w:p w14:paraId="55792CBA" w14:textId="77777777" w:rsidR="00947526" w:rsidRPr="00BD5380" w:rsidRDefault="00947526" w:rsidP="007F7053">
      <w:pPr>
        <w:pStyle w:val="FootnoteText"/>
      </w:pPr>
      <w:r w:rsidRPr="00BD5380">
        <w:rPr>
          <w:rStyle w:val="FootnoteReference"/>
        </w:rPr>
        <w:footnoteRef/>
      </w:r>
      <w:r w:rsidRPr="00BD5380">
        <w:t xml:space="preserve"> </w:t>
      </w:r>
      <w:r w:rsidRPr="00BD5380">
        <w:rPr>
          <w:i/>
        </w:rPr>
        <w:t xml:space="preserve">See </w:t>
      </w:r>
      <w:r w:rsidRPr="00BD5380">
        <w:t xml:space="preserve">DISH </w:t>
      </w:r>
      <w:r>
        <w:t>Reply</w:t>
      </w:r>
      <w:r w:rsidRPr="00BD5380">
        <w:t xml:space="preserve"> at 4; </w:t>
      </w:r>
      <w:r w:rsidRPr="00BD5380">
        <w:rPr>
          <w:i/>
        </w:rPr>
        <w:t xml:space="preserve">see also </w:t>
      </w:r>
      <w:r w:rsidRPr="00BD5380">
        <w:t>NTCH Comments at 4.</w:t>
      </w:r>
    </w:p>
  </w:footnote>
  <w:footnote w:id="125">
    <w:p w14:paraId="24B5CA64" w14:textId="38091494" w:rsidR="00947526" w:rsidRPr="002C52D7" w:rsidRDefault="00947526" w:rsidP="00DC050F">
      <w:pPr>
        <w:pStyle w:val="FootnoteText"/>
        <w:rPr>
          <w:i/>
          <w:color w:val="000000"/>
          <w:shd w:val="clear" w:color="auto" w:fill="FFFFFF"/>
        </w:rPr>
      </w:pPr>
      <w:r w:rsidRPr="00BD5380">
        <w:rPr>
          <w:rStyle w:val="FootnoteReference"/>
        </w:rPr>
        <w:footnoteRef/>
      </w:r>
      <w:r w:rsidRPr="00BD5380">
        <w:t xml:space="preserve"> </w:t>
      </w:r>
      <w:r w:rsidRPr="00BD5380">
        <w:rPr>
          <w:i/>
          <w:color w:val="000000"/>
          <w:shd w:val="clear" w:color="auto" w:fill="FFFFFF"/>
        </w:rPr>
        <w:t xml:space="preserve">See </w:t>
      </w:r>
      <w:r>
        <w:rPr>
          <w:i/>
          <w:snapToGrid w:val="0"/>
          <w:color w:val="000000"/>
          <w:shd w:val="clear" w:color="auto" w:fill="FFFFFF"/>
        </w:rPr>
        <w:t>Auction 96 Procedures PN Recon Order</w:t>
      </w:r>
      <w:r>
        <w:rPr>
          <w:snapToGrid w:val="0"/>
          <w:color w:val="000000"/>
          <w:shd w:val="clear" w:color="auto" w:fill="FFFFFF"/>
        </w:rPr>
        <w:t xml:space="preserve"> at </w:t>
      </w:r>
      <w:r w:rsidRPr="00BD5380">
        <w:rPr>
          <w:snapToGrid w:val="0"/>
          <w:color w:val="000000"/>
          <w:shd w:val="clear" w:color="auto" w:fill="FFFFFF"/>
        </w:rPr>
        <w:t>¶</w:t>
      </w:r>
      <w:r>
        <w:rPr>
          <w:snapToGrid w:val="0"/>
          <w:color w:val="000000"/>
          <w:shd w:val="clear" w:color="auto" w:fill="FFFFFF"/>
        </w:rPr>
        <w:t xml:space="preserve"> 19 </w:t>
      </w:r>
      <w:r w:rsidRPr="00BD5380">
        <w:rPr>
          <w:color w:val="000000"/>
          <w:shd w:val="clear" w:color="auto" w:fill="FFFFFF"/>
        </w:rPr>
        <w:t xml:space="preserve">(“Auction 96 applicants can assess the impact of existing rules and the possible impact, if any, of the technical changes proposed by DISH.  Prior to an auction, we consistently advise bidders that they are solely responsible for conducting due diligence . . . upon a license being offered at auction, including pending matters.  Thus, we urge bidders to consider any pending challenges or waiver requests in determining whether and how much to bid on licenses at auction.”) (internal citation omitted); </w:t>
      </w:r>
      <w:r w:rsidRPr="00BD5380">
        <w:rPr>
          <w:i/>
          <w:color w:val="000000"/>
          <w:shd w:val="clear" w:color="auto" w:fill="FFFFFF"/>
        </w:rPr>
        <w:t>see also</w:t>
      </w:r>
      <w:r w:rsidRPr="00BD5380">
        <w:rPr>
          <w:color w:val="000000"/>
          <w:shd w:val="clear" w:color="auto" w:fill="FFFFFF"/>
        </w:rPr>
        <w:t xml:space="preserve"> </w:t>
      </w:r>
      <w:r w:rsidRPr="00BD5380">
        <w:rPr>
          <w:i/>
        </w:rPr>
        <w:t>Auction 96 Procedures PN</w:t>
      </w:r>
      <w:r w:rsidRPr="00BD5380">
        <w:t>, 28 FCC Rcd at 13033-34</w:t>
      </w:r>
      <w:r>
        <w:t xml:space="preserve"> </w:t>
      </w:r>
      <w:r w:rsidRPr="00BD5380">
        <w:t>¶¶</w:t>
      </w:r>
      <w:r>
        <w:t xml:space="preserve"> </w:t>
      </w:r>
      <w:r w:rsidRPr="00BD5380">
        <w:t xml:space="preserve">41-45; </w:t>
      </w:r>
      <w:r>
        <w:rPr>
          <w:i/>
        </w:rPr>
        <w:t>Auction 96 Comment PN</w:t>
      </w:r>
      <w:r>
        <w:t>, 28 FCC Rcd at</w:t>
      </w:r>
      <w:r w:rsidRPr="00BD5380">
        <w:t xml:space="preserve"> 10016-</w:t>
      </w:r>
      <w:r>
        <w:t>17</w:t>
      </w:r>
      <w:r w:rsidRPr="00BD5380">
        <w:rPr>
          <w:i/>
        </w:rPr>
        <w:t xml:space="preserve"> </w:t>
      </w:r>
      <w:r w:rsidRPr="00BD5380">
        <w:t>¶¶</w:t>
      </w:r>
      <w:r>
        <w:t xml:space="preserve"> </w:t>
      </w:r>
      <w:r w:rsidRPr="00BD5380">
        <w:t>11-14 (rel. July 16, 2013).</w:t>
      </w:r>
      <w:r w:rsidRPr="00BD5380">
        <w:rPr>
          <w:color w:val="000000"/>
          <w:shd w:val="clear" w:color="auto" w:fill="FFFFFF"/>
        </w:rPr>
        <w:t xml:space="preserve">  </w:t>
      </w:r>
    </w:p>
  </w:footnote>
  <w:footnote w:id="126">
    <w:p w14:paraId="6D222A9A" w14:textId="2851E4EF" w:rsidR="00947526" w:rsidRPr="00CC2E06" w:rsidRDefault="00947526">
      <w:pPr>
        <w:pStyle w:val="FootnoteText"/>
      </w:pPr>
      <w:r>
        <w:rPr>
          <w:rStyle w:val="FootnoteReference"/>
        </w:rPr>
        <w:footnoteRef/>
      </w:r>
      <w:r>
        <w:t xml:space="preserve"> </w:t>
      </w:r>
      <w:r>
        <w:rPr>
          <w:i/>
        </w:rPr>
        <w:t xml:space="preserve">See infra </w:t>
      </w:r>
      <w:r w:rsidRPr="00B70CCA">
        <w:t xml:space="preserve">Section </w:t>
      </w:r>
      <w:r>
        <w:t>III.E. (Waiver Conditions).</w:t>
      </w:r>
    </w:p>
  </w:footnote>
  <w:footnote w:id="127">
    <w:p w14:paraId="52C952B3" w14:textId="77777777" w:rsidR="00947526" w:rsidRDefault="00947526">
      <w:pPr>
        <w:pStyle w:val="FootnoteText"/>
      </w:pPr>
      <w:r>
        <w:rPr>
          <w:rStyle w:val="FootnoteReference"/>
        </w:rPr>
        <w:footnoteRef/>
      </w:r>
      <w:r>
        <w:t xml:space="preserve"> DISH Reply at 5.</w:t>
      </w:r>
    </w:p>
  </w:footnote>
  <w:footnote w:id="128">
    <w:p w14:paraId="10768781" w14:textId="77777777" w:rsidR="00947526" w:rsidRPr="00BD5380" w:rsidRDefault="00947526" w:rsidP="00034158">
      <w:pPr>
        <w:pStyle w:val="FootnoteText"/>
      </w:pPr>
      <w:r w:rsidRPr="00BD5380">
        <w:rPr>
          <w:rStyle w:val="FootnoteReference"/>
        </w:rPr>
        <w:footnoteRef/>
      </w:r>
      <w:r w:rsidRPr="00BD5380">
        <w:t xml:space="preserve"> DISH Petition at 16-19.  </w:t>
      </w:r>
    </w:p>
  </w:footnote>
  <w:footnote w:id="129">
    <w:p w14:paraId="2E39179D" w14:textId="1F854156" w:rsidR="00947526" w:rsidRPr="00BD5380" w:rsidRDefault="00947526" w:rsidP="00034158">
      <w:pPr>
        <w:pStyle w:val="ParaNum"/>
        <w:numPr>
          <w:ilvl w:val="0"/>
          <w:numId w:val="0"/>
        </w:numPr>
        <w:rPr>
          <w:sz w:val="20"/>
        </w:rPr>
      </w:pPr>
      <w:r w:rsidRPr="00BD5380">
        <w:rPr>
          <w:rStyle w:val="FootnoteReference"/>
        </w:rPr>
        <w:footnoteRef/>
      </w:r>
      <w:r w:rsidRPr="00BD5380">
        <w:rPr>
          <w:sz w:val="20"/>
        </w:rPr>
        <w:t xml:space="preserve"> </w:t>
      </w:r>
      <w:r w:rsidRPr="00BD5380">
        <w:rPr>
          <w:i/>
          <w:sz w:val="20"/>
        </w:rPr>
        <w:t xml:space="preserve">See </w:t>
      </w:r>
      <w:r w:rsidRPr="00BD5380">
        <w:rPr>
          <w:sz w:val="20"/>
        </w:rPr>
        <w:t>47 C.F.R. § 27.14(q)(1) (“An AWS-4 licensee shall provide terrestrial signal coverage and offer terrestrial service within four (4) years from the date of the license to at least forty (40) percent of the total population in the aggregate service areas that it has licensed in the 2000-2020 MHz and 2180-2200 MHz bands (“AWS-4 Interim Build out Requirement</w:t>
      </w:r>
      <w:r>
        <w:rPr>
          <w:sz w:val="20"/>
        </w:rPr>
        <w:t>.</w:t>
      </w:r>
      <w:r w:rsidRPr="00BD5380">
        <w:rPr>
          <w:sz w:val="20"/>
        </w:rPr>
        <w:t>”)).</w:t>
      </w:r>
    </w:p>
  </w:footnote>
  <w:footnote w:id="130">
    <w:p w14:paraId="5F4B9AE7" w14:textId="3171006D" w:rsidR="00947526" w:rsidRPr="00BD5380" w:rsidRDefault="00947526" w:rsidP="00034158">
      <w:pPr>
        <w:pStyle w:val="FootnoteText"/>
      </w:pPr>
      <w:r w:rsidRPr="00BD5380">
        <w:rPr>
          <w:rStyle w:val="FootnoteReference"/>
        </w:rPr>
        <w:footnoteRef/>
      </w:r>
      <w:r w:rsidRPr="00BD5380">
        <w:t xml:space="preserve"> </w:t>
      </w:r>
      <w:r w:rsidRPr="00BD5380">
        <w:rPr>
          <w:i/>
        </w:rPr>
        <w:t xml:space="preserve">See </w:t>
      </w:r>
      <w:r w:rsidRPr="00BD5380">
        <w:t xml:space="preserve">47 C.F.R. § 27.14(q)(2) (“An AWS-4 licensee shall provide terrestrial signal coverage and offer terrestrial service within </w:t>
      </w:r>
      <w:r w:rsidRPr="00BD5380">
        <w:rPr>
          <w:color w:val="000000"/>
        </w:rPr>
        <w:t>seven (7)</w:t>
      </w:r>
      <w:r w:rsidRPr="00BD5380">
        <w:t xml:space="preserve"> years from the date of the license to at least to at least seventy (70) percent of the population in each of its license areas in the 2000-2020 MHz and 2180-2200 MHz bands (“AWS-4 Final Build out Requirement</w:t>
      </w:r>
      <w:r>
        <w:t>.”)).</w:t>
      </w:r>
    </w:p>
  </w:footnote>
  <w:footnote w:id="131">
    <w:p w14:paraId="72828AF3" w14:textId="77777777" w:rsidR="00947526" w:rsidRPr="00BD5380" w:rsidRDefault="00947526" w:rsidP="00034158">
      <w:pPr>
        <w:pStyle w:val="FootnoteText"/>
      </w:pPr>
      <w:r w:rsidRPr="00BD5380">
        <w:rPr>
          <w:rStyle w:val="FootnoteReference"/>
        </w:rPr>
        <w:footnoteRef/>
      </w:r>
      <w:r w:rsidRPr="00BD5380">
        <w:t xml:space="preserve"> DISH Petition at 5.</w:t>
      </w:r>
    </w:p>
  </w:footnote>
  <w:footnote w:id="132">
    <w:p w14:paraId="15196FDC" w14:textId="5A27E0A4" w:rsidR="00947526" w:rsidRPr="00BD5380" w:rsidRDefault="00947526" w:rsidP="00034158">
      <w:pPr>
        <w:pStyle w:val="FootnoteText"/>
      </w:pPr>
      <w:r w:rsidRPr="00BD5380">
        <w:rPr>
          <w:rStyle w:val="FootnoteReference"/>
        </w:rPr>
        <w:footnoteRef/>
      </w:r>
      <w:r>
        <w:t xml:space="preserve"> </w:t>
      </w:r>
      <w:r>
        <w:rPr>
          <w:i/>
        </w:rPr>
        <w:t>Id.</w:t>
      </w:r>
      <w:r w:rsidRPr="00BD5380">
        <w:t xml:space="preserve"> at 17 (“The potential conversion of the 2000-2020 MHz spectrum to downlink use presents a number of technical challenges.  Among other things, DISH will need to initiate work for a new standard from the 3rd Genera</w:t>
      </w:r>
      <w:r>
        <w:t>tion Partnership Project (“3GPP”</w:t>
      </w:r>
      <w:r w:rsidRPr="00BD5380">
        <w:t>) and will need to restart work to design devices and base stations, and make substantial changes to its network planning.”).</w:t>
      </w:r>
    </w:p>
  </w:footnote>
  <w:footnote w:id="133">
    <w:p w14:paraId="0BE50DD6" w14:textId="77777777" w:rsidR="00947526" w:rsidRPr="00BD5380" w:rsidRDefault="00947526" w:rsidP="00034158">
      <w:pPr>
        <w:pStyle w:val="FootnoteText"/>
      </w:pPr>
      <w:r w:rsidRPr="00BD5380">
        <w:rPr>
          <w:rStyle w:val="FootnoteReference"/>
        </w:rPr>
        <w:footnoteRef/>
      </w:r>
      <w:r w:rsidRPr="00BD5380">
        <w:t xml:space="preserve"> DISH Petition at 18 (citing Improving Public Safety Communications in the 800 MHz Band, WT Docket No. 02-55, ET Docket No. 00-258, ET Docket No. 95-18, </w:t>
      </w:r>
      <w:r w:rsidRPr="00BD5380">
        <w:rPr>
          <w:i/>
        </w:rPr>
        <w:t>Report and Order, Fifth Report and Order, Fourth Memorandum Opinion and Order, and Order</w:t>
      </w:r>
      <w:r w:rsidRPr="00BD5380">
        <w:t xml:space="preserve">, 19 FCC Red. 14969 ¶ 205 (2004); Amendment of Part 27 of the Commission's Rules to Govern the Operation of Wireless Communications Services in the 2.3 GHz Band, WT Docket No. 07-293, IB Docket No. 95-91, </w:t>
      </w:r>
      <w:r w:rsidRPr="00BD5380">
        <w:rPr>
          <w:i/>
        </w:rPr>
        <w:t>Order on Reconsideration</w:t>
      </w:r>
      <w:r w:rsidRPr="00BD5380">
        <w:t>, 27 FCC Red. 13651, 13700 ¶ 121 (2012)).</w:t>
      </w:r>
    </w:p>
  </w:footnote>
  <w:footnote w:id="134">
    <w:p w14:paraId="6D508615" w14:textId="77777777" w:rsidR="00947526" w:rsidRPr="00BD5380" w:rsidRDefault="00947526" w:rsidP="00034158">
      <w:pPr>
        <w:pStyle w:val="FootnoteText"/>
      </w:pPr>
      <w:r w:rsidRPr="00BD5380">
        <w:rPr>
          <w:rStyle w:val="FootnoteReference"/>
        </w:rPr>
        <w:footnoteRef/>
      </w:r>
      <w:r w:rsidRPr="00BD5380">
        <w:t xml:space="preserve"> DISH Petition at 19.</w:t>
      </w:r>
    </w:p>
  </w:footnote>
  <w:footnote w:id="135">
    <w:p w14:paraId="4534CE70" w14:textId="2F6CD4F9" w:rsidR="00947526" w:rsidRPr="00BD5380" w:rsidRDefault="00947526" w:rsidP="00034158">
      <w:pPr>
        <w:pStyle w:val="FootnoteText"/>
      </w:pPr>
      <w:r w:rsidRPr="00BD5380">
        <w:rPr>
          <w:rStyle w:val="FootnoteReference"/>
        </w:rPr>
        <w:footnoteRef/>
      </w:r>
      <w:r>
        <w:t xml:space="preserve"> </w:t>
      </w:r>
      <w:r>
        <w:rPr>
          <w:i/>
        </w:rPr>
        <w:t>Id.</w:t>
      </w:r>
      <w:r w:rsidRPr="00BD5380">
        <w:t xml:space="preserve"> at 5.</w:t>
      </w:r>
    </w:p>
  </w:footnote>
  <w:footnote w:id="136">
    <w:p w14:paraId="15E06D71" w14:textId="77777777" w:rsidR="00947526" w:rsidRPr="00BD5380" w:rsidRDefault="00947526" w:rsidP="00034158">
      <w:pPr>
        <w:pStyle w:val="FootnoteText"/>
      </w:pPr>
      <w:r w:rsidRPr="00BD5380">
        <w:rPr>
          <w:rStyle w:val="FootnoteReference"/>
        </w:rPr>
        <w:footnoteRef/>
      </w:r>
      <w:r w:rsidRPr="00BD5380">
        <w:t xml:space="preserve"> </w:t>
      </w:r>
      <w:r w:rsidRPr="00BD5380">
        <w:rPr>
          <w:i/>
        </w:rPr>
        <w:t>AWS-4 Report and Order</w:t>
      </w:r>
      <w:r w:rsidRPr="00BD5380">
        <w:t>, 27 FCC Rcd at 16173-74 ¶ 187.</w:t>
      </w:r>
    </w:p>
  </w:footnote>
  <w:footnote w:id="137">
    <w:p w14:paraId="5DD337DB" w14:textId="77777777" w:rsidR="00947526" w:rsidRPr="00BD5380" w:rsidRDefault="00947526" w:rsidP="00034158">
      <w:pPr>
        <w:pStyle w:val="FootnoteText"/>
      </w:pPr>
      <w:r w:rsidRPr="00BD5380">
        <w:rPr>
          <w:rStyle w:val="FootnoteReference"/>
        </w:rPr>
        <w:footnoteRef/>
      </w:r>
      <w:r w:rsidRPr="00BD5380">
        <w:t xml:space="preserve"> NTCH Comments at 1, 5.</w:t>
      </w:r>
    </w:p>
  </w:footnote>
  <w:footnote w:id="138">
    <w:p w14:paraId="0B12A20E" w14:textId="77777777" w:rsidR="00947526" w:rsidRPr="00BD5380" w:rsidRDefault="00947526" w:rsidP="00034158">
      <w:pPr>
        <w:pStyle w:val="FootnoteText"/>
      </w:pPr>
      <w:r w:rsidRPr="00BD5380">
        <w:rPr>
          <w:rStyle w:val="FootnoteReference"/>
        </w:rPr>
        <w:footnoteRef/>
      </w:r>
      <w:r w:rsidRPr="00BD5380">
        <w:t xml:space="preserve"> DISH Petition at 17.</w:t>
      </w:r>
    </w:p>
  </w:footnote>
  <w:footnote w:id="139">
    <w:p w14:paraId="64DFB03A" w14:textId="77777777" w:rsidR="00947526" w:rsidRPr="00BD5380" w:rsidRDefault="00947526" w:rsidP="00034158">
      <w:pPr>
        <w:pStyle w:val="FootnoteText"/>
      </w:pPr>
      <w:r w:rsidRPr="00BD5380">
        <w:rPr>
          <w:rStyle w:val="FootnoteReference"/>
        </w:rPr>
        <w:footnoteRef/>
      </w:r>
      <w:r w:rsidRPr="00BD5380">
        <w:t xml:space="preserve"> </w:t>
      </w:r>
      <w:r w:rsidRPr="00BD5380">
        <w:rPr>
          <w:i/>
        </w:rPr>
        <w:t>AWS-4 Report and Order</w:t>
      </w:r>
      <w:r w:rsidRPr="00BD5380">
        <w:t>, 27 FCC Rcd at 16176 ¶ 194 (quoting DISH AWS-4 Comments at 18).</w:t>
      </w:r>
    </w:p>
  </w:footnote>
  <w:footnote w:id="140">
    <w:p w14:paraId="7478834C" w14:textId="77777777" w:rsidR="00947526" w:rsidRPr="00BD5380" w:rsidRDefault="00947526" w:rsidP="00034158">
      <w:pPr>
        <w:pStyle w:val="FootnoteText"/>
      </w:pPr>
      <w:r w:rsidRPr="00BD5380">
        <w:rPr>
          <w:rStyle w:val="FootnoteReference"/>
        </w:rPr>
        <w:footnoteRef/>
      </w:r>
      <w:r w:rsidRPr="00BD5380">
        <w:t xml:space="preserve"> </w:t>
      </w:r>
      <w:r w:rsidRPr="00BD5380">
        <w:rPr>
          <w:i/>
        </w:rPr>
        <w:t>See</w:t>
      </w:r>
      <w:r w:rsidRPr="00BD5380">
        <w:t xml:space="preserve">, </w:t>
      </w:r>
      <w:r w:rsidRPr="00BD5380">
        <w:rPr>
          <w:i/>
        </w:rPr>
        <w:t>e.g.</w:t>
      </w:r>
      <w:r w:rsidRPr="00BD5380">
        <w:t xml:space="preserve">, FiberTower Spectrum Holdings, LLC, </w:t>
      </w:r>
      <w:r w:rsidRPr="00BD5380">
        <w:rPr>
          <w:i/>
        </w:rPr>
        <w:t>Memorandum Opinion and Order</w:t>
      </w:r>
      <w:r w:rsidRPr="00BD5380">
        <w:t xml:space="preserve">, 28 FCC Rcd 6822 (2013), </w:t>
      </w:r>
      <w:r w:rsidRPr="00BD5380">
        <w:rPr>
          <w:i/>
        </w:rPr>
        <w:t>recon. pending</w:t>
      </w:r>
      <w:r w:rsidRPr="00BD5380">
        <w:t>.</w:t>
      </w:r>
    </w:p>
  </w:footnote>
  <w:footnote w:id="141">
    <w:p w14:paraId="4E51FFD5" w14:textId="3AD1576C" w:rsidR="00947526" w:rsidRPr="0066470F" w:rsidRDefault="00947526" w:rsidP="00A85009">
      <w:pPr>
        <w:pStyle w:val="FootnoteText"/>
      </w:pPr>
      <w:r>
        <w:rPr>
          <w:rStyle w:val="FootnoteReference"/>
        </w:rPr>
        <w:footnoteRef/>
      </w:r>
      <w:r>
        <w:t xml:space="preserve"> </w:t>
      </w:r>
      <w:r>
        <w:rPr>
          <w:i/>
        </w:rPr>
        <w:t>See supra</w:t>
      </w:r>
      <w:r>
        <w:t xml:space="preserve"> </w:t>
      </w:r>
      <w:r w:rsidRPr="00BD5380">
        <w:t>¶¶</w:t>
      </w:r>
      <w:r>
        <w:t xml:space="preserve"> </w:t>
      </w:r>
      <w:r>
        <w:fldChar w:fldCharType="begin"/>
      </w:r>
      <w:r>
        <w:instrText xml:space="preserve"> REF _Ref374631808 \r \h </w:instrText>
      </w:r>
      <w:r>
        <w:fldChar w:fldCharType="separate"/>
      </w:r>
      <w:r>
        <w:t>26</w:t>
      </w:r>
      <w:r>
        <w:fldChar w:fldCharType="end"/>
      </w:r>
      <w:r>
        <w:t>-</w:t>
      </w:r>
      <w:r>
        <w:fldChar w:fldCharType="begin"/>
      </w:r>
      <w:r>
        <w:instrText xml:space="preserve"> REF _Ref374631864 \r \h </w:instrText>
      </w:r>
      <w:r>
        <w:fldChar w:fldCharType="separate"/>
      </w:r>
      <w:r>
        <w:t>27</w:t>
      </w:r>
      <w:r>
        <w:fldChar w:fldCharType="end"/>
      </w:r>
      <w:r>
        <w:t>.</w:t>
      </w:r>
    </w:p>
  </w:footnote>
  <w:footnote w:id="142">
    <w:p w14:paraId="3AD066B8" w14:textId="32264312" w:rsidR="00947526" w:rsidRDefault="00947526" w:rsidP="00A85009">
      <w:pPr>
        <w:pStyle w:val="FootnoteText"/>
      </w:pPr>
      <w:r>
        <w:rPr>
          <w:rStyle w:val="FootnoteReference"/>
        </w:rPr>
        <w:footnoteRef/>
      </w:r>
      <w:r>
        <w:t xml:space="preserve"> </w:t>
      </w:r>
      <w:r>
        <w:rPr>
          <w:i/>
        </w:rPr>
        <w:t>See supra</w:t>
      </w:r>
      <w:r>
        <w:t xml:space="preserve"> </w:t>
      </w:r>
      <w:r w:rsidRPr="00BD5380">
        <w:t>¶¶</w:t>
      </w:r>
      <w:r>
        <w:t xml:space="preserve"> </w:t>
      </w:r>
      <w:r>
        <w:fldChar w:fldCharType="begin"/>
      </w:r>
      <w:r>
        <w:instrText xml:space="preserve"> REF _Ref374631833 \r \h </w:instrText>
      </w:r>
      <w:r>
        <w:fldChar w:fldCharType="separate"/>
      </w:r>
      <w:r>
        <w:t>24</w:t>
      </w:r>
      <w:r>
        <w:fldChar w:fldCharType="end"/>
      </w:r>
      <w:r>
        <w:t>-</w:t>
      </w:r>
      <w:r>
        <w:fldChar w:fldCharType="begin"/>
      </w:r>
      <w:r>
        <w:instrText xml:space="preserve"> REF _Ref374621169 \r \h </w:instrText>
      </w:r>
      <w:r>
        <w:fldChar w:fldCharType="separate"/>
      </w:r>
      <w:r>
        <w:t>25</w:t>
      </w:r>
      <w:r>
        <w:fldChar w:fldCharType="end"/>
      </w:r>
      <w:r>
        <w:t>.</w:t>
      </w:r>
    </w:p>
  </w:footnote>
  <w:footnote w:id="143">
    <w:p w14:paraId="6801809A" w14:textId="1E899B6D" w:rsidR="00947526" w:rsidRDefault="00947526" w:rsidP="00A85009">
      <w:pPr>
        <w:pStyle w:val="FootnoteText"/>
      </w:pPr>
      <w:r>
        <w:rPr>
          <w:rStyle w:val="FootnoteReference"/>
        </w:rPr>
        <w:footnoteRef/>
      </w:r>
      <w:r>
        <w:t xml:space="preserve"> </w:t>
      </w:r>
      <w:r>
        <w:rPr>
          <w:i/>
        </w:rPr>
        <w:t>See supra</w:t>
      </w:r>
      <w:r>
        <w:t xml:space="preserve"> </w:t>
      </w:r>
      <w:r w:rsidRPr="00BD5380">
        <w:t>¶¶</w:t>
      </w:r>
      <w:r>
        <w:t xml:space="preserve"> </w:t>
      </w:r>
      <w:r>
        <w:fldChar w:fldCharType="begin"/>
      </w:r>
      <w:r>
        <w:instrText xml:space="preserve"> REF _Ref373154333 \r \h </w:instrText>
      </w:r>
      <w:r>
        <w:fldChar w:fldCharType="separate"/>
      </w:r>
      <w:r>
        <w:t>38</w:t>
      </w:r>
      <w:r>
        <w:fldChar w:fldCharType="end"/>
      </w:r>
      <w:r>
        <w:t>-</w:t>
      </w:r>
      <w:r>
        <w:fldChar w:fldCharType="begin"/>
      </w:r>
      <w:r>
        <w:instrText xml:space="preserve"> REF _Ref373152894 \r \h </w:instrText>
      </w:r>
      <w:r>
        <w:fldChar w:fldCharType="separate"/>
      </w:r>
      <w:r>
        <w:t>40</w:t>
      </w:r>
      <w:r>
        <w:fldChar w:fldCharType="end"/>
      </w:r>
      <w:r>
        <w:t>.</w:t>
      </w:r>
    </w:p>
  </w:footnote>
  <w:footnote w:id="144">
    <w:p w14:paraId="1CAF7308" w14:textId="110F2AD0" w:rsidR="00947526" w:rsidRDefault="00947526" w:rsidP="00A85009">
      <w:pPr>
        <w:pStyle w:val="FootnoteText"/>
      </w:pPr>
      <w:r>
        <w:rPr>
          <w:rStyle w:val="FootnoteReference"/>
        </w:rPr>
        <w:footnoteRef/>
      </w:r>
      <w:r>
        <w:t xml:space="preserve"> </w:t>
      </w:r>
      <w:r>
        <w:rPr>
          <w:i/>
        </w:rPr>
        <w:t>See supra</w:t>
      </w:r>
      <w:r>
        <w:t xml:space="preserve"> </w:t>
      </w:r>
      <w:r w:rsidRPr="00BD5380">
        <w:t>¶¶</w:t>
      </w:r>
      <w:r>
        <w:t xml:space="preserve"> </w:t>
      </w:r>
      <w:r>
        <w:fldChar w:fldCharType="begin"/>
      </w:r>
      <w:r>
        <w:instrText xml:space="preserve"> REF _Ref372880505 \r \h </w:instrText>
      </w:r>
      <w:r>
        <w:fldChar w:fldCharType="separate"/>
      </w:r>
      <w:r>
        <w:t>20</w:t>
      </w:r>
      <w:r>
        <w:fldChar w:fldCharType="end"/>
      </w:r>
      <w:r>
        <w:t xml:space="preserve">, </w:t>
      </w:r>
      <w:r>
        <w:fldChar w:fldCharType="begin"/>
      </w:r>
      <w:r>
        <w:instrText xml:space="preserve"> REF _Ref374631790 \r \h </w:instrText>
      </w:r>
      <w:r>
        <w:fldChar w:fldCharType="separate"/>
      </w:r>
      <w:r>
        <w:t>23</w:t>
      </w:r>
      <w:r>
        <w:fldChar w:fldCharType="end"/>
      </w:r>
      <w:r>
        <w:t>.</w:t>
      </w:r>
    </w:p>
  </w:footnote>
  <w:footnote w:id="145">
    <w:p w14:paraId="11DCC0A4" w14:textId="0B164D34" w:rsidR="00947526" w:rsidRDefault="00947526" w:rsidP="00A85009">
      <w:pPr>
        <w:pStyle w:val="FootnoteText"/>
      </w:pPr>
      <w:r>
        <w:rPr>
          <w:rStyle w:val="FootnoteReference"/>
        </w:rPr>
        <w:footnoteRef/>
      </w:r>
      <w:r>
        <w:t xml:space="preserve"> </w:t>
      </w:r>
      <w:r>
        <w:rPr>
          <w:i/>
        </w:rPr>
        <w:t>See supra</w:t>
      </w:r>
      <w:r>
        <w:t xml:space="preserve"> </w:t>
      </w:r>
      <w:r w:rsidRPr="00BD5380">
        <w:t>¶¶</w:t>
      </w:r>
      <w:r>
        <w:t xml:space="preserve"> </w:t>
      </w:r>
      <w:r>
        <w:fldChar w:fldCharType="begin"/>
      </w:r>
      <w:r>
        <w:instrText xml:space="preserve"> REF _Ref374631808 \r \h </w:instrText>
      </w:r>
      <w:r>
        <w:fldChar w:fldCharType="separate"/>
      </w:r>
      <w:r>
        <w:t>26</w:t>
      </w:r>
      <w:r>
        <w:fldChar w:fldCharType="end"/>
      </w:r>
      <w:r>
        <w:t>-</w:t>
      </w:r>
      <w:r>
        <w:fldChar w:fldCharType="begin"/>
      </w:r>
      <w:r>
        <w:instrText xml:space="preserve"> REF _Ref374631821 \r \h </w:instrText>
      </w:r>
      <w:r>
        <w:fldChar w:fldCharType="separate"/>
      </w:r>
      <w:r>
        <w:t>33</w:t>
      </w:r>
      <w:r>
        <w:fldChar w:fldCharType="end"/>
      </w:r>
      <w:r>
        <w:t>.</w:t>
      </w:r>
    </w:p>
  </w:footnote>
  <w:footnote w:id="146">
    <w:p w14:paraId="5CD71909" w14:textId="77777777" w:rsidR="00947526" w:rsidRPr="00BD5380" w:rsidRDefault="00947526" w:rsidP="006A2FBF">
      <w:pPr>
        <w:pStyle w:val="FootnoteText"/>
      </w:pPr>
      <w:r w:rsidRPr="00BD5380">
        <w:rPr>
          <w:rStyle w:val="FootnoteReference"/>
        </w:rPr>
        <w:footnoteRef/>
      </w:r>
      <w:r w:rsidRPr="00BD5380">
        <w:t xml:space="preserve"> Sprint Comments at 5-6.</w:t>
      </w:r>
    </w:p>
  </w:footnote>
  <w:footnote w:id="147">
    <w:p w14:paraId="42E856B8" w14:textId="77777777" w:rsidR="00947526" w:rsidRPr="00BD5380" w:rsidRDefault="00947526" w:rsidP="006A2FBF">
      <w:pPr>
        <w:pStyle w:val="FootnoteText"/>
      </w:pPr>
      <w:r w:rsidRPr="00BD5380">
        <w:rPr>
          <w:rStyle w:val="FootnoteReference"/>
        </w:rPr>
        <w:footnoteRef/>
      </w:r>
      <w:r w:rsidRPr="00BD5380">
        <w:t xml:space="preserve"> </w:t>
      </w:r>
      <w:r>
        <w:t xml:space="preserve">DISH Reply at </w:t>
      </w:r>
      <w:r w:rsidRPr="00BD5380">
        <w:t>3-4.</w:t>
      </w:r>
    </w:p>
  </w:footnote>
  <w:footnote w:id="148">
    <w:p w14:paraId="6653B2A0" w14:textId="1D3317EC" w:rsidR="00947526" w:rsidRPr="00BD5380" w:rsidRDefault="00947526" w:rsidP="006A2FBF">
      <w:pPr>
        <w:pStyle w:val="FootnoteText"/>
      </w:pPr>
      <w:r w:rsidRPr="00BD5380">
        <w:rPr>
          <w:rStyle w:val="FootnoteReference"/>
        </w:rPr>
        <w:footnoteRef/>
      </w:r>
      <w:r w:rsidRPr="00BD5380">
        <w:t xml:space="preserve"> </w:t>
      </w:r>
      <w:r>
        <w:rPr>
          <w:i/>
        </w:rPr>
        <w:t>Id.</w:t>
      </w:r>
      <w:r w:rsidRPr="00BD5380">
        <w:t xml:space="preserve"> at 4.</w:t>
      </w:r>
    </w:p>
  </w:footnote>
  <w:footnote w:id="149">
    <w:p w14:paraId="33F87F8A" w14:textId="2F9F1EC0" w:rsidR="00947526" w:rsidRPr="00BD5380" w:rsidRDefault="00947526" w:rsidP="006A2FBF">
      <w:pPr>
        <w:pStyle w:val="FootnoteText"/>
      </w:pPr>
      <w:r w:rsidRPr="00BD5380">
        <w:rPr>
          <w:rStyle w:val="FootnoteReference"/>
        </w:rPr>
        <w:footnoteRef/>
      </w:r>
      <w:r w:rsidRPr="00BD5380">
        <w:t xml:space="preserve"> </w:t>
      </w:r>
      <w:r>
        <w:rPr>
          <w:i/>
        </w:rPr>
        <w:t>Id.</w:t>
      </w:r>
    </w:p>
  </w:footnote>
  <w:footnote w:id="150">
    <w:p w14:paraId="5F419BAF" w14:textId="77777777" w:rsidR="00947526" w:rsidRPr="00BD5380" w:rsidRDefault="00947526" w:rsidP="006A2FBF">
      <w:pPr>
        <w:pStyle w:val="FootnoteText"/>
      </w:pPr>
      <w:r w:rsidRPr="00BD5380">
        <w:rPr>
          <w:rStyle w:val="FootnoteReference"/>
        </w:rPr>
        <w:footnoteRef/>
      </w:r>
      <w:r w:rsidRPr="00BD5380">
        <w:t xml:space="preserve"> Sprint Reply at 7.</w:t>
      </w:r>
    </w:p>
  </w:footnote>
  <w:footnote w:id="151">
    <w:p w14:paraId="72FE7E82" w14:textId="77777777" w:rsidR="00947526" w:rsidRPr="00BD5380" w:rsidRDefault="00947526" w:rsidP="00DA6C0D">
      <w:pPr>
        <w:spacing w:after="120"/>
        <w:rPr>
          <w:rFonts w:ascii="Times" w:eastAsiaTheme="minorHAnsi" w:hAnsi="Times" w:cstheme="minorBidi"/>
          <w:snapToGrid/>
          <w:kern w:val="0"/>
          <w:sz w:val="20"/>
        </w:rPr>
      </w:pPr>
      <w:r w:rsidRPr="00BD5380">
        <w:rPr>
          <w:rStyle w:val="FootnoteReference"/>
        </w:rPr>
        <w:footnoteRef/>
      </w:r>
      <w:r w:rsidRPr="00BD5380">
        <w:rPr>
          <w:sz w:val="20"/>
        </w:rPr>
        <w:t xml:space="preserve"> </w:t>
      </w:r>
      <w:r w:rsidRPr="00BD5380">
        <w:rPr>
          <w:rFonts w:eastAsiaTheme="minorHAnsi" w:cstheme="minorBidi"/>
          <w:i/>
          <w:snapToGrid/>
          <w:color w:val="000000"/>
          <w:kern w:val="0"/>
          <w:sz w:val="20"/>
        </w:rPr>
        <w:t>See, e.g.</w:t>
      </w:r>
      <w:r w:rsidRPr="00BD5380">
        <w:rPr>
          <w:rFonts w:eastAsiaTheme="minorHAnsi" w:cstheme="minorBidi"/>
          <w:snapToGrid/>
          <w:color w:val="000000"/>
          <w:kern w:val="0"/>
          <w:sz w:val="20"/>
        </w:rPr>
        <w:t>,</w:t>
      </w:r>
      <w:r w:rsidRPr="00BD5380">
        <w:rPr>
          <w:rFonts w:eastAsiaTheme="minorHAnsi" w:cstheme="minorBidi"/>
          <w:i/>
          <w:snapToGrid/>
          <w:color w:val="000000"/>
          <w:kern w:val="0"/>
          <w:sz w:val="20"/>
        </w:rPr>
        <w:t> Applications of Softbank Corp., Starburst II, Inc., Sprint Nextel Corporation, and Clearwire Corporation For Consent to Transfer Control of Licenses and Authorizations</w:t>
      </w:r>
      <w:r w:rsidRPr="00BD5380">
        <w:rPr>
          <w:rFonts w:eastAsiaTheme="minorHAnsi" w:cstheme="minorBidi"/>
          <w:snapToGrid/>
          <w:color w:val="000000"/>
          <w:kern w:val="0"/>
          <w:sz w:val="20"/>
        </w:rPr>
        <w:t>, 28 FCC Rcd 9642, 9674 ¶ 81 (2013) (“consistent with Commission precedent, we conclude that such conditions [which would require the companies to continue to comply with existing FCC requirements] are unnecessary, as they only serve to require entities to comply with legal obligations that are already in effect and fully enforceable”); </w:t>
      </w:r>
      <w:r w:rsidRPr="00BD5380" w:rsidDel="00C37683">
        <w:rPr>
          <w:rFonts w:eastAsiaTheme="minorHAnsi" w:cstheme="minorBidi"/>
          <w:i/>
          <w:snapToGrid/>
          <w:color w:val="000000"/>
          <w:kern w:val="0"/>
          <w:sz w:val="20"/>
        </w:rPr>
        <w:t xml:space="preserve"> </w:t>
      </w:r>
      <w:r w:rsidRPr="00BD5380">
        <w:rPr>
          <w:rFonts w:eastAsiaTheme="minorHAnsi" w:cstheme="minorBidi"/>
          <w:i/>
          <w:snapToGrid/>
          <w:color w:val="000000"/>
          <w:kern w:val="0"/>
          <w:sz w:val="20"/>
        </w:rPr>
        <w:t>Application of Puerto Rico Telephone Authority and GTE Holdings, LLC</w:t>
      </w:r>
      <w:r w:rsidRPr="00BD5380">
        <w:rPr>
          <w:rFonts w:eastAsiaTheme="minorHAnsi" w:cstheme="minorBidi"/>
          <w:snapToGrid/>
          <w:color w:val="000000"/>
          <w:kern w:val="0"/>
          <w:sz w:val="20"/>
        </w:rPr>
        <w:t>, 14 FCC Rcd 3122, 3134 ¶ 28 (1999) (stating that the requested conditions are not necessary because they “would simply require PRTC to comply with its existing legal obligations”).</w:t>
      </w:r>
    </w:p>
  </w:footnote>
  <w:footnote w:id="152">
    <w:p w14:paraId="28483DAF" w14:textId="77777777" w:rsidR="00947526" w:rsidRPr="00BD5380" w:rsidRDefault="00947526" w:rsidP="006A2FBF">
      <w:pPr>
        <w:pStyle w:val="FootnoteText"/>
      </w:pPr>
      <w:r w:rsidRPr="00BD5380">
        <w:rPr>
          <w:rStyle w:val="FootnoteReference"/>
        </w:rPr>
        <w:footnoteRef/>
      </w:r>
      <w:r w:rsidRPr="00BD5380">
        <w:t xml:space="preserve"> </w:t>
      </w:r>
      <w:r w:rsidRPr="00BD5380">
        <w:rPr>
          <w:i/>
        </w:rPr>
        <w:t>See</w:t>
      </w:r>
      <w:r w:rsidRPr="00BD5380">
        <w:t xml:space="preserve"> 47 C.F.R. §§ 27.1021 (cost-sharing reimbursement obligation of licenses at 1915-1920 MHz), 27.1031 (cost-sharing reimbursement obligation of licensees at 1995-2000 MHz).</w:t>
      </w:r>
    </w:p>
  </w:footnote>
  <w:footnote w:id="153">
    <w:p w14:paraId="7673312C" w14:textId="646E907E" w:rsidR="00947526" w:rsidRPr="00BD5380" w:rsidRDefault="00947526" w:rsidP="006A2FBF">
      <w:pPr>
        <w:pStyle w:val="FootnoteText"/>
        <w:rPr>
          <w:i/>
        </w:rPr>
      </w:pPr>
      <w:r w:rsidRPr="00BD5380">
        <w:rPr>
          <w:rStyle w:val="FootnoteReference"/>
        </w:rPr>
        <w:footnoteRef/>
      </w:r>
      <w:r w:rsidRPr="00BD5380">
        <w:t xml:space="preserve"> </w:t>
      </w:r>
      <w:r w:rsidRPr="00BD5380">
        <w:rPr>
          <w:i/>
        </w:rPr>
        <w:t>See generally H Block Report and Order</w:t>
      </w:r>
      <w:r>
        <w:t>, 28 FCC Rcd at 9543-9551 ¶¶ 157-173</w:t>
      </w:r>
      <w:r w:rsidRPr="00BD5380">
        <w:t>.</w:t>
      </w:r>
    </w:p>
  </w:footnote>
  <w:footnote w:id="154">
    <w:p w14:paraId="3C325394" w14:textId="10D766E6" w:rsidR="00947526" w:rsidRPr="00BD5380" w:rsidRDefault="00947526" w:rsidP="006A2FBF">
      <w:pPr>
        <w:pStyle w:val="FootnoteText"/>
      </w:pPr>
      <w:r w:rsidRPr="00BD5380">
        <w:rPr>
          <w:rStyle w:val="FootnoteReference"/>
        </w:rPr>
        <w:footnoteRef/>
      </w:r>
      <w:r w:rsidRPr="00BD5380">
        <w:t xml:space="preserve"> </w:t>
      </w:r>
      <w:r>
        <w:rPr>
          <w:i/>
        </w:rPr>
        <w:t>See id.</w:t>
      </w:r>
      <w:r w:rsidRPr="00BD5380">
        <w:t xml:space="preserve"> at 9550 ¶ 172 (citing Improving Public Safety Communications </w:t>
      </w:r>
      <w:r>
        <w:t>in the 800 MHz Band, 25 FCC Rcd</w:t>
      </w:r>
      <w:r w:rsidR="000B1541">
        <w:t xml:space="preserve"> 13874, 13904 ¶ 73 (2010)</w:t>
      </w:r>
      <w:r w:rsidRPr="00BD5380">
        <w:t>).</w:t>
      </w:r>
    </w:p>
  </w:footnote>
  <w:footnote w:id="155">
    <w:p w14:paraId="71BD3280" w14:textId="77777777" w:rsidR="00947526" w:rsidRPr="00BD5380" w:rsidRDefault="00947526">
      <w:pPr>
        <w:pStyle w:val="FootnoteText"/>
      </w:pPr>
      <w:r w:rsidRPr="00BD5380">
        <w:rPr>
          <w:rStyle w:val="FootnoteReference"/>
        </w:rPr>
        <w:footnoteRef/>
      </w:r>
      <w:r w:rsidRPr="00BD5380">
        <w:t xml:space="preserve"> NTCH Comments at 1.</w:t>
      </w:r>
    </w:p>
  </w:footnote>
  <w:footnote w:id="156">
    <w:p w14:paraId="02473B42" w14:textId="666AA895" w:rsidR="00947526" w:rsidRPr="00BD5380" w:rsidRDefault="00947526" w:rsidP="006A2FBF">
      <w:pPr>
        <w:pStyle w:val="FootnoteText"/>
      </w:pPr>
      <w:r w:rsidRPr="00BD5380">
        <w:rPr>
          <w:rStyle w:val="FootnoteReference"/>
        </w:rPr>
        <w:footnoteRef/>
      </w:r>
      <w:r>
        <w:t xml:space="preserve"> </w:t>
      </w:r>
      <w:r>
        <w:rPr>
          <w:i/>
        </w:rPr>
        <w:t>Id</w:t>
      </w:r>
      <w:r w:rsidRPr="00BD5380">
        <w:t xml:space="preserve">.  NTCH has actually filed two reconsideration petitions—one asking the Commission to reconsider the </w:t>
      </w:r>
      <w:r w:rsidRPr="00BD5380">
        <w:rPr>
          <w:i/>
        </w:rPr>
        <w:t>AWS-4 Report and Order</w:t>
      </w:r>
      <w:r w:rsidRPr="00BD5380">
        <w:t xml:space="preserve"> and the other asking it to reconsider the </w:t>
      </w:r>
      <w:r w:rsidRPr="00BD5380">
        <w:rPr>
          <w:i/>
        </w:rPr>
        <w:t>AWS-4 Order of Modification</w:t>
      </w:r>
      <w:r w:rsidRPr="00BD5380">
        <w:t xml:space="preserve">—but it fails to specify which petition it is referring to.  </w:t>
      </w:r>
      <w:r w:rsidRPr="00BD5380">
        <w:rPr>
          <w:i/>
        </w:rPr>
        <w:t xml:space="preserve">See </w:t>
      </w:r>
      <w:r w:rsidRPr="00BD5380">
        <w:t>Petition for Reconsideration, WT Docket Nos. 12-70, 04-356, ET Docket No. 10-142 (filed March 18, 2013) (</w:t>
      </w:r>
      <w:r>
        <w:t>“</w:t>
      </w:r>
      <w:r w:rsidRPr="00BD5380">
        <w:t xml:space="preserve">Petition for Reconsideration of the </w:t>
      </w:r>
      <w:r w:rsidRPr="00BD5380">
        <w:rPr>
          <w:i/>
        </w:rPr>
        <w:t>AWS-4 Order of Modification</w:t>
      </w:r>
      <w:r>
        <w:t>”</w:t>
      </w:r>
      <w:r w:rsidRPr="00BD5380">
        <w:t>), Petition for Reconsideration, WT Docket Nos. 12-70, 04-356, ET Docket No. 10-142 (March 7, 2012) (</w:t>
      </w:r>
      <w:r>
        <w:t>“</w:t>
      </w:r>
      <w:r w:rsidRPr="00BD5380">
        <w:t xml:space="preserve">Petition for Reconsideration of the </w:t>
      </w:r>
      <w:r w:rsidRPr="00BD5380">
        <w:rPr>
          <w:i/>
        </w:rPr>
        <w:t>AWS-4 Report and Order</w:t>
      </w:r>
      <w:r>
        <w:t>”</w:t>
      </w:r>
      <w:r w:rsidRPr="00BD5380">
        <w:t xml:space="preserve">); </w:t>
      </w:r>
      <w:r w:rsidRPr="00BD5380">
        <w:rPr>
          <w:i/>
        </w:rPr>
        <w:t>see also AWS-4 Order of Modification</w:t>
      </w:r>
      <w:r w:rsidRPr="00BD5380">
        <w:t>, 28 FCC Rcd 1276.</w:t>
      </w:r>
    </w:p>
  </w:footnote>
  <w:footnote w:id="157">
    <w:p w14:paraId="01B9160B" w14:textId="77777777" w:rsidR="00947526" w:rsidRPr="00BD5380" w:rsidRDefault="00947526" w:rsidP="006A2FBF">
      <w:pPr>
        <w:pStyle w:val="FootnoteText"/>
      </w:pPr>
      <w:r w:rsidRPr="00BD5380">
        <w:rPr>
          <w:rStyle w:val="FootnoteReference"/>
        </w:rPr>
        <w:footnoteRef/>
      </w:r>
      <w:r w:rsidRPr="00BD5380">
        <w:t xml:space="preserve"> NCTH Comments at 2.</w:t>
      </w:r>
    </w:p>
  </w:footnote>
  <w:footnote w:id="158">
    <w:p w14:paraId="348F46EB" w14:textId="6CCE6AFD" w:rsidR="00947526" w:rsidRPr="00BD5380" w:rsidRDefault="00947526" w:rsidP="006A2FBF">
      <w:pPr>
        <w:pStyle w:val="FootnoteText"/>
      </w:pPr>
      <w:r w:rsidRPr="00BD5380">
        <w:rPr>
          <w:rStyle w:val="FootnoteReference"/>
        </w:rPr>
        <w:footnoteRef/>
      </w:r>
      <w:r>
        <w:t xml:space="preserve"> </w:t>
      </w:r>
      <w:r>
        <w:rPr>
          <w:i/>
        </w:rPr>
        <w:t>Id.</w:t>
      </w:r>
      <w:r w:rsidRPr="00BD5380">
        <w:t xml:space="preserve"> at 2-4.</w:t>
      </w:r>
    </w:p>
  </w:footnote>
  <w:footnote w:id="159">
    <w:p w14:paraId="77A06235" w14:textId="067483EF" w:rsidR="00947526" w:rsidRPr="00BD5380" w:rsidRDefault="00947526" w:rsidP="006A2FBF">
      <w:pPr>
        <w:pStyle w:val="FootnoteText"/>
      </w:pPr>
      <w:r w:rsidRPr="00BD5380">
        <w:rPr>
          <w:rStyle w:val="FootnoteReference"/>
        </w:rPr>
        <w:footnoteRef/>
      </w:r>
      <w:r>
        <w:t xml:space="preserve"> </w:t>
      </w:r>
      <w:r>
        <w:rPr>
          <w:i/>
        </w:rPr>
        <w:t>Id.</w:t>
      </w:r>
      <w:r w:rsidRPr="00BD5380">
        <w:t xml:space="preserve"> at 4.  NTCH also asserts that the elective element of the DISH waiver, if granted, would provide DISH with an advantage over other H Block bidder.  We address this issue above.  </w:t>
      </w:r>
      <w:r w:rsidRPr="00BD5380">
        <w:rPr>
          <w:i/>
        </w:rPr>
        <w:t>See</w:t>
      </w:r>
      <w:r w:rsidRPr="00BD5380">
        <w:t xml:space="preserve"> </w:t>
      </w:r>
      <w:r w:rsidRPr="00BD5380">
        <w:rPr>
          <w:i/>
        </w:rPr>
        <w:t xml:space="preserve">supra </w:t>
      </w:r>
      <w:r>
        <w:t xml:space="preserve">¶ </w:t>
      </w:r>
      <w:r>
        <w:fldChar w:fldCharType="begin"/>
      </w:r>
      <w:r>
        <w:instrText xml:space="preserve"> REF _Ref373154344 \r \h </w:instrText>
      </w:r>
      <w:r>
        <w:fldChar w:fldCharType="separate"/>
      </w:r>
      <w:r>
        <w:t>39</w:t>
      </w:r>
      <w:r>
        <w:fldChar w:fldCharType="end"/>
      </w:r>
      <w:r w:rsidRPr="00BD5380">
        <w:t>.</w:t>
      </w:r>
    </w:p>
  </w:footnote>
  <w:footnote w:id="160">
    <w:p w14:paraId="5EE47055" w14:textId="77777777" w:rsidR="00947526" w:rsidRPr="00BD5380" w:rsidRDefault="00947526" w:rsidP="006A2FBF">
      <w:pPr>
        <w:pStyle w:val="FootnoteText"/>
      </w:pPr>
      <w:r w:rsidRPr="00BD5380">
        <w:rPr>
          <w:rStyle w:val="FootnoteReference"/>
        </w:rPr>
        <w:footnoteRef/>
      </w:r>
      <w:r w:rsidRPr="00BD5380">
        <w:t xml:space="preserve"> DISH Reply at 4-6.</w:t>
      </w:r>
    </w:p>
  </w:footnote>
  <w:footnote w:id="161">
    <w:p w14:paraId="7CB64810" w14:textId="04C83540" w:rsidR="00947526" w:rsidRPr="00BD5380" w:rsidRDefault="00947526" w:rsidP="00F86D65">
      <w:pPr>
        <w:pStyle w:val="FootnoteText"/>
      </w:pPr>
      <w:r w:rsidRPr="00BD5380">
        <w:rPr>
          <w:rStyle w:val="FootnoteReference"/>
        </w:rPr>
        <w:footnoteRef/>
      </w:r>
      <w:r>
        <w:t xml:space="preserve"> </w:t>
      </w:r>
      <w:r>
        <w:rPr>
          <w:i/>
        </w:rPr>
        <w:t>Id.</w:t>
      </w:r>
      <w:r w:rsidRPr="00BD5380">
        <w:t xml:space="preserve"> at 6.</w:t>
      </w:r>
    </w:p>
  </w:footnote>
  <w:footnote w:id="162">
    <w:p w14:paraId="77F7902F" w14:textId="0BF81EA4" w:rsidR="00947526" w:rsidRPr="00BD5380" w:rsidRDefault="00947526" w:rsidP="00DA6C0D">
      <w:pPr>
        <w:pStyle w:val="ParaNum"/>
        <w:numPr>
          <w:ilvl w:val="0"/>
          <w:numId w:val="0"/>
        </w:numPr>
        <w:rPr>
          <w:sz w:val="20"/>
        </w:rPr>
      </w:pPr>
      <w:r w:rsidRPr="00BD5380">
        <w:rPr>
          <w:rStyle w:val="FootnoteReference"/>
        </w:rPr>
        <w:footnoteRef/>
      </w:r>
      <w:r w:rsidRPr="00BD5380">
        <w:rPr>
          <w:sz w:val="20"/>
        </w:rPr>
        <w:t xml:space="preserve"> To the extent that NTCH may be arguing that we are precluded from addressing the DISH Petition because of </w:t>
      </w:r>
      <w:r>
        <w:rPr>
          <w:sz w:val="20"/>
        </w:rPr>
        <w:t>either of its pending p</w:t>
      </w:r>
      <w:r w:rsidRPr="00BD5380">
        <w:rPr>
          <w:sz w:val="20"/>
        </w:rPr>
        <w:t>etition</w:t>
      </w:r>
      <w:r>
        <w:rPr>
          <w:sz w:val="20"/>
        </w:rPr>
        <w:t>s for r</w:t>
      </w:r>
      <w:r w:rsidRPr="00BD5380">
        <w:rPr>
          <w:sz w:val="20"/>
        </w:rPr>
        <w:t>econsideration, such a claim would be without merit.  The AWS-4 rules are legally in effect and DISH, as the present AWS-4 licensees, is bound by those rules.  The fact that a reconsideration of those rules is pending in the AWS-4 docket does not stay or postpone the legal effect of those rules.  47 U.S.C. § 405(a) (“No [petition for reconsideration before the Commission] shall excuse any person from complying with or obeying any order, decision, report, or action of the Commission, or operate in any manner to stay or postpone the enforcement thereof, without the special order of the Commission.”); 47 C.F.R. § 1.429(k) (</w:t>
      </w:r>
      <w:r w:rsidRPr="00BD5380">
        <w:rPr>
          <w:color w:val="000000"/>
          <w:sz w:val="20"/>
          <w:shd w:val="clear" w:color="auto" w:fill="FFFFFF"/>
        </w:rPr>
        <w:t xml:space="preserve">“the filing of a petition for reconsideration shall not excuse any person from complying with any rule or operate in any manner to stay or postpone its enforcement”); </w:t>
      </w:r>
      <w:r w:rsidRPr="00BD5380">
        <w:rPr>
          <w:i/>
          <w:color w:val="000000"/>
          <w:sz w:val="20"/>
          <w:shd w:val="clear" w:color="auto" w:fill="FFFFFF"/>
        </w:rPr>
        <w:t>see also</w:t>
      </w:r>
      <w:r w:rsidRPr="00BD5380">
        <w:rPr>
          <w:color w:val="000000"/>
          <w:sz w:val="20"/>
          <w:shd w:val="clear" w:color="auto" w:fill="FFFFFF"/>
        </w:rPr>
        <w:t xml:space="preserve"> 47 U.S.C. § 154(j); </w:t>
      </w:r>
      <w:r w:rsidRPr="00BD5380">
        <w:rPr>
          <w:i/>
          <w:sz w:val="20"/>
        </w:rPr>
        <w:t>FCC v. Schreiber</w:t>
      </w:r>
      <w:r w:rsidRPr="00BD5380">
        <w:rPr>
          <w:sz w:val="20"/>
        </w:rPr>
        <w:t>, 381 U.S. 279, 289 (1965) (Congress has “delegat[ed] to the Commission power to resolve subordinate questions of procedure” and “has left largely to [the Commission’s] judgment the determination of the manner of conducting its business which would most fairly and reasonably accommodate the proper dispatch of its business and the ends of justice.”) (internal quotation marks omitted);</w:t>
      </w:r>
      <w:r w:rsidRPr="00BD5380">
        <w:rPr>
          <w:i/>
          <w:sz w:val="20"/>
        </w:rPr>
        <w:t xml:space="preserve"> FCC v. Pottsville Broadcasting Co.</w:t>
      </w:r>
      <w:r w:rsidRPr="00BD5380">
        <w:rPr>
          <w:sz w:val="20"/>
        </w:rPr>
        <w:t xml:space="preserve">, 309 U.S. 134 (1940) (applying the principle from </w:t>
      </w:r>
      <w:r w:rsidRPr="00BD5380">
        <w:rPr>
          <w:i/>
          <w:sz w:val="20"/>
        </w:rPr>
        <w:t>Schreiber</w:t>
      </w:r>
      <w:r w:rsidRPr="00BD5380">
        <w:rPr>
          <w:sz w:val="20"/>
        </w:rPr>
        <w:t xml:space="preserve">); </w:t>
      </w:r>
      <w:r w:rsidRPr="00BD5380">
        <w:rPr>
          <w:i/>
          <w:sz w:val="20"/>
        </w:rPr>
        <w:t xml:space="preserve">City of Angels Broadcasting, Inc. v. FCC, </w:t>
      </w:r>
      <w:r w:rsidRPr="00BD5380">
        <w:rPr>
          <w:sz w:val="20"/>
        </w:rPr>
        <w:t xml:space="preserve">745 F.2d 656, 664 (D.C. Cir. 1984) (noting </w:t>
      </w:r>
      <w:r>
        <w:rPr>
          <w:sz w:val="20"/>
        </w:rPr>
        <w:t xml:space="preserve">the </w:t>
      </w:r>
      <w:r w:rsidRPr="00BD5380">
        <w:rPr>
          <w:sz w:val="20"/>
        </w:rPr>
        <w:t xml:space="preserve">Commission’s “wide discretion in fashioning its own procedures” under Section 4(j) of the Act as recognized in </w:t>
      </w:r>
      <w:r w:rsidRPr="00BD5380">
        <w:rPr>
          <w:i/>
          <w:sz w:val="20"/>
        </w:rPr>
        <w:t>Schreiber</w:t>
      </w:r>
      <w:r w:rsidRPr="00BD5380">
        <w:rPr>
          <w:sz w:val="20"/>
        </w:rPr>
        <w:t xml:space="preserve">).  These statutory policies also apply to petitions for reconsideration of non-rulemaking actions.  </w:t>
      </w:r>
      <w:r w:rsidRPr="00BD5380">
        <w:rPr>
          <w:i/>
          <w:sz w:val="20"/>
        </w:rPr>
        <w:t xml:space="preserve">See </w:t>
      </w:r>
      <w:r w:rsidRPr="00BD5380">
        <w:rPr>
          <w:sz w:val="20"/>
        </w:rPr>
        <w:t>47 C.F.R. § 1.106(n).</w:t>
      </w:r>
    </w:p>
  </w:footnote>
  <w:footnote w:id="163">
    <w:p w14:paraId="6F635D5F"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47 U.S.C. § 309(j)(3)(E)(ii).</w:t>
      </w:r>
    </w:p>
  </w:footnote>
  <w:footnote w:id="164">
    <w:p w14:paraId="520200EB" w14:textId="7D185160" w:rsidR="00947526" w:rsidRPr="00024E87" w:rsidRDefault="00947526">
      <w:pPr>
        <w:pStyle w:val="FootnoteText"/>
      </w:pPr>
      <w:r w:rsidRPr="00BD5380">
        <w:rPr>
          <w:rStyle w:val="FootnoteReference"/>
        </w:rPr>
        <w:footnoteRef/>
      </w:r>
      <w:r w:rsidRPr="00BD5380">
        <w:t xml:space="preserve"> </w:t>
      </w:r>
      <w:r w:rsidRPr="00BD5380">
        <w:rPr>
          <w:i/>
        </w:rPr>
        <w:t>See supra</w:t>
      </w:r>
      <w:r>
        <w:t xml:space="preserve"> ¶ </w:t>
      </w:r>
      <w:r>
        <w:fldChar w:fldCharType="begin"/>
      </w:r>
      <w:r>
        <w:instrText xml:space="preserve"> REF _Ref374008792 \r \h </w:instrText>
      </w:r>
      <w:r>
        <w:fldChar w:fldCharType="separate"/>
      </w:r>
      <w:r>
        <w:t>9</w:t>
      </w:r>
      <w:r>
        <w:fldChar w:fldCharType="end"/>
      </w:r>
      <w:r w:rsidRPr="00BD5380">
        <w:rPr>
          <w:i/>
        </w:rPr>
        <w:t>.</w:t>
      </w:r>
    </w:p>
  </w:footnote>
  <w:footnote w:id="165">
    <w:p w14:paraId="31EA1781"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See </w:t>
      </w:r>
      <w:r w:rsidRPr="00BD5380">
        <w:t xml:space="preserve">NTCH Comments at 3.  </w:t>
      </w:r>
    </w:p>
  </w:footnote>
  <w:footnote w:id="166">
    <w:p w14:paraId="7C948B6C" w14:textId="77777777" w:rsidR="00947526" w:rsidRPr="00BD5380" w:rsidRDefault="00947526" w:rsidP="006A2FBF">
      <w:pPr>
        <w:pStyle w:val="FootnoteText"/>
        <w:rPr>
          <w:i/>
          <w:shd w:val="clear" w:color="auto" w:fill="FFFFFF"/>
        </w:rPr>
      </w:pPr>
      <w:r w:rsidRPr="00BD5380">
        <w:rPr>
          <w:rStyle w:val="FootnoteReference"/>
        </w:rPr>
        <w:footnoteRef/>
      </w:r>
      <w:r w:rsidRPr="00BD5380">
        <w:t xml:space="preserve"> </w:t>
      </w:r>
      <w:r w:rsidRPr="00BD5380">
        <w:rPr>
          <w:i/>
        </w:rPr>
        <w:t xml:space="preserve">See generally </w:t>
      </w:r>
      <w:r w:rsidRPr="00BD5380">
        <w:t xml:space="preserve">RC Technologies, </w:t>
      </w:r>
      <w:r w:rsidRPr="00BD5380">
        <w:rPr>
          <w:i/>
        </w:rPr>
        <w:t>Memorandum Opinion and Order</w:t>
      </w:r>
      <w:r w:rsidRPr="00BD5380">
        <w:t xml:space="preserve">, </w:t>
      </w:r>
      <w:r w:rsidRPr="00BD5380">
        <w:rPr>
          <w:shd w:val="clear" w:color="auto" w:fill="FFFFFF"/>
        </w:rPr>
        <w:t xml:space="preserve">25 FCC Rcd 124 (WTB 2010) (granting a waiver of certain technical rules that would otherwise prevent the entity seeking a waiver from using lower and upper segments of a band, instead of the just the middle segment of the band); </w:t>
      </w:r>
      <w:r w:rsidRPr="00BD5380">
        <w:rPr>
          <w:i/>
          <w:shd w:val="clear" w:color="auto" w:fill="FFFFFF"/>
        </w:rPr>
        <w:t xml:space="preserve">see also </w:t>
      </w:r>
      <w:r w:rsidRPr="00BD5380">
        <w:rPr>
          <w:shd w:val="clear" w:color="auto" w:fill="FFFFFF"/>
        </w:rPr>
        <w:t xml:space="preserve">State of Alaska, </w:t>
      </w:r>
      <w:r w:rsidRPr="00BD5380">
        <w:rPr>
          <w:i/>
          <w:shd w:val="clear" w:color="auto" w:fill="FFFFFF"/>
        </w:rPr>
        <w:t>Memorandum Opinion and Order</w:t>
      </w:r>
      <w:r w:rsidRPr="00BD5380">
        <w:rPr>
          <w:shd w:val="clear" w:color="auto" w:fill="FFFFFF"/>
        </w:rPr>
        <w:t xml:space="preserve">, </w:t>
      </w:r>
      <w:r w:rsidRPr="00BD5380">
        <w:rPr>
          <w:color w:val="000000"/>
          <w:shd w:val="clear" w:color="auto" w:fill="FFFFFF"/>
        </w:rPr>
        <w:t>18 FCC Rcd 16315, 16323-24 (WTB 2003) (waiving certain technical rules</w:t>
      </w:r>
      <w:r w:rsidRPr="00BD5380">
        <w:t xml:space="preserve"> where the purpose of the rule was to avoid interference and granting the waiver would not increase the potential for harmful interference to other licensees).</w:t>
      </w:r>
    </w:p>
  </w:footnote>
  <w:footnote w:id="167">
    <w:p w14:paraId="69B5AD16" w14:textId="77777777" w:rsidR="00947526" w:rsidRPr="00BD5380" w:rsidRDefault="00947526">
      <w:pPr>
        <w:pStyle w:val="FootnoteText"/>
      </w:pPr>
      <w:r w:rsidRPr="00BD5380">
        <w:rPr>
          <w:rStyle w:val="FootnoteReference"/>
        </w:rPr>
        <w:footnoteRef/>
      </w:r>
      <w:r w:rsidRPr="00BD5380">
        <w:t xml:space="preserve"> </w:t>
      </w:r>
      <w:r w:rsidRPr="00BD5380">
        <w:rPr>
          <w:i/>
        </w:rPr>
        <w:t xml:space="preserve">WAIT Radio v. FCC, </w:t>
      </w:r>
      <w:r w:rsidRPr="00BD5380">
        <w:t xml:space="preserve">418 F.2d 1153, 1157 (D.C. Cir. 1969) (citing, </w:t>
      </w:r>
      <w:r w:rsidRPr="00BD5380">
        <w:rPr>
          <w:i/>
        </w:rPr>
        <w:t xml:space="preserve">e.g., United States v. Storer Broadcasting Co., </w:t>
      </w:r>
      <w:r w:rsidRPr="00BD5380">
        <w:t xml:space="preserve">351 U.S. 192, 204-05 (1956)).  </w:t>
      </w:r>
    </w:p>
  </w:footnote>
  <w:footnote w:id="168">
    <w:p w14:paraId="79BE12C2" w14:textId="77777777" w:rsidR="00947526" w:rsidRPr="00BD5380" w:rsidRDefault="00947526">
      <w:pPr>
        <w:pStyle w:val="FootnoteText"/>
      </w:pPr>
      <w:r w:rsidRPr="00BD5380">
        <w:rPr>
          <w:rStyle w:val="FootnoteReference"/>
        </w:rPr>
        <w:footnoteRef/>
      </w:r>
      <w:r w:rsidRPr="00BD5380">
        <w:t xml:space="preserve"> This is also not a case, like </w:t>
      </w:r>
      <w:r w:rsidRPr="00BD5380">
        <w:rPr>
          <w:i/>
        </w:rPr>
        <w:t xml:space="preserve">Tribune Co. v. FCC, </w:t>
      </w:r>
      <w:r w:rsidRPr="00BD5380">
        <w:t xml:space="preserve">133 F.3d 61 (D.C. Cir. 1998), where the licensee sought to challenge the validity of the rule itself, or a well-established waiver policy.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D46B4" w14:textId="77777777" w:rsidR="005074E0" w:rsidRDefault="00507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CF013" w14:textId="3FFEB8C6" w:rsidR="00947526" w:rsidRDefault="00B46E80">
    <w:pPr>
      <w:pStyle w:val="Header"/>
      <w:pBdr>
        <w:bottom w:val="single" w:sz="12" w:space="1" w:color="auto"/>
      </w:pBdr>
    </w:pPr>
    <w:r>
      <w:tab/>
    </w:r>
    <w:r w:rsidR="004946E6">
      <w:t>Federal Communications Commission</w:t>
    </w:r>
    <w:r w:rsidR="004946E6">
      <w:tab/>
    </w:r>
    <w:r w:rsidR="001C6862">
      <w:t xml:space="preserve"> DA</w:t>
    </w:r>
    <w:r w:rsidR="00947526">
      <w:t xml:space="preserve"> </w:t>
    </w:r>
    <w:r w:rsidR="00947526" w:rsidRPr="00E57590">
      <w:t>13-2409</w:t>
    </w:r>
  </w:p>
  <w:p w14:paraId="7442EF7A" w14:textId="77777777" w:rsidR="00947526" w:rsidRDefault="00947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7D500" w14:textId="33D2EBF8" w:rsidR="00947526" w:rsidRDefault="00947526" w:rsidP="000822ED">
    <w:pPr>
      <w:pStyle w:val="Header"/>
      <w:pBdr>
        <w:bottom w:val="single" w:sz="12" w:space="1" w:color="auto"/>
      </w:pBdr>
    </w:pPr>
    <w:r>
      <w:ptab w:relativeTo="margin" w:alignment="center" w:leader="none"/>
    </w:r>
    <w:r w:rsidR="004946E6">
      <w:t>Federal Communications Commission</w:t>
    </w:r>
    <w:r>
      <w:ptab w:relativeTo="margin" w:alignment="right" w:leader="none"/>
    </w:r>
    <w:r w:rsidR="00C518D2">
      <w:t>DA</w:t>
    </w:r>
    <w:r w:rsidRPr="00E57590">
      <w:t xml:space="preserve"> 13-2409</w:t>
    </w:r>
  </w:p>
  <w:p w14:paraId="4F13270F" w14:textId="77777777" w:rsidR="00947526" w:rsidRDefault="00947526" w:rsidP="00082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6906DA"/>
    <w:multiLevelType w:val="multilevel"/>
    <w:tmpl w:val="FA1004F2"/>
    <w:styleLink w:val="ImportedStyle1"/>
    <w:lvl w:ilvl="0">
      <w:start w:val="1"/>
      <w:numFmt w:val="upperRoman"/>
      <w:lvlText w:val="%1."/>
      <w:lvlJc w:val="left"/>
      <w:rPr>
        <w:color w:val="000000"/>
        <w:position w:val="0"/>
        <w:u w:color="000000"/>
        <w:rtl w:val="0"/>
      </w:rPr>
    </w:lvl>
    <w:lvl w:ilvl="1">
      <w:start w:val="1"/>
      <w:numFmt w:val="upperLetter"/>
      <w:lvlText w:val="%2."/>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lowerLetter"/>
      <w:lvlText w:val="%4."/>
      <w:lvlJc w:val="left"/>
      <w:rPr>
        <w:color w:val="000000"/>
        <w:position w:val="0"/>
        <w:u w:color="000000"/>
        <w:rtl w:val="0"/>
      </w:rPr>
    </w:lvl>
    <w:lvl w:ilvl="4">
      <w:start w:val="1"/>
      <w:numFmt w:val="lowerRoman"/>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lowerRoman"/>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nsid w:val="4B960754"/>
    <w:multiLevelType w:val="hybridMultilevel"/>
    <w:tmpl w:val="888A948C"/>
    <w:lvl w:ilvl="0" w:tplc="91B443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2E51A6"/>
    <w:multiLevelType w:val="multilevel"/>
    <w:tmpl w:val="3EEA284E"/>
    <w:styleLink w:val="List31"/>
    <w:lvl w:ilvl="0">
      <w:start w:val="36"/>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decimal"/>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decimal"/>
      <w:lvlText w:val="%8."/>
      <w:lvlJc w:val="left"/>
      <w:rPr>
        <w:color w:val="000000"/>
        <w:position w:val="0"/>
        <w:u w:color="000000"/>
        <w:rtl w:val="0"/>
      </w:rPr>
    </w:lvl>
    <w:lvl w:ilvl="8">
      <w:start w:val="1"/>
      <w:numFmt w:val="decimal"/>
      <w:lvlText w:val="%9."/>
      <w:lvlJc w:val="left"/>
      <w:rPr>
        <w:color w:val="000000"/>
        <w:position w:val="0"/>
        <w:u w:color="000000"/>
        <w:rtl w:val="0"/>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4"/>
  </w:num>
  <w:num w:numId="5">
    <w:abstractNumId w:val="7"/>
  </w:num>
  <w:num w:numId="6">
    <w:abstractNumId w:val="1"/>
  </w:num>
  <w:num w:numId="7">
    <w:abstractNumId w:val="6"/>
  </w:num>
  <w:num w:numId="8">
    <w:abstractNumId w:val="2"/>
  </w:num>
  <w:num w:numId="9">
    <w:abstractNumId w:val="0"/>
  </w:num>
  <w:num w:numId="10">
    <w:abstractNumId w:val="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5B"/>
    <w:rsid w:val="00002160"/>
    <w:rsid w:val="0000233F"/>
    <w:rsid w:val="00002DDB"/>
    <w:rsid w:val="00002E1E"/>
    <w:rsid w:val="0000313C"/>
    <w:rsid w:val="00003B4A"/>
    <w:rsid w:val="00005482"/>
    <w:rsid w:val="000056CD"/>
    <w:rsid w:val="00005C71"/>
    <w:rsid w:val="000060A5"/>
    <w:rsid w:val="000062EB"/>
    <w:rsid w:val="00006334"/>
    <w:rsid w:val="00006AD4"/>
    <w:rsid w:val="0000742D"/>
    <w:rsid w:val="000076B6"/>
    <w:rsid w:val="000100E4"/>
    <w:rsid w:val="00010783"/>
    <w:rsid w:val="00010C7E"/>
    <w:rsid w:val="0001284E"/>
    <w:rsid w:val="00012A0F"/>
    <w:rsid w:val="0001400C"/>
    <w:rsid w:val="00014AD5"/>
    <w:rsid w:val="00016D50"/>
    <w:rsid w:val="00017BF8"/>
    <w:rsid w:val="00020052"/>
    <w:rsid w:val="00020644"/>
    <w:rsid w:val="00020856"/>
    <w:rsid w:val="00020CBB"/>
    <w:rsid w:val="0002167A"/>
    <w:rsid w:val="000218EF"/>
    <w:rsid w:val="00021BF1"/>
    <w:rsid w:val="00022AEC"/>
    <w:rsid w:val="0002313A"/>
    <w:rsid w:val="0002339E"/>
    <w:rsid w:val="00024628"/>
    <w:rsid w:val="00024720"/>
    <w:rsid w:val="00024E87"/>
    <w:rsid w:val="00024F6B"/>
    <w:rsid w:val="000258CF"/>
    <w:rsid w:val="00026138"/>
    <w:rsid w:val="000270BE"/>
    <w:rsid w:val="00027644"/>
    <w:rsid w:val="00027F47"/>
    <w:rsid w:val="00030CF4"/>
    <w:rsid w:val="00033651"/>
    <w:rsid w:val="00033E39"/>
    <w:rsid w:val="00034158"/>
    <w:rsid w:val="00034175"/>
    <w:rsid w:val="0003422F"/>
    <w:rsid w:val="00034402"/>
    <w:rsid w:val="0003548F"/>
    <w:rsid w:val="000354D7"/>
    <w:rsid w:val="00035C2E"/>
    <w:rsid w:val="00036039"/>
    <w:rsid w:val="00036B49"/>
    <w:rsid w:val="00036F91"/>
    <w:rsid w:val="00037F90"/>
    <w:rsid w:val="000402C9"/>
    <w:rsid w:val="00041066"/>
    <w:rsid w:val="000418EA"/>
    <w:rsid w:val="00041D41"/>
    <w:rsid w:val="00041D7E"/>
    <w:rsid w:val="000421BF"/>
    <w:rsid w:val="000421E4"/>
    <w:rsid w:val="00042357"/>
    <w:rsid w:val="000424B4"/>
    <w:rsid w:val="00042DDC"/>
    <w:rsid w:val="00044995"/>
    <w:rsid w:val="00044B88"/>
    <w:rsid w:val="00044EA6"/>
    <w:rsid w:val="000450A2"/>
    <w:rsid w:val="0004593F"/>
    <w:rsid w:val="00045DE8"/>
    <w:rsid w:val="0004627A"/>
    <w:rsid w:val="00046356"/>
    <w:rsid w:val="0004646E"/>
    <w:rsid w:val="00047066"/>
    <w:rsid w:val="000470C4"/>
    <w:rsid w:val="00047622"/>
    <w:rsid w:val="00047F37"/>
    <w:rsid w:val="000500C7"/>
    <w:rsid w:val="00051B99"/>
    <w:rsid w:val="00051EDC"/>
    <w:rsid w:val="000530B0"/>
    <w:rsid w:val="00053CB4"/>
    <w:rsid w:val="00054645"/>
    <w:rsid w:val="00054D92"/>
    <w:rsid w:val="000556D0"/>
    <w:rsid w:val="0005647B"/>
    <w:rsid w:val="0005648F"/>
    <w:rsid w:val="0005675B"/>
    <w:rsid w:val="00057139"/>
    <w:rsid w:val="0005754A"/>
    <w:rsid w:val="00057BAD"/>
    <w:rsid w:val="00061BE2"/>
    <w:rsid w:val="00061CBD"/>
    <w:rsid w:val="00062374"/>
    <w:rsid w:val="00062E0D"/>
    <w:rsid w:val="0006312D"/>
    <w:rsid w:val="000632C8"/>
    <w:rsid w:val="00063736"/>
    <w:rsid w:val="0006422E"/>
    <w:rsid w:val="00064C9F"/>
    <w:rsid w:val="00066A03"/>
    <w:rsid w:val="0006744E"/>
    <w:rsid w:val="00071034"/>
    <w:rsid w:val="00071822"/>
    <w:rsid w:val="000718FA"/>
    <w:rsid w:val="00071C50"/>
    <w:rsid w:val="00071FEB"/>
    <w:rsid w:val="0007249A"/>
    <w:rsid w:val="0007345A"/>
    <w:rsid w:val="00073D80"/>
    <w:rsid w:val="00073EAE"/>
    <w:rsid w:val="00073EC1"/>
    <w:rsid w:val="00073EE1"/>
    <w:rsid w:val="0007443E"/>
    <w:rsid w:val="0007496B"/>
    <w:rsid w:val="00074C4A"/>
    <w:rsid w:val="000757C5"/>
    <w:rsid w:val="00075A3B"/>
    <w:rsid w:val="0007667F"/>
    <w:rsid w:val="00076ED0"/>
    <w:rsid w:val="00077CBC"/>
    <w:rsid w:val="0008123E"/>
    <w:rsid w:val="00081274"/>
    <w:rsid w:val="00081C6D"/>
    <w:rsid w:val="00082219"/>
    <w:rsid w:val="000822ED"/>
    <w:rsid w:val="000833DC"/>
    <w:rsid w:val="0008388C"/>
    <w:rsid w:val="0008431E"/>
    <w:rsid w:val="000867FA"/>
    <w:rsid w:val="000868AD"/>
    <w:rsid w:val="00086959"/>
    <w:rsid w:val="00086A18"/>
    <w:rsid w:val="00086D11"/>
    <w:rsid w:val="000875BF"/>
    <w:rsid w:val="000875F6"/>
    <w:rsid w:val="00090755"/>
    <w:rsid w:val="00090CD6"/>
    <w:rsid w:val="00091250"/>
    <w:rsid w:val="0009140A"/>
    <w:rsid w:val="00091DE3"/>
    <w:rsid w:val="00092898"/>
    <w:rsid w:val="00092A3B"/>
    <w:rsid w:val="00092BDD"/>
    <w:rsid w:val="00092DBB"/>
    <w:rsid w:val="00094322"/>
    <w:rsid w:val="00094601"/>
    <w:rsid w:val="00094A64"/>
    <w:rsid w:val="00095507"/>
    <w:rsid w:val="000967F0"/>
    <w:rsid w:val="00096D8C"/>
    <w:rsid w:val="000970E5"/>
    <w:rsid w:val="0009729A"/>
    <w:rsid w:val="00097D69"/>
    <w:rsid w:val="000A0AC3"/>
    <w:rsid w:val="000A1141"/>
    <w:rsid w:val="000A1305"/>
    <w:rsid w:val="000A173E"/>
    <w:rsid w:val="000A2AF2"/>
    <w:rsid w:val="000A307C"/>
    <w:rsid w:val="000A3B1E"/>
    <w:rsid w:val="000A48C7"/>
    <w:rsid w:val="000A4CE0"/>
    <w:rsid w:val="000A4DA2"/>
    <w:rsid w:val="000A501E"/>
    <w:rsid w:val="000A6561"/>
    <w:rsid w:val="000A6961"/>
    <w:rsid w:val="000A75E5"/>
    <w:rsid w:val="000B1541"/>
    <w:rsid w:val="000B1AFA"/>
    <w:rsid w:val="000B251C"/>
    <w:rsid w:val="000B27D7"/>
    <w:rsid w:val="000B3967"/>
    <w:rsid w:val="000B3ECA"/>
    <w:rsid w:val="000B4440"/>
    <w:rsid w:val="000B5303"/>
    <w:rsid w:val="000B6213"/>
    <w:rsid w:val="000B63E9"/>
    <w:rsid w:val="000B677C"/>
    <w:rsid w:val="000B7C2C"/>
    <w:rsid w:val="000C0B65"/>
    <w:rsid w:val="000C25B8"/>
    <w:rsid w:val="000C2A0A"/>
    <w:rsid w:val="000C392C"/>
    <w:rsid w:val="000C3ABA"/>
    <w:rsid w:val="000C3E3E"/>
    <w:rsid w:val="000C4315"/>
    <w:rsid w:val="000C4597"/>
    <w:rsid w:val="000C4D07"/>
    <w:rsid w:val="000C5850"/>
    <w:rsid w:val="000C5972"/>
    <w:rsid w:val="000C5F01"/>
    <w:rsid w:val="000C7055"/>
    <w:rsid w:val="000C72BF"/>
    <w:rsid w:val="000C7F99"/>
    <w:rsid w:val="000D00DB"/>
    <w:rsid w:val="000D01B7"/>
    <w:rsid w:val="000D0650"/>
    <w:rsid w:val="000D0860"/>
    <w:rsid w:val="000D0C8E"/>
    <w:rsid w:val="000D2EA1"/>
    <w:rsid w:val="000D32A9"/>
    <w:rsid w:val="000D3C7A"/>
    <w:rsid w:val="000D3D23"/>
    <w:rsid w:val="000D5076"/>
    <w:rsid w:val="000D53F3"/>
    <w:rsid w:val="000D5810"/>
    <w:rsid w:val="000D5E91"/>
    <w:rsid w:val="000D6A0D"/>
    <w:rsid w:val="000D7412"/>
    <w:rsid w:val="000D761B"/>
    <w:rsid w:val="000D7F49"/>
    <w:rsid w:val="000E0814"/>
    <w:rsid w:val="000E0B59"/>
    <w:rsid w:val="000E0F0D"/>
    <w:rsid w:val="000E27C6"/>
    <w:rsid w:val="000E2BA5"/>
    <w:rsid w:val="000E2E62"/>
    <w:rsid w:val="000E3214"/>
    <w:rsid w:val="000E3423"/>
    <w:rsid w:val="000E3D42"/>
    <w:rsid w:val="000E44A9"/>
    <w:rsid w:val="000E539F"/>
    <w:rsid w:val="000E603C"/>
    <w:rsid w:val="000E65ED"/>
    <w:rsid w:val="000E7342"/>
    <w:rsid w:val="000E737E"/>
    <w:rsid w:val="000E78CD"/>
    <w:rsid w:val="000F144C"/>
    <w:rsid w:val="000F1ABD"/>
    <w:rsid w:val="000F1C5B"/>
    <w:rsid w:val="000F2BCA"/>
    <w:rsid w:val="000F3283"/>
    <w:rsid w:val="000F34A1"/>
    <w:rsid w:val="000F3BC6"/>
    <w:rsid w:val="000F3E99"/>
    <w:rsid w:val="000F3F4A"/>
    <w:rsid w:val="000F4681"/>
    <w:rsid w:val="000F4C2E"/>
    <w:rsid w:val="000F5589"/>
    <w:rsid w:val="000F5A7B"/>
    <w:rsid w:val="000F5B9B"/>
    <w:rsid w:val="000F65F1"/>
    <w:rsid w:val="00102B19"/>
    <w:rsid w:val="00103454"/>
    <w:rsid w:val="001039C8"/>
    <w:rsid w:val="00103D51"/>
    <w:rsid w:val="00103FD9"/>
    <w:rsid w:val="001040F6"/>
    <w:rsid w:val="00105536"/>
    <w:rsid w:val="00106203"/>
    <w:rsid w:val="001062DA"/>
    <w:rsid w:val="00106933"/>
    <w:rsid w:val="0010759D"/>
    <w:rsid w:val="00107C68"/>
    <w:rsid w:val="00110251"/>
    <w:rsid w:val="001103E4"/>
    <w:rsid w:val="00110907"/>
    <w:rsid w:val="00110B4A"/>
    <w:rsid w:val="00110FB7"/>
    <w:rsid w:val="00111549"/>
    <w:rsid w:val="00111BA8"/>
    <w:rsid w:val="001120F9"/>
    <w:rsid w:val="00112668"/>
    <w:rsid w:val="001132F9"/>
    <w:rsid w:val="001137F9"/>
    <w:rsid w:val="00113FE4"/>
    <w:rsid w:val="00114D5D"/>
    <w:rsid w:val="001155A9"/>
    <w:rsid w:val="00116722"/>
    <w:rsid w:val="00116812"/>
    <w:rsid w:val="0011738A"/>
    <w:rsid w:val="001173F8"/>
    <w:rsid w:val="00117D75"/>
    <w:rsid w:val="00117FD8"/>
    <w:rsid w:val="001203F0"/>
    <w:rsid w:val="00120A84"/>
    <w:rsid w:val="00121388"/>
    <w:rsid w:val="0012177B"/>
    <w:rsid w:val="00121C2F"/>
    <w:rsid w:val="00121F1C"/>
    <w:rsid w:val="00122BD5"/>
    <w:rsid w:val="00122F47"/>
    <w:rsid w:val="001231DA"/>
    <w:rsid w:val="001231DE"/>
    <w:rsid w:val="00123A55"/>
    <w:rsid w:val="00125985"/>
    <w:rsid w:val="001263A7"/>
    <w:rsid w:val="00126B51"/>
    <w:rsid w:val="00126D4E"/>
    <w:rsid w:val="00126E26"/>
    <w:rsid w:val="00127247"/>
    <w:rsid w:val="0012725D"/>
    <w:rsid w:val="00127645"/>
    <w:rsid w:val="00131827"/>
    <w:rsid w:val="001318CA"/>
    <w:rsid w:val="001327E1"/>
    <w:rsid w:val="00132994"/>
    <w:rsid w:val="00133C9E"/>
    <w:rsid w:val="00134594"/>
    <w:rsid w:val="00134CE2"/>
    <w:rsid w:val="001358CA"/>
    <w:rsid w:val="00136110"/>
    <w:rsid w:val="0013634D"/>
    <w:rsid w:val="0013730C"/>
    <w:rsid w:val="001373A8"/>
    <w:rsid w:val="00137C69"/>
    <w:rsid w:val="001400D8"/>
    <w:rsid w:val="001405F1"/>
    <w:rsid w:val="00141BBF"/>
    <w:rsid w:val="00142CF8"/>
    <w:rsid w:val="0014395E"/>
    <w:rsid w:val="00143F80"/>
    <w:rsid w:val="001445BE"/>
    <w:rsid w:val="00144872"/>
    <w:rsid w:val="0014487A"/>
    <w:rsid w:val="00144880"/>
    <w:rsid w:val="00144DF7"/>
    <w:rsid w:val="00145931"/>
    <w:rsid w:val="00145ABC"/>
    <w:rsid w:val="00145ED5"/>
    <w:rsid w:val="00146F02"/>
    <w:rsid w:val="001472DB"/>
    <w:rsid w:val="00147636"/>
    <w:rsid w:val="00147667"/>
    <w:rsid w:val="00147894"/>
    <w:rsid w:val="00147C26"/>
    <w:rsid w:val="00147C3E"/>
    <w:rsid w:val="00150278"/>
    <w:rsid w:val="001508E0"/>
    <w:rsid w:val="00150900"/>
    <w:rsid w:val="00150B1E"/>
    <w:rsid w:val="001515D1"/>
    <w:rsid w:val="00151C59"/>
    <w:rsid w:val="00151ECA"/>
    <w:rsid w:val="00152AD4"/>
    <w:rsid w:val="00152FE7"/>
    <w:rsid w:val="001537CA"/>
    <w:rsid w:val="00154548"/>
    <w:rsid w:val="00154C7D"/>
    <w:rsid w:val="00154EAD"/>
    <w:rsid w:val="00155012"/>
    <w:rsid w:val="00155121"/>
    <w:rsid w:val="00155597"/>
    <w:rsid w:val="00155844"/>
    <w:rsid w:val="0015638D"/>
    <w:rsid w:val="001565D0"/>
    <w:rsid w:val="0015662E"/>
    <w:rsid w:val="0015666C"/>
    <w:rsid w:val="001578F9"/>
    <w:rsid w:val="001578FE"/>
    <w:rsid w:val="00160CC7"/>
    <w:rsid w:val="001617A9"/>
    <w:rsid w:val="00162FBD"/>
    <w:rsid w:val="00163088"/>
    <w:rsid w:val="00163692"/>
    <w:rsid w:val="00163950"/>
    <w:rsid w:val="00163E7A"/>
    <w:rsid w:val="00163F97"/>
    <w:rsid w:val="00164E14"/>
    <w:rsid w:val="00164E53"/>
    <w:rsid w:val="00165D54"/>
    <w:rsid w:val="00165E0C"/>
    <w:rsid w:val="00166016"/>
    <w:rsid w:val="00167755"/>
    <w:rsid w:val="0016784D"/>
    <w:rsid w:val="00167A16"/>
    <w:rsid w:val="0017026D"/>
    <w:rsid w:val="001703D8"/>
    <w:rsid w:val="00170FB9"/>
    <w:rsid w:val="0017155A"/>
    <w:rsid w:val="001719B3"/>
    <w:rsid w:val="00171D3D"/>
    <w:rsid w:val="00171F85"/>
    <w:rsid w:val="00172CD3"/>
    <w:rsid w:val="0017306F"/>
    <w:rsid w:val="00173642"/>
    <w:rsid w:val="001736ED"/>
    <w:rsid w:val="00173721"/>
    <w:rsid w:val="00173B35"/>
    <w:rsid w:val="00174702"/>
    <w:rsid w:val="00174DBB"/>
    <w:rsid w:val="001753C8"/>
    <w:rsid w:val="00175E45"/>
    <w:rsid w:val="00176C27"/>
    <w:rsid w:val="00176CA1"/>
    <w:rsid w:val="00177160"/>
    <w:rsid w:val="0018038E"/>
    <w:rsid w:val="0018052D"/>
    <w:rsid w:val="001808B5"/>
    <w:rsid w:val="0018096F"/>
    <w:rsid w:val="00180E05"/>
    <w:rsid w:val="00181692"/>
    <w:rsid w:val="00181F8F"/>
    <w:rsid w:val="001822C1"/>
    <w:rsid w:val="00182D4C"/>
    <w:rsid w:val="00183A6B"/>
    <w:rsid w:val="00183AFD"/>
    <w:rsid w:val="001844C6"/>
    <w:rsid w:val="00184767"/>
    <w:rsid w:val="00184F3B"/>
    <w:rsid w:val="001852D5"/>
    <w:rsid w:val="00185420"/>
    <w:rsid w:val="0018553B"/>
    <w:rsid w:val="001862DA"/>
    <w:rsid w:val="00186896"/>
    <w:rsid w:val="0018698E"/>
    <w:rsid w:val="00186EBD"/>
    <w:rsid w:val="001872CD"/>
    <w:rsid w:val="00187395"/>
    <w:rsid w:val="0018771A"/>
    <w:rsid w:val="00187DB0"/>
    <w:rsid w:val="00187EF0"/>
    <w:rsid w:val="00190F1C"/>
    <w:rsid w:val="0019110D"/>
    <w:rsid w:val="0019142C"/>
    <w:rsid w:val="00191DBD"/>
    <w:rsid w:val="001940D1"/>
    <w:rsid w:val="00194474"/>
    <w:rsid w:val="001944F4"/>
    <w:rsid w:val="00194542"/>
    <w:rsid w:val="00195C63"/>
    <w:rsid w:val="001964DA"/>
    <w:rsid w:val="001966F8"/>
    <w:rsid w:val="0019694B"/>
    <w:rsid w:val="00197835"/>
    <w:rsid w:val="001A01B9"/>
    <w:rsid w:val="001A06DF"/>
    <w:rsid w:val="001A2983"/>
    <w:rsid w:val="001A34D4"/>
    <w:rsid w:val="001A35F1"/>
    <w:rsid w:val="001A3655"/>
    <w:rsid w:val="001A4E06"/>
    <w:rsid w:val="001A5D4F"/>
    <w:rsid w:val="001A7017"/>
    <w:rsid w:val="001A7138"/>
    <w:rsid w:val="001A79DB"/>
    <w:rsid w:val="001A7A62"/>
    <w:rsid w:val="001A7C4B"/>
    <w:rsid w:val="001B0928"/>
    <w:rsid w:val="001B1289"/>
    <w:rsid w:val="001B269D"/>
    <w:rsid w:val="001B26E1"/>
    <w:rsid w:val="001B2F8B"/>
    <w:rsid w:val="001B2FB5"/>
    <w:rsid w:val="001B3467"/>
    <w:rsid w:val="001B3681"/>
    <w:rsid w:val="001B617D"/>
    <w:rsid w:val="001B7182"/>
    <w:rsid w:val="001B72E5"/>
    <w:rsid w:val="001C1C72"/>
    <w:rsid w:val="001C29F6"/>
    <w:rsid w:val="001C2F1B"/>
    <w:rsid w:val="001C4188"/>
    <w:rsid w:val="001C4836"/>
    <w:rsid w:val="001C4912"/>
    <w:rsid w:val="001C4BFB"/>
    <w:rsid w:val="001C6862"/>
    <w:rsid w:val="001C798B"/>
    <w:rsid w:val="001D014E"/>
    <w:rsid w:val="001D030E"/>
    <w:rsid w:val="001D0523"/>
    <w:rsid w:val="001D07AF"/>
    <w:rsid w:val="001D0ADD"/>
    <w:rsid w:val="001D1286"/>
    <w:rsid w:val="001D18BC"/>
    <w:rsid w:val="001D1DCA"/>
    <w:rsid w:val="001D3AD4"/>
    <w:rsid w:val="001D3FEE"/>
    <w:rsid w:val="001D464B"/>
    <w:rsid w:val="001D4B63"/>
    <w:rsid w:val="001D53A2"/>
    <w:rsid w:val="001D5854"/>
    <w:rsid w:val="001D6481"/>
    <w:rsid w:val="001D6BCF"/>
    <w:rsid w:val="001D6D86"/>
    <w:rsid w:val="001D750A"/>
    <w:rsid w:val="001D754D"/>
    <w:rsid w:val="001D7D04"/>
    <w:rsid w:val="001E01CA"/>
    <w:rsid w:val="001E0856"/>
    <w:rsid w:val="001E1217"/>
    <w:rsid w:val="001E1FC2"/>
    <w:rsid w:val="001E204E"/>
    <w:rsid w:val="001E23CA"/>
    <w:rsid w:val="001E28DA"/>
    <w:rsid w:val="001E334F"/>
    <w:rsid w:val="001E342A"/>
    <w:rsid w:val="001E376F"/>
    <w:rsid w:val="001E3E06"/>
    <w:rsid w:val="001E4405"/>
    <w:rsid w:val="001E5E5E"/>
    <w:rsid w:val="001E6C04"/>
    <w:rsid w:val="001E71E1"/>
    <w:rsid w:val="001F047D"/>
    <w:rsid w:val="001F0490"/>
    <w:rsid w:val="001F0546"/>
    <w:rsid w:val="001F1575"/>
    <w:rsid w:val="001F1970"/>
    <w:rsid w:val="001F1A5B"/>
    <w:rsid w:val="001F1B8B"/>
    <w:rsid w:val="001F1EAD"/>
    <w:rsid w:val="001F3181"/>
    <w:rsid w:val="001F32B2"/>
    <w:rsid w:val="001F3757"/>
    <w:rsid w:val="001F3F68"/>
    <w:rsid w:val="001F4381"/>
    <w:rsid w:val="001F445B"/>
    <w:rsid w:val="001F6DA1"/>
    <w:rsid w:val="001F6E10"/>
    <w:rsid w:val="001F6F03"/>
    <w:rsid w:val="00200366"/>
    <w:rsid w:val="00200A34"/>
    <w:rsid w:val="00201907"/>
    <w:rsid w:val="002023D4"/>
    <w:rsid w:val="002032F0"/>
    <w:rsid w:val="00203AF7"/>
    <w:rsid w:val="002051F2"/>
    <w:rsid w:val="0020561E"/>
    <w:rsid w:val="00206471"/>
    <w:rsid w:val="00206635"/>
    <w:rsid w:val="00206A41"/>
    <w:rsid w:val="002079E0"/>
    <w:rsid w:val="002104F7"/>
    <w:rsid w:val="00210747"/>
    <w:rsid w:val="00210B13"/>
    <w:rsid w:val="00210E72"/>
    <w:rsid w:val="002119B7"/>
    <w:rsid w:val="002124F4"/>
    <w:rsid w:val="002130BD"/>
    <w:rsid w:val="0021319F"/>
    <w:rsid w:val="00213830"/>
    <w:rsid w:val="00213C63"/>
    <w:rsid w:val="00213F9F"/>
    <w:rsid w:val="002150D4"/>
    <w:rsid w:val="002157A2"/>
    <w:rsid w:val="002166FD"/>
    <w:rsid w:val="00216707"/>
    <w:rsid w:val="00216790"/>
    <w:rsid w:val="002172AB"/>
    <w:rsid w:val="00217C00"/>
    <w:rsid w:val="00220132"/>
    <w:rsid w:val="00220E17"/>
    <w:rsid w:val="002218B4"/>
    <w:rsid w:val="00221B1C"/>
    <w:rsid w:val="0022234C"/>
    <w:rsid w:val="00222A74"/>
    <w:rsid w:val="002245E7"/>
    <w:rsid w:val="00224749"/>
    <w:rsid w:val="002257DD"/>
    <w:rsid w:val="0022618E"/>
    <w:rsid w:val="00226214"/>
    <w:rsid w:val="0022694F"/>
    <w:rsid w:val="00227194"/>
    <w:rsid w:val="00227FB0"/>
    <w:rsid w:val="002300FE"/>
    <w:rsid w:val="002310A7"/>
    <w:rsid w:val="002310BF"/>
    <w:rsid w:val="002310CC"/>
    <w:rsid w:val="00231413"/>
    <w:rsid w:val="00231DB3"/>
    <w:rsid w:val="00231F35"/>
    <w:rsid w:val="002327A6"/>
    <w:rsid w:val="00232C35"/>
    <w:rsid w:val="00232F56"/>
    <w:rsid w:val="00232F5A"/>
    <w:rsid w:val="0023308D"/>
    <w:rsid w:val="0023382C"/>
    <w:rsid w:val="002338D0"/>
    <w:rsid w:val="00234A39"/>
    <w:rsid w:val="00234BDD"/>
    <w:rsid w:val="00235569"/>
    <w:rsid w:val="00235A11"/>
    <w:rsid w:val="002360D2"/>
    <w:rsid w:val="00236C47"/>
    <w:rsid w:val="002371BF"/>
    <w:rsid w:val="0023793E"/>
    <w:rsid w:val="002402F5"/>
    <w:rsid w:val="0024141A"/>
    <w:rsid w:val="002429ED"/>
    <w:rsid w:val="002431F0"/>
    <w:rsid w:val="00243928"/>
    <w:rsid w:val="00243A8E"/>
    <w:rsid w:val="00243F6F"/>
    <w:rsid w:val="0024444E"/>
    <w:rsid w:val="00246F96"/>
    <w:rsid w:val="0024753A"/>
    <w:rsid w:val="00247575"/>
    <w:rsid w:val="002477CD"/>
    <w:rsid w:val="00247A2C"/>
    <w:rsid w:val="0025143C"/>
    <w:rsid w:val="00251A79"/>
    <w:rsid w:val="00251B63"/>
    <w:rsid w:val="0025234F"/>
    <w:rsid w:val="00253821"/>
    <w:rsid w:val="00253C78"/>
    <w:rsid w:val="002545CC"/>
    <w:rsid w:val="00255B10"/>
    <w:rsid w:val="00255B71"/>
    <w:rsid w:val="00255BA0"/>
    <w:rsid w:val="00256222"/>
    <w:rsid w:val="00256279"/>
    <w:rsid w:val="002573F1"/>
    <w:rsid w:val="002601D4"/>
    <w:rsid w:val="00260244"/>
    <w:rsid w:val="00260AFB"/>
    <w:rsid w:val="00260DD1"/>
    <w:rsid w:val="002627B6"/>
    <w:rsid w:val="00263DEE"/>
    <w:rsid w:val="00264613"/>
    <w:rsid w:val="00265376"/>
    <w:rsid w:val="002664E2"/>
    <w:rsid w:val="00266B3C"/>
    <w:rsid w:val="00266D2C"/>
    <w:rsid w:val="00267708"/>
    <w:rsid w:val="0027029F"/>
    <w:rsid w:val="00270945"/>
    <w:rsid w:val="002713F3"/>
    <w:rsid w:val="002720BB"/>
    <w:rsid w:val="00272346"/>
    <w:rsid w:val="00272BBC"/>
    <w:rsid w:val="00273325"/>
    <w:rsid w:val="00274ECF"/>
    <w:rsid w:val="00274F13"/>
    <w:rsid w:val="0027552F"/>
    <w:rsid w:val="00275699"/>
    <w:rsid w:val="00276311"/>
    <w:rsid w:val="00276C39"/>
    <w:rsid w:val="002805C6"/>
    <w:rsid w:val="00280E97"/>
    <w:rsid w:val="00282BF2"/>
    <w:rsid w:val="00284555"/>
    <w:rsid w:val="002848AB"/>
    <w:rsid w:val="002849D7"/>
    <w:rsid w:val="00284AD4"/>
    <w:rsid w:val="00284FE1"/>
    <w:rsid w:val="00285017"/>
    <w:rsid w:val="002862AF"/>
    <w:rsid w:val="002867C1"/>
    <w:rsid w:val="00286C8E"/>
    <w:rsid w:val="00287817"/>
    <w:rsid w:val="002919F8"/>
    <w:rsid w:val="002924D8"/>
    <w:rsid w:val="00292C4E"/>
    <w:rsid w:val="002933A9"/>
    <w:rsid w:val="0029393E"/>
    <w:rsid w:val="002941C8"/>
    <w:rsid w:val="00294501"/>
    <w:rsid w:val="002945BE"/>
    <w:rsid w:val="002947B1"/>
    <w:rsid w:val="002947F2"/>
    <w:rsid w:val="002954B2"/>
    <w:rsid w:val="00295519"/>
    <w:rsid w:val="0029553B"/>
    <w:rsid w:val="0029585B"/>
    <w:rsid w:val="00295A3C"/>
    <w:rsid w:val="00295DE4"/>
    <w:rsid w:val="00296018"/>
    <w:rsid w:val="00296384"/>
    <w:rsid w:val="00296B98"/>
    <w:rsid w:val="002977C1"/>
    <w:rsid w:val="00297BEC"/>
    <w:rsid w:val="002A0810"/>
    <w:rsid w:val="002A2AC7"/>
    <w:rsid w:val="002A2D2E"/>
    <w:rsid w:val="002A2F7A"/>
    <w:rsid w:val="002A423C"/>
    <w:rsid w:val="002A4BC3"/>
    <w:rsid w:val="002A58EF"/>
    <w:rsid w:val="002A5DD8"/>
    <w:rsid w:val="002A6143"/>
    <w:rsid w:val="002A631B"/>
    <w:rsid w:val="002A6BB2"/>
    <w:rsid w:val="002A7233"/>
    <w:rsid w:val="002A723A"/>
    <w:rsid w:val="002A7B21"/>
    <w:rsid w:val="002A7F91"/>
    <w:rsid w:val="002B0C43"/>
    <w:rsid w:val="002B0ECC"/>
    <w:rsid w:val="002B164B"/>
    <w:rsid w:val="002B19AE"/>
    <w:rsid w:val="002B2A40"/>
    <w:rsid w:val="002B2BCF"/>
    <w:rsid w:val="002B2CDD"/>
    <w:rsid w:val="002B4163"/>
    <w:rsid w:val="002B4367"/>
    <w:rsid w:val="002B4984"/>
    <w:rsid w:val="002B50FA"/>
    <w:rsid w:val="002B71A9"/>
    <w:rsid w:val="002B7B4E"/>
    <w:rsid w:val="002B7CCC"/>
    <w:rsid w:val="002C0443"/>
    <w:rsid w:val="002C0AD6"/>
    <w:rsid w:val="002C0C5F"/>
    <w:rsid w:val="002C1DBC"/>
    <w:rsid w:val="002C223C"/>
    <w:rsid w:val="002C259A"/>
    <w:rsid w:val="002C36C4"/>
    <w:rsid w:val="002C3A9C"/>
    <w:rsid w:val="002C4E9C"/>
    <w:rsid w:val="002C527F"/>
    <w:rsid w:val="002C52D7"/>
    <w:rsid w:val="002C58CF"/>
    <w:rsid w:val="002C5EC6"/>
    <w:rsid w:val="002C5F7C"/>
    <w:rsid w:val="002C62FA"/>
    <w:rsid w:val="002C6733"/>
    <w:rsid w:val="002C6A41"/>
    <w:rsid w:val="002C6C10"/>
    <w:rsid w:val="002C7A04"/>
    <w:rsid w:val="002D0E24"/>
    <w:rsid w:val="002D13B9"/>
    <w:rsid w:val="002D2BBA"/>
    <w:rsid w:val="002D33C1"/>
    <w:rsid w:val="002D3D3A"/>
    <w:rsid w:val="002D4CFE"/>
    <w:rsid w:val="002D4EED"/>
    <w:rsid w:val="002D52B0"/>
    <w:rsid w:val="002D53E0"/>
    <w:rsid w:val="002D678D"/>
    <w:rsid w:val="002D6C6D"/>
    <w:rsid w:val="002D7099"/>
    <w:rsid w:val="002D7399"/>
    <w:rsid w:val="002E0163"/>
    <w:rsid w:val="002E0167"/>
    <w:rsid w:val="002E2490"/>
    <w:rsid w:val="002E29B5"/>
    <w:rsid w:val="002E2DBE"/>
    <w:rsid w:val="002E32A0"/>
    <w:rsid w:val="002E338C"/>
    <w:rsid w:val="002E357E"/>
    <w:rsid w:val="002E3677"/>
    <w:rsid w:val="002E3B58"/>
    <w:rsid w:val="002E3F5D"/>
    <w:rsid w:val="002E4EF3"/>
    <w:rsid w:val="002E578E"/>
    <w:rsid w:val="002E5CB0"/>
    <w:rsid w:val="002E6D78"/>
    <w:rsid w:val="002E71DD"/>
    <w:rsid w:val="002E7453"/>
    <w:rsid w:val="002E7E42"/>
    <w:rsid w:val="002F0037"/>
    <w:rsid w:val="002F0B7C"/>
    <w:rsid w:val="002F0D99"/>
    <w:rsid w:val="002F0E31"/>
    <w:rsid w:val="002F1134"/>
    <w:rsid w:val="002F17B7"/>
    <w:rsid w:val="002F1FAD"/>
    <w:rsid w:val="002F2537"/>
    <w:rsid w:val="002F2B70"/>
    <w:rsid w:val="002F2C99"/>
    <w:rsid w:val="002F324A"/>
    <w:rsid w:val="002F39B9"/>
    <w:rsid w:val="002F3A5F"/>
    <w:rsid w:val="002F3CD1"/>
    <w:rsid w:val="002F431C"/>
    <w:rsid w:val="002F4F12"/>
    <w:rsid w:val="002F5960"/>
    <w:rsid w:val="002F5C8B"/>
    <w:rsid w:val="002F5C9C"/>
    <w:rsid w:val="002F5DA6"/>
    <w:rsid w:val="002F606F"/>
    <w:rsid w:val="002F6196"/>
    <w:rsid w:val="002F693F"/>
    <w:rsid w:val="002F6CCC"/>
    <w:rsid w:val="002F72EB"/>
    <w:rsid w:val="002F7B45"/>
    <w:rsid w:val="002F7C78"/>
    <w:rsid w:val="003000BB"/>
    <w:rsid w:val="0030096A"/>
    <w:rsid w:val="003009BF"/>
    <w:rsid w:val="00300AF6"/>
    <w:rsid w:val="00300BB8"/>
    <w:rsid w:val="00300BFD"/>
    <w:rsid w:val="003015B2"/>
    <w:rsid w:val="00301DF5"/>
    <w:rsid w:val="00303370"/>
    <w:rsid w:val="00303726"/>
    <w:rsid w:val="00303956"/>
    <w:rsid w:val="00303B5F"/>
    <w:rsid w:val="00303E9C"/>
    <w:rsid w:val="00304517"/>
    <w:rsid w:val="00304C85"/>
    <w:rsid w:val="00305561"/>
    <w:rsid w:val="003057A6"/>
    <w:rsid w:val="00305FD9"/>
    <w:rsid w:val="00305FDA"/>
    <w:rsid w:val="00306898"/>
    <w:rsid w:val="00306C25"/>
    <w:rsid w:val="00307277"/>
    <w:rsid w:val="003079E8"/>
    <w:rsid w:val="0031176B"/>
    <w:rsid w:val="00311D8D"/>
    <w:rsid w:val="00313572"/>
    <w:rsid w:val="003142C4"/>
    <w:rsid w:val="00314927"/>
    <w:rsid w:val="00314E09"/>
    <w:rsid w:val="00314E31"/>
    <w:rsid w:val="003151B8"/>
    <w:rsid w:val="0031533D"/>
    <w:rsid w:val="003156E3"/>
    <w:rsid w:val="00315C60"/>
    <w:rsid w:val="00316818"/>
    <w:rsid w:val="00316E1D"/>
    <w:rsid w:val="0031711D"/>
    <w:rsid w:val="0031766F"/>
    <w:rsid w:val="00320509"/>
    <w:rsid w:val="003205D0"/>
    <w:rsid w:val="003211FA"/>
    <w:rsid w:val="00322284"/>
    <w:rsid w:val="00323F5F"/>
    <w:rsid w:val="003243BC"/>
    <w:rsid w:val="003244A9"/>
    <w:rsid w:val="00324857"/>
    <w:rsid w:val="00325255"/>
    <w:rsid w:val="003258B7"/>
    <w:rsid w:val="003259EF"/>
    <w:rsid w:val="003261E9"/>
    <w:rsid w:val="0032753F"/>
    <w:rsid w:val="003276FD"/>
    <w:rsid w:val="00330193"/>
    <w:rsid w:val="003307BE"/>
    <w:rsid w:val="00332645"/>
    <w:rsid w:val="00332F38"/>
    <w:rsid w:val="00333310"/>
    <w:rsid w:val="0033357A"/>
    <w:rsid w:val="003339D9"/>
    <w:rsid w:val="00333F8F"/>
    <w:rsid w:val="0033428A"/>
    <w:rsid w:val="00335FE3"/>
    <w:rsid w:val="00336E29"/>
    <w:rsid w:val="00337304"/>
    <w:rsid w:val="003374B0"/>
    <w:rsid w:val="00337B91"/>
    <w:rsid w:val="0034077A"/>
    <w:rsid w:val="00340BCF"/>
    <w:rsid w:val="00341C37"/>
    <w:rsid w:val="00341E36"/>
    <w:rsid w:val="00341E9A"/>
    <w:rsid w:val="003434EE"/>
    <w:rsid w:val="00343749"/>
    <w:rsid w:val="00343777"/>
    <w:rsid w:val="00344FCB"/>
    <w:rsid w:val="00345050"/>
    <w:rsid w:val="0034505F"/>
    <w:rsid w:val="003453C8"/>
    <w:rsid w:val="00345BA4"/>
    <w:rsid w:val="0034665B"/>
    <w:rsid w:val="00346CF5"/>
    <w:rsid w:val="0034789D"/>
    <w:rsid w:val="00350306"/>
    <w:rsid w:val="003504BB"/>
    <w:rsid w:val="00351CE1"/>
    <w:rsid w:val="00354BA6"/>
    <w:rsid w:val="003554C2"/>
    <w:rsid w:val="00355B13"/>
    <w:rsid w:val="00355D27"/>
    <w:rsid w:val="00356069"/>
    <w:rsid w:val="0035623B"/>
    <w:rsid w:val="003566F1"/>
    <w:rsid w:val="00356C9C"/>
    <w:rsid w:val="003573C4"/>
    <w:rsid w:val="00360A52"/>
    <w:rsid w:val="00360B1B"/>
    <w:rsid w:val="00360E07"/>
    <w:rsid w:val="00360EB8"/>
    <w:rsid w:val="00361063"/>
    <w:rsid w:val="00361081"/>
    <w:rsid w:val="0036235B"/>
    <w:rsid w:val="0036296B"/>
    <w:rsid w:val="003629EA"/>
    <w:rsid w:val="00362B2C"/>
    <w:rsid w:val="00363329"/>
    <w:rsid w:val="0036353B"/>
    <w:rsid w:val="003635C6"/>
    <w:rsid w:val="0036437E"/>
    <w:rsid w:val="00364D4A"/>
    <w:rsid w:val="00365720"/>
    <w:rsid w:val="00365CC6"/>
    <w:rsid w:val="00365E46"/>
    <w:rsid w:val="0036612E"/>
    <w:rsid w:val="00366C70"/>
    <w:rsid w:val="00367C73"/>
    <w:rsid w:val="0037047E"/>
    <w:rsid w:val="0037059D"/>
    <w:rsid w:val="003708F8"/>
    <w:rsid w:val="00371657"/>
    <w:rsid w:val="003718A3"/>
    <w:rsid w:val="00371B47"/>
    <w:rsid w:val="00372114"/>
    <w:rsid w:val="0037219E"/>
    <w:rsid w:val="00372887"/>
    <w:rsid w:val="00372D7E"/>
    <w:rsid w:val="00372E20"/>
    <w:rsid w:val="0037366A"/>
    <w:rsid w:val="0037457B"/>
    <w:rsid w:val="003746C6"/>
    <w:rsid w:val="00374FDB"/>
    <w:rsid w:val="003752C0"/>
    <w:rsid w:val="00375F8A"/>
    <w:rsid w:val="0037613F"/>
    <w:rsid w:val="00376330"/>
    <w:rsid w:val="00376800"/>
    <w:rsid w:val="00376E9C"/>
    <w:rsid w:val="003801B3"/>
    <w:rsid w:val="00380230"/>
    <w:rsid w:val="00380AC1"/>
    <w:rsid w:val="003810FE"/>
    <w:rsid w:val="00381D16"/>
    <w:rsid w:val="0038204A"/>
    <w:rsid w:val="00382C39"/>
    <w:rsid w:val="00383ECE"/>
    <w:rsid w:val="0038543C"/>
    <w:rsid w:val="00385991"/>
    <w:rsid w:val="00385EAA"/>
    <w:rsid w:val="00386D0D"/>
    <w:rsid w:val="0038766C"/>
    <w:rsid w:val="00387F7D"/>
    <w:rsid w:val="00390D75"/>
    <w:rsid w:val="00390DCB"/>
    <w:rsid w:val="003911A4"/>
    <w:rsid w:val="0039196C"/>
    <w:rsid w:val="00391E28"/>
    <w:rsid w:val="00392170"/>
    <w:rsid w:val="00392176"/>
    <w:rsid w:val="003942B7"/>
    <w:rsid w:val="00396242"/>
    <w:rsid w:val="003967FD"/>
    <w:rsid w:val="0039704E"/>
    <w:rsid w:val="00397255"/>
    <w:rsid w:val="00397948"/>
    <w:rsid w:val="00397FF2"/>
    <w:rsid w:val="003A014B"/>
    <w:rsid w:val="003A137D"/>
    <w:rsid w:val="003A1D84"/>
    <w:rsid w:val="003A20AE"/>
    <w:rsid w:val="003A2DD0"/>
    <w:rsid w:val="003A3918"/>
    <w:rsid w:val="003A4137"/>
    <w:rsid w:val="003A426E"/>
    <w:rsid w:val="003A665E"/>
    <w:rsid w:val="003A6B23"/>
    <w:rsid w:val="003A7565"/>
    <w:rsid w:val="003A76BF"/>
    <w:rsid w:val="003A7E1D"/>
    <w:rsid w:val="003B0550"/>
    <w:rsid w:val="003B19DC"/>
    <w:rsid w:val="003B2316"/>
    <w:rsid w:val="003B24F7"/>
    <w:rsid w:val="003B27CA"/>
    <w:rsid w:val="003B2ED2"/>
    <w:rsid w:val="003B3795"/>
    <w:rsid w:val="003B3901"/>
    <w:rsid w:val="003B405C"/>
    <w:rsid w:val="003B49A8"/>
    <w:rsid w:val="003B580B"/>
    <w:rsid w:val="003B60F8"/>
    <w:rsid w:val="003B694F"/>
    <w:rsid w:val="003B6E8B"/>
    <w:rsid w:val="003C0A57"/>
    <w:rsid w:val="003C2B81"/>
    <w:rsid w:val="003C2D04"/>
    <w:rsid w:val="003C30F0"/>
    <w:rsid w:val="003C339E"/>
    <w:rsid w:val="003C35BD"/>
    <w:rsid w:val="003C4237"/>
    <w:rsid w:val="003C4A61"/>
    <w:rsid w:val="003C4DB3"/>
    <w:rsid w:val="003C4F0E"/>
    <w:rsid w:val="003C5187"/>
    <w:rsid w:val="003C51F2"/>
    <w:rsid w:val="003C5339"/>
    <w:rsid w:val="003C55EC"/>
    <w:rsid w:val="003C6004"/>
    <w:rsid w:val="003C62AC"/>
    <w:rsid w:val="003C6DFC"/>
    <w:rsid w:val="003C7CBD"/>
    <w:rsid w:val="003D0FD3"/>
    <w:rsid w:val="003D112D"/>
    <w:rsid w:val="003D1D58"/>
    <w:rsid w:val="003D2556"/>
    <w:rsid w:val="003D255A"/>
    <w:rsid w:val="003D3016"/>
    <w:rsid w:val="003D3415"/>
    <w:rsid w:val="003D3CFC"/>
    <w:rsid w:val="003D3CFD"/>
    <w:rsid w:val="003D4427"/>
    <w:rsid w:val="003D496E"/>
    <w:rsid w:val="003D5077"/>
    <w:rsid w:val="003D5A23"/>
    <w:rsid w:val="003D63E9"/>
    <w:rsid w:val="003D69D7"/>
    <w:rsid w:val="003D7631"/>
    <w:rsid w:val="003D7E2E"/>
    <w:rsid w:val="003E001D"/>
    <w:rsid w:val="003E00B9"/>
    <w:rsid w:val="003E0DF4"/>
    <w:rsid w:val="003E1183"/>
    <w:rsid w:val="003E1508"/>
    <w:rsid w:val="003E1D1A"/>
    <w:rsid w:val="003E2AC5"/>
    <w:rsid w:val="003E38AB"/>
    <w:rsid w:val="003E3A39"/>
    <w:rsid w:val="003E4039"/>
    <w:rsid w:val="003E44A1"/>
    <w:rsid w:val="003E4E7B"/>
    <w:rsid w:val="003E596D"/>
    <w:rsid w:val="003E5BF8"/>
    <w:rsid w:val="003E6EBF"/>
    <w:rsid w:val="003E7125"/>
    <w:rsid w:val="003E751B"/>
    <w:rsid w:val="003F038F"/>
    <w:rsid w:val="003F049E"/>
    <w:rsid w:val="003F0945"/>
    <w:rsid w:val="003F0A39"/>
    <w:rsid w:val="003F0E86"/>
    <w:rsid w:val="003F171C"/>
    <w:rsid w:val="003F1E0E"/>
    <w:rsid w:val="003F3088"/>
    <w:rsid w:val="003F30A1"/>
    <w:rsid w:val="003F42C1"/>
    <w:rsid w:val="003F59C2"/>
    <w:rsid w:val="003F626B"/>
    <w:rsid w:val="003F680B"/>
    <w:rsid w:val="003F6843"/>
    <w:rsid w:val="003F7155"/>
    <w:rsid w:val="004005A7"/>
    <w:rsid w:val="00400EAB"/>
    <w:rsid w:val="004015C1"/>
    <w:rsid w:val="00403116"/>
    <w:rsid w:val="0040320C"/>
    <w:rsid w:val="004051B4"/>
    <w:rsid w:val="00405B88"/>
    <w:rsid w:val="00406343"/>
    <w:rsid w:val="00406A06"/>
    <w:rsid w:val="004070C3"/>
    <w:rsid w:val="00407A75"/>
    <w:rsid w:val="00410FA1"/>
    <w:rsid w:val="00411F2E"/>
    <w:rsid w:val="00412787"/>
    <w:rsid w:val="00412FC5"/>
    <w:rsid w:val="00413539"/>
    <w:rsid w:val="00413823"/>
    <w:rsid w:val="00414045"/>
    <w:rsid w:val="004159C6"/>
    <w:rsid w:val="004162FF"/>
    <w:rsid w:val="00416796"/>
    <w:rsid w:val="00416E61"/>
    <w:rsid w:val="00417299"/>
    <w:rsid w:val="00420273"/>
    <w:rsid w:val="00420357"/>
    <w:rsid w:val="00420697"/>
    <w:rsid w:val="004207A7"/>
    <w:rsid w:val="0042204A"/>
    <w:rsid w:val="004220AD"/>
    <w:rsid w:val="004221EE"/>
    <w:rsid w:val="00422276"/>
    <w:rsid w:val="0042268D"/>
    <w:rsid w:val="004229B9"/>
    <w:rsid w:val="0042301F"/>
    <w:rsid w:val="004230BB"/>
    <w:rsid w:val="004232FD"/>
    <w:rsid w:val="00423931"/>
    <w:rsid w:val="00423D62"/>
    <w:rsid w:val="004242F1"/>
    <w:rsid w:val="00424EA5"/>
    <w:rsid w:val="00425F37"/>
    <w:rsid w:val="00426524"/>
    <w:rsid w:val="00426722"/>
    <w:rsid w:val="004267EF"/>
    <w:rsid w:val="00426BFF"/>
    <w:rsid w:val="00426C54"/>
    <w:rsid w:val="00427B35"/>
    <w:rsid w:val="00430D93"/>
    <w:rsid w:val="00430EE7"/>
    <w:rsid w:val="004311A6"/>
    <w:rsid w:val="00431529"/>
    <w:rsid w:val="00431D34"/>
    <w:rsid w:val="00431FF3"/>
    <w:rsid w:val="00433F20"/>
    <w:rsid w:val="00434585"/>
    <w:rsid w:val="00434B28"/>
    <w:rsid w:val="00434B9B"/>
    <w:rsid w:val="0043555B"/>
    <w:rsid w:val="00435652"/>
    <w:rsid w:val="00435776"/>
    <w:rsid w:val="004362D8"/>
    <w:rsid w:val="004363E9"/>
    <w:rsid w:val="00436A71"/>
    <w:rsid w:val="00437E05"/>
    <w:rsid w:val="00440D3A"/>
    <w:rsid w:val="00440D6D"/>
    <w:rsid w:val="00441F1C"/>
    <w:rsid w:val="004424F6"/>
    <w:rsid w:val="00442BB8"/>
    <w:rsid w:val="00442DC4"/>
    <w:rsid w:val="0044420A"/>
    <w:rsid w:val="00444612"/>
    <w:rsid w:val="00445A00"/>
    <w:rsid w:val="004462A1"/>
    <w:rsid w:val="00446687"/>
    <w:rsid w:val="004468E4"/>
    <w:rsid w:val="004475FC"/>
    <w:rsid w:val="004503B4"/>
    <w:rsid w:val="00451346"/>
    <w:rsid w:val="004513D8"/>
    <w:rsid w:val="004517A4"/>
    <w:rsid w:val="00451B0F"/>
    <w:rsid w:val="00452196"/>
    <w:rsid w:val="00452626"/>
    <w:rsid w:val="00452FF7"/>
    <w:rsid w:val="00453AB6"/>
    <w:rsid w:val="00454E40"/>
    <w:rsid w:val="004551FE"/>
    <w:rsid w:val="004552A1"/>
    <w:rsid w:val="00455A95"/>
    <w:rsid w:val="00456874"/>
    <w:rsid w:val="004577DC"/>
    <w:rsid w:val="00457FF7"/>
    <w:rsid w:val="0046069A"/>
    <w:rsid w:val="00460BAE"/>
    <w:rsid w:val="00460D92"/>
    <w:rsid w:val="00460F7D"/>
    <w:rsid w:val="00461FC5"/>
    <w:rsid w:val="004620E9"/>
    <w:rsid w:val="00462765"/>
    <w:rsid w:val="0046279E"/>
    <w:rsid w:val="00465107"/>
    <w:rsid w:val="00465EE1"/>
    <w:rsid w:val="0046637E"/>
    <w:rsid w:val="004664B9"/>
    <w:rsid w:val="00466653"/>
    <w:rsid w:val="004668E1"/>
    <w:rsid w:val="00466DBB"/>
    <w:rsid w:val="0046779F"/>
    <w:rsid w:val="00470207"/>
    <w:rsid w:val="0047067D"/>
    <w:rsid w:val="00470C4F"/>
    <w:rsid w:val="00471172"/>
    <w:rsid w:val="004718B5"/>
    <w:rsid w:val="0047196F"/>
    <w:rsid w:val="00471A27"/>
    <w:rsid w:val="0047373E"/>
    <w:rsid w:val="00473793"/>
    <w:rsid w:val="00473AB2"/>
    <w:rsid w:val="004740C6"/>
    <w:rsid w:val="00474289"/>
    <w:rsid w:val="00475201"/>
    <w:rsid w:val="00475BB7"/>
    <w:rsid w:val="004762CB"/>
    <w:rsid w:val="0047631A"/>
    <w:rsid w:val="004801EE"/>
    <w:rsid w:val="00480213"/>
    <w:rsid w:val="00480DC7"/>
    <w:rsid w:val="00480F37"/>
    <w:rsid w:val="0048186C"/>
    <w:rsid w:val="00481C76"/>
    <w:rsid w:val="00482652"/>
    <w:rsid w:val="004828B9"/>
    <w:rsid w:val="00482B36"/>
    <w:rsid w:val="0048316C"/>
    <w:rsid w:val="00483FF3"/>
    <w:rsid w:val="0048413A"/>
    <w:rsid w:val="004848BE"/>
    <w:rsid w:val="00484A2F"/>
    <w:rsid w:val="004853A6"/>
    <w:rsid w:val="00485735"/>
    <w:rsid w:val="00486803"/>
    <w:rsid w:val="00486E51"/>
    <w:rsid w:val="00487B1F"/>
    <w:rsid w:val="00490D03"/>
    <w:rsid w:val="00490D81"/>
    <w:rsid w:val="00491C42"/>
    <w:rsid w:val="00491D93"/>
    <w:rsid w:val="004934E0"/>
    <w:rsid w:val="0049378F"/>
    <w:rsid w:val="004946E6"/>
    <w:rsid w:val="00494B40"/>
    <w:rsid w:val="0049549C"/>
    <w:rsid w:val="004957CD"/>
    <w:rsid w:val="00496A71"/>
    <w:rsid w:val="0049733F"/>
    <w:rsid w:val="00497915"/>
    <w:rsid w:val="004A06F1"/>
    <w:rsid w:val="004A143E"/>
    <w:rsid w:val="004A1F03"/>
    <w:rsid w:val="004A1F2B"/>
    <w:rsid w:val="004A21F8"/>
    <w:rsid w:val="004A3C88"/>
    <w:rsid w:val="004A3D33"/>
    <w:rsid w:val="004A4207"/>
    <w:rsid w:val="004A46E1"/>
    <w:rsid w:val="004A521F"/>
    <w:rsid w:val="004A571F"/>
    <w:rsid w:val="004A6B27"/>
    <w:rsid w:val="004A73A0"/>
    <w:rsid w:val="004B0B62"/>
    <w:rsid w:val="004B0D3A"/>
    <w:rsid w:val="004B10BD"/>
    <w:rsid w:val="004B131B"/>
    <w:rsid w:val="004B180D"/>
    <w:rsid w:val="004B1C34"/>
    <w:rsid w:val="004B1DCB"/>
    <w:rsid w:val="004B232E"/>
    <w:rsid w:val="004B3E2E"/>
    <w:rsid w:val="004B465A"/>
    <w:rsid w:val="004B55B9"/>
    <w:rsid w:val="004B567C"/>
    <w:rsid w:val="004B7629"/>
    <w:rsid w:val="004B7889"/>
    <w:rsid w:val="004C0770"/>
    <w:rsid w:val="004C1C42"/>
    <w:rsid w:val="004C2512"/>
    <w:rsid w:val="004C2EE3"/>
    <w:rsid w:val="004C3E85"/>
    <w:rsid w:val="004C3FF0"/>
    <w:rsid w:val="004C4AED"/>
    <w:rsid w:val="004C4D50"/>
    <w:rsid w:val="004C5907"/>
    <w:rsid w:val="004C59AE"/>
    <w:rsid w:val="004C5CF6"/>
    <w:rsid w:val="004C6120"/>
    <w:rsid w:val="004C68CE"/>
    <w:rsid w:val="004C6B9E"/>
    <w:rsid w:val="004C6F94"/>
    <w:rsid w:val="004C7437"/>
    <w:rsid w:val="004D012A"/>
    <w:rsid w:val="004D02FD"/>
    <w:rsid w:val="004D0A95"/>
    <w:rsid w:val="004D1682"/>
    <w:rsid w:val="004D1C41"/>
    <w:rsid w:val="004D1EE7"/>
    <w:rsid w:val="004D26ED"/>
    <w:rsid w:val="004D3887"/>
    <w:rsid w:val="004D3B75"/>
    <w:rsid w:val="004D4012"/>
    <w:rsid w:val="004D4498"/>
    <w:rsid w:val="004D47C9"/>
    <w:rsid w:val="004D48E4"/>
    <w:rsid w:val="004D5CB8"/>
    <w:rsid w:val="004D655B"/>
    <w:rsid w:val="004D7302"/>
    <w:rsid w:val="004D7B5F"/>
    <w:rsid w:val="004E0670"/>
    <w:rsid w:val="004E10CF"/>
    <w:rsid w:val="004E2E51"/>
    <w:rsid w:val="004E395E"/>
    <w:rsid w:val="004E3F50"/>
    <w:rsid w:val="004E4785"/>
    <w:rsid w:val="004E4A22"/>
    <w:rsid w:val="004E4E6C"/>
    <w:rsid w:val="004E6E59"/>
    <w:rsid w:val="004E724C"/>
    <w:rsid w:val="004F0C92"/>
    <w:rsid w:val="004F2130"/>
    <w:rsid w:val="004F2626"/>
    <w:rsid w:val="004F31AD"/>
    <w:rsid w:val="004F32AA"/>
    <w:rsid w:val="004F361D"/>
    <w:rsid w:val="004F3BB7"/>
    <w:rsid w:val="004F4039"/>
    <w:rsid w:val="004F54FA"/>
    <w:rsid w:val="004F56DE"/>
    <w:rsid w:val="004F5852"/>
    <w:rsid w:val="004F5923"/>
    <w:rsid w:val="004F6816"/>
    <w:rsid w:val="004F6DFF"/>
    <w:rsid w:val="004F7D81"/>
    <w:rsid w:val="004F7E7B"/>
    <w:rsid w:val="005000C5"/>
    <w:rsid w:val="00501891"/>
    <w:rsid w:val="00502285"/>
    <w:rsid w:val="00502DCA"/>
    <w:rsid w:val="005033D7"/>
    <w:rsid w:val="005047AB"/>
    <w:rsid w:val="00505575"/>
    <w:rsid w:val="00506312"/>
    <w:rsid w:val="005074E0"/>
    <w:rsid w:val="0051021C"/>
    <w:rsid w:val="005107CB"/>
    <w:rsid w:val="00510983"/>
    <w:rsid w:val="00510EC6"/>
    <w:rsid w:val="00511968"/>
    <w:rsid w:val="00511CA2"/>
    <w:rsid w:val="00512307"/>
    <w:rsid w:val="0051248F"/>
    <w:rsid w:val="005139B7"/>
    <w:rsid w:val="00513AB4"/>
    <w:rsid w:val="00514E0A"/>
    <w:rsid w:val="00515722"/>
    <w:rsid w:val="00516031"/>
    <w:rsid w:val="005163AF"/>
    <w:rsid w:val="0051646B"/>
    <w:rsid w:val="0051647B"/>
    <w:rsid w:val="005171A7"/>
    <w:rsid w:val="00517579"/>
    <w:rsid w:val="00517C58"/>
    <w:rsid w:val="00517D89"/>
    <w:rsid w:val="00520A5F"/>
    <w:rsid w:val="005217D6"/>
    <w:rsid w:val="0052228F"/>
    <w:rsid w:val="005225C5"/>
    <w:rsid w:val="00523877"/>
    <w:rsid w:val="00523F9C"/>
    <w:rsid w:val="0052423A"/>
    <w:rsid w:val="005243BF"/>
    <w:rsid w:val="00524DB9"/>
    <w:rsid w:val="00525170"/>
    <w:rsid w:val="005251B9"/>
    <w:rsid w:val="005253FA"/>
    <w:rsid w:val="0052656D"/>
    <w:rsid w:val="00526611"/>
    <w:rsid w:val="00526BB7"/>
    <w:rsid w:val="00526D8B"/>
    <w:rsid w:val="005270A6"/>
    <w:rsid w:val="00527741"/>
    <w:rsid w:val="00527C2D"/>
    <w:rsid w:val="005305DF"/>
    <w:rsid w:val="005306E1"/>
    <w:rsid w:val="00530ED2"/>
    <w:rsid w:val="0053108B"/>
    <w:rsid w:val="00531FB5"/>
    <w:rsid w:val="00532781"/>
    <w:rsid w:val="005328A6"/>
    <w:rsid w:val="00534529"/>
    <w:rsid w:val="00534567"/>
    <w:rsid w:val="00534AF9"/>
    <w:rsid w:val="00534B81"/>
    <w:rsid w:val="00534EF2"/>
    <w:rsid w:val="00534F42"/>
    <w:rsid w:val="00535372"/>
    <w:rsid w:val="005357CB"/>
    <w:rsid w:val="00536B2E"/>
    <w:rsid w:val="005407F8"/>
    <w:rsid w:val="00540F2D"/>
    <w:rsid w:val="00540F8B"/>
    <w:rsid w:val="0054139B"/>
    <w:rsid w:val="00541BAC"/>
    <w:rsid w:val="00541BF8"/>
    <w:rsid w:val="00544390"/>
    <w:rsid w:val="0054440B"/>
    <w:rsid w:val="005454F0"/>
    <w:rsid w:val="00545523"/>
    <w:rsid w:val="005456FD"/>
    <w:rsid w:val="005457B8"/>
    <w:rsid w:val="00550521"/>
    <w:rsid w:val="005510A4"/>
    <w:rsid w:val="00551778"/>
    <w:rsid w:val="005518EB"/>
    <w:rsid w:val="00552703"/>
    <w:rsid w:val="00552C74"/>
    <w:rsid w:val="005531DE"/>
    <w:rsid w:val="00553728"/>
    <w:rsid w:val="00553EC6"/>
    <w:rsid w:val="005544E1"/>
    <w:rsid w:val="00555867"/>
    <w:rsid w:val="0055611E"/>
    <w:rsid w:val="0055614C"/>
    <w:rsid w:val="005575B9"/>
    <w:rsid w:val="005578EC"/>
    <w:rsid w:val="00557AF5"/>
    <w:rsid w:val="00557AF9"/>
    <w:rsid w:val="00557FB8"/>
    <w:rsid w:val="00560223"/>
    <w:rsid w:val="0056023B"/>
    <w:rsid w:val="00560C2E"/>
    <w:rsid w:val="00561695"/>
    <w:rsid w:val="0056212F"/>
    <w:rsid w:val="005622F1"/>
    <w:rsid w:val="00562822"/>
    <w:rsid w:val="00562CF3"/>
    <w:rsid w:val="00563269"/>
    <w:rsid w:val="005635AA"/>
    <w:rsid w:val="005639AF"/>
    <w:rsid w:val="00563B69"/>
    <w:rsid w:val="005649C2"/>
    <w:rsid w:val="00564D6F"/>
    <w:rsid w:val="00565072"/>
    <w:rsid w:val="005655E1"/>
    <w:rsid w:val="00565B1B"/>
    <w:rsid w:val="00565CAD"/>
    <w:rsid w:val="005663ED"/>
    <w:rsid w:val="00566634"/>
    <w:rsid w:val="00566677"/>
    <w:rsid w:val="00566AA3"/>
    <w:rsid w:val="00566CF9"/>
    <w:rsid w:val="00567F36"/>
    <w:rsid w:val="005701F3"/>
    <w:rsid w:val="0057050B"/>
    <w:rsid w:val="0057115C"/>
    <w:rsid w:val="00571470"/>
    <w:rsid w:val="00571AF4"/>
    <w:rsid w:val="00572255"/>
    <w:rsid w:val="00572290"/>
    <w:rsid w:val="005723F0"/>
    <w:rsid w:val="00572B72"/>
    <w:rsid w:val="00573326"/>
    <w:rsid w:val="0057345D"/>
    <w:rsid w:val="005744DE"/>
    <w:rsid w:val="0057454B"/>
    <w:rsid w:val="005746E9"/>
    <w:rsid w:val="00575653"/>
    <w:rsid w:val="00575938"/>
    <w:rsid w:val="00575BFD"/>
    <w:rsid w:val="00576EA7"/>
    <w:rsid w:val="005777FB"/>
    <w:rsid w:val="005805F1"/>
    <w:rsid w:val="0058078B"/>
    <w:rsid w:val="005817C3"/>
    <w:rsid w:val="00581826"/>
    <w:rsid w:val="0058208B"/>
    <w:rsid w:val="0058263F"/>
    <w:rsid w:val="00582A3E"/>
    <w:rsid w:val="00583163"/>
    <w:rsid w:val="00583D99"/>
    <w:rsid w:val="00583F8B"/>
    <w:rsid w:val="00584928"/>
    <w:rsid w:val="00584C14"/>
    <w:rsid w:val="00585326"/>
    <w:rsid w:val="00585631"/>
    <w:rsid w:val="00586530"/>
    <w:rsid w:val="0058667A"/>
    <w:rsid w:val="0058670E"/>
    <w:rsid w:val="00587477"/>
    <w:rsid w:val="005874BA"/>
    <w:rsid w:val="005908B1"/>
    <w:rsid w:val="00591A8A"/>
    <w:rsid w:val="00591DE2"/>
    <w:rsid w:val="005922E7"/>
    <w:rsid w:val="005926C0"/>
    <w:rsid w:val="00592E26"/>
    <w:rsid w:val="0059306A"/>
    <w:rsid w:val="00593BD9"/>
    <w:rsid w:val="00593E8C"/>
    <w:rsid w:val="00594417"/>
    <w:rsid w:val="00594A1A"/>
    <w:rsid w:val="00595C3F"/>
    <w:rsid w:val="00596500"/>
    <w:rsid w:val="00597576"/>
    <w:rsid w:val="0059787A"/>
    <w:rsid w:val="00597F98"/>
    <w:rsid w:val="005A0056"/>
    <w:rsid w:val="005A00CE"/>
    <w:rsid w:val="005A0309"/>
    <w:rsid w:val="005A03AF"/>
    <w:rsid w:val="005A0DF5"/>
    <w:rsid w:val="005A14E4"/>
    <w:rsid w:val="005A2018"/>
    <w:rsid w:val="005A2640"/>
    <w:rsid w:val="005A276E"/>
    <w:rsid w:val="005A2814"/>
    <w:rsid w:val="005A317D"/>
    <w:rsid w:val="005A390C"/>
    <w:rsid w:val="005A3E86"/>
    <w:rsid w:val="005A4B0D"/>
    <w:rsid w:val="005A56E0"/>
    <w:rsid w:val="005A605A"/>
    <w:rsid w:val="005A6644"/>
    <w:rsid w:val="005B0934"/>
    <w:rsid w:val="005B1069"/>
    <w:rsid w:val="005B1696"/>
    <w:rsid w:val="005B1AAE"/>
    <w:rsid w:val="005B1E94"/>
    <w:rsid w:val="005B2233"/>
    <w:rsid w:val="005B256E"/>
    <w:rsid w:val="005B30E7"/>
    <w:rsid w:val="005B3420"/>
    <w:rsid w:val="005B3B31"/>
    <w:rsid w:val="005B4008"/>
    <w:rsid w:val="005B445F"/>
    <w:rsid w:val="005B4781"/>
    <w:rsid w:val="005B4ABD"/>
    <w:rsid w:val="005B58D2"/>
    <w:rsid w:val="005B59E0"/>
    <w:rsid w:val="005B5E7D"/>
    <w:rsid w:val="005B695B"/>
    <w:rsid w:val="005B6FB0"/>
    <w:rsid w:val="005B7491"/>
    <w:rsid w:val="005C19A4"/>
    <w:rsid w:val="005C2B02"/>
    <w:rsid w:val="005C2BAC"/>
    <w:rsid w:val="005C5B01"/>
    <w:rsid w:val="005C5C97"/>
    <w:rsid w:val="005C639C"/>
    <w:rsid w:val="005C6AA4"/>
    <w:rsid w:val="005C7859"/>
    <w:rsid w:val="005C7D46"/>
    <w:rsid w:val="005D00DE"/>
    <w:rsid w:val="005D0682"/>
    <w:rsid w:val="005D0937"/>
    <w:rsid w:val="005D0DE5"/>
    <w:rsid w:val="005D1DCC"/>
    <w:rsid w:val="005D24E2"/>
    <w:rsid w:val="005D27FF"/>
    <w:rsid w:val="005D28B2"/>
    <w:rsid w:val="005D2ECB"/>
    <w:rsid w:val="005D30CD"/>
    <w:rsid w:val="005D3EF9"/>
    <w:rsid w:val="005D4049"/>
    <w:rsid w:val="005D4247"/>
    <w:rsid w:val="005D47C1"/>
    <w:rsid w:val="005D4E6C"/>
    <w:rsid w:val="005D596B"/>
    <w:rsid w:val="005D62D5"/>
    <w:rsid w:val="005D6A58"/>
    <w:rsid w:val="005D70CE"/>
    <w:rsid w:val="005D77FC"/>
    <w:rsid w:val="005D7AD5"/>
    <w:rsid w:val="005D7B3B"/>
    <w:rsid w:val="005E07C6"/>
    <w:rsid w:val="005E0FA5"/>
    <w:rsid w:val="005E0FD9"/>
    <w:rsid w:val="005E17C9"/>
    <w:rsid w:val="005E1BD6"/>
    <w:rsid w:val="005E1EDC"/>
    <w:rsid w:val="005E2A66"/>
    <w:rsid w:val="005E2F7F"/>
    <w:rsid w:val="005E38BC"/>
    <w:rsid w:val="005E3DB7"/>
    <w:rsid w:val="005E57D2"/>
    <w:rsid w:val="005E5A4B"/>
    <w:rsid w:val="005E682D"/>
    <w:rsid w:val="005E6F65"/>
    <w:rsid w:val="005E72FD"/>
    <w:rsid w:val="005E74AF"/>
    <w:rsid w:val="005E7AFD"/>
    <w:rsid w:val="005E7F55"/>
    <w:rsid w:val="005F119F"/>
    <w:rsid w:val="005F11B5"/>
    <w:rsid w:val="005F1AFF"/>
    <w:rsid w:val="005F2C11"/>
    <w:rsid w:val="005F3099"/>
    <w:rsid w:val="005F464E"/>
    <w:rsid w:val="005F6D0C"/>
    <w:rsid w:val="005F72EA"/>
    <w:rsid w:val="005F7F7F"/>
    <w:rsid w:val="00600CDA"/>
    <w:rsid w:val="00600F2B"/>
    <w:rsid w:val="00602042"/>
    <w:rsid w:val="006025FA"/>
    <w:rsid w:val="006030CC"/>
    <w:rsid w:val="00604676"/>
    <w:rsid w:val="006059F0"/>
    <w:rsid w:val="006063D6"/>
    <w:rsid w:val="00607061"/>
    <w:rsid w:val="00607836"/>
    <w:rsid w:val="00607BA5"/>
    <w:rsid w:val="00607ECD"/>
    <w:rsid w:val="00610124"/>
    <w:rsid w:val="006105F2"/>
    <w:rsid w:val="0061148B"/>
    <w:rsid w:val="0061154C"/>
    <w:rsid w:val="00611D90"/>
    <w:rsid w:val="0061249A"/>
    <w:rsid w:val="00612A38"/>
    <w:rsid w:val="006130B2"/>
    <w:rsid w:val="006130E0"/>
    <w:rsid w:val="00613B67"/>
    <w:rsid w:val="00614179"/>
    <w:rsid w:val="006150DB"/>
    <w:rsid w:val="00615416"/>
    <w:rsid w:val="00615A45"/>
    <w:rsid w:val="00615B74"/>
    <w:rsid w:val="00615C7B"/>
    <w:rsid w:val="006169AD"/>
    <w:rsid w:val="00617D3A"/>
    <w:rsid w:val="00621A13"/>
    <w:rsid w:val="00622C74"/>
    <w:rsid w:val="00623706"/>
    <w:rsid w:val="0062370F"/>
    <w:rsid w:val="00623A3E"/>
    <w:rsid w:val="00625107"/>
    <w:rsid w:val="00625C61"/>
    <w:rsid w:val="0062603C"/>
    <w:rsid w:val="0062649B"/>
    <w:rsid w:val="00626EB6"/>
    <w:rsid w:val="00627012"/>
    <w:rsid w:val="00627332"/>
    <w:rsid w:val="00627B57"/>
    <w:rsid w:val="006308CD"/>
    <w:rsid w:val="006317FA"/>
    <w:rsid w:val="00631CC5"/>
    <w:rsid w:val="0063251B"/>
    <w:rsid w:val="00632C6F"/>
    <w:rsid w:val="00632F0B"/>
    <w:rsid w:val="00633047"/>
    <w:rsid w:val="0063377D"/>
    <w:rsid w:val="006340D8"/>
    <w:rsid w:val="00635227"/>
    <w:rsid w:val="0063574F"/>
    <w:rsid w:val="006359C3"/>
    <w:rsid w:val="00635CAD"/>
    <w:rsid w:val="006361EE"/>
    <w:rsid w:val="00636364"/>
    <w:rsid w:val="006364BB"/>
    <w:rsid w:val="006365DA"/>
    <w:rsid w:val="00636AC1"/>
    <w:rsid w:val="00636E92"/>
    <w:rsid w:val="006374C3"/>
    <w:rsid w:val="0064173D"/>
    <w:rsid w:val="00641A56"/>
    <w:rsid w:val="00642032"/>
    <w:rsid w:val="00642446"/>
    <w:rsid w:val="006425A1"/>
    <w:rsid w:val="00642C15"/>
    <w:rsid w:val="0064314A"/>
    <w:rsid w:val="006445ED"/>
    <w:rsid w:val="00644B8C"/>
    <w:rsid w:val="00644FD3"/>
    <w:rsid w:val="006461F1"/>
    <w:rsid w:val="00647029"/>
    <w:rsid w:val="006500F4"/>
    <w:rsid w:val="00650204"/>
    <w:rsid w:val="006504CB"/>
    <w:rsid w:val="006507C2"/>
    <w:rsid w:val="00650A51"/>
    <w:rsid w:val="00650C55"/>
    <w:rsid w:val="00650E93"/>
    <w:rsid w:val="00650FE4"/>
    <w:rsid w:val="00651FB8"/>
    <w:rsid w:val="00653B1A"/>
    <w:rsid w:val="00653D8A"/>
    <w:rsid w:val="00654471"/>
    <w:rsid w:val="00654B80"/>
    <w:rsid w:val="00654F1B"/>
    <w:rsid w:val="00654FCB"/>
    <w:rsid w:val="006554DA"/>
    <w:rsid w:val="00655D03"/>
    <w:rsid w:val="006560D6"/>
    <w:rsid w:val="00656141"/>
    <w:rsid w:val="00656276"/>
    <w:rsid w:val="0065695E"/>
    <w:rsid w:val="00656BA5"/>
    <w:rsid w:val="00656C2A"/>
    <w:rsid w:val="00656C98"/>
    <w:rsid w:val="00657108"/>
    <w:rsid w:val="006607D4"/>
    <w:rsid w:val="00661819"/>
    <w:rsid w:val="00661FFE"/>
    <w:rsid w:val="006621EF"/>
    <w:rsid w:val="006622C0"/>
    <w:rsid w:val="00662CC1"/>
    <w:rsid w:val="00662FF4"/>
    <w:rsid w:val="00663933"/>
    <w:rsid w:val="00664179"/>
    <w:rsid w:val="00664329"/>
    <w:rsid w:val="00664E47"/>
    <w:rsid w:val="006653BC"/>
    <w:rsid w:val="006655D9"/>
    <w:rsid w:val="006659C5"/>
    <w:rsid w:val="00665BCF"/>
    <w:rsid w:val="00665E6E"/>
    <w:rsid w:val="006661AE"/>
    <w:rsid w:val="006669AA"/>
    <w:rsid w:val="0066719F"/>
    <w:rsid w:val="00667F79"/>
    <w:rsid w:val="006700F7"/>
    <w:rsid w:val="006700FD"/>
    <w:rsid w:val="00670599"/>
    <w:rsid w:val="0067065A"/>
    <w:rsid w:val="00670ABF"/>
    <w:rsid w:val="00670DAE"/>
    <w:rsid w:val="006726BF"/>
    <w:rsid w:val="006734BC"/>
    <w:rsid w:val="0067419B"/>
    <w:rsid w:val="006745BF"/>
    <w:rsid w:val="006746F0"/>
    <w:rsid w:val="00674F1C"/>
    <w:rsid w:val="00675E9B"/>
    <w:rsid w:val="00677027"/>
    <w:rsid w:val="0067717B"/>
    <w:rsid w:val="00677420"/>
    <w:rsid w:val="00680203"/>
    <w:rsid w:val="006810D1"/>
    <w:rsid w:val="006815BD"/>
    <w:rsid w:val="00681754"/>
    <w:rsid w:val="00682224"/>
    <w:rsid w:val="0068313A"/>
    <w:rsid w:val="006836AF"/>
    <w:rsid w:val="00683D26"/>
    <w:rsid w:val="00683F84"/>
    <w:rsid w:val="00684245"/>
    <w:rsid w:val="00685BB9"/>
    <w:rsid w:val="00686573"/>
    <w:rsid w:val="00686718"/>
    <w:rsid w:val="006872F4"/>
    <w:rsid w:val="006916FF"/>
    <w:rsid w:val="00693082"/>
    <w:rsid w:val="006934E1"/>
    <w:rsid w:val="00693B08"/>
    <w:rsid w:val="00693B70"/>
    <w:rsid w:val="006941B4"/>
    <w:rsid w:val="00694EF3"/>
    <w:rsid w:val="0069569A"/>
    <w:rsid w:val="00697769"/>
    <w:rsid w:val="00697CC8"/>
    <w:rsid w:val="006A030B"/>
    <w:rsid w:val="006A1C0D"/>
    <w:rsid w:val="006A1D81"/>
    <w:rsid w:val="006A1E07"/>
    <w:rsid w:val="006A208D"/>
    <w:rsid w:val="006A2FBF"/>
    <w:rsid w:val="006A450C"/>
    <w:rsid w:val="006A472B"/>
    <w:rsid w:val="006A4D28"/>
    <w:rsid w:val="006A65AD"/>
    <w:rsid w:val="006A6A81"/>
    <w:rsid w:val="006A6E5A"/>
    <w:rsid w:val="006A70C0"/>
    <w:rsid w:val="006A7320"/>
    <w:rsid w:val="006A7B56"/>
    <w:rsid w:val="006B175A"/>
    <w:rsid w:val="006B1935"/>
    <w:rsid w:val="006B257E"/>
    <w:rsid w:val="006B258B"/>
    <w:rsid w:val="006B3395"/>
    <w:rsid w:val="006B3544"/>
    <w:rsid w:val="006B3A24"/>
    <w:rsid w:val="006B3E4C"/>
    <w:rsid w:val="006B3FD2"/>
    <w:rsid w:val="006B45C0"/>
    <w:rsid w:val="006B48C7"/>
    <w:rsid w:val="006B4CC0"/>
    <w:rsid w:val="006B4D14"/>
    <w:rsid w:val="006B4E13"/>
    <w:rsid w:val="006B555B"/>
    <w:rsid w:val="006B5E04"/>
    <w:rsid w:val="006B7324"/>
    <w:rsid w:val="006C04AD"/>
    <w:rsid w:val="006C1469"/>
    <w:rsid w:val="006C1476"/>
    <w:rsid w:val="006C1F78"/>
    <w:rsid w:val="006C230E"/>
    <w:rsid w:val="006C5688"/>
    <w:rsid w:val="006C6979"/>
    <w:rsid w:val="006C6A57"/>
    <w:rsid w:val="006C6F35"/>
    <w:rsid w:val="006C78BD"/>
    <w:rsid w:val="006D0B95"/>
    <w:rsid w:val="006D30C4"/>
    <w:rsid w:val="006D37D9"/>
    <w:rsid w:val="006D4D09"/>
    <w:rsid w:val="006D61FE"/>
    <w:rsid w:val="006D64C3"/>
    <w:rsid w:val="006D6F95"/>
    <w:rsid w:val="006D7929"/>
    <w:rsid w:val="006E180A"/>
    <w:rsid w:val="006E1EFF"/>
    <w:rsid w:val="006E1F20"/>
    <w:rsid w:val="006E2B6C"/>
    <w:rsid w:val="006E2EDD"/>
    <w:rsid w:val="006E35FF"/>
    <w:rsid w:val="006E3C68"/>
    <w:rsid w:val="006E45A6"/>
    <w:rsid w:val="006E47E0"/>
    <w:rsid w:val="006E48BB"/>
    <w:rsid w:val="006E5B05"/>
    <w:rsid w:val="006E621E"/>
    <w:rsid w:val="006E705B"/>
    <w:rsid w:val="006E7CD8"/>
    <w:rsid w:val="006F0744"/>
    <w:rsid w:val="006F222A"/>
    <w:rsid w:val="006F2C52"/>
    <w:rsid w:val="006F3092"/>
    <w:rsid w:val="006F34BB"/>
    <w:rsid w:val="006F3DD0"/>
    <w:rsid w:val="006F4930"/>
    <w:rsid w:val="006F5358"/>
    <w:rsid w:val="006F557F"/>
    <w:rsid w:val="006F7393"/>
    <w:rsid w:val="00700150"/>
    <w:rsid w:val="00700C21"/>
    <w:rsid w:val="00700F72"/>
    <w:rsid w:val="007018FA"/>
    <w:rsid w:val="00701C2C"/>
    <w:rsid w:val="0070224F"/>
    <w:rsid w:val="00703416"/>
    <w:rsid w:val="00703771"/>
    <w:rsid w:val="00704C3C"/>
    <w:rsid w:val="007052F1"/>
    <w:rsid w:val="00705B03"/>
    <w:rsid w:val="00705F9A"/>
    <w:rsid w:val="00706367"/>
    <w:rsid w:val="0070640F"/>
    <w:rsid w:val="0070794D"/>
    <w:rsid w:val="00707A0C"/>
    <w:rsid w:val="00707EDC"/>
    <w:rsid w:val="00710495"/>
    <w:rsid w:val="0071061C"/>
    <w:rsid w:val="0071080A"/>
    <w:rsid w:val="007111EB"/>
    <w:rsid w:val="007115F7"/>
    <w:rsid w:val="0071236A"/>
    <w:rsid w:val="007127DC"/>
    <w:rsid w:val="00713A7D"/>
    <w:rsid w:val="00713D62"/>
    <w:rsid w:val="00713F46"/>
    <w:rsid w:val="00714366"/>
    <w:rsid w:val="00714B77"/>
    <w:rsid w:val="00715D73"/>
    <w:rsid w:val="00715F28"/>
    <w:rsid w:val="00716506"/>
    <w:rsid w:val="007167C6"/>
    <w:rsid w:val="00720585"/>
    <w:rsid w:val="00720622"/>
    <w:rsid w:val="00720909"/>
    <w:rsid w:val="00721D6C"/>
    <w:rsid w:val="00724534"/>
    <w:rsid w:val="00725309"/>
    <w:rsid w:val="00725679"/>
    <w:rsid w:val="007258E3"/>
    <w:rsid w:val="00726763"/>
    <w:rsid w:val="00726D9A"/>
    <w:rsid w:val="007272D5"/>
    <w:rsid w:val="00727518"/>
    <w:rsid w:val="007279B3"/>
    <w:rsid w:val="00730438"/>
    <w:rsid w:val="00731350"/>
    <w:rsid w:val="00731B60"/>
    <w:rsid w:val="007331FB"/>
    <w:rsid w:val="00733D63"/>
    <w:rsid w:val="00734E46"/>
    <w:rsid w:val="00735397"/>
    <w:rsid w:val="007355DC"/>
    <w:rsid w:val="0074008C"/>
    <w:rsid w:val="00740BB8"/>
    <w:rsid w:val="00740D01"/>
    <w:rsid w:val="00741A25"/>
    <w:rsid w:val="00742621"/>
    <w:rsid w:val="0074264C"/>
    <w:rsid w:val="007426AC"/>
    <w:rsid w:val="00742A45"/>
    <w:rsid w:val="00743928"/>
    <w:rsid w:val="0074456C"/>
    <w:rsid w:val="00744716"/>
    <w:rsid w:val="00745126"/>
    <w:rsid w:val="007451C4"/>
    <w:rsid w:val="007452F6"/>
    <w:rsid w:val="0074580E"/>
    <w:rsid w:val="007478F4"/>
    <w:rsid w:val="00747CCF"/>
    <w:rsid w:val="007500DB"/>
    <w:rsid w:val="0075010C"/>
    <w:rsid w:val="007506C8"/>
    <w:rsid w:val="007516B2"/>
    <w:rsid w:val="0075179E"/>
    <w:rsid w:val="007525B4"/>
    <w:rsid w:val="00752B61"/>
    <w:rsid w:val="00752D8F"/>
    <w:rsid w:val="00753041"/>
    <w:rsid w:val="0075419B"/>
    <w:rsid w:val="00754239"/>
    <w:rsid w:val="007553DD"/>
    <w:rsid w:val="00755439"/>
    <w:rsid w:val="00756102"/>
    <w:rsid w:val="007565BC"/>
    <w:rsid w:val="00756AAC"/>
    <w:rsid w:val="00757559"/>
    <w:rsid w:val="00757619"/>
    <w:rsid w:val="00757B43"/>
    <w:rsid w:val="00757E31"/>
    <w:rsid w:val="00760AAE"/>
    <w:rsid w:val="00760CBE"/>
    <w:rsid w:val="007619EB"/>
    <w:rsid w:val="00763071"/>
    <w:rsid w:val="00763A21"/>
    <w:rsid w:val="007642E5"/>
    <w:rsid w:val="00765685"/>
    <w:rsid w:val="00765B5A"/>
    <w:rsid w:val="00765E62"/>
    <w:rsid w:val="00766084"/>
    <w:rsid w:val="007668C9"/>
    <w:rsid w:val="00766BAB"/>
    <w:rsid w:val="00766D3D"/>
    <w:rsid w:val="007704E6"/>
    <w:rsid w:val="007708E7"/>
    <w:rsid w:val="00770C8A"/>
    <w:rsid w:val="0077109D"/>
    <w:rsid w:val="00772C8F"/>
    <w:rsid w:val="00773385"/>
    <w:rsid w:val="00774FAC"/>
    <w:rsid w:val="007759DA"/>
    <w:rsid w:val="00775CD7"/>
    <w:rsid w:val="00775F3F"/>
    <w:rsid w:val="00776597"/>
    <w:rsid w:val="007770DC"/>
    <w:rsid w:val="007779C3"/>
    <w:rsid w:val="007779E8"/>
    <w:rsid w:val="00777D01"/>
    <w:rsid w:val="00777FE1"/>
    <w:rsid w:val="007804FA"/>
    <w:rsid w:val="00780890"/>
    <w:rsid w:val="0078173B"/>
    <w:rsid w:val="00781AC6"/>
    <w:rsid w:val="00782D4C"/>
    <w:rsid w:val="0078405C"/>
    <w:rsid w:val="0078447B"/>
    <w:rsid w:val="00784C69"/>
    <w:rsid w:val="00784F47"/>
    <w:rsid w:val="00785689"/>
    <w:rsid w:val="00785BEF"/>
    <w:rsid w:val="007872A0"/>
    <w:rsid w:val="00790A94"/>
    <w:rsid w:val="00790BA3"/>
    <w:rsid w:val="00790C88"/>
    <w:rsid w:val="0079104C"/>
    <w:rsid w:val="00791E09"/>
    <w:rsid w:val="007927E4"/>
    <w:rsid w:val="0079349F"/>
    <w:rsid w:val="0079358A"/>
    <w:rsid w:val="00793A41"/>
    <w:rsid w:val="0079400B"/>
    <w:rsid w:val="00794839"/>
    <w:rsid w:val="007951E7"/>
    <w:rsid w:val="00795A43"/>
    <w:rsid w:val="007960D1"/>
    <w:rsid w:val="00796206"/>
    <w:rsid w:val="00796750"/>
    <w:rsid w:val="00796C00"/>
    <w:rsid w:val="00796F37"/>
    <w:rsid w:val="00797492"/>
    <w:rsid w:val="0079754B"/>
    <w:rsid w:val="00797B8C"/>
    <w:rsid w:val="00797DF3"/>
    <w:rsid w:val="00797FF1"/>
    <w:rsid w:val="007A02B7"/>
    <w:rsid w:val="007A13C2"/>
    <w:rsid w:val="007A14C2"/>
    <w:rsid w:val="007A1E6D"/>
    <w:rsid w:val="007A2DCE"/>
    <w:rsid w:val="007A3AD7"/>
    <w:rsid w:val="007A3CD7"/>
    <w:rsid w:val="007A437E"/>
    <w:rsid w:val="007A4A84"/>
    <w:rsid w:val="007A55A7"/>
    <w:rsid w:val="007A55A8"/>
    <w:rsid w:val="007A646E"/>
    <w:rsid w:val="007B0121"/>
    <w:rsid w:val="007B063F"/>
    <w:rsid w:val="007B09B5"/>
    <w:rsid w:val="007B1052"/>
    <w:rsid w:val="007B2772"/>
    <w:rsid w:val="007B2B61"/>
    <w:rsid w:val="007B2D5D"/>
    <w:rsid w:val="007B359C"/>
    <w:rsid w:val="007B37DE"/>
    <w:rsid w:val="007B4963"/>
    <w:rsid w:val="007B5950"/>
    <w:rsid w:val="007B5EEA"/>
    <w:rsid w:val="007B5FBD"/>
    <w:rsid w:val="007B6381"/>
    <w:rsid w:val="007B6724"/>
    <w:rsid w:val="007B6C1C"/>
    <w:rsid w:val="007B6D95"/>
    <w:rsid w:val="007B779F"/>
    <w:rsid w:val="007B7E28"/>
    <w:rsid w:val="007B7E87"/>
    <w:rsid w:val="007C0A6C"/>
    <w:rsid w:val="007C0ABF"/>
    <w:rsid w:val="007C1D94"/>
    <w:rsid w:val="007C252B"/>
    <w:rsid w:val="007C38B9"/>
    <w:rsid w:val="007C3CB6"/>
    <w:rsid w:val="007C4001"/>
    <w:rsid w:val="007C4DA9"/>
    <w:rsid w:val="007C5A48"/>
    <w:rsid w:val="007C5AFE"/>
    <w:rsid w:val="007C64F9"/>
    <w:rsid w:val="007C6E5B"/>
    <w:rsid w:val="007C7C61"/>
    <w:rsid w:val="007D0A4D"/>
    <w:rsid w:val="007D20C9"/>
    <w:rsid w:val="007D250D"/>
    <w:rsid w:val="007D35E6"/>
    <w:rsid w:val="007D3EBD"/>
    <w:rsid w:val="007D4863"/>
    <w:rsid w:val="007D48CA"/>
    <w:rsid w:val="007D77E7"/>
    <w:rsid w:val="007E0637"/>
    <w:rsid w:val="007E07E8"/>
    <w:rsid w:val="007E094D"/>
    <w:rsid w:val="007E0A1B"/>
    <w:rsid w:val="007E11D7"/>
    <w:rsid w:val="007E1415"/>
    <w:rsid w:val="007E17D0"/>
    <w:rsid w:val="007E27F6"/>
    <w:rsid w:val="007E32B9"/>
    <w:rsid w:val="007E3D52"/>
    <w:rsid w:val="007E3E2D"/>
    <w:rsid w:val="007E417B"/>
    <w:rsid w:val="007E4285"/>
    <w:rsid w:val="007E495D"/>
    <w:rsid w:val="007E53AE"/>
    <w:rsid w:val="007E543C"/>
    <w:rsid w:val="007E55E0"/>
    <w:rsid w:val="007E5A1C"/>
    <w:rsid w:val="007E5D06"/>
    <w:rsid w:val="007E6F8F"/>
    <w:rsid w:val="007E755A"/>
    <w:rsid w:val="007E7D54"/>
    <w:rsid w:val="007E7F12"/>
    <w:rsid w:val="007F08DF"/>
    <w:rsid w:val="007F1198"/>
    <w:rsid w:val="007F1505"/>
    <w:rsid w:val="007F1A6A"/>
    <w:rsid w:val="007F1FE4"/>
    <w:rsid w:val="007F2165"/>
    <w:rsid w:val="007F3DAC"/>
    <w:rsid w:val="007F44EE"/>
    <w:rsid w:val="007F46D5"/>
    <w:rsid w:val="007F58C3"/>
    <w:rsid w:val="007F6810"/>
    <w:rsid w:val="007F7053"/>
    <w:rsid w:val="007F718D"/>
    <w:rsid w:val="007F71E1"/>
    <w:rsid w:val="007F7242"/>
    <w:rsid w:val="007F7343"/>
    <w:rsid w:val="0080006F"/>
    <w:rsid w:val="008001A3"/>
    <w:rsid w:val="008011BC"/>
    <w:rsid w:val="008033FF"/>
    <w:rsid w:val="00804346"/>
    <w:rsid w:val="0080436A"/>
    <w:rsid w:val="008043CA"/>
    <w:rsid w:val="00805965"/>
    <w:rsid w:val="00806248"/>
    <w:rsid w:val="00806301"/>
    <w:rsid w:val="00806800"/>
    <w:rsid w:val="008074B4"/>
    <w:rsid w:val="008076CB"/>
    <w:rsid w:val="00810C00"/>
    <w:rsid w:val="0081142D"/>
    <w:rsid w:val="008125C7"/>
    <w:rsid w:val="00812C1D"/>
    <w:rsid w:val="00814505"/>
    <w:rsid w:val="008157EE"/>
    <w:rsid w:val="00816608"/>
    <w:rsid w:val="00817F2D"/>
    <w:rsid w:val="00820002"/>
    <w:rsid w:val="00820D36"/>
    <w:rsid w:val="0082198C"/>
    <w:rsid w:val="00821B34"/>
    <w:rsid w:val="00821E37"/>
    <w:rsid w:val="008226A5"/>
    <w:rsid w:val="008227CB"/>
    <w:rsid w:val="00822CE0"/>
    <w:rsid w:val="00823048"/>
    <w:rsid w:val="00823F87"/>
    <w:rsid w:val="00824290"/>
    <w:rsid w:val="0082496F"/>
    <w:rsid w:val="00825B80"/>
    <w:rsid w:val="00826064"/>
    <w:rsid w:val="008266C5"/>
    <w:rsid w:val="00826F3A"/>
    <w:rsid w:val="00830128"/>
    <w:rsid w:val="008307B5"/>
    <w:rsid w:val="00830B77"/>
    <w:rsid w:val="00831467"/>
    <w:rsid w:val="008314B3"/>
    <w:rsid w:val="00831F45"/>
    <w:rsid w:val="00832544"/>
    <w:rsid w:val="00834161"/>
    <w:rsid w:val="00835705"/>
    <w:rsid w:val="00835A13"/>
    <w:rsid w:val="00835AE1"/>
    <w:rsid w:val="00835C9D"/>
    <w:rsid w:val="0083764E"/>
    <w:rsid w:val="00837AC7"/>
    <w:rsid w:val="008404A7"/>
    <w:rsid w:val="00841113"/>
    <w:rsid w:val="00841AB1"/>
    <w:rsid w:val="008424E6"/>
    <w:rsid w:val="00842C89"/>
    <w:rsid w:val="0084346F"/>
    <w:rsid w:val="00843F2D"/>
    <w:rsid w:val="0084543B"/>
    <w:rsid w:val="008467A4"/>
    <w:rsid w:val="008468A7"/>
    <w:rsid w:val="00846C93"/>
    <w:rsid w:val="0084765E"/>
    <w:rsid w:val="008500CF"/>
    <w:rsid w:val="00850385"/>
    <w:rsid w:val="00852032"/>
    <w:rsid w:val="00853937"/>
    <w:rsid w:val="00853C5C"/>
    <w:rsid w:val="00854CB7"/>
    <w:rsid w:val="00854E7C"/>
    <w:rsid w:val="0085573B"/>
    <w:rsid w:val="00856EA2"/>
    <w:rsid w:val="0085789E"/>
    <w:rsid w:val="00857B51"/>
    <w:rsid w:val="00857D61"/>
    <w:rsid w:val="00857FF1"/>
    <w:rsid w:val="0086030C"/>
    <w:rsid w:val="0086214F"/>
    <w:rsid w:val="00862751"/>
    <w:rsid w:val="00862E2C"/>
    <w:rsid w:val="00863B04"/>
    <w:rsid w:val="00863B6F"/>
    <w:rsid w:val="008650DA"/>
    <w:rsid w:val="008655F2"/>
    <w:rsid w:val="0086627A"/>
    <w:rsid w:val="0086648D"/>
    <w:rsid w:val="0087168E"/>
    <w:rsid w:val="008717AF"/>
    <w:rsid w:val="00871A12"/>
    <w:rsid w:val="00872124"/>
    <w:rsid w:val="008735E5"/>
    <w:rsid w:val="008736B2"/>
    <w:rsid w:val="00874592"/>
    <w:rsid w:val="008746CD"/>
    <w:rsid w:val="00874A8B"/>
    <w:rsid w:val="00875C84"/>
    <w:rsid w:val="00876F45"/>
    <w:rsid w:val="00876F8A"/>
    <w:rsid w:val="0087733C"/>
    <w:rsid w:val="0087787C"/>
    <w:rsid w:val="00880CCC"/>
    <w:rsid w:val="008818B3"/>
    <w:rsid w:val="008819C1"/>
    <w:rsid w:val="00884782"/>
    <w:rsid w:val="00884791"/>
    <w:rsid w:val="008849C9"/>
    <w:rsid w:val="00885920"/>
    <w:rsid w:val="00885959"/>
    <w:rsid w:val="008871E6"/>
    <w:rsid w:val="0088767F"/>
    <w:rsid w:val="0088797E"/>
    <w:rsid w:val="0089044C"/>
    <w:rsid w:val="00890554"/>
    <w:rsid w:val="008913F1"/>
    <w:rsid w:val="008918F6"/>
    <w:rsid w:val="00891F76"/>
    <w:rsid w:val="00892026"/>
    <w:rsid w:val="00893173"/>
    <w:rsid w:val="008938A7"/>
    <w:rsid w:val="00894FD5"/>
    <w:rsid w:val="00895484"/>
    <w:rsid w:val="00896037"/>
    <w:rsid w:val="008966D5"/>
    <w:rsid w:val="008969D2"/>
    <w:rsid w:val="0089731C"/>
    <w:rsid w:val="008974B4"/>
    <w:rsid w:val="008978D6"/>
    <w:rsid w:val="00897B04"/>
    <w:rsid w:val="00897DC7"/>
    <w:rsid w:val="008A052D"/>
    <w:rsid w:val="008A119B"/>
    <w:rsid w:val="008A1855"/>
    <w:rsid w:val="008A1F0B"/>
    <w:rsid w:val="008A26E0"/>
    <w:rsid w:val="008A2CD2"/>
    <w:rsid w:val="008A4764"/>
    <w:rsid w:val="008A4B05"/>
    <w:rsid w:val="008A4C57"/>
    <w:rsid w:val="008A4F16"/>
    <w:rsid w:val="008A65A4"/>
    <w:rsid w:val="008A6DBE"/>
    <w:rsid w:val="008A7B2E"/>
    <w:rsid w:val="008A7D06"/>
    <w:rsid w:val="008B06D3"/>
    <w:rsid w:val="008B06E9"/>
    <w:rsid w:val="008B0702"/>
    <w:rsid w:val="008B0ACA"/>
    <w:rsid w:val="008B0EEF"/>
    <w:rsid w:val="008B0F12"/>
    <w:rsid w:val="008B0FA8"/>
    <w:rsid w:val="008B1750"/>
    <w:rsid w:val="008B1905"/>
    <w:rsid w:val="008B2915"/>
    <w:rsid w:val="008B2B6B"/>
    <w:rsid w:val="008B34BB"/>
    <w:rsid w:val="008B3A70"/>
    <w:rsid w:val="008B3CEC"/>
    <w:rsid w:val="008B4056"/>
    <w:rsid w:val="008B5563"/>
    <w:rsid w:val="008B60E8"/>
    <w:rsid w:val="008B67CB"/>
    <w:rsid w:val="008B6A1F"/>
    <w:rsid w:val="008B7120"/>
    <w:rsid w:val="008B73D4"/>
    <w:rsid w:val="008C04D8"/>
    <w:rsid w:val="008C055F"/>
    <w:rsid w:val="008C06B2"/>
    <w:rsid w:val="008C08A5"/>
    <w:rsid w:val="008C0A97"/>
    <w:rsid w:val="008C1576"/>
    <w:rsid w:val="008C1B77"/>
    <w:rsid w:val="008C1C86"/>
    <w:rsid w:val="008C1CBF"/>
    <w:rsid w:val="008C2099"/>
    <w:rsid w:val="008C360A"/>
    <w:rsid w:val="008C3C6C"/>
    <w:rsid w:val="008C3DD6"/>
    <w:rsid w:val="008C3FBA"/>
    <w:rsid w:val="008C52BD"/>
    <w:rsid w:val="008C5588"/>
    <w:rsid w:val="008C57D4"/>
    <w:rsid w:val="008C6240"/>
    <w:rsid w:val="008C7698"/>
    <w:rsid w:val="008C770C"/>
    <w:rsid w:val="008D021A"/>
    <w:rsid w:val="008D0AA9"/>
    <w:rsid w:val="008D1B57"/>
    <w:rsid w:val="008D2555"/>
    <w:rsid w:val="008D2652"/>
    <w:rsid w:val="008D2D0F"/>
    <w:rsid w:val="008D2DBC"/>
    <w:rsid w:val="008D32E9"/>
    <w:rsid w:val="008D33FF"/>
    <w:rsid w:val="008D4E0A"/>
    <w:rsid w:val="008D4F7D"/>
    <w:rsid w:val="008D4FC6"/>
    <w:rsid w:val="008D504C"/>
    <w:rsid w:val="008D58AE"/>
    <w:rsid w:val="008D62F9"/>
    <w:rsid w:val="008D6B93"/>
    <w:rsid w:val="008D76B9"/>
    <w:rsid w:val="008D7CB0"/>
    <w:rsid w:val="008D7D9A"/>
    <w:rsid w:val="008D7E65"/>
    <w:rsid w:val="008E0983"/>
    <w:rsid w:val="008E09A1"/>
    <w:rsid w:val="008E1844"/>
    <w:rsid w:val="008E1934"/>
    <w:rsid w:val="008E271B"/>
    <w:rsid w:val="008E2797"/>
    <w:rsid w:val="008E296D"/>
    <w:rsid w:val="008E30C8"/>
    <w:rsid w:val="008E362B"/>
    <w:rsid w:val="008E38AE"/>
    <w:rsid w:val="008E3DF6"/>
    <w:rsid w:val="008E448C"/>
    <w:rsid w:val="008E57E0"/>
    <w:rsid w:val="008E5941"/>
    <w:rsid w:val="008E5D58"/>
    <w:rsid w:val="008E6F29"/>
    <w:rsid w:val="008E77F9"/>
    <w:rsid w:val="008E78D3"/>
    <w:rsid w:val="008F002F"/>
    <w:rsid w:val="008F0346"/>
    <w:rsid w:val="008F0A2E"/>
    <w:rsid w:val="008F1B65"/>
    <w:rsid w:val="008F23DA"/>
    <w:rsid w:val="008F2922"/>
    <w:rsid w:val="008F2D8E"/>
    <w:rsid w:val="008F3298"/>
    <w:rsid w:val="008F3757"/>
    <w:rsid w:val="008F4B39"/>
    <w:rsid w:val="008F531B"/>
    <w:rsid w:val="008F5B3E"/>
    <w:rsid w:val="008F656C"/>
    <w:rsid w:val="008F6617"/>
    <w:rsid w:val="008F6950"/>
    <w:rsid w:val="008F6D11"/>
    <w:rsid w:val="008F6F8E"/>
    <w:rsid w:val="008F70FD"/>
    <w:rsid w:val="008F7EF3"/>
    <w:rsid w:val="00900CCB"/>
    <w:rsid w:val="009019A6"/>
    <w:rsid w:val="00902691"/>
    <w:rsid w:val="0090282F"/>
    <w:rsid w:val="00902D86"/>
    <w:rsid w:val="009048E5"/>
    <w:rsid w:val="00905716"/>
    <w:rsid w:val="009062E8"/>
    <w:rsid w:val="0090696F"/>
    <w:rsid w:val="00907391"/>
    <w:rsid w:val="009074BD"/>
    <w:rsid w:val="009107FE"/>
    <w:rsid w:val="009110A0"/>
    <w:rsid w:val="009112CD"/>
    <w:rsid w:val="00912EFE"/>
    <w:rsid w:val="0091357F"/>
    <w:rsid w:val="009135D1"/>
    <w:rsid w:val="00913B54"/>
    <w:rsid w:val="009141A0"/>
    <w:rsid w:val="009146FC"/>
    <w:rsid w:val="0091495E"/>
    <w:rsid w:val="00914B41"/>
    <w:rsid w:val="00914D01"/>
    <w:rsid w:val="0091570A"/>
    <w:rsid w:val="009166B4"/>
    <w:rsid w:val="00916929"/>
    <w:rsid w:val="009170A5"/>
    <w:rsid w:val="00917931"/>
    <w:rsid w:val="00917964"/>
    <w:rsid w:val="00921289"/>
    <w:rsid w:val="0092155F"/>
    <w:rsid w:val="00921803"/>
    <w:rsid w:val="009226CD"/>
    <w:rsid w:val="009232DB"/>
    <w:rsid w:val="00923467"/>
    <w:rsid w:val="0092466D"/>
    <w:rsid w:val="0092499F"/>
    <w:rsid w:val="00926174"/>
    <w:rsid w:val="00926503"/>
    <w:rsid w:val="009265F8"/>
    <w:rsid w:val="00926CD7"/>
    <w:rsid w:val="00927A0F"/>
    <w:rsid w:val="00927BFD"/>
    <w:rsid w:val="009303C5"/>
    <w:rsid w:val="009307D9"/>
    <w:rsid w:val="00930D40"/>
    <w:rsid w:val="00931544"/>
    <w:rsid w:val="0093221F"/>
    <w:rsid w:val="00932508"/>
    <w:rsid w:val="009332B4"/>
    <w:rsid w:val="00933931"/>
    <w:rsid w:val="00933A88"/>
    <w:rsid w:val="00933E22"/>
    <w:rsid w:val="00934C70"/>
    <w:rsid w:val="00934D87"/>
    <w:rsid w:val="0093508C"/>
    <w:rsid w:val="009353C0"/>
    <w:rsid w:val="00935861"/>
    <w:rsid w:val="00935B35"/>
    <w:rsid w:val="00935B71"/>
    <w:rsid w:val="0093610C"/>
    <w:rsid w:val="0093623A"/>
    <w:rsid w:val="00937117"/>
    <w:rsid w:val="0093727D"/>
    <w:rsid w:val="00940809"/>
    <w:rsid w:val="00940C44"/>
    <w:rsid w:val="00940E49"/>
    <w:rsid w:val="009411A1"/>
    <w:rsid w:val="009413F3"/>
    <w:rsid w:val="00941816"/>
    <w:rsid w:val="00941881"/>
    <w:rsid w:val="009418F4"/>
    <w:rsid w:val="00941B3A"/>
    <w:rsid w:val="00942A3B"/>
    <w:rsid w:val="00943C07"/>
    <w:rsid w:val="009446EC"/>
    <w:rsid w:val="00945CE8"/>
    <w:rsid w:val="00945E2C"/>
    <w:rsid w:val="00945F5C"/>
    <w:rsid w:val="00946031"/>
    <w:rsid w:val="009463FC"/>
    <w:rsid w:val="00947234"/>
    <w:rsid w:val="00947526"/>
    <w:rsid w:val="009506B2"/>
    <w:rsid w:val="00950D46"/>
    <w:rsid w:val="00951E13"/>
    <w:rsid w:val="00952453"/>
    <w:rsid w:val="00952AF7"/>
    <w:rsid w:val="00952E07"/>
    <w:rsid w:val="009534E2"/>
    <w:rsid w:val="0095370F"/>
    <w:rsid w:val="00953AA2"/>
    <w:rsid w:val="009541C8"/>
    <w:rsid w:val="0095446F"/>
    <w:rsid w:val="00954DB2"/>
    <w:rsid w:val="009562EA"/>
    <w:rsid w:val="009574A0"/>
    <w:rsid w:val="009575D4"/>
    <w:rsid w:val="00960709"/>
    <w:rsid w:val="0096076B"/>
    <w:rsid w:val="0096109B"/>
    <w:rsid w:val="009611C7"/>
    <w:rsid w:val="0096162A"/>
    <w:rsid w:val="009616F4"/>
    <w:rsid w:val="00961E16"/>
    <w:rsid w:val="00961F7B"/>
    <w:rsid w:val="00961FB0"/>
    <w:rsid w:val="00961FC6"/>
    <w:rsid w:val="00963382"/>
    <w:rsid w:val="009637C0"/>
    <w:rsid w:val="0096398E"/>
    <w:rsid w:val="00963C03"/>
    <w:rsid w:val="00963FF3"/>
    <w:rsid w:val="00964448"/>
    <w:rsid w:val="009649C0"/>
    <w:rsid w:val="00965085"/>
    <w:rsid w:val="009653D9"/>
    <w:rsid w:val="00965D33"/>
    <w:rsid w:val="00965DC4"/>
    <w:rsid w:val="00966B69"/>
    <w:rsid w:val="00966ED3"/>
    <w:rsid w:val="009672A6"/>
    <w:rsid w:val="0096788F"/>
    <w:rsid w:val="00970DEC"/>
    <w:rsid w:val="00970EB7"/>
    <w:rsid w:val="00971A9C"/>
    <w:rsid w:val="00971B28"/>
    <w:rsid w:val="00971B9D"/>
    <w:rsid w:val="00972602"/>
    <w:rsid w:val="00972FDF"/>
    <w:rsid w:val="00973587"/>
    <w:rsid w:val="00973596"/>
    <w:rsid w:val="009738EF"/>
    <w:rsid w:val="0097412F"/>
    <w:rsid w:val="0097431F"/>
    <w:rsid w:val="009748CB"/>
    <w:rsid w:val="00974B33"/>
    <w:rsid w:val="00974C0F"/>
    <w:rsid w:val="00975100"/>
    <w:rsid w:val="00975187"/>
    <w:rsid w:val="009752CD"/>
    <w:rsid w:val="00977041"/>
    <w:rsid w:val="00977583"/>
    <w:rsid w:val="00977AEE"/>
    <w:rsid w:val="00977DD8"/>
    <w:rsid w:val="0098013B"/>
    <w:rsid w:val="00980947"/>
    <w:rsid w:val="0098168E"/>
    <w:rsid w:val="009827B8"/>
    <w:rsid w:val="00983F03"/>
    <w:rsid w:val="009847E6"/>
    <w:rsid w:val="00984B8C"/>
    <w:rsid w:val="0098501D"/>
    <w:rsid w:val="00985F08"/>
    <w:rsid w:val="00985FFD"/>
    <w:rsid w:val="00986E88"/>
    <w:rsid w:val="009870D3"/>
    <w:rsid w:val="00987D63"/>
    <w:rsid w:val="00987E6D"/>
    <w:rsid w:val="009906F0"/>
    <w:rsid w:val="00990A65"/>
    <w:rsid w:val="00992D85"/>
    <w:rsid w:val="00992E71"/>
    <w:rsid w:val="00993375"/>
    <w:rsid w:val="009934DC"/>
    <w:rsid w:val="00994A3E"/>
    <w:rsid w:val="0099565B"/>
    <w:rsid w:val="0099752E"/>
    <w:rsid w:val="00997C5A"/>
    <w:rsid w:val="009A0195"/>
    <w:rsid w:val="009A053E"/>
    <w:rsid w:val="009A0CFC"/>
    <w:rsid w:val="009A104F"/>
    <w:rsid w:val="009A1D23"/>
    <w:rsid w:val="009A1E0C"/>
    <w:rsid w:val="009A1E9D"/>
    <w:rsid w:val="009A2220"/>
    <w:rsid w:val="009A274F"/>
    <w:rsid w:val="009A290E"/>
    <w:rsid w:val="009A41D3"/>
    <w:rsid w:val="009A4974"/>
    <w:rsid w:val="009A5522"/>
    <w:rsid w:val="009A5956"/>
    <w:rsid w:val="009A5D5C"/>
    <w:rsid w:val="009A609F"/>
    <w:rsid w:val="009A6507"/>
    <w:rsid w:val="009A7507"/>
    <w:rsid w:val="009A7994"/>
    <w:rsid w:val="009A7CDA"/>
    <w:rsid w:val="009B1D6B"/>
    <w:rsid w:val="009B22D8"/>
    <w:rsid w:val="009B2AFF"/>
    <w:rsid w:val="009B3699"/>
    <w:rsid w:val="009B39B8"/>
    <w:rsid w:val="009B41B0"/>
    <w:rsid w:val="009B495F"/>
    <w:rsid w:val="009B6991"/>
    <w:rsid w:val="009B6B1F"/>
    <w:rsid w:val="009B7538"/>
    <w:rsid w:val="009B7CFE"/>
    <w:rsid w:val="009C043E"/>
    <w:rsid w:val="009C07CB"/>
    <w:rsid w:val="009C0A55"/>
    <w:rsid w:val="009C1852"/>
    <w:rsid w:val="009C1E2D"/>
    <w:rsid w:val="009C218A"/>
    <w:rsid w:val="009C2764"/>
    <w:rsid w:val="009C3A53"/>
    <w:rsid w:val="009C4B86"/>
    <w:rsid w:val="009C5AA5"/>
    <w:rsid w:val="009C5DCD"/>
    <w:rsid w:val="009C6F36"/>
    <w:rsid w:val="009C6FF4"/>
    <w:rsid w:val="009C75D4"/>
    <w:rsid w:val="009D06C1"/>
    <w:rsid w:val="009D08C3"/>
    <w:rsid w:val="009D0AE6"/>
    <w:rsid w:val="009D106A"/>
    <w:rsid w:val="009D1617"/>
    <w:rsid w:val="009D2DE8"/>
    <w:rsid w:val="009D3D3C"/>
    <w:rsid w:val="009D4420"/>
    <w:rsid w:val="009D47B0"/>
    <w:rsid w:val="009D5A92"/>
    <w:rsid w:val="009D681D"/>
    <w:rsid w:val="009D749E"/>
    <w:rsid w:val="009D7B1A"/>
    <w:rsid w:val="009D7CD5"/>
    <w:rsid w:val="009E06DB"/>
    <w:rsid w:val="009E127A"/>
    <w:rsid w:val="009E129A"/>
    <w:rsid w:val="009E16B9"/>
    <w:rsid w:val="009E228B"/>
    <w:rsid w:val="009E2303"/>
    <w:rsid w:val="009E2B67"/>
    <w:rsid w:val="009E2C12"/>
    <w:rsid w:val="009E2E12"/>
    <w:rsid w:val="009E37B3"/>
    <w:rsid w:val="009E4607"/>
    <w:rsid w:val="009E4849"/>
    <w:rsid w:val="009E504F"/>
    <w:rsid w:val="009E50CB"/>
    <w:rsid w:val="009E6AF2"/>
    <w:rsid w:val="009E7750"/>
    <w:rsid w:val="009E7DDE"/>
    <w:rsid w:val="009F07D1"/>
    <w:rsid w:val="009F0DC3"/>
    <w:rsid w:val="009F1122"/>
    <w:rsid w:val="009F1614"/>
    <w:rsid w:val="009F189F"/>
    <w:rsid w:val="009F20A6"/>
    <w:rsid w:val="009F2C2E"/>
    <w:rsid w:val="009F30B7"/>
    <w:rsid w:val="009F31DD"/>
    <w:rsid w:val="009F4325"/>
    <w:rsid w:val="009F43B0"/>
    <w:rsid w:val="009F4A47"/>
    <w:rsid w:val="009F63E0"/>
    <w:rsid w:val="009F6544"/>
    <w:rsid w:val="009F6E33"/>
    <w:rsid w:val="009F7768"/>
    <w:rsid w:val="009F7BC7"/>
    <w:rsid w:val="00A007CB"/>
    <w:rsid w:val="00A00AD1"/>
    <w:rsid w:val="00A021BF"/>
    <w:rsid w:val="00A0226A"/>
    <w:rsid w:val="00A0242D"/>
    <w:rsid w:val="00A02A43"/>
    <w:rsid w:val="00A04595"/>
    <w:rsid w:val="00A049B6"/>
    <w:rsid w:val="00A04CA4"/>
    <w:rsid w:val="00A053CE"/>
    <w:rsid w:val="00A059AF"/>
    <w:rsid w:val="00A05F98"/>
    <w:rsid w:val="00A0709F"/>
    <w:rsid w:val="00A07670"/>
    <w:rsid w:val="00A07D59"/>
    <w:rsid w:val="00A105C0"/>
    <w:rsid w:val="00A11058"/>
    <w:rsid w:val="00A11CC2"/>
    <w:rsid w:val="00A12037"/>
    <w:rsid w:val="00A1286F"/>
    <w:rsid w:val="00A1327E"/>
    <w:rsid w:val="00A1388B"/>
    <w:rsid w:val="00A13895"/>
    <w:rsid w:val="00A14FCE"/>
    <w:rsid w:val="00A15AFE"/>
    <w:rsid w:val="00A15C8A"/>
    <w:rsid w:val="00A1615B"/>
    <w:rsid w:val="00A202FB"/>
    <w:rsid w:val="00A206C3"/>
    <w:rsid w:val="00A20768"/>
    <w:rsid w:val="00A20784"/>
    <w:rsid w:val="00A20B24"/>
    <w:rsid w:val="00A21822"/>
    <w:rsid w:val="00A219CE"/>
    <w:rsid w:val="00A22900"/>
    <w:rsid w:val="00A232F7"/>
    <w:rsid w:val="00A239A7"/>
    <w:rsid w:val="00A2441C"/>
    <w:rsid w:val="00A25055"/>
    <w:rsid w:val="00A25498"/>
    <w:rsid w:val="00A25E7C"/>
    <w:rsid w:val="00A26174"/>
    <w:rsid w:val="00A26219"/>
    <w:rsid w:val="00A26BE4"/>
    <w:rsid w:val="00A26E6C"/>
    <w:rsid w:val="00A27C74"/>
    <w:rsid w:val="00A309C0"/>
    <w:rsid w:val="00A311CC"/>
    <w:rsid w:val="00A320BA"/>
    <w:rsid w:val="00A32742"/>
    <w:rsid w:val="00A336D7"/>
    <w:rsid w:val="00A33CDE"/>
    <w:rsid w:val="00A34332"/>
    <w:rsid w:val="00A349B7"/>
    <w:rsid w:val="00A35139"/>
    <w:rsid w:val="00A35563"/>
    <w:rsid w:val="00A35A9D"/>
    <w:rsid w:val="00A35E07"/>
    <w:rsid w:val="00A35E77"/>
    <w:rsid w:val="00A36A59"/>
    <w:rsid w:val="00A3749E"/>
    <w:rsid w:val="00A377DD"/>
    <w:rsid w:val="00A403FD"/>
    <w:rsid w:val="00A41417"/>
    <w:rsid w:val="00A41615"/>
    <w:rsid w:val="00A42516"/>
    <w:rsid w:val="00A42710"/>
    <w:rsid w:val="00A427B6"/>
    <w:rsid w:val="00A43228"/>
    <w:rsid w:val="00A448A8"/>
    <w:rsid w:val="00A44D4D"/>
    <w:rsid w:val="00A44EB1"/>
    <w:rsid w:val="00A454C9"/>
    <w:rsid w:val="00A45972"/>
    <w:rsid w:val="00A45F4F"/>
    <w:rsid w:val="00A4680C"/>
    <w:rsid w:val="00A472E8"/>
    <w:rsid w:val="00A479E4"/>
    <w:rsid w:val="00A5056B"/>
    <w:rsid w:val="00A505A1"/>
    <w:rsid w:val="00A510AA"/>
    <w:rsid w:val="00A51D55"/>
    <w:rsid w:val="00A526E0"/>
    <w:rsid w:val="00A529CA"/>
    <w:rsid w:val="00A5374B"/>
    <w:rsid w:val="00A541B8"/>
    <w:rsid w:val="00A55E4D"/>
    <w:rsid w:val="00A561B3"/>
    <w:rsid w:val="00A5648D"/>
    <w:rsid w:val="00A56D18"/>
    <w:rsid w:val="00A57DA1"/>
    <w:rsid w:val="00A57DF2"/>
    <w:rsid w:val="00A57E05"/>
    <w:rsid w:val="00A57FA1"/>
    <w:rsid w:val="00A600A9"/>
    <w:rsid w:val="00A609A9"/>
    <w:rsid w:val="00A611C1"/>
    <w:rsid w:val="00A611D7"/>
    <w:rsid w:val="00A6128C"/>
    <w:rsid w:val="00A614D5"/>
    <w:rsid w:val="00A616E7"/>
    <w:rsid w:val="00A63305"/>
    <w:rsid w:val="00A63A64"/>
    <w:rsid w:val="00A63C0F"/>
    <w:rsid w:val="00A63DB9"/>
    <w:rsid w:val="00A643EC"/>
    <w:rsid w:val="00A64467"/>
    <w:rsid w:val="00A6530A"/>
    <w:rsid w:val="00A65333"/>
    <w:rsid w:val="00A659B9"/>
    <w:rsid w:val="00A65A7E"/>
    <w:rsid w:val="00A6606D"/>
    <w:rsid w:val="00A667E7"/>
    <w:rsid w:val="00A668FD"/>
    <w:rsid w:val="00A669AF"/>
    <w:rsid w:val="00A67CAC"/>
    <w:rsid w:val="00A70333"/>
    <w:rsid w:val="00A703A6"/>
    <w:rsid w:val="00A7063E"/>
    <w:rsid w:val="00A719A9"/>
    <w:rsid w:val="00A71ED9"/>
    <w:rsid w:val="00A725E9"/>
    <w:rsid w:val="00A747B7"/>
    <w:rsid w:val="00A7492A"/>
    <w:rsid w:val="00A74CB8"/>
    <w:rsid w:val="00A74D5A"/>
    <w:rsid w:val="00A74D60"/>
    <w:rsid w:val="00A75899"/>
    <w:rsid w:val="00A75F2A"/>
    <w:rsid w:val="00A76508"/>
    <w:rsid w:val="00A76831"/>
    <w:rsid w:val="00A76F90"/>
    <w:rsid w:val="00A800DA"/>
    <w:rsid w:val="00A81082"/>
    <w:rsid w:val="00A8164D"/>
    <w:rsid w:val="00A81CB9"/>
    <w:rsid w:val="00A82251"/>
    <w:rsid w:val="00A825BC"/>
    <w:rsid w:val="00A83610"/>
    <w:rsid w:val="00A8395D"/>
    <w:rsid w:val="00A83BBA"/>
    <w:rsid w:val="00A83C75"/>
    <w:rsid w:val="00A83DC1"/>
    <w:rsid w:val="00A85009"/>
    <w:rsid w:val="00A8630F"/>
    <w:rsid w:val="00A864A1"/>
    <w:rsid w:val="00A90247"/>
    <w:rsid w:val="00A90C32"/>
    <w:rsid w:val="00A90C3E"/>
    <w:rsid w:val="00A910E5"/>
    <w:rsid w:val="00A917DA"/>
    <w:rsid w:val="00A91D13"/>
    <w:rsid w:val="00A9233D"/>
    <w:rsid w:val="00A9252D"/>
    <w:rsid w:val="00A92563"/>
    <w:rsid w:val="00A934B9"/>
    <w:rsid w:val="00A9438D"/>
    <w:rsid w:val="00A945AE"/>
    <w:rsid w:val="00A94E8D"/>
    <w:rsid w:val="00A962E4"/>
    <w:rsid w:val="00A963A3"/>
    <w:rsid w:val="00A96A99"/>
    <w:rsid w:val="00A96EC7"/>
    <w:rsid w:val="00A970E1"/>
    <w:rsid w:val="00A976F0"/>
    <w:rsid w:val="00A977BF"/>
    <w:rsid w:val="00A9795C"/>
    <w:rsid w:val="00A97B60"/>
    <w:rsid w:val="00AA1283"/>
    <w:rsid w:val="00AA298A"/>
    <w:rsid w:val="00AA40B6"/>
    <w:rsid w:val="00AA472A"/>
    <w:rsid w:val="00AA4896"/>
    <w:rsid w:val="00AA49B9"/>
    <w:rsid w:val="00AA55B7"/>
    <w:rsid w:val="00AA5B9E"/>
    <w:rsid w:val="00AA679E"/>
    <w:rsid w:val="00AA7E0A"/>
    <w:rsid w:val="00AB162D"/>
    <w:rsid w:val="00AB22D0"/>
    <w:rsid w:val="00AB2407"/>
    <w:rsid w:val="00AB2A43"/>
    <w:rsid w:val="00AB2CC8"/>
    <w:rsid w:val="00AB3C86"/>
    <w:rsid w:val="00AB3F33"/>
    <w:rsid w:val="00AB46A6"/>
    <w:rsid w:val="00AB53DF"/>
    <w:rsid w:val="00AB55CD"/>
    <w:rsid w:val="00AB6F6D"/>
    <w:rsid w:val="00AB7220"/>
    <w:rsid w:val="00AB7F6C"/>
    <w:rsid w:val="00AC0E19"/>
    <w:rsid w:val="00AC16EB"/>
    <w:rsid w:val="00AC1BD5"/>
    <w:rsid w:val="00AC1F97"/>
    <w:rsid w:val="00AC252B"/>
    <w:rsid w:val="00AC263D"/>
    <w:rsid w:val="00AC2679"/>
    <w:rsid w:val="00AC30CC"/>
    <w:rsid w:val="00AC3473"/>
    <w:rsid w:val="00AC3B67"/>
    <w:rsid w:val="00AC3C1C"/>
    <w:rsid w:val="00AC423B"/>
    <w:rsid w:val="00AC4696"/>
    <w:rsid w:val="00AC4A7D"/>
    <w:rsid w:val="00AC655E"/>
    <w:rsid w:val="00AC7017"/>
    <w:rsid w:val="00AC7E8B"/>
    <w:rsid w:val="00AD08C2"/>
    <w:rsid w:val="00AD2BD1"/>
    <w:rsid w:val="00AD2BF8"/>
    <w:rsid w:val="00AD2FCE"/>
    <w:rsid w:val="00AD31EA"/>
    <w:rsid w:val="00AD42BF"/>
    <w:rsid w:val="00AD431F"/>
    <w:rsid w:val="00AD4368"/>
    <w:rsid w:val="00AD4998"/>
    <w:rsid w:val="00AD50FF"/>
    <w:rsid w:val="00AD54B4"/>
    <w:rsid w:val="00AD5BDA"/>
    <w:rsid w:val="00AD678F"/>
    <w:rsid w:val="00AD69A4"/>
    <w:rsid w:val="00AE195E"/>
    <w:rsid w:val="00AE1A55"/>
    <w:rsid w:val="00AE1B88"/>
    <w:rsid w:val="00AE1E51"/>
    <w:rsid w:val="00AE2278"/>
    <w:rsid w:val="00AE33D4"/>
    <w:rsid w:val="00AE34A0"/>
    <w:rsid w:val="00AE41F1"/>
    <w:rsid w:val="00AE457A"/>
    <w:rsid w:val="00AE5B44"/>
    <w:rsid w:val="00AE7911"/>
    <w:rsid w:val="00AE7BB5"/>
    <w:rsid w:val="00AF0393"/>
    <w:rsid w:val="00AF091D"/>
    <w:rsid w:val="00AF0AA2"/>
    <w:rsid w:val="00AF1837"/>
    <w:rsid w:val="00AF213C"/>
    <w:rsid w:val="00AF21EF"/>
    <w:rsid w:val="00AF2367"/>
    <w:rsid w:val="00AF2ADF"/>
    <w:rsid w:val="00AF2D21"/>
    <w:rsid w:val="00AF3466"/>
    <w:rsid w:val="00AF3B44"/>
    <w:rsid w:val="00AF3F0A"/>
    <w:rsid w:val="00AF43C0"/>
    <w:rsid w:val="00AF4559"/>
    <w:rsid w:val="00AF704A"/>
    <w:rsid w:val="00AF71C7"/>
    <w:rsid w:val="00AF724B"/>
    <w:rsid w:val="00AF7B66"/>
    <w:rsid w:val="00B008A4"/>
    <w:rsid w:val="00B009BD"/>
    <w:rsid w:val="00B00B8B"/>
    <w:rsid w:val="00B00E53"/>
    <w:rsid w:val="00B012BA"/>
    <w:rsid w:val="00B01AA0"/>
    <w:rsid w:val="00B03019"/>
    <w:rsid w:val="00B03244"/>
    <w:rsid w:val="00B03400"/>
    <w:rsid w:val="00B04380"/>
    <w:rsid w:val="00B047CE"/>
    <w:rsid w:val="00B04E35"/>
    <w:rsid w:val="00B059F1"/>
    <w:rsid w:val="00B06935"/>
    <w:rsid w:val="00B07E5C"/>
    <w:rsid w:val="00B1085A"/>
    <w:rsid w:val="00B10A75"/>
    <w:rsid w:val="00B11607"/>
    <w:rsid w:val="00B11EB3"/>
    <w:rsid w:val="00B12057"/>
    <w:rsid w:val="00B12325"/>
    <w:rsid w:val="00B12372"/>
    <w:rsid w:val="00B12BC7"/>
    <w:rsid w:val="00B131D4"/>
    <w:rsid w:val="00B133CA"/>
    <w:rsid w:val="00B13445"/>
    <w:rsid w:val="00B13829"/>
    <w:rsid w:val="00B13A26"/>
    <w:rsid w:val="00B14634"/>
    <w:rsid w:val="00B1484F"/>
    <w:rsid w:val="00B148F4"/>
    <w:rsid w:val="00B14CCE"/>
    <w:rsid w:val="00B154D0"/>
    <w:rsid w:val="00B1609D"/>
    <w:rsid w:val="00B16906"/>
    <w:rsid w:val="00B17283"/>
    <w:rsid w:val="00B172B7"/>
    <w:rsid w:val="00B179F4"/>
    <w:rsid w:val="00B204E4"/>
    <w:rsid w:val="00B208D5"/>
    <w:rsid w:val="00B20DEC"/>
    <w:rsid w:val="00B21323"/>
    <w:rsid w:val="00B2187B"/>
    <w:rsid w:val="00B21B0D"/>
    <w:rsid w:val="00B21DF0"/>
    <w:rsid w:val="00B22F63"/>
    <w:rsid w:val="00B2315B"/>
    <w:rsid w:val="00B24516"/>
    <w:rsid w:val="00B24630"/>
    <w:rsid w:val="00B2532A"/>
    <w:rsid w:val="00B263A0"/>
    <w:rsid w:val="00B263BF"/>
    <w:rsid w:val="00B264F7"/>
    <w:rsid w:val="00B2653F"/>
    <w:rsid w:val="00B2789E"/>
    <w:rsid w:val="00B27E00"/>
    <w:rsid w:val="00B30271"/>
    <w:rsid w:val="00B31A7E"/>
    <w:rsid w:val="00B31C32"/>
    <w:rsid w:val="00B321D3"/>
    <w:rsid w:val="00B32632"/>
    <w:rsid w:val="00B32CAF"/>
    <w:rsid w:val="00B32DBE"/>
    <w:rsid w:val="00B3334E"/>
    <w:rsid w:val="00B33ED2"/>
    <w:rsid w:val="00B35DB3"/>
    <w:rsid w:val="00B360B1"/>
    <w:rsid w:val="00B36663"/>
    <w:rsid w:val="00B36B2C"/>
    <w:rsid w:val="00B36C93"/>
    <w:rsid w:val="00B3756B"/>
    <w:rsid w:val="00B37AB5"/>
    <w:rsid w:val="00B37B42"/>
    <w:rsid w:val="00B41B6F"/>
    <w:rsid w:val="00B41BDA"/>
    <w:rsid w:val="00B4228F"/>
    <w:rsid w:val="00B42542"/>
    <w:rsid w:val="00B42E81"/>
    <w:rsid w:val="00B431A8"/>
    <w:rsid w:val="00B43C04"/>
    <w:rsid w:val="00B4458C"/>
    <w:rsid w:val="00B44F98"/>
    <w:rsid w:val="00B4539D"/>
    <w:rsid w:val="00B454F2"/>
    <w:rsid w:val="00B45A5B"/>
    <w:rsid w:val="00B45DB5"/>
    <w:rsid w:val="00B464C3"/>
    <w:rsid w:val="00B46E80"/>
    <w:rsid w:val="00B473A9"/>
    <w:rsid w:val="00B47601"/>
    <w:rsid w:val="00B47CBA"/>
    <w:rsid w:val="00B51360"/>
    <w:rsid w:val="00B516DD"/>
    <w:rsid w:val="00B51A6A"/>
    <w:rsid w:val="00B51CC4"/>
    <w:rsid w:val="00B5340B"/>
    <w:rsid w:val="00B534A2"/>
    <w:rsid w:val="00B53F20"/>
    <w:rsid w:val="00B54202"/>
    <w:rsid w:val="00B567D7"/>
    <w:rsid w:val="00B57620"/>
    <w:rsid w:val="00B577CD"/>
    <w:rsid w:val="00B57BA7"/>
    <w:rsid w:val="00B60839"/>
    <w:rsid w:val="00B616DD"/>
    <w:rsid w:val="00B622AF"/>
    <w:rsid w:val="00B62A53"/>
    <w:rsid w:val="00B62C3A"/>
    <w:rsid w:val="00B641EC"/>
    <w:rsid w:val="00B64443"/>
    <w:rsid w:val="00B64A45"/>
    <w:rsid w:val="00B65F86"/>
    <w:rsid w:val="00B6604D"/>
    <w:rsid w:val="00B661B1"/>
    <w:rsid w:val="00B6727A"/>
    <w:rsid w:val="00B67B36"/>
    <w:rsid w:val="00B67C7C"/>
    <w:rsid w:val="00B7010D"/>
    <w:rsid w:val="00B7024B"/>
    <w:rsid w:val="00B707A1"/>
    <w:rsid w:val="00B70CCA"/>
    <w:rsid w:val="00B7149C"/>
    <w:rsid w:val="00B715D1"/>
    <w:rsid w:val="00B717F0"/>
    <w:rsid w:val="00B7183B"/>
    <w:rsid w:val="00B71B2E"/>
    <w:rsid w:val="00B72702"/>
    <w:rsid w:val="00B72813"/>
    <w:rsid w:val="00B735EA"/>
    <w:rsid w:val="00B73EA7"/>
    <w:rsid w:val="00B73F42"/>
    <w:rsid w:val="00B7402E"/>
    <w:rsid w:val="00B747F5"/>
    <w:rsid w:val="00B74E6B"/>
    <w:rsid w:val="00B75B1C"/>
    <w:rsid w:val="00B75B31"/>
    <w:rsid w:val="00B762F0"/>
    <w:rsid w:val="00B76D3A"/>
    <w:rsid w:val="00B77543"/>
    <w:rsid w:val="00B77823"/>
    <w:rsid w:val="00B80D3A"/>
    <w:rsid w:val="00B80DC3"/>
    <w:rsid w:val="00B80FA7"/>
    <w:rsid w:val="00B811AB"/>
    <w:rsid w:val="00B811F7"/>
    <w:rsid w:val="00B81803"/>
    <w:rsid w:val="00B81FC0"/>
    <w:rsid w:val="00B83FF4"/>
    <w:rsid w:val="00B84CE7"/>
    <w:rsid w:val="00B84EF9"/>
    <w:rsid w:val="00B8648D"/>
    <w:rsid w:val="00B866FB"/>
    <w:rsid w:val="00B86A47"/>
    <w:rsid w:val="00B87AFE"/>
    <w:rsid w:val="00B87BCB"/>
    <w:rsid w:val="00B926DE"/>
    <w:rsid w:val="00B927E8"/>
    <w:rsid w:val="00B930F0"/>
    <w:rsid w:val="00B93371"/>
    <w:rsid w:val="00B95491"/>
    <w:rsid w:val="00B956CC"/>
    <w:rsid w:val="00B961A4"/>
    <w:rsid w:val="00B97A38"/>
    <w:rsid w:val="00B97B90"/>
    <w:rsid w:val="00BA1B67"/>
    <w:rsid w:val="00BA2320"/>
    <w:rsid w:val="00BA24F6"/>
    <w:rsid w:val="00BA39F2"/>
    <w:rsid w:val="00BA47F5"/>
    <w:rsid w:val="00BA4917"/>
    <w:rsid w:val="00BA5DC6"/>
    <w:rsid w:val="00BA6196"/>
    <w:rsid w:val="00BA6656"/>
    <w:rsid w:val="00BA7859"/>
    <w:rsid w:val="00BA7F37"/>
    <w:rsid w:val="00BB0116"/>
    <w:rsid w:val="00BB105A"/>
    <w:rsid w:val="00BB12AE"/>
    <w:rsid w:val="00BB1F15"/>
    <w:rsid w:val="00BB2182"/>
    <w:rsid w:val="00BB462E"/>
    <w:rsid w:val="00BB49D5"/>
    <w:rsid w:val="00BB5BE6"/>
    <w:rsid w:val="00BB5EFF"/>
    <w:rsid w:val="00BB68D5"/>
    <w:rsid w:val="00BB6E8C"/>
    <w:rsid w:val="00BB70D1"/>
    <w:rsid w:val="00BB72C5"/>
    <w:rsid w:val="00BB7C28"/>
    <w:rsid w:val="00BC1725"/>
    <w:rsid w:val="00BC2AC7"/>
    <w:rsid w:val="00BC2F73"/>
    <w:rsid w:val="00BC3EA9"/>
    <w:rsid w:val="00BC49D2"/>
    <w:rsid w:val="00BC49E6"/>
    <w:rsid w:val="00BC5523"/>
    <w:rsid w:val="00BC5777"/>
    <w:rsid w:val="00BC6145"/>
    <w:rsid w:val="00BC64CA"/>
    <w:rsid w:val="00BC67DF"/>
    <w:rsid w:val="00BC6C7F"/>
    <w:rsid w:val="00BC6D8C"/>
    <w:rsid w:val="00BC7CE5"/>
    <w:rsid w:val="00BD1758"/>
    <w:rsid w:val="00BD203B"/>
    <w:rsid w:val="00BD2BFF"/>
    <w:rsid w:val="00BD3544"/>
    <w:rsid w:val="00BD37C9"/>
    <w:rsid w:val="00BD3CE3"/>
    <w:rsid w:val="00BD4F44"/>
    <w:rsid w:val="00BD5380"/>
    <w:rsid w:val="00BD556B"/>
    <w:rsid w:val="00BD622D"/>
    <w:rsid w:val="00BD6EEB"/>
    <w:rsid w:val="00BD6FC3"/>
    <w:rsid w:val="00BD73A2"/>
    <w:rsid w:val="00BE0087"/>
    <w:rsid w:val="00BE00DF"/>
    <w:rsid w:val="00BE0490"/>
    <w:rsid w:val="00BE076A"/>
    <w:rsid w:val="00BE0A2D"/>
    <w:rsid w:val="00BE0DDC"/>
    <w:rsid w:val="00BE102C"/>
    <w:rsid w:val="00BE13FB"/>
    <w:rsid w:val="00BE221B"/>
    <w:rsid w:val="00BE2BFC"/>
    <w:rsid w:val="00BE3833"/>
    <w:rsid w:val="00BE3EA9"/>
    <w:rsid w:val="00BE45A9"/>
    <w:rsid w:val="00BE5F1D"/>
    <w:rsid w:val="00BE63CC"/>
    <w:rsid w:val="00BE7FF9"/>
    <w:rsid w:val="00BF0BEB"/>
    <w:rsid w:val="00BF0D5E"/>
    <w:rsid w:val="00BF156D"/>
    <w:rsid w:val="00BF19DF"/>
    <w:rsid w:val="00BF1F9E"/>
    <w:rsid w:val="00BF2572"/>
    <w:rsid w:val="00BF280B"/>
    <w:rsid w:val="00BF30A0"/>
    <w:rsid w:val="00BF3519"/>
    <w:rsid w:val="00BF35FC"/>
    <w:rsid w:val="00BF39FB"/>
    <w:rsid w:val="00BF4084"/>
    <w:rsid w:val="00BF6B97"/>
    <w:rsid w:val="00BF7747"/>
    <w:rsid w:val="00C00476"/>
    <w:rsid w:val="00C0109C"/>
    <w:rsid w:val="00C01CBF"/>
    <w:rsid w:val="00C02300"/>
    <w:rsid w:val="00C02E94"/>
    <w:rsid w:val="00C0337D"/>
    <w:rsid w:val="00C03C81"/>
    <w:rsid w:val="00C05B2C"/>
    <w:rsid w:val="00C06061"/>
    <w:rsid w:val="00C07453"/>
    <w:rsid w:val="00C07763"/>
    <w:rsid w:val="00C10014"/>
    <w:rsid w:val="00C105E6"/>
    <w:rsid w:val="00C11D44"/>
    <w:rsid w:val="00C124AB"/>
    <w:rsid w:val="00C128EE"/>
    <w:rsid w:val="00C14B58"/>
    <w:rsid w:val="00C15C1D"/>
    <w:rsid w:val="00C16FE9"/>
    <w:rsid w:val="00C1701B"/>
    <w:rsid w:val="00C17068"/>
    <w:rsid w:val="00C1793F"/>
    <w:rsid w:val="00C1795B"/>
    <w:rsid w:val="00C17D9B"/>
    <w:rsid w:val="00C17F00"/>
    <w:rsid w:val="00C2000B"/>
    <w:rsid w:val="00C2060E"/>
    <w:rsid w:val="00C215C6"/>
    <w:rsid w:val="00C215FB"/>
    <w:rsid w:val="00C21F2D"/>
    <w:rsid w:val="00C21FC5"/>
    <w:rsid w:val="00C220FC"/>
    <w:rsid w:val="00C22278"/>
    <w:rsid w:val="00C225E1"/>
    <w:rsid w:val="00C232D3"/>
    <w:rsid w:val="00C24C06"/>
    <w:rsid w:val="00C24C70"/>
    <w:rsid w:val="00C24F59"/>
    <w:rsid w:val="00C25D47"/>
    <w:rsid w:val="00C25FB6"/>
    <w:rsid w:val="00C262A0"/>
    <w:rsid w:val="00C27208"/>
    <w:rsid w:val="00C27E2D"/>
    <w:rsid w:val="00C30410"/>
    <w:rsid w:val="00C305C3"/>
    <w:rsid w:val="00C319E1"/>
    <w:rsid w:val="00C3205C"/>
    <w:rsid w:val="00C324E3"/>
    <w:rsid w:val="00C32AA9"/>
    <w:rsid w:val="00C3346D"/>
    <w:rsid w:val="00C34006"/>
    <w:rsid w:val="00C34544"/>
    <w:rsid w:val="00C34630"/>
    <w:rsid w:val="00C34A23"/>
    <w:rsid w:val="00C35690"/>
    <w:rsid w:val="00C35D3C"/>
    <w:rsid w:val="00C35E70"/>
    <w:rsid w:val="00C35EEF"/>
    <w:rsid w:val="00C36E76"/>
    <w:rsid w:val="00C36FC9"/>
    <w:rsid w:val="00C37418"/>
    <w:rsid w:val="00C37683"/>
    <w:rsid w:val="00C378A8"/>
    <w:rsid w:val="00C40672"/>
    <w:rsid w:val="00C41BB7"/>
    <w:rsid w:val="00C4235C"/>
    <w:rsid w:val="00C4237E"/>
    <w:rsid w:val="00C426B1"/>
    <w:rsid w:val="00C42969"/>
    <w:rsid w:val="00C43445"/>
    <w:rsid w:val="00C440C0"/>
    <w:rsid w:val="00C440F0"/>
    <w:rsid w:val="00C4445F"/>
    <w:rsid w:val="00C444BE"/>
    <w:rsid w:val="00C447AD"/>
    <w:rsid w:val="00C45149"/>
    <w:rsid w:val="00C45919"/>
    <w:rsid w:val="00C4640D"/>
    <w:rsid w:val="00C46E15"/>
    <w:rsid w:val="00C470B5"/>
    <w:rsid w:val="00C473B9"/>
    <w:rsid w:val="00C473CE"/>
    <w:rsid w:val="00C4779B"/>
    <w:rsid w:val="00C509A8"/>
    <w:rsid w:val="00C5148B"/>
    <w:rsid w:val="00C518D2"/>
    <w:rsid w:val="00C52119"/>
    <w:rsid w:val="00C526DE"/>
    <w:rsid w:val="00C52D52"/>
    <w:rsid w:val="00C53844"/>
    <w:rsid w:val="00C53B80"/>
    <w:rsid w:val="00C53D13"/>
    <w:rsid w:val="00C5440A"/>
    <w:rsid w:val="00C5451C"/>
    <w:rsid w:val="00C54F76"/>
    <w:rsid w:val="00C555F7"/>
    <w:rsid w:val="00C557FE"/>
    <w:rsid w:val="00C559BC"/>
    <w:rsid w:val="00C5645F"/>
    <w:rsid w:val="00C5669D"/>
    <w:rsid w:val="00C56851"/>
    <w:rsid w:val="00C57E2B"/>
    <w:rsid w:val="00C606A2"/>
    <w:rsid w:val="00C606AE"/>
    <w:rsid w:val="00C6070F"/>
    <w:rsid w:val="00C6071B"/>
    <w:rsid w:val="00C60CD6"/>
    <w:rsid w:val="00C617CD"/>
    <w:rsid w:val="00C63047"/>
    <w:rsid w:val="00C63D99"/>
    <w:rsid w:val="00C65544"/>
    <w:rsid w:val="00C6573C"/>
    <w:rsid w:val="00C65907"/>
    <w:rsid w:val="00C66113"/>
    <w:rsid w:val="00C6620B"/>
    <w:rsid w:val="00C666A3"/>
    <w:rsid w:val="00C673CC"/>
    <w:rsid w:val="00C677A6"/>
    <w:rsid w:val="00C70981"/>
    <w:rsid w:val="00C71308"/>
    <w:rsid w:val="00C71412"/>
    <w:rsid w:val="00C71BF3"/>
    <w:rsid w:val="00C71C16"/>
    <w:rsid w:val="00C71DB4"/>
    <w:rsid w:val="00C7214D"/>
    <w:rsid w:val="00C72BEB"/>
    <w:rsid w:val="00C72C23"/>
    <w:rsid w:val="00C7345A"/>
    <w:rsid w:val="00C73605"/>
    <w:rsid w:val="00C73BB0"/>
    <w:rsid w:val="00C74E1A"/>
    <w:rsid w:val="00C74E8E"/>
    <w:rsid w:val="00C75F92"/>
    <w:rsid w:val="00C768F9"/>
    <w:rsid w:val="00C773BA"/>
    <w:rsid w:val="00C77744"/>
    <w:rsid w:val="00C810E8"/>
    <w:rsid w:val="00C8194A"/>
    <w:rsid w:val="00C81C72"/>
    <w:rsid w:val="00C81F97"/>
    <w:rsid w:val="00C8201F"/>
    <w:rsid w:val="00C83832"/>
    <w:rsid w:val="00C843DF"/>
    <w:rsid w:val="00C8464B"/>
    <w:rsid w:val="00C847C0"/>
    <w:rsid w:val="00C84BFF"/>
    <w:rsid w:val="00C852EC"/>
    <w:rsid w:val="00C854D2"/>
    <w:rsid w:val="00C85730"/>
    <w:rsid w:val="00C86FAF"/>
    <w:rsid w:val="00C87501"/>
    <w:rsid w:val="00C87753"/>
    <w:rsid w:val="00C87A66"/>
    <w:rsid w:val="00C87A6D"/>
    <w:rsid w:val="00C87DE4"/>
    <w:rsid w:val="00C902FD"/>
    <w:rsid w:val="00C90D6A"/>
    <w:rsid w:val="00C90F4D"/>
    <w:rsid w:val="00C91B50"/>
    <w:rsid w:val="00C91DF0"/>
    <w:rsid w:val="00C91E95"/>
    <w:rsid w:val="00C9201A"/>
    <w:rsid w:val="00C9214A"/>
    <w:rsid w:val="00C92A79"/>
    <w:rsid w:val="00C93A29"/>
    <w:rsid w:val="00C93CE7"/>
    <w:rsid w:val="00C93E9B"/>
    <w:rsid w:val="00C9402D"/>
    <w:rsid w:val="00C94D38"/>
    <w:rsid w:val="00C95C6F"/>
    <w:rsid w:val="00C95FA1"/>
    <w:rsid w:val="00C96FA3"/>
    <w:rsid w:val="00C97A54"/>
    <w:rsid w:val="00C97E6E"/>
    <w:rsid w:val="00CA0AED"/>
    <w:rsid w:val="00CA247E"/>
    <w:rsid w:val="00CA2CAD"/>
    <w:rsid w:val="00CA4383"/>
    <w:rsid w:val="00CA473D"/>
    <w:rsid w:val="00CA47A1"/>
    <w:rsid w:val="00CA5475"/>
    <w:rsid w:val="00CA5C06"/>
    <w:rsid w:val="00CA6348"/>
    <w:rsid w:val="00CA7707"/>
    <w:rsid w:val="00CA7996"/>
    <w:rsid w:val="00CB00C1"/>
    <w:rsid w:val="00CB0CFA"/>
    <w:rsid w:val="00CB1A9E"/>
    <w:rsid w:val="00CB2AD7"/>
    <w:rsid w:val="00CB2B32"/>
    <w:rsid w:val="00CB31C8"/>
    <w:rsid w:val="00CB3EB1"/>
    <w:rsid w:val="00CB42CF"/>
    <w:rsid w:val="00CB467A"/>
    <w:rsid w:val="00CB48F4"/>
    <w:rsid w:val="00CB4B50"/>
    <w:rsid w:val="00CB5837"/>
    <w:rsid w:val="00CB6D77"/>
    <w:rsid w:val="00CB6F64"/>
    <w:rsid w:val="00CB6FE1"/>
    <w:rsid w:val="00CB76FE"/>
    <w:rsid w:val="00CC007F"/>
    <w:rsid w:val="00CC0164"/>
    <w:rsid w:val="00CC090A"/>
    <w:rsid w:val="00CC1188"/>
    <w:rsid w:val="00CC1C04"/>
    <w:rsid w:val="00CC2E06"/>
    <w:rsid w:val="00CC2FFC"/>
    <w:rsid w:val="00CC33AA"/>
    <w:rsid w:val="00CC3782"/>
    <w:rsid w:val="00CC4C48"/>
    <w:rsid w:val="00CC504D"/>
    <w:rsid w:val="00CC55A3"/>
    <w:rsid w:val="00CC68D0"/>
    <w:rsid w:val="00CC69EC"/>
    <w:rsid w:val="00CC6A1D"/>
    <w:rsid w:val="00CC70B5"/>
    <w:rsid w:val="00CC72B6"/>
    <w:rsid w:val="00CC76F6"/>
    <w:rsid w:val="00CC7DC9"/>
    <w:rsid w:val="00CD10D5"/>
    <w:rsid w:val="00CD16BA"/>
    <w:rsid w:val="00CD1A6B"/>
    <w:rsid w:val="00CD1B88"/>
    <w:rsid w:val="00CD3B6C"/>
    <w:rsid w:val="00CD3F86"/>
    <w:rsid w:val="00CD3FCB"/>
    <w:rsid w:val="00CD4158"/>
    <w:rsid w:val="00CD459C"/>
    <w:rsid w:val="00CD542E"/>
    <w:rsid w:val="00CD6064"/>
    <w:rsid w:val="00CD6860"/>
    <w:rsid w:val="00CE0290"/>
    <w:rsid w:val="00CE0ACF"/>
    <w:rsid w:val="00CE1016"/>
    <w:rsid w:val="00CE1184"/>
    <w:rsid w:val="00CE2575"/>
    <w:rsid w:val="00CE29AF"/>
    <w:rsid w:val="00CE29C8"/>
    <w:rsid w:val="00CE30AF"/>
    <w:rsid w:val="00CE33C0"/>
    <w:rsid w:val="00CE4B4B"/>
    <w:rsid w:val="00CE4E5F"/>
    <w:rsid w:val="00CE5DE2"/>
    <w:rsid w:val="00CE68BA"/>
    <w:rsid w:val="00CE7D49"/>
    <w:rsid w:val="00CE7E4F"/>
    <w:rsid w:val="00CF0358"/>
    <w:rsid w:val="00CF0C54"/>
    <w:rsid w:val="00CF1466"/>
    <w:rsid w:val="00CF1A8A"/>
    <w:rsid w:val="00CF2569"/>
    <w:rsid w:val="00CF273C"/>
    <w:rsid w:val="00CF35D6"/>
    <w:rsid w:val="00CF39D0"/>
    <w:rsid w:val="00CF4989"/>
    <w:rsid w:val="00CF4AC3"/>
    <w:rsid w:val="00CF5BE1"/>
    <w:rsid w:val="00CF5F9A"/>
    <w:rsid w:val="00CF6D8C"/>
    <w:rsid w:val="00D00877"/>
    <w:rsid w:val="00D01366"/>
    <w:rsid w:val="00D0218D"/>
    <w:rsid w:val="00D02663"/>
    <w:rsid w:val="00D02771"/>
    <w:rsid w:val="00D028AC"/>
    <w:rsid w:val="00D02F21"/>
    <w:rsid w:val="00D0314B"/>
    <w:rsid w:val="00D03823"/>
    <w:rsid w:val="00D03BF8"/>
    <w:rsid w:val="00D043B4"/>
    <w:rsid w:val="00D066FC"/>
    <w:rsid w:val="00D06AE9"/>
    <w:rsid w:val="00D06CC1"/>
    <w:rsid w:val="00D07719"/>
    <w:rsid w:val="00D079C9"/>
    <w:rsid w:val="00D1021A"/>
    <w:rsid w:val="00D108F5"/>
    <w:rsid w:val="00D10A45"/>
    <w:rsid w:val="00D12671"/>
    <w:rsid w:val="00D13DCB"/>
    <w:rsid w:val="00D14F8E"/>
    <w:rsid w:val="00D158CB"/>
    <w:rsid w:val="00D15D9F"/>
    <w:rsid w:val="00D16467"/>
    <w:rsid w:val="00D2081A"/>
    <w:rsid w:val="00D21016"/>
    <w:rsid w:val="00D214FB"/>
    <w:rsid w:val="00D21FCD"/>
    <w:rsid w:val="00D23918"/>
    <w:rsid w:val="00D23B8D"/>
    <w:rsid w:val="00D24A24"/>
    <w:rsid w:val="00D25950"/>
    <w:rsid w:val="00D25BD3"/>
    <w:rsid w:val="00D25BF2"/>
    <w:rsid w:val="00D267D7"/>
    <w:rsid w:val="00D2681B"/>
    <w:rsid w:val="00D27652"/>
    <w:rsid w:val="00D27840"/>
    <w:rsid w:val="00D30062"/>
    <w:rsid w:val="00D301FC"/>
    <w:rsid w:val="00D30EC9"/>
    <w:rsid w:val="00D31835"/>
    <w:rsid w:val="00D31B73"/>
    <w:rsid w:val="00D31B7E"/>
    <w:rsid w:val="00D31C0A"/>
    <w:rsid w:val="00D3211C"/>
    <w:rsid w:val="00D32384"/>
    <w:rsid w:val="00D32408"/>
    <w:rsid w:val="00D36A28"/>
    <w:rsid w:val="00D37146"/>
    <w:rsid w:val="00D37966"/>
    <w:rsid w:val="00D40F63"/>
    <w:rsid w:val="00D411CD"/>
    <w:rsid w:val="00D4169F"/>
    <w:rsid w:val="00D41B05"/>
    <w:rsid w:val="00D4209B"/>
    <w:rsid w:val="00D42764"/>
    <w:rsid w:val="00D4295E"/>
    <w:rsid w:val="00D43592"/>
    <w:rsid w:val="00D455C2"/>
    <w:rsid w:val="00D46B14"/>
    <w:rsid w:val="00D4701B"/>
    <w:rsid w:val="00D47061"/>
    <w:rsid w:val="00D47B22"/>
    <w:rsid w:val="00D5062E"/>
    <w:rsid w:val="00D515D4"/>
    <w:rsid w:val="00D53308"/>
    <w:rsid w:val="00D537AE"/>
    <w:rsid w:val="00D544B6"/>
    <w:rsid w:val="00D54E6D"/>
    <w:rsid w:val="00D54F45"/>
    <w:rsid w:val="00D5500B"/>
    <w:rsid w:val="00D569F4"/>
    <w:rsid w:val="00D57BF7"/>
    <w:rsid w:val="00D57FB9"/>
    <w:rsid w:val="00D60077"/>
    <w:rsid w:val="00D60220"/>
    <w:rsid w:val="00D6030A"/>
    <w:rsid w:val="00D60800"/>
    <w:rsid w:val="00D60B2E"/>
    <w:rsid w:val="00D61137"/>
    <w:rsid w:val="00D618EE"/>
    <w:rsid w:val="00D621A7"/>
    <w:rsid w:val="00D6295A"/>
    <w:rsid w:val="00D64340"/>
    <w:rsid w:val="00D65E41"/>
    <w:rsid w:val="00D6681A"/>
    <w:rsid w:val="00D6692B"/>
    <w:rsid w:val="00D66EE9"/>
    <w:rsid w:val="00D671FC"/>
    <w:rsid w:val="00D6749D"/>
    <w:rsid w:val="00D67D3A"/>
    <w:rsid w:val="00D706DD"/>
    <w:rsid w:val="00D70CB1"/>
    <w:rsid w:val="00D711B8"/>
    <w:rsid w:val="00D71DD4"/>
    <w:rsid w:val="00D72BA2"/>
    <w:rsid w:val="00D7306A"/>
    <w:rsid w:val="00D7537C"/>
    <w:rsid w:val="00D7539F"/>
    <w:rsid w:val="00D75401"/>
    <w:rsid w:val="00D762B7"/>
    <w:rsid w:val="00D763D9"/>
    <w:rsid w:val="00D76BF6"/>
    <w:rsid w:val="00D776A7"/>
    <w:rsid w:val="00D807EE"/>
    <w:rsid w:val="00D82E42"/>
    <w:rsid w:val="00D846A1"/>
    <w:rsid w:val="00D84FF8"/>
    <w:rsid w:val="00D85E11"/>
    <w:rsid w:val="00D8639E"/>
    <w:rsid w:val="00D874A0"/>
    <w:rsid w:val="00D9001D"/>
    <w:rsid w:val="00D901E1"/>
    <w:rsid w:val="00D90D1D"/>
    <w:rsid w:val="00D90F08"/>
    <w:rsid w:val="00D9151A"/>
    <w:rsid w:val="00D9154B"/>
    <w:rsid w:val="00D918EE"/>
    <w:rsid w:val="00D921C6"/>
    <w:rsid w:val="00D92242"/>
    <w:rsid w:val="00D939C5"/>
    <w:rsid w:val="00D93EE8"/>
    <w:rsid w:val="00D93FC3"/>
    <w:rsid w:val="00D94548"/>
    <w:rsid w:val="00D958B9"/>
    <w:rsid w:val="00D958E1"/>
    <w:rsid w:val="00D95F49"/>
    <w:rsid w:val="00D9701E"/>
    <w:rsid w:val="00D978F5"/>
    <w:rsid w:val="00DA0393"/>
    <w:rsid w:val="00DA0402"/>
    <w:rsid w:val="00DA1188"/>
    <w:rsid w:val="00DA1307"/>
    <w:rsid w:val="00DA2529"/>
    <w:rsid w:val="00DA2569"/>
    <w:rsid w:val="00DA2ECB"/>
    <w:rsid w:val="00DA3208"/>
    <w:rsid w:val="00DA3444"/>
    <w:rsid w:val="00DA378D"/>
    <w:rsid w:val="00DA39D3"/>
    <w:rsid w:val="00DA49B2"/>
    <w:rsid w:val="00DA5303"/>
    <w:rsid w:val="00DA5502"/>
    <w:rsid w:val="00DA6C0D"/>
    <w:rsid w:val="00DA6CB6"/>
    <w:rsid w:val="00DA73AC"/>
    <w:rsid w:val="00DA7536"/>
    <w:rsid w:val="00DA77CD"/>
    <w:rsid w:val="00DA784F"/>
    <w:rsid w:val="00DA7B20"/>
    <w:rsid w:val="00DA7BAF"/>
    <w:rsid w:val="00DA7F17"/>
    <w:rsid w:val="00DB0DA2"/>
    <w:rsid w:val="00DB1180"/>
    <w:rsid w:val="00DB130A"/>
    <w:rsid w:val="00DB1483"/>
    <w:rsid w:val="00DB1DCF"/>
    <w:rsid w:val="00DB2359"/>
    <w:rsid w:val="00DB24B7"/>
    <w:rsid w:val="00DB27BF"/>
    <w:rsid w:val="00DB3022"/>
    <w:rsid w:val="00DB39EB"/>
    <w:rsid w:val="00DB49C3"/>
    <w:rsid w:val="00DB4D87"/>
    <w:rsid w:val="00DB4EBE"/>
    <w:rsid w:val="00DB5167"/>
    <w:rsid w:val="00DB5450"/>
    <w:rsid w:val="00DB5B23"/>
    <w:rsid w:val="00DB6330"/>
    <w:rsid w:val="00DB634F"/>
    <w:rsid w:val="00DB64B3"/>
    <w:rsid w:val="00DB7497"/>
    <w:rsid w:val="00DB7A7E"/>
    <w:rsid w:val="00DB7CF4"/>
    <w:rsid w:val="00DC0159"/>
    <w:rsid w:val="00DC050F"/>
    <w:rsid w:val="00DC05F6"/>
    <w:rsid w:val="00DC07A8"/>
    <w:rsid w:val="00DC10A1"/>
    <w:rsid w:val="00DC190C"/>
    <w:rsid w:val="00DC27C4"/>
    <w:rsid w:val="00DC2F02"/>
    <w:rsid w:val="00DC3448"/>
    <w:rsid w:val="00DC3A62"/>
    <w:rsid w:val="00DC3DD8"/>
    <w:rsid w:val="00DC3E43"/>
    <w:rsid w:val="00DC42F5"/>
    <w:rsid w:val="00DC481E"/>
    <w:rsid w:val="00DC553D"/>
    <w:rsid w:val="00DC6293"/>
    <w:rsid w:val="00DC655F"/>
    <w:rsid w:val="00DC6691"/>
    <w:rsid w:val="00DC6F09"/>
    <w:rsid w:val="00DD0B59"/>
    <w:rsid w:val="00DD2994"/>
    <w:rsid w:val="00DD377F"/>
    <w:rsid w:val="00DD3FD4"/>
    <w:rsid w:val="00DD4188"/>
    <w:rsid w:val="00DD4FFC"/>
    <w:rsid w:val="00DD58E4"/>
    <w:rsid w:val="00DD5B27"/>
    <w:rsid w:val="00DD5F80"/>
    <w:rsid w:val="00DD5F9A"/>
    <w:rsid w:val="00DD685D"/>
    <w:rsid w:val="00DD725D"/>
    <w:rsid w:val="00DD7604"/>
    <w:rsid w:val="00DD7EBD"/>
    <w:rsid w:val="00DE0283"/>
    <w:rsid w:val="00DE0562"/>
    <w:rsid w:val="00DE06CC"/>
    <w:rsid w:val="00DE1358"/>
    <w:rsid w:val="00DE1672"/>
    <w:rsid w:val="00DE1942"/>
    <w:rsid w:val="00DE1D66"/>
    <w:rsid w:val="00DE284D"/>
    <w:rsid w:val="00DE3159"/>
    <w:rsid w:val="00DE3356"/>
    <w:rsid w:val="00DE7ED3"/>
    <w:rsid w:val="00DF039E"/>
    <w:rsid w:val="00DF0EF0"/>
    <w:rsid w:val="00DF11F7"/>
    <w:rsid w:val="00DF124A"/>
    <w:rsid w:val="00DF195E"/>
    <w:rsid w:val="00DF1EA8"/>
    <w:rsid w:val="00DF2839"/>
    <w:rsid w:val="00DF2CF2"/>
    <w:rsid w:val="00DF3400"/>
    <w:rsid w:val="00DF3469"/>
    <w:rsid w:val="00DF3598"/>
    <w:rsid w:val="00DF39E4"/>
    <w:rsid w:val="00DF3ED2"/>
    <w:rsid w:val="00DF4547"/>
    <w:rsid w:val="00DF46A4"/>
    <w:rsid w:val="00DF540B"/>
    <w:rsid w:val="00DF5EA6"/>
    <w:rsid w:val="00DF62B6"/>
    <w:rsid w:val="00DF63CD"/>
    <w:rsid w:val="00DF6535"/>
    <w:rsid w:val="00E000FD"/>
    <w:rsid w:val="00E0047C"/>
    <w:rsid w:val="00E00EC6"/>
    <w:rsid w:val="00E010A6"/>
    <w:rsid w:val="00E0175F"/>
    <w:rsid w:val="00E01DE4"/>
    <w:rsid w:val="00E02097"/>
    <w:rsid w:val="00E0324D"/>
    <w:rsid w:val="00E03255"/>
    <w:rsid w:val="00E03BE5"/>
    <w:rsid w:val="00E03EC7"/>
    <w:rsid w:val="00E04F3F"/>
    <w:rsid w:val="00E052E9"/>
    <w:rsid w:val="00E05A83"/>
    <w:rsid w:val="00E06E45"/>
    <w:rsid w:val="00E07225"/>
    <w:rsid w:val="00E07515"/>
    <w:rsid w:val="00E07A75"/>
    <w:rsid w:val="00E103BF"/>
    <w:rsid w:val="00E10BBA"/>
    <w:rsid w:val="00E11C83"/>
    <w:rsid w:val="00E11FAF"/>
    <w:rsid w:val="00E12BB0"/>
    <w:rsid w:val="00E12F43"/>
    <w:rsid w:val="00E13650"/>
    <w:rsid w:val="00E1387E"/>
    <w:rsid w:val="00E13D38"/>
    <w:rsid w:val="00E13E9F"/>
    <w:rsid w:val="00E14B8B"/>
    <w:rsid w:val="00E1515F"/>
    <w:rsid w:val="00E15B5F"/>
    <w:rsid w:val="00E15E79"/>
    <w:rsid w:val="00E162A4"/>
    <w:rsid w:val="00E17114"/>
    <w:rsid w:val="00E173E7"/>
    <w:rsid w:val="00E17E35"/>
    <w:rsid w:val="00E20290"/>
    <w:rsid w:val="00E20350"/>
    <w:rsid w:val="00E22535"/>
    <w:rsid w:val="00E2270D"/>
    <w:rsid w:val="00E22801"/>
    <w:rsid w:val="00E23351"/>
    <w:rsid w:val="00E23C32"/>
    <w:rsid w:val="00E23D5D"/>
    <w:rsid w:val="00E242EC"/>
    <w:rsid w:val="00E24751"/>
    <w:rsid w:val="00E2592A"/>
    <w:rsid w:val="00E25B3C"/>
    <w:rsid w:val="00E25DBD"/>
    <w:rsid w:val="00E264B7"/>
    <w:rsid w:val="00E26A12"/>
    <w:rsid w:val="00E26B99"/>
    <w:rsid w:val="00E271C5"/>
    <w:rsid w:val="00E2749A"/>
    <w:rsid w:val="00E276F5"/>
    <w:rsid w:val="00E305F2"/>
    <w:rsid w:val="00E30DD7"/>
    <w:rsid w:val="00E310D9"/>
    <w:rsid w:val="00E317B0"/>
    <w:rsid w:val="00E31930"/>
    <w:rsid w:val="00E31DB3"/>
    <w:rsid w:val="00E3276D"/>
    <w:rsid w:val="00E32F21"/>
    <w:rsid w:val="00E34057"/>
    <w:rsid w:val="00E3413F"/>
    <w:rsid w:val="00E346C7"/>
    <w:rsid w:val="00E34779"/>
    <w:rsid w:val="00E352B4"/>
    <w:rsid w:val="00E35417"/>
    <w:rsid w:val="00E35F06"/>
    <w:rsid w:val="00E374EB"/>
    <w:rsid w:val="00E37B21"/>
    <w:rsid w:val="00E40AA9"/>
    <w:rsid w:val="00E40E7D"/>
    <w:rsid w:val="00E43540"/>
    <w:rsid w:val="00E435ED"/>
    <w:rsid w:val="00E43825"/>
    <w:rsid w:val="00E43D6D"/>
    <w:rsid w:val="00E44923"/>
    <w:rsid w:val="00E44C97"/>
    <w:rsid w:val="00E46711"/>
    <w:rsid w:val="00E46AFA"/>
    <w:rsid w:val="00E46DF2"/>
    <w:rsid w:val="00E47080"/>
    <w:rsid w:val="00E4764E"/>
    <w:rsid w:val="00E4781A"/>
    <w:rsid w:val="00E50C26"/>
    <w:rsid w:val="00E50CD8"/>
    <w:rsid w:val="00E51A62"/>
    <w:rsid w:val="00E53F09"/>
    <w:rsid w:val="00E5409F"/>
    <w:rsid w:val="00E545E1"/>
    <w:rsid w:val="00E549EF"/>
    <w:rsid w:val="00E55C67"/>
    <w:rsid w:val="00E55FCD"/>
    <w:rsid w:val="00E567F4"/>
    <w:rsid w:val="00E57590"/>
    <w:rsid w:val="00E57917"/>
    <w:rsid w:val="00E57BFF"/>
    <w:rsid w:val="00E60F0A"/>
    <w:rsid w:val="00E634FD"/>
    <w:rsid w:val="00E63885"/>
    <w:rsid w:val="00E64A13"/>
    <w:rsid w:val="00E6575A"/>
    <w:rsid w:val="00E65E68"/>
    <w:rsid w:val="00E66271"/>
    <w:rsid w:val="00E67F3F"/>
    <w:rsid w:val="00E7059E"/>
    <w:rsid w:val="00E71750"/>
    <w:rsid w:val="00E720FC"/>
    <w:rsid w:val="00E7407C"/>
    <w:rsid w:val="00E74BA4"/>
    <w:rsid w:val="00E75202"/>
    <w:rsid w:val="00E75B5E"/>
    <w:rsid w:val="00E75B73"/>
    <w:rsid w:val="00E76392"/>
    <w:rsid w:val="00E76B18"/>
    <w:rsid w:val="00E76B54"/>
    <w:rsid w:val="00E7704A"/>
    <w:rsid w:val="00E77D3D"/>
    <w:rsid w:val="00E80B92"/>
    <w:rsid w:val="00E81CA7"/>
    <w:rsid w:val="00E82195"/>
    <w:rsid w:val="00E82A4D"/>
    <w:rsid w:val="00E82F59"/>
    <w:rsid w:val="00E8414F"/>
    <w:rsid w:val="00E8424C"/>
    <w:rsid w:val="00E84F60"/>
    <w:rsid w:val="00E85EF8"/>
    <w:rsid w:val="00E86B1C"/>
    <w:rsid w:val="00E8782F"/>
    <w:rsid w:val="00E878AA"/>
    <w:rsid w:val="00E87AA5"/>
    <w:rsid w:val="00E87D43"/>
    <w:rsid w:val="00E90EC5"/>
    <w:rsid w:val="00E91C58"/>
    <w:rsid w:val="00E921F9"/>
    <w:rsid w:val="00E923E6"/>
    <w:rsid w:val="00E926A3"/>
    <w:rsid w:val="00E92A3A"/>
    <w:rsid w:val="00E93294"/>
    <w:rsid w:val="00E93C9A"/>
    <w:rsid w:val="00E93EBE"/>
    <w:rsid w:val="00E944FF"/>
    <w:rsid w:val="00E96B80"/>
    <w:rsid w:val="00E96D1B"/>
    <w:rsid w:val="00E96D3C"/>
    <w:rsid w:val="00E97017"/>
    <w:rsid w:val="00E97308"/>
    <w:rsid w:val="00E97CF9"/>
    <w:rsid w:val="00EA035A"/>
    <w:rsid w:val="00EA108F"/>
    <w:rsid w:val="00EA14FC"/>
    <w:rsid w:val="00EA1EB5"/>
    <w:rsid w:val="00EA36D7"/>
    <w:rsid w:val="00EA38FD"/>
    <w:rsid w:val="00EA42C2"/>
    <w:rsid w:val="00EB19DF"/>
    <w:rsid w:val="00EB1F56"/>
    <w:rsid w:val="00EB2215"/>
    <w:rsid w:val="00EB28CD"/>
    <w:rsid w:val="00EB3400"/>
    <w:rsid w:val="00EB3768"/>
    <w:rsid w:val="00EB3E30"/>
    <w:rsid w:val="00EB56CE"/>
    <w:rsid w:val="00EB5CAE"/>
    <w:rsid w:val="00EB6498"/>
    <w:rsid w:val="00EB6738"/>
    <w:rsid w:val="00EB6928"/>
    <w:rsid w:val="00EB6A42"/>
    <w:rsid w:val="00EB7A88"/>
    <w:rsid w:val="00EC0771"/>
    <w:rsid w:val="00EC1138"/>
    <w:rsid w:val="00EC12CB"/>
    <w:rsid w:val="00EC2243"/>
    <w:rsid w:val="00EC24AD"/>
    <w:rsid w:val="00EC2891"/>
    <w:rsid w:val="00EC2A6B"/>
    <w:rsid w:val="00EC35AC"/>
    <w:rsid w:val="00EC367A"/>
    <w:rsid w:val="00EC3B89"/>
    <w:rsid w:val="00EC4807"/>
    <w:rsid w:val="00EC51A3"/>
    <w:rsid w:val="00EC5469"/>
    <w:rsid w:val="00EC64A0"/>
    <w:rsid w:val="00EC75FF"/>
    <w:rsid w:val="00ED053C"/>
    <w:rsid w:val="00ED0C80"/>
    <w:rsid w:val="00ED1168"/>
    <w:rsid w:val="00ED1677"/>
    <w:rsid w:val="00ED1CD8"/>
    <w:rsid w:val="00ED2268"/>
    <w:rsid w:val="00ED2767"/>
    <w:rsid w:val="00ED3D97"/>
    <w:rsid w:val="00ED3F2E"/>
    <w:rsid w:val="00ED3FA0"/>
    <w:rsid w:val="00ED423E"/>
    <w:rsid w:val="00ED473F"/>
    <w:rsid w:val="00ED4B60"/>
    <w:rsid w:val="00ED686A"/>
    <w:rsid w:val="00ED6E1C"/>
    <w:rsid w:val="00ED6F58"/>
    <w:rsid w:val="00ED7588"/>
    <w:rsid w:val="00ED7BB3"/>
    <w:rsid w:val="00ED7C54"/>
    <w:rsid w:val="00EE073B"/>
    <w:rsid w:val="00EE127A"/>
    <w:rsid w:val="00EE248E"/>
    <w:rsid w:val="00EE2568"/>
    <w:rsid w:val="00EE293A"/>
    <w:rsid w:val="00EE3A8A"/>
    <w:rsid w:val="00EE4053"/>
    <w:rsid w:val="00EE4F13"/>
    <w:rsid w:val="00EE6488"/>
    <w:rsid w:val="00EE725E"/>
    <w:rsid w:val="00EE7384"/>
    <w:rsid w:val="00EE7C2C"/>
    <w:rsid w:val="00EF0F58"/>
    <w:rsid w:val="00EF1109"/>
    <w:rsid w:val="00EF17E0"/>
    <w:rsid w:val="00EF1FE2"/>
    <w:rsid w:val="00EF2B31"/>
    <w:rsid w:val="00EF302F"/>
    <w:rsid w:val="00EF31DA"/>
    <w:rsid w:val="00EF399C"/>
    <w:rsid w:val="00EF3FCC"/>
    <w:rsid w:val="00EF4502"/>
    <w:rsid w:val="00EF4862"/>
    <w:rsid w:val="00EF4869"/>
    <w:rsid w:val="00EF48CF"/>
    <w:rsid w:val="00EF50A3"/>
    <w:rsid w:val="00EF5C77"/>
    <w:rsid w:val="00EF61EE"/>
    <w:rsid w:val="00EF6C65"/>
    <w:rsid w:val="00EF6F79"/>
    <w:rsid w:val="00EF71A7"/>
    <w:rsid w:val="00EF722E"/>
    <w:rsid w:val="00EF7720"/>
    <w:rsid w:val="00EF7963"/>
    <w:rsid w:val="00F00EFE"/>
    <w:rsid w:val="00F01126"/>
    <w:rsid w:val="00F020CE"/>
    <w:rsid w:val="00F021FA"/>
    <w:rsid w:val="00F0425D"/>
    <w:rsid w:val="00F05A5D"/>
    <w:rsid w:val="00F05BD6"/>
    <w:rsid w:val="00F0700D"/>
    <w:rsid w:val="00F07321"/>
    <w:rsid w:val="00F078EC"/>
    <w:rsid w:val="00F10CE8"/>
    <w:rsid w:val="00F111D1"/>
    <w:rsid w:val="00F1159D"/>
    <w:rsid w:val="00F1177D"/>
    <w:rsid w:val="00F11A2C"/>
    <w:rsid w:val="00F121BE"/>
    <w:rsid w:val="00F12C17"/>
    <w:rsid w:val="00F12CDB"/>
    <w:rsid w:val="00F12D51"/>
    <w:rsid w:val="00F13588"/>
    <w:rsid w:val="00F13831"/>
    <w:rsid w:val="00F139C5"/>
    <w:rsid w:val="00F14770"/>
    <w:rsid w:val="00F14B92"/>
    <w:rsid w:val="00F16E0C"/>
    <w:rsid w:val="00F17E47"/>
    <w:rsid w:val="00F206BF"/>
    <w:rsid w:val="00F20AF6"/>
    <w:rsid w:val="00F20EF0"/>
    <w:rsid w:val="00F210DE"/>
    <w:rsid w:val="00F21342"/>
    <w:rsid w:val="00F22169"/>
    <w:rsid w:val="00F22E21"/>
    <w:rsid w:val="00F24409"/>
    <w:rsid w:val="00F246D4"/>
    <w:rsid w:val="00F24D5C"/>
    <w:rsid w:val="00F24DBF"/>
    <w:rsid w:val="00F251BC"/>
    <w:rsid w:val="00F254A6"/>
    <w:rsid w:val="00F27630"/>
    <w:rsid w:val="00F27A82"/>
    <w:rsid w:val="00F30881"/>
    <w:rsid w:val="00F30AB8"/>
    <w:rsid w:val="00F31056"/>
    <w:rsid w:val="00F3135A"/>
    <w:rsid w:val="00F321E3"/>
    <w:rsid w:val="00F33EB1"/>
    <w:rsid w:val="00F35E0A"/>
    <w:rsid w:val="00F364BD"/>
    <w:rsid w:val="00F36B2F"/>
    <w:rsid w:val="00F37023"/>
    <w:rsid w:val="00F370E5"/>
    <w:rsid w:val="00F37791"/>
    <w:rsid w:val="00F403E9"/>
    <w:rsid w:val="00F40B65"/>
    <w:rsid w:val="00F415A0"/>
    <w:rsid w:val="00F418FF"/>
    <w:rsid w:val="00F41C13"/>
    <w:rsid w:val="00F41D1C"/>
    <w:rsid w:val="00F42155"/>
    <w:rsid w:val="00F42183"/>
    <w:rsid w:val="00F42C0A"/>
    <w:rsid w:val="00F4362F"/>
    <w:rsid w:val="00F44623"/>
    <w:rsid w:val="00F44ACA"/>
    <w:rsid w:val="00F44CEF"/>
    <w:rsid w:val="00F44E88"/>
    <w:rsid w:val="00F4534B"/>
    <w:rsid w:val="00F458BE"/>
    <w:rsid w:val="00F458F4"/>
    <w:rsid w:val="00F469F8"/>
    <w:rsid w:val="00F47F11"/>
    <w:rsid w:val="00F500F5"/>
    <w:rsid w:val="00F50DBB"/>
    <w:rsid w:val="00F516B2"/>
    <w:rsid w:val="00F51852"/>
    <w:rsid w:val="00F51E71"/>
    <w:rsid w:val="00F52183"/>
    <w:rsid w:val="00F52BB0"/>
    <w:rsid w:val="00F52F7E"/>
    <w:rsid w:val="00F53BFB"/>
    <w:rsid w:val="00F54185"/>
    <w:rsid w:val="00F54973"/>
    <w:rsid w:val="00F55073"/>
    <w:rsid w:val="00F5586F"/>
    <w:rsid w:val="00F55F4D"/>
    <w:rsid w:val="00F5646E"/>
    <w:rsid w:val="00F5651A"/>
    <w:rsid w:val="00F56BBA"/>
    <w:rsid w:val="00F577D4"/>
    <w:rsid w:val="00F57DF6"/>
    <w:rsid w:val="00F6027F"/>
    <w:rsid w:val="00F6220B"/>
    <w:rsid w:val="00F62E97"/>
    <w:rsid w:val="00F63041"/>
    <w:rsid w:val="00F638AD"/>
    <w:rsid w:val="00F639B4"/>
    <w:rsid w:val="00F64209"/>
    <w:rsid w:val="00F64A85"/>
    <w:rsid w:val="00F64CC0"/>
    <w:rsid w:val="00F6592C"/>
    <w:rsid w:val="00F65CC3"/>
    <w:rsid w:val="00F66229"/>
    <w:rsid w:val="00F66EFC"/>
    <w:rsid w:val="00F709EC"/>
    <w:rsid w:val="00F715C0"/>
    <w:rsid w:val="00F72609"/>
    <w:rsid w:val="00F726F1"/>
    <w:rsid w:val="00F733AC"/>
    <w:rsid w:val="00F743E9"/>
    <w:rsid w:val="00F7444C"/>
    <w:rsid w:val="00F74585"/>
    <w:rsid w:val="00F754B2"/>
    <w:rsid w:val="00F75644"/>
    <w:rsid w:val="00F76E74"/>
    <w:rsid w:val="00F77001"/>
    <w:rsid w:val="00F77488"/>
    <w:rsid w:val="00F77D5B"/>
    <w:rsid w:val="00F802B3"/>
    <w:rsid w:val="00F80532"/>
    <w:rsid w:val="00F8110B"/>
    <w:rsid w:val="00F81193"/>
    <w:rsid w:val="00F813A9"/>
    <w:rsid w:val="00F81A75"/>
    <w:rsid w:val="00F83534"/>
    <w:rsid w:val="00F83DE5"/>
    <w:rsid w:val="00F862F7"/>
    <w:rsid w:val="00F86604"/>
    <w:rsid w:val="00F86D65"/>
    <w:rsid w:val="00F874A9"/>
    <w:rsid w:val="00F87BBC"/>
    <w:rsid w:val="00F87E06"/>
    <w:rsid w:val="00F90387"/>
    <w:rsid w:val="00F9090C"/>
    <w:rsid w:val="00F90989"/>
    <w:rsid w:val="00F90A88"/>
    <w:rsid w:val="00F916E5"/>
    <w:rsid w:val="00F920FC"/>
    <w:rsid w:val="00F923FA"/>
    <w:rsid w:val="00F92495"/>
    <w:rsid w:val="00F93518"/>
    <w:rsid w:val="00F938C6"/>
    <w:rsid w:val="00F93BF5"/>
    <w:rsid w:val="00F94173"/>
    <w:rsid w:val="00F958BD"/>
    <w:rsid w:val="00F958E2"/>
    <w:rsid w:val="00F961E3"/>
    <w:rsid w:val="00F96AF6"/>
    <w:rsid w:val="00F9706A"/>
    <w:rsid w:val="00FA04AB"/>
    <w:rsid w:val="00FA0FC5"/>
    <w:rsid w:val="00FA0FD4"/>
    <w:rsid w:val="00FA4AC4"/>
    <w:rsid w:val="00FA4BF8"/>
    <w:rsid w:val="00FA4C92"/>
    <w:rsid w:val="00FA5EC7"/>
    <w:rsid w:val="00FA61CB"/>
    <w:rsid w:val="00FA7835"/>
    <w:rsid w:val="00FB03B2"/>
    <w:rsid w:val="00FB1370"/>
    <w:rsid w:val="00FB1CDB"/>
    <w:rsid w:val="00FB21DD"/>
    <w:rsid w:val="00FB2360"/>
    <w:rsid w:val="00FB2AD7"/>
    <w:rsid w:val="00FB310B"/>
    <w:rsid w:val="00FB3D80"/>
    <w:rsid w:val="00FB4877"/>
    <w:rsid w:val="00FB5815"/>
    <w:rsid w:val="00FB5B80"/>
    <w:rsid w:val="00FB5DFA"/>
    <w:rsid w:val="00FB6A3E"/>
    <w:rsid w:val="00FB7291"/>
    <w:rsid w:val="00FC07F0"/>
    <w:rsid w:val="00FC10D4"/>
    <w:rsid w:val="00FC13C5"/>
    <w:rsid w:val="00FC19B3"/>
    <w:rsid w:val="00FC22CB"/>
    <w:rsid w:val="00FC2B4F"/>
    <w:rsid w:val="00FC2E0A"/>
    <w:rsid w:val="00FC2EE8"/>
    <w:rsid w:val="00FC3067"/>
    <w:rsid w:val="00FC5A09"/>
    <w:rsid w:val="00FC5DF5"/>
    <w:rsid w:val="00FC6E29"/>
    <w:rsid w:val="00FC6F4E"/>
    <w:rsid w:val="00FC722F"/>
    <w:rsid w:val="00FC7612"/>
    <w:rsid w:val="00FC7D1F"/>
    <w:rsid w:val="00FD00CE"/>
    <w:rsid w:val="00FD0466"/>
    <w:rsid w:val="00FD0491"/>
    <w:rsid w:val="00FD1AFC"/>
    <w:rsid w:val="00FD1E21"/>
    <w:rsid w:val="00FD2ED2"/>
    <w:rsid w:val="00FD32A3"/>
    <w:rsid w:val="00FD39DE"/>
    <w:rsid w:val="00FD3BD4"/>
    <w:rsid w:val="00FD53A0"/>
    <w:rsid w:val="00FD5B0B"/>
    <w:rsid w:val="00FD5FFA"/>
    <w:rsid w:val="00FD6AA0"/>
    <w:rsid w:val="00FE01C9"/>
    <w:rsid w:val="00FE01ED"/>
    <w:rsid w:val="00FE049E"/>
    <w:rsid w:val="00FE1260"/>
    <w:rsid w:val="00FE17B4"/>
    <w:rsid w:val="00FE1808"/>
    <w:rsid w:val="00FE21EF"/>
    <w:rsid w:val="00FE2BB0"/>
    <w:rsid w:val="00FE32A0"/>
    <w:rsid w:val="00FE374F"/>
    <w:rsid w:val="00FE3798"/>
    <w:rsid w:val="00FE3849"/>
    <w:rsid w:val="00FE3DD9"/>
    <w:rsid w:val="00FE4051"/>
    <w:rsid w:val="00FE4647"/>
    <w:rsid w:val="00FE5374"/>
    <w:rsid w:val="00FE5A6B"/>
    <w:rsid w:val="00FE5DB7"/>
    <w:rsid w:val="00FE5FB2"/>
    <w:rsid w:val="00FE7033"/>
    <w:rsid w:val="00FE7365"/>
    <w:rsid w:val="00FE771D"/>
    <w:rsid w:val="00FE7F3A"/>
    <w:rsid w:val="00FF0511"/>
    <w:rsid w:val="00FF0E24"/>
    <w:rsid w:val="00FF2B74"/>
    <w:rsid w:val="00FF3C3A"/>
    <w:rsid w:val="00FF3F61"/>
    <w:rsid w:val="00FF5B24"/>
    <w:rsid w:val="00FF6117"/>
    <w:rsid w:val="00FF71CF"/>
    <w:rsid w:val="00FF78B9"/>
    <w:rsid w:val="00FF7F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D3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CFE"/>
    <w:pPr>
      <w:widowControl w:val="0"/>
    </w:pPr>
    <w:rPr>
      <w:snapToGrid w:val="0"/>
      <w:kern w:val="28"/>
      <w:sz w:val="22"/>
    </w:rPr>
  </w:style>
  <w:style w:type="paragraph" w:styleId="Heading1">
    <w:name w:val="heading 1"/>
    <w:basedOn w:val="Normal"/>
    <w:next w:val="ParaNum"/>
    <w:link w:val="Heading1Char"/>
    <w:qFormat/>
    <w:rsid w:val="009B7CF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B7CFE"/>
    <w:pPr>
      <w:keepNext/>
      <w:numPr>
        <w:ilvl w:val="1"/>
        <w:numId w:val="1"/>
      </w:numPr>
      <w:spacing w:after="120"/>
      <w:outlineLvl w:val="1"/>
    </w:pPr>
    <w:rPr>
      <w:b/>
    </w:rPr>
  </w:style>
  <w:style w:type="paragraph" w:styleId="Heading3">
    <w:name w:val="heading 3"/>
    <w:basedOn w:val="Normal"/>
    <w:next w:val="ParaNum"/>
    <w:link w:val="Heading3Char"/>
    <w:qFormat/>
    <w:rsid w:val="009B7CFE"/>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9B7CFE"/>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9B7CFE"/>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9B7CFE"/>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9B7CFE"/>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9B7CF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B7CF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7C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CFE"/>
  </w:style>
  <w:style w:type="paragraph" w:customStyle="1" w:styleId="ParaNum">
    <w:name w:val="ParaNum"/>
    <w:basedOn w:val="Normal"/>
    <w:link w:val="ParaNumChar"/>
    <w:rsid w:val="009B7CFE"/>
    <w:pPr>
      <w:numPr>
        <w:numId w:val="2"/>
      </w:numPr>
      <w:tabs>
        <w:tab w:val="clear" w:pos="1080"/>
        <w:tab w:val="num" w:pos="1440"/>
      </w:tabs>
      <w:spacing w:after="120"/>
    </w:pPr>
  </w:style>
  <w:style w:type="paragraph" w:styleId="EndnoteText">
    <w:name w:val="endnote text"/>
    <w:basedOn w:val="Normal"/>
    <w:semiHidden/>
    <w:rsid w:val="009B7CFE"/>
    <w:rPr>
      <w:sz w:val="20"/>
    </w:rPr>
  </w:style>
  <w:style w:type="character" w:styleId="EndnoteReference">
    <w:name w:val="endnote reference"/>
    <w:semiHidden/>
    <w:rsid w:val="009B7CFE"/>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9B7CFE"/>
    <w:pPr>
      <w:spacing w:after="120"/>
    </w:pPr>
  </w:style>
  <w:style w:type="character" w:styleId="FootnoteReference">
    <w:name w:val="footnote reference"/>
    <w:aliases w:val="Style 124,Appel note de bas de p,Style 12,(NECG) Footnote Reference,o,fr,Style 3,Style 17,FR,Style 13,Footnote Reference/,Style 6,Style 4"/>
    <w:rsid w:val="009B7CFE"/>
    <w:rPr>
      <w:rFonts w:ascii="Times New Roman" w:hAnsi="Times New Roman"/>
      <w:dstrike w:val="0"/>
      <w:color w:val="auto"/>
      <w:sz w:val="20"/>
      <w:vertAlign w:val="superscript"/>
    </w:rPr>
  </w:style>
  <w:style w:type="paragraph" w:styleId="TOC1">
    <w:name w:val="toc 1"/>
    <w:basedOn w:val="Normal"/>
    <w:next w:val="Normal"/>
    <w:rsid w:val="009B7CFE"/>
    <w:pPr>
      <w:tabs>
        <w:tab w:val="left" w:pos="360"/>
        <w:tab w:val="right" w:leader="dot" w:pos="9360"/>
      </w:tabs>
      <w:suppressAutoHyphens/>
      <w:ind w:left="360" w:right="720" w:hanging="360"/>
    </w:pPr>
    <w:rPr>
      <w:caps/>
      <w:noProof/>
    </w:rPr>
  </w:style>
  <w:style w:type="paragraph" w:styleId="TOC2">
    <w:name w:val="toc 2"/>
    <w:basedOn w:val="Normal"/>
    <w:next w:val="Normal"/>
    <w:rsid w:val="009B7CFE"/>
    <w:pPr>
      <w:tabs>
        <w:tab w:val="left" w:pos="720"/>
        <w:tab w:val="right" w:leader="dot" w:pos="9360"/>
      </w:tabs>
      <w:suppressAutoHyphens/>
      <w:ind w:left="720" w:right="720" w:hanging="360"/>
    </w:pPr>
    <w:rPr>
      <w:noProof/>
    </w:rPr>
  </w:style>
  <w:style w:type="paragraph" w:styleId="TOC3">
    <w:name w:val="toc 3"/>
    <w:basedOn w:val="Normal"/>
    <w:next w:val="Normal"/>
    <w:rsid w:val="009B7CF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B7CF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B7C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B7C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B7C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B7C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B7C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B7CFE"/>
    <w:pPr>
      <w:tabs>
        <w:tab w:val="right" w:pos="9360"/>
      </w:tabs>
      <w:suppressAutoHyphens/>
    </w:pPr>
  </w:style>
  <w:style w:type="character" w:customStyle="1" w:styleId="EquationCaption">
    <w:name w:val="_Equation Caption"/>
    <w:rsid w:val="009B7CFE"/>
  </w:style>
  <w:style w:type="paragraph" w:styleId="Header">
    <w:name w:val="header"/>
    <w:basedOn w:val="Normal"/>
    <w:link w:val="HeaderChar"/>
    <w:autoRedefine/>
    <w:rsid w:val="009B7CFE"/>
    <w:pPr>
      <w:tabs>
        <w:tab w:val="center" w:pos="4680"/>
        <w:tab w:val="right" w:pos="9360"/>
      </w:tabs>
    </w:pPr>
    <w:rPr>
      <w:b/>
    </w:rPr>
  </w:style>
  <w:style w:type="paragraph" w:styleId="Footer">
    <w:name w:val="footer"/>
    <w:basedOn w:val="Normal"/>
    <w:link w:val="FooterChar"/>
    <w:rsid w:val="009B7CFE"/>
    <w:pPr>
      <w:tabs>
        <w:tab w:val="center" w:pos="4320"/>
        <w:tab w:val="right" w:pos="8640"/>
      </w:tabs>
    </w:pPr>
  </w:style>
  <w:style w:type="character" w:styleId="PageNumber">
    <w:name w:val="page number"/>
    <w:basedOn w:val="DefaultParagraphFont"/>
    <w:rsid w:val="009B7CFE"/>
  </w:style>
  <w:style w:type="paragraph" w:styleId="BlockText">
    <w:name w:val="Block Text"/>
    <w:basedOn w:val="Normal"/>
    <w:rsid w:val="009B7CFE"/>
    <w:pPr>
      <w:spacing w:after="240"/>
      <w:ind w:left="1440" w:right="1440"/>
    </w:pPr>
  </w:style>
  <w:style w:type="paragraph" w:customStyle="1" w:styleId="Paratitle">
    <w:name w:val="Para title"/>
    <w:basedOn w:val="Normal"/>
    <w:rsid w:val="009B7CFE"/>
    <w:pPr>
      <w:tabs>
        <w:tab w:val="center" w:pos="9270"/>
      </w:tabs>
      <w:spacing w:after="240"/>
    </w:pPr>
    <w:rPr>
      <w:spacing w:val="-2"/>
    </w:rPr>
  </w:style>
  <w:style w:type="paragraph" w:customStyle="1" w:styleId="Bullet">
    <w:name w:val="Bullet"/>
    <w:basedOn w:val="Normal"/>
    <w:rsid w:val="009B7CFE"/>
    <w:pPr>
      <w:tabs>
        <w:tab w:val="left" w:pos="2160"/>
      </w:tabs>
      <w:spacing w:after="220"/>
      <w:ind w:left="2160" w:hanging="720"/>
    </w:pPr>
  </w:style>
  <w:style w:type="paragraph" w:customStyle="1" w:styleId="TableFormat">
    <w:name w:val="TableFormat"/>
    <w:basedOn w:val="Bullet"/>
    <w:rsid w:val="009B7CFE"/>
    <w:pPr>
      <w:tabs>
        <w:tab w:val="clear" w:pos="2160"/>
        <w:tab w:val="left" w:pos="5040"/>
      </w:tabs>
      <w:ind w:left="5040" w:hanging="3600"/>
    </w:pPr>
  </w:style>
  <w:style w:type="paragraph" w:customStyle="1" w:styleId="TOCTitle">
    <w:name w:val="TOC Title"/>
    <w:basedOn w:val="Normal"/>
    <w:rsid w:val="009B7C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7CFE"/>
    <w:pPr>
      <w:jc w:val="center"/>
    </w:pPr>
    <w:rPr>
      <w:rFonts w:ascii="Times New Roman Bold" w:hAnsi="Times New Roman Bold"/>
      <w:b/>
      <w:bCs/>
      <w:caps/>
      <w:szCs w:val="22"/>
    </w:rPr>
  </w:style>
  <w:style w:type="character" w:styleId="Hyperlink">
    <w:name w:val="Hyperlink"/>
    <w:rsid w:val="009B7CFE"/>
    <w:rPr>
      <w:color w:val="0000FF"/>
      <w:u w:val="single"/>
    </w:rPr>
  </w:style>
  <w:style w:type="paragraph" w:customStyle="1" w:styleId="table0020normal">
    <w:name w:val="table_0020normal"/>
    <w:basedOn w:val="Normal"/>
    <w:rsid w:val="00923467"/>
    <w:pPr>
      <w:spacing w:before="100" w:beforeAutospacing="1" w:after="100" w:afterAutospacing="1"/>
    </w:pPr>
    <w:rPr>
      <w:rFonts w:ascii="Times" w:hAnsi="Times"/>
      <w:sz w:val="20"/>
    </w:rPr>
  </w:style>
  <w:style w:type="character" w:customStyle="1" w:styleId="table0020normalchar">
    <w:name w:val="table_0020normal__char"/>
    <w:basedOn w:val="DefaultParagraphFont"/>
    <w:rsid w:val="00923467"/>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5B4ABD"/>
  </w:style>
  <w:style w:type="character" w:styleId="Strong">
    <w:name w:val="Strong"/>
    <w:basedOn w:val="DefaultParagraphFont"/>
    <w:qFormat/>
    <w:rsid w:val="00E11C83"/>
    <w:rPr>
      <w:b/>
      <w:bCs/>
    </w:rPr>
  </w:style>
  <w:style w:type="paragraph" w:styleId="Revision">
    <w:name w:val="Revision"/>
    <w:hidden/>
    <w:uiPriority w:val="99"/>
    <w:semiHidden/>
    <w:rsid w:val="00532781"/>
    <w:rPr>
      <w:snapToGrid w:val="0"/>
      <w:kern w:val="28"/>
      <w:sz w:val="22"/>
    </w:rPr>
  </w:style>
  <w:style w:type="paragraph" w:styleId="BalloonText">
    <w:name w:val="Balloon Text"/>
    <w:basedOn w:val="Normal"/>
    <w:link w:val="BalloonTextChar"/>
    <w:rsid w:val="00532781"/>
    <w:rPr>
      <w:rFonts w:ascii="Tahoma" w:hAnsi="Tahoma" w:cs="Tahoma"/>
      <w:snapToGrid/>
      <w:sz w:val="16"/>
      <w:szCs w:val="16"/>
    </w:rPr>
  </w:style>
  <w:style w:type="character" w:customStyle="1" w:styleId="BalloonTextChar">
    <w:name w:val="Balloon Text Char"/>
    <w:basedOn w:val="DefaultParagraphFont"/>
    <w:link w:val="BalloonText"/>
    <w:rsid w:val="00532781"/>
    <w:rPr>
      <w:rFonts w:ascii="Tahoma" w:hAnsi="Tahoma" w:cs="Tahoma"/>
      <w:snapToGrid w:val="0"/>
      <w:kern w:val="28"/>
      <w:sz w:val="16"/>
      <w:szCs w:val="16"/>
    </w:rPr>
  </w:style>
  <w:style w:type="character" w:customStyle="1" w:styleId="ParaNumChar">
    <w:name w:val="ParaNum Char"/>
    <w:link w:val="ParaNum"/>
    <w:rsid w:val="00D03823"/>
    <w:rPr>
      <w:snapToGrid w:val="0"/>
      <w:kern w:val="28"/>
      <w:sz w:val="22"/>
    </w:rPr>
  </w:style>
  <w:style w:type="character" w:styleId="CommentReference">
    <w:name w:val="annotation reference"/>
    <w:basedOn w:val="DefaultParagraphFont"/>
    <w:uiPriority w:val="99"/>
    <w:rsid w:val="00CB0CFA"/>
    <w:rPr>
      <w:sz w:val="16"/>
      <w:szCs w:val="16"/>
    </w:rPr>
  </w:style>
  <w:style w:type="paragraph" w:styleId="CommentText">
    <w:name w:val="annotation text"/>
    <w:basedOn w:val="Normal"/>
    <w:link w:val="CommentTextChar"/>
    <w:uiPriority w:val="99"/>
    <w:rsid w:val="00CB0CFA"/>
    <w:rPr>
      <w:snapToGrid/>
      <w:sz w:val="20"/>
    </w:rPr>
  </w:style>
  <w:style w:type="character" w:customStyle="1" w:styleId="CommentTextChar">
    <w:name w:val="Comment Text Char"/>
    <w:basedOn w:val="DefaultParagraphFont"/>
    <w:link w:val="CommentText"/>
    <w:uiPriority w:val="99"/>
    <w:rsid w:val="00CB0CFA"/>
    <w:rPr>
      <w:snapToGrid w:val="0"/>
      <w:kern w:val="28"/>
    </w:rPr>
  </w:style>
  <w:style w:type="paragraph" w:styleId="CommentSubject">
    <w:name w:val="annotation subject"/>
    <w:basedOn w:val="CommentText"/>
    <w:next w:val="CommentText"/>
    <w:link w:val="CommentSubjectChar"/>
    <w:rsid w:val="00CB0CFA"/>
    <w:rPr>
      <w:b/>
      <w:bCs/>
    </w:rPr>
  </w:style>
  <w:style w:type="character" w:customStyle="1" w:styleId="CommentSubjectChar">
    <w:name w:val="Comment Subject Char"/>
    <w:basedOn w:val="CommentTextChar"/>
    <w:link w:val="CommentSubject"/>
    <w:rsid w:val="00CB0CFA"/>
    <w:rPr>
      <w:b/>
      <w:bCs/>
      <w:snapToGrid w:val="0"/>
      <w:kern w:val="28"/>
    </w:rPr>
  </w:style>
  <w:style w:type="paragraph" w:styleId="ListParagraph">
    <w:name w:val="List Paragraph"/>
    <w:basedOn w:val="Normal"/>
    <w:uiPriority w:val="34"/>
    <w:qFormat/>
    <w:rsid w:val="00036F91"/>
    <w:pPr>
      <w:ind w:left="720"/>
      <w:contextualSpacing/>
    </w:pPr>
  </w:style>
  <w:style w:type="character" w:customStyle="1" w:styleId="Footnote">
    <w:name w:val="Footnote"/>
    <w:basedOn w:val="DefaultParagraphFont"/>
    <w:rsid w:val="00BC6145"/>
  </w:style>
  <w:style w:type="paragraph" w:styleId="NormalWeb">
    <w:name w:val="Normal (Web)"/>
    <w:basedOn w:val="Normal"/>
    <w:uiPriority w:val="99"/>
    <w:rsid w:val="00BC6145"/>
    <w:pPr>
      <w:widowControl/>
      <w:spacing w:before="100" w:beforeAutospacing="1" w:after="100" w:afterAutospacing="1"/>
    </w:pPr>
    <w:rPr>
      <w:snapToGrid/>
      <w:kern w:val="0"/>
      <w:sz w:val="24"/>
      <w:szCs w:val="24"/>
    </w:rPr>
  </w:style>
  <w:style w:type="character" w:customStyle="1" w:styleId="FooterChar">
    <w:name w:val="Footer Char"/>
    <w:basedOn w:val="DefaultParagraphFont"/>
    <w:link w:val="Footer"/>
    <w:rsid w:val="00567F36"/>
    <w:rPr>
      <w:snapToGrid w:val="0"/>
      <w:kern w:val="28"/>
      <w:sz w:val="22"/>
    </w:rPr>
  </w:style>
  <w:style w:type="paragraph" w:styleId="PlainText">
    <w:name w:val="Plain Text"/>
    <w:basedOn w:val="Normal"/>
    <w:link w:val="PlainTextChar"/>
    <w:uiPriority w:val="99"/>
    <w:unhideWhenUsed/>
    <w:rsid w:val="00567F36"/>
    <w:pPr>
      <w:widowControl/>
    </w:pPr>
    <w:rPr>
      <w:rFonts w:eastAsiaTheme="minorHAnsi" w:cs="Consolas"/>
      <w:snapToGrid/>
      <w:kern w:val="0"/>
      <w:szCs w:val="21"/>
    </w:rPr>
  </w:style>
  <w:style w:type="character" w:customStyle="1" w:styleId="PlainTextChar">
    <w:name w:val="Plain Text Char"/>
    <w:basedOn w:val="DefaultParagraphFont"/>
    <w:link w:val="PlainText"/>
    <w:uiPriority w:val="99"/>
    <w:rsid w:val="00567F36"/>
    <w:rPr>
      <w:rFonts w:eastAsiaTheme="minorHAnsi" w:cs="Consolas"/>
      <w:sz w:val="22"/>
      <w:szCs w:val="21"/>
    </w:rPr>
  </w:style>
  <w:style w:type="paragraph" w:styleId="DocumentMap">
    <w:name w:val="Document Map"/>
    <w:basedOn w:val="Normal"/>
    <w:link w:val="DocumentMapChar"/>
    <w:rsid w:val="00760AAE"/>
    <w:rPr>
      <w:rFonts w:ascii="Lucida Grande" w:hAnsi="Lucida Grande" w:cs="Lucida Grande"/>
      <w:sz w:val="24"/>
      <w:szCs w:val="24"/>
    </w:rPr>
  </w:style>
  <w:style w:type="character" w:customStyle="1" w:styleId="DocumentMapChar">
    <w:name w:val="Document Map Char"/>
    <w:basedOn w:val="DefaultParagraphFont"/>
    <w:link w:val="DocumentMap"/>
    <w:rsid w:val="00760AAE"/>
    <w:rPr>
      <w:rFonts w:ascii="Lucida Grande" w:hAnsi="Lucida Grande" w:cs="Lucida Grande"/>
      <w:snapToGrid w:val="0"/>
      <w:kern w:val="28"/>
      <w:sz w:val="24"/>
      <w:szCs w:val="24"/>
    </w:rPr>
  </w:style>
  <w:style w:type="character" w:customStyle="1" w:styleId="HeaderChar">
    <w:name w:val="Header Char"/>
    <w:basedOn w:val="DefaultParagraphFont"/>
    <w:link w:val="Header"/>
    <w:rsid w:val="000822ED"/>
    <w:rPr>
      <w:b/>
      <w:snapToGrid w:val="0"/>
      <w:kern w:val="28"/>
      <w:sz w:val="22"/>
    </w:rPr>
  </w:style>
  <w:style w:type="character" w:styleId="FollowedHyperlink">
    <w:name w:val="FollowedHyperlink"/>
    <w:basedOn w:val="DefaultParagraphFont"/>
    <w:rsid w:val="00BB68D5"/>
    <w:rPr>
      <w:color w:val="800080" w:themeColor="followedHyperlink"/>
      <w:u w:val="single"/>
    </w:rPr>
  </w:style>
  <w:style w:type="character" w:customStyle="1" w:styleId="Heading1Char">
    <w:name w:val="Heading 1 Char"/>
    <w:link w:val="Heading1"/>
    <w:rsid w:val="003000BB"/>
    <w:rPr>
      <w:rFonts w:ascii="Times New Roman Bold" w:hAnsi="Times New Roman Bold"/>
      <w:b/>
      <w:caps/>
      <w:snapToGrid w:val="0"/>
      <w:kern w:val="28"/>
      <w:sz w:val="22"/>
    </w:rPr>
  </w:style>
  <w:style w:type="character" w:styleId="Emphasis">
    <w:name w:val="Emphasis"/>
    <w:basedOn w:val="DefaultParagraphFont"/>
    <w:qFormat/>
    <w:rsid w:val="004051B4"/>
    <w:rPr>
      <w:i/>
      <w:iCs/>
    </w:rPr>
  </w:style>
  <w:style w:type="character" w:customStyle="1" w:styleId="Heading2Char">
    <w:name w:val="Heading 2 Char"/>
    <w:link w:val="Heading2"/>
    <w:rsid w:val="003000BB"/>
    <w:rPr>
      <w:b/>
      <w:snapToGrid w:val="0"/>
      <w:kern w:val="28"/>
      <w:sz w:val="22"/>
    </w:rPr>
  </w:style>
  <w:style w:type="character" w:customStyle="1" w:styleId="Heading3Char">
    <w:name w:val="Heading 3 Char"/>
    <w:link w:val="Heading3"/>
    <w:rsid w:val="003000BB"/>
    <w:rPr>
      <w:b/>
      <w:snapToGrid w:val="0"/>
      <w:kern w:val="28"/>
      <w:sz w:val="22"/>
    </w:rPr>
  </w:style>
  <w:style w:type="character" w:customStyle="1" w:styleId="Heading4Char">
    <w:name w:val="Heading 4 Char"/>
    <w:link w:val="Heading4"/>
    <w:rsid w:val="003000BB"/>
    <w:rPr>
      <w:b/>
      <w:snapToGrid w:val="0"/>
      <w:kern w:val="28"/>
      <w:sz w:val="22"/>
    </w:rPr>
  </w:style>
  <w:style w:type="character" w:customStyle="1" w:styleId="Heading5Char">
    <w:name w:val="Heading 5 Char"/>
    <w:link w:val="Heading5"/>
    <w:rsid w:val="003000BB"/>
    <w:rPr>
      <w:b/>
      <w:snapToGrid w:val="0"/>
      <w:kern w:val="28"/>
      <w:sz w:val="22"/>
    </w:rPr>
  </w:style>
  <w:style w:type="character" w:customStyle="1" w:styleId="Heading6Char">
    <w:name w:val="Heading 6 Char"/>
    <w:link w:val="Heading6"/>
    <w:rsid w:val="003000BB"/>
    <w:rPr>
      <w:b/>
      <w:snapToGrid w:val="0"/>
      <w:kern w:val="28"/>
      <w:sz w:val="22"/>
    </w:rPr>
  </w:style>
  <w:style w:type="character" w:customStyle="1" w:styleId="Heading7Char">
    <w:name w:val="Heading 7 Char"/>
    <w:link w:val="Heading7"/>
    <w:rsid w:val="003000BB"/>
    <w:rPr>
      <w:b/>
      <w:snapToGrid w:val="0"/>
      <w:kern w:val="28"/>
      <w:sz w:val="22"/>
    </w:rPr>
  </w:style>
  <w:style w:type="character" w:customStyle="1" w:styleId="Heading8Char">
    <w:name w:val="Heading 8 Char"/>
    <w:link w:val="Heading8"/>
    <w:rsid w:val="003000BB"/>
    <w:rPr>
      <w:b/>
      <w:snapToGrid w:val="0"/>
      <w:kern w:val="28"/>
      <w:sz w:val="22"/>
    </w:rPr>
  </w:style>
  <w:style w:type="character" w:customStyle="1" w:styleId="Heading9Char">
    <w:name w:val="Heading 9 Char"/>
    <w:link w:val="Heading9"/>
    <w:rsid w:val="003000BB"/>
    <w:rPr>
      <w:b/>
      <w:snapToGrid w:val="0"/>
      <w:kern w:val="28"/>
      <w:sz w:val="22"/>
    </w:rPr>
  </w:style>
  <w:style w:type="character" w:customStyle="1" w:styleId="apple-converted-space">
    <w:name w:val="apple-converted-space"/>
    <w:basedOn w:val="DefaultParagraphFont"/>
    <w:rsid w:val="009B2AFF"/>
  </w:style>
  <w:style w:type="table" w:styleId="TableGrid">
    <w:name w:val="Table Grid"/>
    <w:basedOn w:val="TableNormal"/>
    <w:uiPriority w:val="59"/>
    <w:rsid w:val="002402F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D4368"/>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customStyle="1" w:styleId="Default">
    <w:name w:val="Default"/>
    <w:rsid w:val="00657108"/>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edStyle1">
    <w:name w:val="Imported Style 1"/>
    <w:rsid w:val="00365720"/>
    <w:pPr>
      <w:numPr>
        <w:numId w:val="4"/>
      </w:numPr>
    </w:pPr>
  </w:style>
  <w:style w:type="numbering" w:customStyle="1" w:styleId="List31">
    <w:name w:val="List 31"/>
    <w:basedOn w:val="NoList"/>
    <w:rsid w:val="00365720"/>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CFE"/>
    <w:pPr>
      <w:widowControl w:val="0"/>
    </w:pPr>
    <w:rPr>
      <w:snapToGrid w:val="0"/>
      <w:kern w:val="28"/>
      <w:sz w:val="22"/>
    </w:rPr>
  </w:style>
  <w:style w:type="paragraph" w:styleId="Heading1">
    <w:name w:val="heading 1"/>
    <w:basedOn w:val="Normal"/>
    <w:next w:val="ParaNum"/>
    <w:link w:val="Heading1Char"/>
    <w:qFormat/>
    <w:rsid w:val="009B7CF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B7CFE"/>
    <w:pPr>
      <w:keepNext/>
      <w:numPr>
        <w:ilvl w:val="1"/>
        <w:numId w:val="1"/>
      </w:numPr>
      <w:spacing w:after="120"/>
      <w:outlineLvl w:val="1"/>
    </w:pPr>
    <w:rPr>
      <w:b/>
    </w:rPr>
  </w:style>
  <w:style w:type="paragraph" w:styleId="Heading3">
    <w:name w:val="heading 3"/>
    <w:basedOn w:val="Normal"/>
    <w:next w:val="ParaNum"/>
    <w:link w:val="Heading3Char"/>
    <w:qFormat/>
    <w:rsid w:val="009B7CFE"/>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9B7CFE"/>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9B7CFE"/>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9B7CFE"/>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9B7CFE"/>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9B7CF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B7CF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7C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CFE"/>
  </w:style>
  <w:style w:type="paragraph" w:customStyle="1" w:styleId="ParaNum">
    <w:name w:val="ParaNum"/>
    <w:basedOn w:val="Normal"/>
    <w:link w:val="ParaNumChar"/>
    <w:rsid w:val="009B7CFE"/>
    <w:pPr>
      <w:numPr>
        <w:numId w:val="2"/>
      </w:numPr>
      <w:tabs>
        <w:tab w:val="clear" w:pos="1080"/>
        <w:tab w:val="num" w:pos="1440"/>
      </w:tabs>
      <w:spacing w:after="120"/>
    </w:pPr>
  </w:style>
  <w:style w:type="paragraph" w:styleId="EndnoteText">
    <w:name w:val="endnote text"/>
    <w:basedOn w:val="Normal"/>
    <w:semiHidden/>
    <w:rsid w:val="009B7CFE"/>
    <w:rPr>
      <w:sz w:val="20"/>
    </w:rPr>
  </w:style>
  <w:style w:type="character" w:styleId="EndnoteReference">
    <w:name w:val="endnote reference"/>
    <w:semiHidden/>
    <w:rsid w:val="009B7CFE"/>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9B7CFE"/>
    <w:pPr>
      <w:spacing w:after="120"/>
    </w:pPr>
  </w:style>
  <w:style w:type="character" w:styleId="FootnoteReference">
    <w:name w:val="footnote reference"/>
    <w:aliases w:val="Style 124,Appel note de bas de p,Style 12,(NECG) Footnote Reference,o,fr,Style 3,Style 17,FR,Style 13,Footnote Reference/,Style 6,Style 4"/>
    <w:rsid w:val="009B7CFE"/>
    <w:rPr>
      <w:rFonts w:ascii="Times New Roman" w:hAnsi="Times New Roman"/>
      <w:dstrike w:val="0"/>
      <w:color w:val="auto"/>
      <w:sz w:val="20"/>
      <w:vertAlign w:val="superscript"/>
    </w:rPr>
  </w:style>
  <w:style w:type="paragraph" w:styleId="TOC1">
    <w:name w:val="toc 1"/>
    <w:basedOn w:val="Normal"/>
    <w:next w:val="Normal"/>
    <w:rsid w:val="009B7CFE"/>
    <w:pPr>
      <w:tabs>
        <w:tab w:val="left" w:pos="360"/>
        <w:tab w:val="right" w:leader="dot" w:pos="9360"/>
      </w:tabs>
      <w:suppressAutoHyphens/>
      <w:ind w:left="360" w:right="720" w:hanging="360"/>
    </w:pPr>
    <w:rPr>
      <w:caps/>
      <w:noProof/>
    </w:rPr>
  </w:style>
  <w:style w:type="paragraph" w:styleId="TOC2">
    <w:name w:val="toc 2"/>
    <w:basedOn w:val="Normal"/>
    <w:next w:val="Normal"/>
    <w:rsid w:val="009B7CFE"/>
    <w:pPr>
      <w:tabs>
        <w:tab w:val="left" w:pos="720"/>
        <w:tab w:val="right" w:leader="dot" w:pos="9360"/>
      </w:tabs>
      <w:suppressAutoHyphens/>
      <w:ind w:left="720" w:right="720" w:hanging="360"/>
    </w:pPr>
    <w:rPr>
      <w:noProof/>
    </w:rPr>
  </w:style>
  <w:style w:type="paragraph" w:styleId="TOC3">
    <w:name w:val="toc 3"/>
    <w:basedOn w:val="Normal"/>
    <w:next w:val="Normal"/>
    <w:rsid w:val="009B7CF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B7CF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B7C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B7C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B7C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B7C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B7C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B7CFE"/>
    <w:pPr>
      <w:tabs>
        <w:tab w:val="right" w:pos="9360"/>
      </w:tabs>
      <w:suppressAutoHyphens/>
    </w:pPr>
  </w:style>
  <w:style w:type="character" w:customStyle="1" w:styleId="EquationCaption">
    <w:name w:val="_Equation Caption"/>
    <w:rsid w:val="009B7CFE"/>
  </w:style>
  <w:style w:type="paragraph" w:styleId="Header">
    <w:name w:val="header"/>
    <w:basedOn w:val="Normal"/>
    <w:link w:val="HeaderChar"/>
    <w:autoRedefine/>
    <w:rsid w:val="009B7CFE"/>
    <w:pPr>
      <w:tabs>
        <w:tab w:val="center" w:pos="4680"/>
        <w:tab w:val="right" w:pos="9360"/>
      </w:tabs>
    </w:pPr>
    <w:rPr>
      <w:b/>
    </w:rPr>
  </w:style>
  <w:style w:type="paragraph" w:styleId="Footer">
    <w:name w:val="footer"/>
    <w:basedOn w:val="Normal"/>
    <w:link w:val="FooterChar"/>
    <w:rsid w:val="009B7CFE"/>
    <w:pPr>
      <w:tabs>
        <w:tab w:val="center" w:pos="4320"/>
        <w:tab w:val="right" w:pos="8640"/>
      </w:tabs>
    </w:pPr>
  </w:style>
  <w:style w:type="character" w:styleId="PageNumber">
    <w:name w:val="page number"/>
    <w:basedOn w:val="DefaultParagraphFont"/>
    <w:rsid w:val="009B7CFE"/>
  </w:style>
  <w:style w:type="paragraph" w:styleId="BlockText">
    <w:name w:val="Block Text"/>
    <w:basedOn w:val="Normal"/>
    <w:rsid w:val="009B7CFE"/>
    <w:pPr>
      <w:spacing w:after="240"/>
      <w:ind w:left="1440" w:right="1440"/>
    </w:pPr>
  </w:style>
  <w:style w:type="paragraph" w:customStyle="1" w:styleId="Paratitle">
    <w:name w:val="Para title"/>
    <w:basedOn w:val="Normal"/>
    <w:rsid w:val="009B7CFE"/>
    <w:pPr>
      <w:tabs>
        <w:tab w:val="center" w:pos="9270"/>
      </w:tabs>
      <w:spacing w:after="240"/>
    </w:pPr>
    <w:rPr>
      <w:spacing w:val="-2"/>
    </w:rPr>
  </w:style>
  <w:style w:type="paragraph" w:customStyle="1" w:styleId="Bullet">
    <w:name w:val="Bullet"/>
    <w:basedOn w:val="Normal"/>
    <w:rsid w:val="009B7CFE"/>
    <w:pPr>
      <w:tabs>
        <w:tab w:val="left" w:pos="2160"/>
      </w:tabs>
      <w:spacing w:after="220"/>
      <w:ind w:left="2160" w:hanging="720"/>
    </w:pPr>
  </w:style>
  <w:style w:type="paragraph" w:customStyle="1" w:styleId="TableFormat">
    <w:name w:val="TableFormat"/>
    <w:basedOn w:val="Bullet"/>
    <w:rsid w:val="009B7CFE"/>
    <w:pPr>
      <w:tabs>
        <w:tab w:val="clear" w:pos="2160"/>
        <w:tab w:val="left" w:pos="5040"/>
      </w:tabs>
      <w:ind w:left="5040" w:hanging="3600"/>
    </w:pPr>
  </w:style>
  <w:style w:type="paragraph" w:customStyle="1" w:styleId="TOCTitle">
    <w:name w:val="TOC Title"/>
    <w:basedOn w:val="Normal"/>
    <w:rsid w:val="009B7C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7CFE"/>
    <w:pPr>
      <w:jc w:val="center"/>
    </w:pPr>
    <w:rPr>
      <w:rFonts w:ascii="Times New Roman Bold" w:hAnsi="Times New Roman Bold"/>
      <w:b/>
      <w:bCs/>
      <w:caps/>
      <w:szCs w:val="22"/>
    </w:rPr>
  </w:style>
  <w:style w:type="character" w:styleId="Hyperlink">
    <w:name w:val="Hyperlink"/>
    <w:rsid w:val="009B7CFE"/>
    <w:rPr>
      <w:color w:val="0000FF"/>
      <w:u w:val="single"/>
    </w:rPr>
  </w:style>
  <w:style w:type="paragraph" w:customStyle="1" w:styleId="table0020normal">
    <w:name w:val="table_0020normal"/>
    <w:basedOn w:val="Normal"/>
    <w:rsid w:val="00923467"/>
    <w:pPr>
      <w:spacing w:before="100" w:beforeAutospacing="1" w:after="100" w:afterAutospacing="1"/>
    </w:pPr>
    <w:rPr>
      <w:rFonts w:ascii="Times" w:hAnsi="Times"/>
      <w:sz w:val="20"/>
    </w:rPr>
  </w:style>
  <w:style w:type="character" w:customStyle="1" w:styleId="table0020normalchar">
    <w:name w:val="table_0020normal__char"/>
    <w:basedOn w:val="DefaultParagraphFont"/>
    <w:rsid w:val="00923467"/>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5B4ABD"/>
  </w:style>
  <w:style w:type="character" w:styleId="Strong">
    <w:name w:val="Strong"/>
    <w:basedOn w:val="DefaultParagraphFont"/>
    <w:qFormat/>
    <w:rsid w:val="00E11C83"/>
    <w:rPr>
      <w:b/>
      <w:bCs/>
    </w:rPr>
  </w:style>
  <w:style w:type="paragraph" w:styleId="Revision">
    <w:name w:val="Revision"/>
    <w:hidden/>
    <w:uiPriority w:val="99"/>
    <w:semiHidden/>
    <w:rsid w:val="00532781"/>
    <w:rPr>
      <w:snapToGrid w:val="0"/>
      <w:kern w:val="28"/>
      <w:sz w:val="22"/>
    </w:rPr>
  </w:style>
  <w:style w:type="paragraph" w:styleId="BalloonText">
    <w:name w:val="Balloon Text"/>
    <w:basedOn w:val="Normal"/>
    <w:link w:val="BalloonTextChar"/>
    <w:rsid w:val="00532781"/>
    <w:rPr>
      <w:rFonts w:ascii="Tahoma" w:hAnsi="Tahoma" w:cs="Tahoma"/>
      <w:snapToGrid/>
      <w:sz w:val="16"/>
      <w:szCs w:val="16"/>
    </w:rPr>
  </w:style>
  <w:style w:type="character" w:customStyle="1" w:styleId="BalloonTextChar">
    <w:name w:val="Balloon Text Char"/>
    <w:basedOn w:val="DefaultParagraphFont"/>
    <w:link w:val="BalloonText"/>
    <w:rsid w:val="00532781"/>
    <w:rPr>
      <w:rFonts w:ascii="Tahoma" w:hAnsi="Tahoma" w:cs="Tahoma"/>
      <w:snapToGrid w:val="0"/>
      <w:kern w:val="28"/>
      <w:sz w:val="16"/>
      <w:szCs w:val="16"/>
    </w:rPr>
  </w:style>
  <w:style w:type="character" w:customStyle="1" w:styleId="ParaNumChar">
    <w:name w:val="ParaNum Char"/>
    <w:link w:val="ParaNum"/>
    <w:rsid w:val="00D03823"/>
    <w:rPr>
      <w:snapToGrid w:val="0"/>
      <w:kern w:val="28"/>
      <w:sz w:val="22"/>
    </w:rPr>
  </w:style>
  <w:style w:type="character" w:styleId="CommentReference">
    <w:name w:val="annotation reference"/>
    <w:basedOn w:val="DefaultParagraphFont"/>
    <w:uiPriority w:val="99"/>
    <w:rsid w:val="00CB0CFA"/>
    <w:rPr>
      <w:sz w:val="16"/>
      <w:szCs w:val="16"/>
    </w:rPr>
  </w:style>
  <w:style w:type="paragraph" w:styleId="CommentText">
    <w:name w:val="annotation text"/>
    <w:basedOn w:val="Normal"/>
    <w:link w:val="CommentTextChar"/>
    <w:uiPriority w:val="99"/>
    <w:rsid w:val="00CB0CFA"/>
    <w:rPr>
      <w:snapToGrid/>
      <w:sz w:val="20"/>
    </w:rPr>
  </w:style>
  <w:style w:type="character" w:customStyle="1" w:styleId="CommentTextChar">
    <w:name w:val="Comment Text Char"/>
    <w:basedOn w:val="DefaultParagraphFont"/>
    <w:link w:val="CommentText"/>
    <w:uiPriority w:val="99"/>
    <w:rsid w:val="00CB0CFA"/>
    <w:rPr>
      <w:snapToGrid w:val="0"/>
      <w:kern w:val="28"/>
    </w:rPr>
  </w:style>
  <w:style w:type="paragraph" w:styleId="CommentSubject">
    <w:name w:val="annotation subject"/>
    <w:basedOn w:val="CommentText"/>
    <w:next w:val="CommentText"/>
    <w:link w:val="CommentSubjectChar"/>
    <w:rsid w:val="00CB0CFA"/>
    <w:rPr>
      <w:b/>
      <w:bCs/>
    </w:rPr>
  </w:style>
  <w:style w:type="character" w:customStyle="1" w:styleId="CommentSubjectChar">
    <w:name w:val="Comment Subject Char"/>
    <w:basedOn w:val="CommentTextChar"/>
    <w:link w:val="CommentSubject"/>
    <w:rsid w:val="00CB0CFA"/>
    <w:rPr>
      <w:b/>
      <w:bCs/>
      <w:snapToGrid w:val="0"/>
      <w:kern w:val="28"/>
    </w:rPr>
  </w:style>
  <w:style w:type="paragraph" w:styleId="ListParagraph">
    <w:name w:val="List Paragraph"/>
    <w:basedOn w:val="Normal"/>
    <w:uiPriority w:val="34"/>
    <w:qFormat/>
    <w:rsid w:val="00036F91"/>
    <w:pPr>
      <w:ind w:left="720"/>
      <w:contextualSpacing/>
    </w:pPr>
  </w:style>
  <w:style w:type="character" w:customStyle="1" w:styleId="Footnote">
    <w:name w:val="Footnote"/>
    <w:basedOn w:val="DefaultParagraphFont"/>
    <w:rsid w:val="00BC6145"/>
  </w:style>
  <w:style w:type="paragraph" w:styleId="NormalWeb">
    <w:name w:val="Normal (Web)"/>
    <w:basedOn w:val="Normal"/>
    <w:uiPriority w:val="99"/>
    <w:rsid w:val="00BC6145"/>
    <w:pPr>
      <w:widowControl/>
      <w:spacing w:before="100" w:beforeAutospacing="1" w:after="100" w:afterAutospacing="1"/>
    </w:pPr>
    <w:rPr>
      <w:snapToGrid/>
      <w:kern w:val="0"/>
      <w:sz w:val="24"/>
      <w:szCs w:val="24"/>
    </w:rPr>
  </w:style>
  <w:style w:type="character" w:customStyle="1" w:styleId="FooterChar">
    <w:name w:val="Footer Char"/>
    <w:basedOn w:val="DefaultParagraphFont"/>
    <w:link w:val="Footer"/>
    <w:rsid w:val="00567F36"/>
    <w:rPr>
      <w:snapToGrid w:val="0"/>
      <w:kern w:val="28"/>
      <w:sz w:val="22"/>
    </w:rPr>
  </w:style>
  <w:style w:type="paragraph" w:styleId="PlainText">
    <w:name w:val="Plain Text"/>
    <w:basedOn w:val="Normal"/>
    <w:link w:val="PlainTextChar"/>
    <w:uiPriority w:val="99"/>
    <w:unhideWhenUsed/>
    <w:rsid w:val="00567F36"/>
    <w:pPr>
      <w:widowControl/>
    </w:pPr>
    <w:rPr>
      <w:rFonts w:eastAsiaTheme="minorHAnsi" w:cs="Consolas"/>
      <w:snapToGrid/>
      <w:kern w:val="0"/>
      <w:szCs w:val="21"/>
    </w:rPr>
  </w:style>
  <w:style w:type="character" w:customStyle="1" w:styleId="PlainTextChar">
    <w:name w:val="Plain Text Char"/>
    <w:basedOn w:val="DefaultParagraphFont"/>
    <w:link w:val="PlainText"/>
    <w:uiPriority w:val="99"/>
    <w:rsid w:val="00567F36"/>
    <w:rPr>
      <w:rFonts w:eastAsiaTheme="minorHAnsi" w:cs="Consolas"/>
      <w:sz w:val="22"/>
      <w:szCs w:val="21"/>
    </w:rPr>
  </w:style>
  <w:style w:type="paragraph" w:styleId="DocumentMap">
    <w:name w:val="Document Map"/>
    <w:basedOn w:val="Normal"/>
    <w:link w:val="DocumentMapChar"/>
    <w:rsid w:val="00760AAE"/>
    <w:rPr>
      <w:rFonts w:ascii="Lucida Grande" w:hAnsi="Lucida Grande" w:cs="Lucida Grande"/>
      <w:sz w:val="24"/>
      <w:szCs w:val="24"/>
    </w:rPr>
  </w:style>
  <w:style w:type="character" w:customStyle="1" w:styleId="DocumentMapChar">
    <w:name w:val="Document Map Char"/>
    <w:basedOn w:val="DefaultParagraphFont"/>
    <w:link w:val="DocumentMap"/>
    <w:rsid w:val="00760AAE"/>
    <w:rPr>
      <w:rFonts w:ascii="Lucida Grande" w:hAnsi="Lucida Grande" w:cs="Lucida Grande"/>
      <w:snapToGrid w:val="0"/>
      <w:kern w:val="28"/>
      <w:sz w:val="24"/>
      <w:szCs w:val="24"/>
    </w:rPr>
  </w:style>
  <w:style w:type="character" w:customStyle="1" w:styleId="HeaderChar">
    <w:name w:val="Header Char"/>
    <w:basedOn w:val="DefaultParagraphFont"/>
    <w:link w:val="Header"/>
    <w:rsid w:val="000822ED"/>
    <w:rPr>
      <w:b/>
      <w:snapToGrid w:val="0"/>
      <w:kern w:val="28"/>
      <w:sz w:val="22"/>
    </w:rPr>
  </w:style>
  <w:style w:type="character" w:styleId="FollowedHyperlink">
    <w:name w:val="FollowedHyperlink"/>
    <w:basedOn w:val="DefaultParagraphFont"/>
    <w:rsid w:val="00BB68D5"/>
    <w:rPr>
      <w:color w:val="800080" w:themeColor="followedHyperlink"/>
      <w:u w:val="single"/>
    </w:rPr>
  </w:style>
  <w:style w:type="character" w:customStyle="1" w:styleId="Heading1Char">
    <w:name w:val="Heading 1 Char"/>
    <w:link w:val="Heading1"/>
    <w:rsid w:val="003000BB"/>
    <w:rPr>
      <w:rFonts w:ascii="Times New Roman Bold" w:hAnsi="Times New Roman Bold"/>
      <w:b/>
      <w:caps/>
      <w:snapToGrid w:val="0"/>
      <w:kern w:val="28"/>
      <w:sz w:val="22"/>
    </w:rPr>
  </w:style>
  <w:style w:type="character" w:styleId="Emphasis">
    <w:name w:val="Emphasis"/>
    <w:basedOn w:val="DefaultParagraphFont"/>
    <w:qFormat/>
    <w:rsid w:val="004051B4"/>
    <w:rPr>
      <w:i/>
      <w:iCs/>
    </w:rPr>
  </w:style>
  <w:style w:type="character" w:customStyle="1" w:styleId="Heading2Char">
    <w:name w:val="Heading 2 Char"/>
    <w:link w:val="Heading2"/>
    <w:rsid w:val="003000BB"/>
    <w:rPr>
      <w:b/>
      <w:snapToGrid w:val="0"/>
      <w:kern w:val="28"/>
      <w:sz w:val="22"/>
    </w:rPr>
  </w:style>
  <w:style w:type="character" w:customStyle="1" w:styleId="Heading3Char">
    <w:name w:val="Heading 3 Char"/>
    <w:link w:val="Heading3"/>
    <w:rsid w:val="003000BB"/>
    <w:rPr>
      <w:b/>
      <w:snapToGrid w:val="0"/>
      <w:kern w:val="28"/>
      <w:sz w:val="22"/>
    </w:rPr>
  </w:style>
  <w:style w:type="character" w:customStyle="1" w:styleId="Heading4Char">
    <w:name w:val="Heading 4 Char"/>
    <w:link w:val="Heading4"/>
    <w:rsid w:val="003000BB"/>
    <w:rPr>
      <w:b/>
      <w:snapToGrid w:val="0"/>
      <w:kern w:val="28"/>
      <w:sz w:val="22"/>
    </w:rPr>
  </w:style>
  <w:style w:type="character" w:customStyle="1" w:styleId="Heading5Char">
    <w:name w:val="Heading 5 Char"/>
    <w:link w:val="Heading5"/>
    <w:rsid w:val="003000BB"/>
    <w:rPr>
      <w:b/>
      <w:snapToGrid w:val="0"/>
      <w:kern w:val="28"/>
      <w:sz w:val="22"/>
    </w:rPr>
  </w:style>
  <w:style w:type="character" w:customStyle="1" w:styleId="Heading6Char">
    <w:name w:val="Heading 6 Char"/>
    <w:link w:val="Heading6"/>
    <w:rsid w:val="003000BB"/>
    <w:rPr>
      <w:b/>
      <w:snapToGrid w:val="0"/>
      <w:kern w:val="28"/>
      <w:sz w:val="22"/>
    </w:rPr>
  </w:style>
  <w:style w:type="character" w:customStyle="1" w:styleId="Heading7Char">
    <w:name w:val="Heading 7 Char"/>
    <w:link w:val="Heading7"/>
    <w:rsid w:val="003000BB"/>
    <w:rPr>
      <w:b/>
      <w:snapToGrid w:val="0"/>
      <w:kern w:val="28"/>
      <w:sz w:val="22"/>
    </w:rPr>
  </w:style>
  <w:style w:type="character" w:customStyle="1" w:styleId="Heading8Char">
    <w:name w:val="Heading 8 Char"/>
    <w:link w:val="Heading8"/>
    <w:rsid w:val="003000BB"/>
    <w:rPr>
      <w:b/>
      <w:snapToGrid w:val="0"/>
      <w:kern w:val="28"/>
      <w:sz w:val="22"/>
    </w:rPr>
  </w:style>
  <w:style w:type="character" w:customStyle="1" w:styleId="Heading9Char">
    <w:name w:val="Heading 9 Char"/>
    <w:link w:val="Heading9"/>
    <w:rsid w:val="003000BB"/>
    <w:rPr>
      <w:b/>
      <w:snapToGrid w:val="0"/>
      <w:kern w:val="28"/>
      <w:sz w:val="22"/>
    </w:rPr>
  </w:style>
  <w:style w:type="character" w:customStyle="1" w:styleId="apple-converted-space">
    <w:name w:val="apple-converted-space"/>
    <w:basedOn w:val="DefaultParagraphFont"/>
    <w:rsid w:val="009B2AFF"/>
  </w:style>
  <w:style w:type="table" w:styleId="TableGrid">
    <w:name w:val="Table Grid"/>
    <w:basedOn w:val="TableNormal"/>
    <w:uiPriority w:val="59"/>
    <w:rsid w:val="002402F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D4368"/>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customStyle="1" w:styleId="Default">
    <w:name w:val="Default"/>
    <w:rsid w:val="00657108"/>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edStyle1">
    <w:name w:val="Imported Style 1"/>
    <w:rsid w:val="00365720"/>
    <w:pPr>
      <w:numPr>
        <w:numId w:val="4"/>
      </w:numPr>
    </w:pPr>
  </w:style>
  <w:style w:type="numbering" w:customStyle="1" w:styleId="List31">
    <w:name w:val="List 31"/>
    <w:basedOn w:val="NoList"/>
    <w:rsid w:val="0036572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510">
      <w:bodyDiv w:val="1"/>
      <w:marLeft w:val="0"/>
      <w:marRight w:val="0"/>
      <w:marTop w:val="30"/>
      <w:marBottom w:val="750"/>
      <w:divBdr>
        <w:top w:val="none" w:sz="0" w:space="0" w:color="auto"/>
        <w:left w:val="none" w:sz="0" w:space="0" w:color="auto"/>
        <w:bottom w:val="none" w:sz="0" w:space="0" w:color="auto"/>
        <w:right w:val="none" w:sz="0" w:space="0" w:color="auto"/>
      </w:divBdr>
      <w:divsChild>
        <w:div w:id="333074007">
          <w:marLeft w:val="0"/>
          <w:marRight w:val="0"/>
          <w:marTop w:val="0"/>
          <w:marBottom w:val="0"/>
          <w:divBdr>
            <w:top w:val="none" w:sz="0" w:space="0" w:color="auto"/>
            <w:left w:val="none" w:sz="0" w:space="0" w:color="auto"/>
            <w:bottom w:val="none" w:sz="0" w:space="0" w:color="auto"/>
            <w:right w:val="none" w:sz="0" w:space="0" w:color="auto"/>
          </w:divBdr>
        </w:div>
      </w:divsChild>
    </w:div>
    <w:div w:id="42599410">
      <w:bodyDiv w:val="1"/>
      <w:marLeft w:val="0"/>
      <w:marRight w:val="0"/>
      <w:marTop w:val="30"/>
      <w:marBottom w:val="750"/>
      <w:divBdr>
        <w:top w:val="none" w:sz="0" w:space="0" w:color="auto"/>
        <w:left w:val="none" w:sz="0" w:space="0" w:color="auto"/>
        <w:bottom w:val="none" w:sz="0" w:space="0" w:color="auto"/>
        <w:right w:val="none" w:sz="0" w:space="0" w:color="auto"/>
      </w:divBdr>
      <w:divsChild>
        <w:div w:id="28722532">
          <w:marLeft w:val="0"/>
          <w:marRight w:val="0"/>
          <w:marTop w:val="0"/>
          <w:marBottom w:val="0"/>
          <w:divBdr>
            <w:top w:val="none" w:sz="0" w:space="0" w:color="auto"/>
            <w:left w:val="none" w:sz="0" w:space="0" w:color="auto"/>
            <w:bottom w:val="none" w:sz="0" w:space="0" w:color="auto"/>
            <w:right w:val="none" w:sz="0" w:space="0" w:color="auto"/>
          </w:divBdr>
        </w:div>
      </w:divsChild>
    </w:div>
    <w:div w:id="116880361">
      <w:bodyDiv w:val="1"/>
      <w:marLeft w:val="0"/>
      <w:marRight w:val="0"/>
      <w:marTop w:val="0"/>
      <w:marBottom w:val="0"/>
      <w:divBdr>
        <w:top w:val="none" w:sz="0" w:space="0" w:color="auto"/>
        <w:left w:val="none" w:sz="0" w:space="0" w:color="auto"/>
        <w:bottom w:val="none" w:sz="0" w:space="0" w:color="auto"/>
        <w:right w:val="none" w:sz="0" w:space="0" w:color="auto"/>
      </w:divBdr>
    </w:div>
    <w:div w:id="129833276">
      <w:bodyDiv w:val="1"/>
      <w:marLeft w:val="0"/>
      <w:marRight w:val="0"/>
      <w:marTop w:val="0"/>
      <w:marBottom w:val="0"/>
      <w:divBdr>
        <w:top w:val="none" w:sz="0" w:space="0" w:color="auto"/>
        <w:left w:val="none" w:sz="0" w:space="0" w:color="auto"/>
        <w:bottom w:val="none" w:sz="0" w:space="0" w:color="auto"/>
        <w:right w:val="none" w:sz="0" w:space="0" w:color="auto"/>
      </w:divBdr>
      <w:divsChild>
        <w:div w:id="51002883">
          <w:marLeft w:val="0"/>
          <w:marRight w:val="0"/>
          <w:marTop w:val="0"/>
          <w:marBottom w:val="0"/>
          <w:divBdr>
            <w:top w:val="none" w:sz="0" w:space="0" w:color="auto"/>
            <w:left w:val="none" w:sz="0" w:space="0" w:color="auto"/>
            <w:bottom w:val="none" w:sz="0" w:space="0" w:color="auto"/>
            <w:right w:val="none" w:sz="0" w:space="0" w:color="auto"/>
          </w:divBdr>
        </w:div>
        <w:div w:id="210383266">
          <w:marLeft w:val="0"/>
          <w:marRight w:val="0"/>
          <w:marTop w:val="0"/>
          <w:marBottom w:val="0"/>
          <w:divBdr>
            <w:top w:val="none" w:sz="0" w:space="0" w:color="auto"/>
            <w:left w:val="none" w:sz="0" w:space="0" w:color="auto"/>
            <w:bottom w:val="none" w:sz="0" w:space="0" w:color="auto"/>
            <w:right w:val="none" w:sz="0" w:space="0" w:color="auto"/>
          </w:divBdr>
        </w:div>
        <w:div w:id="273636202">
          <w:marLeft w:val="0"/>
          <w:marRight w:val="0"/>
          <w:marTop w:val="0"/>
          <w:marBottom w:val="0"/>
          <w:divBdr>
            <w:top w:val="none" w:sz="0" w:space="0" w:color="auto"/>
            <w:left w:val="none" w:sz="0" w:space="0" w:color="auto"/>
            <w:bottom w:val="none" w:sz="0" w:space="0" w:color="auto"/>
            <w:right w:val="none" w:sz="0" w:space="0" w:color="auto"/>
          </w:divBdr>
        </w:div>
        <w:div w:id="518740844">
          <w:marLeft w:val="0"/>
          <w:marRight w:val="0"/>
          <w:marTop w:val="0"/>
          <w:marBottom w:val="0"/>
          <w:divBdr>
            <w:top w:val="none" w:sz="0" w:space="0" w:color="auto"/>
            <w:left w:val="none" w:sz="0" w:space="0" w:color="auto"/>
            <w:bottom w:val="none" w:sz="0" w:space="0" w:color="auto"/>
            <w:right w:val="none" w:sz="0" w:space="0" w:color="auto"/>
          </w:divBdr>
        </w:div>
        <w:div w:id="663163460">
          <w:marLeft w:val="0"/>
          <w:marRight w:val="0"/>
          <w:marTop w:val="0"/>
          <w:marBottom w:val="0"/>
          <w:divBdr>
            <w:top w:val="none" w:sz="0" w:space="0" w:color="auto"/>
            <w:left w:val="none" w:sz="0" w:space="0" w:color="auto"/>
            <w:bottom w:val="none" w:sz="0" w:space="0" w:color="auto"/>
            <w:right w:val="none" w:sz="0" w:space="0" w:color="auto"/>
          </w:divBdr>
        </w:div>
        <w:div w:id="831213178">
          <w:marLeft w:val="0"/>
          <w:marRight w:val="0"/>
          <w:marTop w:val="0"/>
          <w:marBottom w:val="0"/>
          <w:divBdr>
            <w:top w:val="none" w:sz="0" w:space="0" w:color="auto"/>
            <w:left w:val="none" w:sz="0" w:space="0" w:color="auto"/>
            <w:bottom w:val="none" w:sz="0" w:space="0" w:color="auto"/>
            <w:right w:val="none" w:sz="0" w:space="0" w:color="auto"/>
          </w:divBdr>
        </w:div>
        <w:div w:id="1048994583">
          <w:marLeft w:val="0"/>
          <w:marRight w:val="0"/>
          <w:marTop w:val="0"/>
          <w:marBottom w:val="0"/>
          <w:divBdr>
            <w:top w:val="none" w:sz="0" w:space="0" w:color="auto"/>
            <w:left w:val="none" w:sz="0" w:space="0" w:color="auto"/>
            <w:bottom w:val="none" w:sz="0" w:space="0" w:color="auto"/>
            <w:right w:val="none" w:sz="0" w:space="0" w:color="auto"/>
          </w:divBdr>
        </w:div>
        <w:div w:id="1103188571">
          <w:marLeft w:val="0"/>
          <w:marRight w:val="0"/>
          <w:marTop w:val="0"/>
          <w:marBottom w:val="0"/>
          <w:divBdr>
            <w:top w:val="none" w:sz="0" w:space="0" w:color="auto"/>
            <w:left w:val="none" w:sz="0" w:space="0" w:color="auto"/>
            <w:bottom w:val="none" w:sz="0" w:space="0" w:color="auto"/>
            <w:right w:val="none" w:sz="0" w:space="0" w:color="auto"/>
          </w:divBdr>
        </w:div>
        <w:div w:id="1283463104">
          <w:marLeft w:val="0"/>
          <w:marRight w:val="0"/>
          <w:marTop w:val="0"/>
          <w:marBottom w:val="0"/>
          <w:divBdr>
            <w:top w:val="none" w:sz="0" w:space="0" w:color="auto"/>
            <w:left w:val="none" w:sz="0" w:space="0" w:color="auto"/>
            <w:bottom w:val="none" w:sz="0" w:space="0" w:color="auto"/>
            <w:right w:val="none" w:sz="0" w:space="0" w:color="auto"/>
          </w:divBdr>
        </w:div>
        <w:div w:id="1551303840">
          <w:marLeft w:val="0"/>
          <w:marRight w:val="0"/>
          <w:marTop w:val="0"/>
          <w:marBottom w:val="0"/>
          <w:divBdr>
            <w:top w:val="none" w:sz="0" w:space="0" w:color="auto"/>
            <w:left w:val="none" w:sz="0" w:space="0" w:color="auto"/>
            <w:bottom w:val="none" w:sz="0" w:space="0" w:color="auto"/>
            <w:right w:val="none" w:sz="0" w:space="0" w:color="auto"/>
          </w:divBdr>
        </w:div>
      </w:divsChild>
    </w:div>
    <w:div w:id="168059827">
      <w:bodyDiv w:val="1"/>
      <w:marLeft w:val="0"/>
      <w:marRight w:val="0"/>
      <w:marTop w:val="0"/>
      <w:marBottom w:val="0"/>
      <w:divBdr>
        <w:top w:val="none" w:sz="0" w:space="0" w:color="auto"/>
        <w:left w:val="none" w:sz="0" w:space="0" w:color="auto"/>
        <w:bottom w:val="none" w:sz="0" w:space="0" w:color="auto"/>
        <w:right w:val="none" w:sz="0" w:space="0" w:color="auto"/>
      </w:divBdr>
    </w:div>
    <w:div w:id="231545034">
      <w:bodyDiv w:val="1"/>
      <w:marLeft w:val="30"/>
      <w:marRight w:val="30"/>
      <w:marTop w:val="30"/>
      <w:marBottom w:val="30"/>
      <w:divBdr>
        <w:top w:val="none" w:sz="0" w:space="0" w:color="auto"/>
        <w:left w:val="none" w:sz="0" w:space="0" w:color="auto"/>
        <w:bottom w:val="none" w:sz="0" w:space="0" w:color="auto"/>
        <w:right w:val="none" w:sz="0" w:space="0" w:color="auto"/>
      </w:divBdr>
      <w:divsChild>
        <w:div w:id="267733761">
          <w:marLeft w:val="0"/>
          <w:marRight w:val="0"/>
          <w:marTop w:val="0"/>
          <w:marBottom w:val="0"/>
          <w:divBdr>
            <w:top w:val="none" w:sz="0" w:space="0" w:color="auto"/>
            <w:left w:val="none" w:sz="0" w:space="0" w:color="auto"/>
            <w:bottom w:val="none" w:sz="0" w:space="0" w:color="auto"/>
            <w:right w:val="none" w:sz="0" w:space="0" w:color="auto"/>
          </w:divBdr>
          <w:divsChild>
            <w:div w:id="718406620">
              <w:marLeft w:val="45"/>
              <w:marRight w:val="45"/>
              <w:marTop w:val="45"/>
              <w:marBottom w:val="45"/>
              <w:divBdr>
                <w:top w:val="none" w:sz="0" w:space="0" w:color="auto"/>
                <w:left w:val="none" w:sz="0" w:space="0" w:color="auto"/>
                <w:bottom w:val="none" w:sz="0" w:space="0" w:color="auto"/>
                <w:right w:val="none" w:sz="0" w:space="0" w:color="auto"/>
              </w:divBdr>
              <w:divsChild>
                <w:div w:id="431703666">
                  <w:marLeft w:val="0"/>
                  <w:marRight w:val="0"/>
                  <w:marTop w:val="0"/>
                  <w:marBottom w:val="0"/>
                  <w:divBdr>
                    <w:top w:val="none" w:sz="0" w:space="0" w:color="auto"/>
                    <w:left w:val="none" w:sz="0" w:space="0" w:color="auto"/>
                    <w:bottom w:val="none" w:sz="0" w:space="0" w:color="auto"/>
                    <w:right w:val="none" w:sz="0" w:space="0" w:color="auto"/>
                  </w:divBdr>
                  <w:divsChild>
                    <w:div w:id="20638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93458">
      <w:bodyDiv w:val="1"/>
      <w:marLeft w:val="0"/>
      <w:marRight w:val="0"/>
      <w:marTop w:val="0"/>
      <w:marBottom w:val="0"/>
      <w:divBdr>
        <w:top w:val="none" w:sz="0" w:space="0" w:color="auto"/>
        <w:left w:val="none" w:sz="0" w:space="0" w:color="auto"/>
        <w:bottom w:val="none" w:sz="0" w:space="0" w:color="auto"/>
        <w:right w:val="none" w:sz="0" w:space="0" w:color="auto"/>
      </w:divBdr>
    </w:div>
    <w:div w:id="294679840">
      <w:bodyDiv w:val="1"/>
      <w:marLeft w:val="0"/>
      <w:marRight w:val="0"/>
      <w:marTop w:val="0"/>
      <w:marBottom w:val="0"/>
      <w:divBdr>
        <w:top w:val="none" w:sz="0" w:space="0" w:color="auto"/>
        <w:left w:val="none" w:sz="0" w:space="0" w:color="auto"/>
        <w:bottom w:val="none" w:sz="0" w:space="0" w:color="auto"/>
        <w:right w:val="none" w:sz="0" w:space="0" w:color="auto"/>
      </w:divBdr>
    </w:div>
    <w:div w:id="350036122">
      <w:bodyDiv w:val="1"/>
      <w:marLeft w:val="0"/>
      <w:marRight w:val="0"/>
      <w:marTop w:val="0"/>
      <w:marBottom w:val="0"/>
      <w:divBdr>
        <w:top w:val="none" w:sz="0" w:space="0" w:color="auto"/>
        <w:left w:val="none" w:sz="0" w:space="0" w:color="auto"/>
        <w:bottom w:val="none" w:sz="0" w:space="0" w:color="auto"/>
        <w:right w:val="none" w:sz="0" w:space="0" w:color="auto"/>
      </w:divBdr>
    </w:div>
    <w:div w:id="414670826">
      <w:bodyDiv w:val="1"/>
      <w:marLeft w:val="0"/>
      <w:marRight w:val="0"/>
      <w:marTop w:val="0"/>
      <w:marBottom w:val="0"/>
      <w:divBdr>
        <w:top w:val="none" w:sz="0" w:space="0" w:color="auto"/>
        <w:left w:val="none" w:sz="0" w:space="0" w:color="auto"/>
        <w:bottom w:val="none" w:sz="0" w:space="0" w:color="auto"/>
        <w:right w:val="none" w:sz="0" w:space="0" w:color="auto"/>
      </w:divBdr>
    </w:div>
    <w:div w:id="415172861">
      <w:bodyDiv w:val="1"/>
      <w:marLeft w:val="0"/>
      <w:marRight w:val="0"/>
      <w:marTop w:val="0"/>
      <w:marBottom w:val="0"/>
      <w:divBdr>
        <w:top w:val="none" w:sz="0" w:space="0" w:color="auto"/>
        <w:left w:val="none" w:sz="0" w:space="0" w:color="auto"/>
        <w:bottom w:val="none" w:sz="0" w:space="0" w:color="auto"/>
        <w:right w:val="none" w:sz="0" w:space="0" w:color="auto"/>
      </w:divBdr>
    </w:div>
    <w:div w:id="567963572">
      <w:bodyDiv w:val="1"/>
      <w:marLeft w:val="0"/>
      <w:marRight w:val="0"/>
      <w:marTop w:val="0"/>
      <w:marBottom w:val="0"/>
      <w:divBdr>
        <w:top w:val="none" w:sz="0" w:space="0" w:color="auto"/>
        <w:left w:val="none" w:sz="0" w:space="0" w:color="auto"/>
        <w:bottom w:val="none" w:sz="0" w:space="0" w:color="auto"/>
        <w:right w:val="none" w:sz="0" w:space="0" w:color="auto"/>
      </w:divBdr>
    </w:div>
    <w:div w:id="666714499">
      <w:bodyDiv w:val="1"/>
      <w:marLeft w:val="0"/>
      <w:marRight w:val="0"/>
      <w:marTop w:val="0"/>
      <w:marBottom w:val="0"/>
      <w:divBdr>
        <w:top w:val="none" w:sz="0" w:space="0" w:color="auto"/>
        <w:left w:val="none" w:sz="0" w:space="0" w:color="auto"/>
        <w:bottom w:val="none" w:sz="0" w:space="0" w:color="auto"/>
        <w:right w:val="none" w:sz="0" w:space="0" w:color="auto"/>
      </w:divBdr>
      <w:divsChild>
        <w:div w:id="2087417522">
          <w:marLeft w:val="0"/>
          <w:marRight w:val="0"/>
          <w:marTop w:val="0"/>
          <w:marBottom w:val="0"/>
          <w:divBdr>
            <w:top w:val="none" w:sz="0" w:space="0" w:color="auto"/>
            <w:left w:val="none" w:sz="0" w:space="0" w:color="auto"/>
            <w:bottom w:val="none" w:sz="0" w:space="0" w:color="auto"/>
            <w:right w:val="none" w:sz="0" w:space="0" w:color="auto"/>
          </w:divBdr>
          <w:divsChild>
            <w:div w:id="88623636">
              <w:marLeft w:val="0"/>
              <w:marRight w:val="0"/>
              <w:marTop w:val="0"/>
              <w:marBottom w:val="0"/>
              <w:divBdr>
                <w:top w:val="single" w:sz="2" w:space="0" w:color="CCCCCC"/>
                <w:left w:val="single" w:sz="6" w:space="0" w:color="CCCCCC"/>
                <w:bottom w:val="single" w:sz="18" w:space="0" w:color="990000"/>
                <w:right w:val="single" w:sz="6" w:space="0" w:color="CCCCCC"/>
              </w:divBdr>
              <w:divsChild>
                <w:div w:id="838152045">
                  <w:marLeft w:val="0"/>
                  <w:marRight w:val="0"/>
                  <w:marTop w:val="0"/>
                  <w:marBottom w:val="0"/>
                  <w:divBdr>
                    <w:top w:val="none" w:sz="0" w:space="0" w:color="auto"/>
                    <w:left w:val="none" w:sz="0" w:space="0" w:color="auto"/>
                    <w:bottom w:val="none" w:sz="0" w:space="0" w:color="auto"/>
                    <w:right w:val="none" w:sz="0" w:space="0" w:color="auto"/>
                  </w:divBdr>
                  <w:divsChild>
                    <w:div w:id="1904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14730">
      <w:bodyDiv w:val="1"/>
      <w:marLeft w:val="0"/>
      <w:marRight w:val="0"/>
      <w:marTop w:val="30"/>
      <w:marBottom w:val="750"/>
      <w:divBdr>
        <w:top w:val="none" w:sz="0" w:space="0" w:color="auto"/>
        <w:left w:val="none" w:sz="0" w:space="0" w:color="auto"/>
        <w:bottom w:val="none" w:sz="0" w:space="0" w:color="auto"/>
        <w:right w:val="none" w:sz="0" w:space="0" w:color="auto"/>
      </w:divBdr>
      <w:divsChild>
        <w:div w:id="41755911">
          <w:marLeft w:val="0"/>
          <w:marRight w:val="0"/>
          <w:marTop w:val="0"/>
          <w:marBottom w:val="0"/>
          <w:divBdr>
            <w:top w:val="none" w:sz="0" w:space="0" w:color="auto"/>
            <w:left w:val="none" w:sz="0" w:space="0" w:color="auto"/>
            <w:bottom w:val="none" w:sz="0" w:space="0" w:color="auto"/>
            <w:right w:val="none" w:sz="0" w:space="0" w:color="auto"/>
          </w:divBdr>
        </w:div>
      </w:divsChild>
    </w:div>
    <w:div w:id="695892731">
      <w:bodyDiv w:val="1"/>
      <w:marLeft w:val="0"/>
      <w:marRight w:val="0"/>
      <w:marTop w:val="0"/>
      <w:marBottom w:val="0"/>
      <w:divBdr>
        <w:top w:val="none" w:sz="0" w:space="0" w:color="auto"/>
        <w:left w:val="none" w:sz="0" w:space="0" w:color="auto"/>
        <w:bottom w:val="none" w:sz="0" w:space="0" w:color="auto"/>
        <w:right w:val="none" w:sz="0" w:space="0" w:color="auto"/>
      </w:divBdr>
    </w:div>
    <w:div w:id="709839453">
      <w:bodyDiv w:val="1"/>
      <w:marLeft w:val="0"/>
      <w:marRight w:val="0"/>
      <w:marTop w:val="0"/>
      <w:marBottom w:val="0"/>
      <w:divBdr>
        <w:top w:val="none" w:sz="0" w:space="0" w:color="auto"/>
        <w:left w:val="none" w:sz="0" w:space="0" w:color="auto"/>
        <w:bottom w:val="none" w:sz="0" w:space="0" w:color="auto"/>
        <w:right w:val="none" w:sz="0" w:space="0" w:color="auto"/>
      </w:divBdr>
      <w:divsChild>
        <w:div w:id="263418495">
          <w:marLeft w:val="0"/>
          <w:marRight w:val="0"/>
          <w:marTop w:val="225"/>
          <w:marBottom w:val="150"/>
          <w:divBdr>
            <w:top w:val="none" w:sz="0" w:space="0" w:color="auto"/>
            <w:left w:val="none" w:sz="0" w:space="0" w:color="auto"/>
            <w:bottom w:val="none" w:sz="0" w:space="0" w:color="auto"/>
            <w:right w:val="none" w:sz="0" w:space="0" w:color="auto"/>
          </w:divBdr>
          <w:divsChild>
            <w:div w:id="1183786968">
              <w:marLeft w:val="0"/>
              <w:marRight w:val="0"/>
              <w:marTop w:val="0"/>
              <w:marBottom w:val="0"/>
              <w:divBdr>
                <w:top w:val="none" w:sz="0" w:space="0" w:color="auto"/>
                <w:left w:val="none" w:sz="0" w:space="0" w:color="auto"/>
                <w:bottom w:val="none" w:sz="0" w:space="0" w:color="auto"/>
                <w:right w:val="none" w:sz="0" w:space="0" w:color="auto"/>
              </w:divBdr>
              <w:divsChild>
                <w:div w:id="1372419766">
                  <w:marLeft w:val="0"/>
                  <w:marRight w:val="0"/>
                  <w:marTop w:val="0"/>
                  <w:marBottom w:val="0"/>
                  <w:divBdr>
                    <w:top w:val="none" w:sz="0" w:space="0" w:color="auto"/>
                    <w:left w:val="none" w:sz="0" w:space="0" w:color="auto"/>
                    <w:bottom w:val="none" w:sz="0" w:space="0" w:color="auto"/>
                    <w:right w:val="none" w:sz="0" w:space="0" w:color="auto"/>
                  </w:divBdr>
                  <w:divsChild>
                    <w:div w:id="2080666694">
                      <w:marLeft w:val="0"/>
                      <w:marRight w:val="0"/>
                      <w:marTop w:val="0"/>
                      <w:marBottom w:val="0"/>
                      <w:divBdr>
                        <w:top w:val="none" w:sz="0" w:space="0" w:color="auto"/>
                        <w:left w:val="none" w:sz="0" w:space="0" w:color="auto"/>
                        <w:bottom w:val="none" w:sz="0" w:space="0" w:color="auto"/>
                        <w:right w:val="none" w:sz="0" w:space="0" w:color="auto"/>
                      </w:divBdr>
                      <w:divsChild>
                        <w:div w:id="1002587584">
                          <w:marLeft w:val="0"/>
                          <w:marRight w:val="0"/>
                          <w:marTop w:val="120"/>
                          <w:marBottom w:val="240"/>
                          <w:divBdr>
                            <w:top w:val="none" w:sz="0" w:space="0" w:color="auto"/>
                            <w:left w:val="none" w:sz="0" w:space="0" w:color="auto"/>
                            <w:bottom w:val="single" w:sz="6" w:space="12" w:color="BBBBBB"/>
                            <w:right w:val="none" w:sz="0" w:space="0" w:color="auto"/>
                          </w:divBdr>
                          <w:divsChild>
                            <w:div w:id="14865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39345">
      <w:bodyDiv w:val="1"/>
      <w:marLeft w:val="0"/>
      <w:marRight w:val="0"/>
      <w:marTop w:val="0"/>
      <w:marBottom w:val="0"/>
      <w:divBdr>
        <w:top w:val="none" w:sz="0" w:space="0" w:color="auto"/>
        <w:left w:val="none" w:sz="0" w:space="0" w:color="auto"/>
        <w:bottom w:val="none" w:sz="0" w:space="0" w:color="auto"/>
        <w:right w:val="none" w:sz="0" w:space="0" w:color="auto"/>
      </w:divBdr>
    </w:div>
    <w:div w:id="818036568">
      <w:bodyDiv w:val="1"/>
      <w:marLeft w:val="0"/>
      <w:marRight w:val="0"/>
      <w:marTop w:val="0"/>
      <w:marBottom w:val="0"/>
      <w:divBdr>
        <w:top w:val="none" w:sz="0" w:space="0" w:color="auto"/>
        <w:left w:val="none" w:sz="0" w:space="0" w:color="auto"/>
        <w:bottom w:val="none" w:sz="0" w:space="0" w:color="auto"/>
        <w:right w:val="none" w:sz="0" w:space="0" w:color="auto"/>
      </w:divBdr>
      <w:divsChild>
        <w:div w:id="503790056">
          <w:marLeft w:val="0"/>
          <w:marRight w:val="0"/>
          <w:marTop w:val="0"/>
          <w:marBottom w:val="0"/>
          <w:divBdr>
            <w:top w:val="none" w:sz="0" w:space="0" w:color="auto"/>
            <w:left w:val="none" w:sz="0" w:space="0" w:color="auto"/>
            <w:bottom w:val="none" w:sz="0" w:space="0" w:color="auto"/>
            <w:right w:val="none" w:sz="0" w:space="0" w:color="auto"/>
          </w:divBdr>
        </w:div>
        <w:div w:id="586966077">
          <w:marLeft w:val="0"/>
          <w:marRight w:val="0"/>
          <w:marTop w:val="0"/>
          <w:marBottom w:val="0"/>
          <w:divBdr>
            <w:top w:val="none" w:sz="0" w:space="0" w:color="auto"/>
            <w:left w:val="none" w:sz="0" w:space="0" w:color="auto"/>
            <w:bottom w:val="none" w:sz="0" w:space="0" w:color="auto"/>
            <w:right w:val="none" w:sz="0" w:space="0" w:color="auto"/>
          </w:divBdr>
        </w:div>
        <w:div w:id="606082019">
          <w:marLeft w:val="0"/>
          <w:marRight w:val="0"/>
          <w:marTop w:val="0"/>
          <w:marBottom w:val="0"/>
          <w:divBdr>
            <w:top w:val="none" w:sz="0" w:space="0" w:color="auto"/>
            <w:left w:val="none" w:sz="0" w:space="0" w:color="auto"/>
            <w:bottom w:val="none" w:sz="0" w:space="0" w:color="auto"/>
            <w:right w:val="none" w:sz="0" w:space="0" w:color="auto"/>
          </w:divBdr>
        </w:div>
        <w:div w:id="891884899">
          <w:marLeft w:val="0"/>
          <w:marRight w:val="0"/>
          <w:marTop w:val="0"/>
          <w:marBottom w:val="0"/>
          <w:divBdr>
            <w:top w:val="none" w:sz="0" w:space="0" w:color="auto"/>
            <w:left w:val="none" w:sz="0" w:space="0" w:color="auto"/>
            <w:bottom w:val="none" w:sz="0" w:space="0" w:color="auto"/>
            <w:right w:val="none" w:sz="0" w:space="0" w:color="auto"/>
          </w:divBdr>
        </w:div>
        <w:div w:id="1628465881">
          <w:marLeft w:val="0"/>
          <w:marRight w:val="0"/>
          <w:marTop w:val="0"/>
          <w:marBottom w:val="0"/>
          <w:divBdr>
            <w:top w:val="none" w:sz="0" w:space="0" w:color="auto"/>
            <w:left w:val="none" w:sz="0" w:space="0" w:color="auto"/>
            <w:bottom w:val="none" w:sz="0" w:space="0" w:color="auto"/>
            <w:right w:val="none" w:sz="0" w:space="0" w:color="auto"/>
          </w:divBdr>
        </w:div>
        <w:div w:id="1850480961">
          <w:marLeft w:val="0"/>
          <w:marRight w:val="0"/>
          <w:marTop w:val="0"/>
          <w:marBottom w:val="0"/>
          <w:divBdr>
            <w:top w:val="none" w:sz="0" w:space="0" w:color="auto"/>
            <w:left w:val="none" w:sz="0" w:space="0" w:color="auto"/>
            <w:bottom w:val="none" w:sz="0" w:space="0" w:color="auto"/>
            <w:right w:val="none" w:sz="0" w:space="0" w:color="auto"/>
          </w:divBdr>
        </w:div>
        <w:div w:id="1918008920">
          <w:marLeft w:val="0"/>
          <w:marRight w:val="0"/>
          <w:marTop w:val="0"/>
          <w:marBottom w:val="0"/>
          <w:divBdr>
            <w:top w:val="none" w:sz="0" w:space="0" w:color="auto"/>
            <w:left w:val="none" w:sz="0" w:space="0" w:color="auto"/>
            <w:bottom w:val="none" w:sz="0" w:space="0" w:color="auto"/>
            <w:right w:val="none" w:sz="0" w:space="0" w:color="auto"/>
          </w:divBdr>
        </w:div>
        <w:div w:id="1941797716">
          <w:marLeft w:val="0"/>
          <w:marRight w:val="0"/>
          <w:marTop w:val="0"/>
          <w:marBottom w:val="0"/>
          <w:divBdr>
            <w:top w:val="none" w:sz="0" w:space="0" w:color="auto"/>
            <w:left w:val="none" w:sz="0" w:space="0" w:color="auto"/>
            <w:bottom w:val="none" w:sz="0" w:space="0" w:color="auto"/>
            <w:right w:val="none" w:sz="0" w:space="0" w:color="auto"/>
          </w:divBdr>
        </w:div>
        <w:div w:id="1989437581">
          <w:marLeft w:val="0"/>
          <w:marRight w:val="0"/>
          <w:marTop w:val="0"/>
          <w:marBottom w:val="0"/>
          <w:divBdr>
            <w:top w:val="none" w:sz="0" w:space="0" w:color="auto"/>
            <w:left w:val="none" w:sz="0" w:space="0" w:color="auto"/>
            <w:bottom w:val="none" w:sz="0" w:space="0" w:color="auto"/>
            <w:right w:val="none" w:sz="0" w:space="0" w:color="auto"/>
          </w:divBdr>
        </w:div>
        <w:div w:id="2043699563">
          <w:marLeft w:val="0"/>
          <w:marRight w:val="0"/>
          <w:marTop w:val="0"/>
          <w:marBottom w:val="0"/>
          <w:divBdr>
            <w:top w:val="none" w:sz="0" w:space="0" w:color="auto"/>
            <w:left w:val="none" w:sz="0" w:space="0" w:color="auto"/>
            <w:bottom w:val="none" w:sz="0" w:space="0" w:color="auto"/>
            <w:right w:val="none" w:sz="0" w:space="0" w:color="auto"/>
          </w:divBdr>
        </w:div>
      </w:divsChild>
    </w:div>
    <w:div w:id="825055276">
      <w:bodyDiv w:val="1"/>
      <w:marLeft w:val="0"/>
      <w:marRight w:val="0"/>
      <w:marTop w:val="0"/>
      <w:marBottom w:val="0"/>
      <w:divBdr>
        <w:top w:val="none" w:sz="0" w:space="0" w:color="auto"/>
        <w:left w:val="none" w:sz="0" w:space="0" w:color="auto"/>
        <w:bottom w:val="none" w:sz="0" w:space="0" w:color="auto"/>
        <w:right w:val="none" w:sz="0" w:space="0" w:color="auto"/>
      </w:divBdr>
    </w:div>
    <w:div w:id="825631068">
      <w:bodyDiv w:val="1"/>
      <w:marLeft w:val="0"/>
      <w:marRight w:val="0"/>
      <w:marTop w:val="0"/>
      <w:marBottom w:val="0"/>
      <w:divBdr>
        <w:top w:val="none" w:sz="0" w:space="0" w:color="auto"/>
        <w:left w:val="none" w:sz="0" w:space="0" w:color="auto"/>
        <w:bottom w:val="none" w:sz="0" w:space="0" w:color="auto"/>
        <w:right w:val="none" w:sz="0" w:space="0" w:color="auto"/>
      </w:divBdr>
    </w:div>
    <w:div w:id="908081489">
      <w:bodyDiv w:val="1"/>
      <w:marLeft w:val="0"/>
      <w:marRight w:val="0"/>
      <w:marTop w:val="0"/>
      <w:marBottom w:val="0"/>
      <w:divBdr>
        <w:top w:val="none" w:sz="0" w:space="0" w:color="auto"/>
        <w:left w:val="none" w:sz="0" w:space="0" w:color="auto"/>
        <w:bottom w:val="none" w:sz="0" w:space="0" w:color="auto"/>
        <w:right w:val="none" w:sz="0" w:space="0" w:color="auto"/>
      </w:divBdr>
      <w:divsChild>
        <w:div w:id="1913470455">
          <w:marLeft w:val="0"/>
          <w:marRight w:val="0"/>
          <w:marTop w:val="0"/>
          <w:marBottom w:val="0"/>
          <w:divBdr>
            <w:top w:val="none" w:sz="0" w:space="0" w:color="auto"/>
            <w:left w:val="none" w:sz="0" w:space="0" w:color="auto"/>
            <w:bottom w:val="none" w:sz="0" w:space="0" w:color="auto"/>
            <w:right w:val="none" w:sz="0" w:space="0" w:color="auto"/>
          </w:divBdr>
          <w:divsChild>
            <w:div w:id="238637098">
              <w:marLeft w:val="0"/>
              <w:marRight w:val="0"/>
              <w:marTop w:val="0"/>
              <w:marBottom w:val="0"/>
              <w:divBdr>
                <w:top w:val="none" w:sz="0" w:space="0" w:color="auto"/>
                <w:left w:val="none" w:sz="0" w:space="0" w:color="auto"/>
                <w:bottom w:val="none" w:sz="0" w:space="0" w:color="auto"/>
                <w:right w:val="none" w:sz="0" w:space="0" w:color="auto"/>
              </w:divBdr>
              <w:divsChild>
                <w:div w:id="1965689674">
                  <w:marLeft w:val="0"/>
                  <w:marRight w:val="0"/>
                  <w:marTop w:val="0"/>
                  <w:marBottom w:val="0"/>
                  <w:divBdr>
                    <w:top w:val="none" w:sz="0" w:space="0" w:color="auto"/>
                    <w:left w:val="none" w:sz="0" w:space="0" w:color="auto"/>
                    <w:bottom w:val="none" w:sz="0" w:space="0" w:color="auto"/>
                    <w:right w:val="none" w:sz="0" w:space="0" w:color="auto"/>
                  </w:divBdr>
                  <w:divsChild>
                    <w:div w:id="640354531">
                      <w:marLeft w:val="0"/>
                      <w:marRight w:val="0"/>
                      <w:marTop w:val="0"/>
                      <w:marBottom w:val="0"/>
                      <w:divBdr>
                        <w:top w:val="none" w:sz="0" w:space="0" w:color="auto"/>
                        <w:left w:val="none" w:sz="0" w:space="0" w:color="auto"/>
                        <w:bottom w:val="none" w:sz="0" w:space="0" w:color="auto"/>
                        <w:right w:val="none" w:sz="0" w:space="0" w:color="auto"/>
                      </w:divBdr>
                      <w:divsChild>
                        <w:div w:id="1250692852">
                          <w:marLeft w:val="0"/>
                          <w:marRight w:val="0"/>
                          <w:marTop w:val="0"/>
                          <w:marBottom w:val="0"/>
                          <w:divBdr>
                            <w:top w:val="none" w:sz="0" w:space="0" w:color="auto"/>
                            <w:left w:val="none" w:sz="0" w:space="0" w:color="auto"/>
                            <w:bottom w:val="none" w:sz="0" w:space="0" w:color="auto"/>
                            <w:right w:val="none" w:sz="0" w:space="0" w:color="auto"/>
                          </w:divBdr>
                          <w:divsChild>
                            <w:div w:id="814493908">
                              <w:marLeft w:val="0"/>
                              <w:marRight w:val="0"/>
                              <w:marTop w:val="0"/>
                              <w:marBottom w:val="0"/>
                              <w:divBdr>
                                <w:top w:val="none" w:sz="0" w:space="0" w:color="auto"/>
                                <w:left w:val="none" w:sz="0" w:space="0" w:color="auto"/>
                                <w:bottom w:val="none" w:sz="0" w:space="0" w:color="auto"/>
                                <w:right w:val="none" w:sz="0" w:space="0" w:color="auto"/>
                              </w:divBdr>
                              <w:divsChild>
                                <w:div w:id="537861260">
                                  <w:marLeft w:val="0"/>
                                  <w:marRight w:val="0"/>
                                  <w:marTop w:val="0"/>
                                  <w:marBottom w:val="0"/>
                                  <w:divBdr>
                                    <w:top w:val="none" w:sz="0" w:space="0" w:color="auto"/>
                                    <w:left w:val="none" w:sz="0" w:space="0" w:color="auto"/>
                                    <w:bottom w:val="none" w:sz="0" w:space="0" w:color="auto"/>
                                    <w:right w:val="none" w:sz="0" w:space="0" w:color="auto"/>
                                  </w:divBdr>
                                  <w:divsChild>
                                    <w:div w:id="358094767">
                                      <w:marLeft w:val="0"/>
                                      <w:marRight w:val="0"/>
                                      <w:marTop w:val="0"/>
                                      <w:marBottom w:val="0"/>
                                      <w:divBdr>
                                        <w:top w:val="none" w:sz="0" w:space="0" w:color="auto"/>
                                        <w:left w:val="none" w:sz="0" w:space="0" w:color="auto"/>
                                        <w:bottom w:val="none" w:sz="0" w:space="0" w:color="auto"/>
                                        <w:right w:val="none" w:sz="0" w:space="0" w:color="auto"/>
                                      </w:divBdr>
                                      <w:divsChild>
                                        <w:div w:id="1242984036">
                                          <w:marLeft w:val="0"/>
                                          <w:marRight w:val="0"/>
                                          <w:marTop w:val="0"/>
                                          <w:marBottom w:val="0"/>
                                          <w:divBdr>
                                            <w:top w:val="none" w:sz="0" w:space="0" w:color="auto"/>
                                            <w:left w:val="none" w:sz="0" w:space="0" w:color="auto"/>
                                            <w:bottom w:val="none" w:sz="0" w:space="0" w:color="auto"/>
                                            <w:right w:val="none" w:sz="0" w:space="0" w:color="auto"/>
                                          </w:divBdr>
                                          <w:divsChild>
                                            <w:div w:id="657462052">
                                              <w:marLeft w:val="0"/>
                                              <w:marRight w:val="0"/>
                                              <w:marTop w:val="0"/>
                                              <w:marBottom w:val="0"/>
                                              <w:divBdr>
                                                <w:top w:val="none" w:sz="0" w:space="0" w:color="auto"/>
                                                <w:left w:val="none" w:sz="0" w:space="0" w:color="auto"/>
                                                <w:bottom w:val="none" w:sz="0" w:space="0" w:color="auto"/>
                                                <w:right w:val="none" w:sz="0" w:space="0" w:color="auto"/>
                                              </w:divBdr>
                                              <w:divsChild>
                                                <w:div w:id="1586571321">
                                                  <w:marLeft w:val="0"/>
                                                  <w:marRight w:val="0"/>
                                                  <w:marTop w:val="0"/>
                                                  <w:marBottom w:val="0"/>
                                                  <w:divBdr>
                                                    <w:top w:val="none" w:sz="0" w:space="0" w:color="auto"/>
                                                    <w:left w:val="none" w:sz="0" w:space="0" w:color="auto"/>
                                                    <w:bottom w:val="none" w:sz="0" w:space="0" w:color="auto"/>
                                                    <w:right w:val="none" w:sz="0" w:space="0" w:color="auto"/>
                                                  </w:divBdr>
                                                  <w:divsChild>
                                                    <w:div w:id="1857962808">
                                                      <w:marLeft w:val="0"/>
                                                      <w:marRight w:val="0"/>
                                                      <w:marTop w:val="0"/>
                                                      <w:marBottom w:val="0"/>
                                                      <w:divBdr>
                                                        <w:top w:val="none" w:sz="0" w:space="0" w:color="auto"/>
                                                        <w:left w:val="none" w:sz="0" w:space="0" w:color="auto"/>
                                                        <w:bottom w:val="none" w:sz="0" w:space="0" w:color="auto"/>
                                                        <w:right w:val="none" w:sz="0" w:space="0" w:color="auto"/>
                                                      </w:divBdr>
                                                      <w:divsChild>
                                                        <w:div w:id="1015570848">
                                                          <w:marLeft w:val="0"/>
                                                          <w:marRight w:val="0"/>
                                                          <w:marTop w:val="0"/>
                                                          <w:marBottom w:val="0"/>
                                                          <w:divBdr>
                                                            <w:top w:val="none" w:sz="0" w:space="0" w:color="auto"/>
                                                            <w:left w:val="none" w:sz="0" w:space="0" w:color="auto"/>
                                                            <w:bottom w:val="none" w:sz="0" w:space="0" w:color="auto"/>
                                                            <w:right w:val="none" w:sz="0" w:space="0" w:color="auto"/>
                                                          </w:divBdr>
                                                          <w:divsChild>
                                                            <w:div w:id="51933287">
                                                              <w:marLeft w:val="0"/>
                                                              <w:marRight w:val="0"/>
                                                              <w:marTop w:val="0"/>
                                                              <w:marBottom w:val="0"/>
                                                              <w:divBdr>
                                                                <w:top w:val="none" w:sz="0" w:space="0" w:color="auto"/>
                                                                <w:left w:val="none" w:sz="0" w:space="0" w:color="auto"/>
                                                                <w:bottom w:val="none" w:sz="0" w:space="0" w:color="auto"/>
                                                                <w:right w:val="none" w:sz="0" w:space="0" w:color="auto"/>
                                                              </w:divBdr>
                                                              <w:divsChild>
                                                                <w:div w:id="1880360370">
                                                                  <w:marLeft w:val="0"/>
                                                                  <w:marRight w:val="0"/>
                                                                  <w:marTop w:val="0"/>
                                                                  <w:marBottom w:val="0"/>
                                                                  <w:divBdr>
                                                                    <w:top w:val="none" w:sz="0" w:space="0" w:color="auto"/>
                                                                    <w:left w:val="none" w:sz="0" w:space="0" w:color="auto"/>
                                                                    <w:bottom w:val="none" w:sz="0" w:space="0" w:color="auto"/>
                                                                    <w:right w:val="none" w:sz="0" w:space="0" w:color="auto"/>
                                                                  </w:divBdr>
                                                                  <w:divsChild>
                                                                    <w:div w:id="9970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4035997">
      <w:bodyDiv w:val="1"/>
      <w:marLeft w:val="0"/>
      <w:marRight w:val="0"/>
      <w:marTop w:val="0"/>
      <w:marBottom w:val="0"/>
      <w:divBdr>
        <w:top w:val="none" w:sz="0" w:space="0" w:color="auto"/>
        <w:left w:val="none" w:sz="0" w:space="0" w:color="auto"/>
        <w:bottom w:val="none" w:sz="0" w:space="0" w:color="auto"/>
        <w:right w:val="none" w:sz="0" w:space="0" w:color="auto"/>
      </w:divBdr>
    </w:div>
    <w:div w:id="1060834358">
      <w:bodyDiv w:val="1"/>
      <w:marLeft w:val="0"/>
      <w:marRight w:val="0"/>
      <w:marTop w:val="0"/>
      <w:marBottom w:val="0"/>
      <w:divBdr>
        <w:top w:val="none" w:sz="0" w:space="0" w:color="auto"/>
        <w:left w:val="none" w:sz="0" w:space="0" w:color="auto"/>
        <w:bottom w:val="none" w:sz="0" w:space="0" w:color="auto"/>
        <w:right w:val="none" w:sz="0" w:space="0" w:color="auto"/>
      </w:divBdr>
    </w:div>
    <w:div w:id="1111314179">
      <w:bodyDiv w:val="1"/>
      <w:marLeft w:val="0"/>
      <w:marRight w:val="0"/>
      <w:marTop w:val="0"/>
      <w:marBottom w:val="0"/>
      <w:divBdr>
        <w:top w:val="none" w:sz="0" w:space="0" w:color="auto"/>
        <w:left w:val="none" w:sz="0" w:space="0" w:color="auto"/>
        <w:bottom w:val="none" w:sz="0" w:space="0" w:color="auto"/>
        <w:right w:val="none" w:sz="0" w:space="0" w:color="auto"/>
      </w:divBdr>
    </w:div>
    <w:div w:id="1143961008">
      <w:bodyDiv w:val="1"/>
      <w:marLeft w:val="0"/>
      <w:marRight w:val="0"/>
      <w:marTop w:val="0"/>
      <w:marBottom w:val="0"/>
      <w:divBdr>
        <w:top w:val="none" w:sz="0" w:space="0" w:color="auto"/>
        <w:left w:val="none" w:sz="0" w:space="0" w:color="auto"/>
        <w:bottom w:val="none" w:sz="0" w:space="0" w:color="auto"/>
        <w:right w:val="none" w:sz="0" w:space="0" w:color="auto"/>
      </w:divBdr>
    </w:div>
    <w:div w:id="1199857277">
      <w:bodyDiv w:val="1"/>
      <w:marLeft w:val="0"/>
      <w:marRight w:val="0"/>
      <w:marTop w:val="0"/>
      <w:marBottom w:val="0"/>
      <w:divBdr>
        <w:top w:val="none" w:sz="0" w:space="0" w:color="auto"/>
        <w:left w:val="none" w:sz="0" w:space="0" w:color="auto"/>
        <w:bottom w:val="none" w:sz="0" w:space="0" w:color="auto"/>
        <w:right w:val="none" w:sz="0" w:space="0" w:color="auto"/>
      </w:divBdr>
    </w:div>
    <w:div w:id="1220870548">
      <w:bodyDiv w:val="1"/>
      <w:marLeft w:val="0"/>
      <w:marRight w:val="0"/>
      <w:marTop w:val="0"/>
      <w:marBottom w:val="0"/>
      <w:divBdr>
        <w:top w:val="none" w:sz="0" w:space="0" w:color="auto"/>
        <w:left w:val="none" w:sz="0" w:space="0" w:color="auto"/>
        <w:bottom w:val="none" w:sz="0" w:space="0" w:color="auto"/>
        <w:right w:val="none" w:sz="0" w:space="0" w:color="auto"/>
      </w:divBdr>
    </w:div>
    <w:div w:id="1308510332">
      <w:bodyDiv w:val="1"/>
      <w:marLeft w:val="0"/>
      <w:marRight w:val="0"/>
      <w:marTop w:val="30"/>
      <w:marBottom w:val="750"/>
      <w:divBdr>
        <w:top w:val="none" w:sz="0" w:space="0" w:color="auto"/>
        <w:left w:val="none" w:sz="0" w:space="0" w:color="auto"/>
        <w:bottom w:val="none" w:sz="0" w:space="0" w:color="auto"/>
        <w:right w:val="none" w:sz="0" w:space="0" w:color="auto"/>
      </w:divBdr>
      <w:divsChild>
        <w:div w:id="1624077983">
          <w:marLeft w:val="0"/>
          <w:marRight w:val="0"/>
          <w:marTop w:val="0"/>
          <w:marBottom w:val="0"/>
          <w:divBdr>
            <w:top w:val="none" w:sz="0" w:space="0" w:color="auto"/>
            <w:left w:val="none" w:sz="0" w:space="0" w:color="auto"/>
            <w:bottom w:val="none" w:sz="0" w:space="0" w:color="auto"/>
            <w:right w:val="none" w:sz="0" w:space="0" w:color="auto"/>
          </w:divBdr>
        </w:div>
      </w:divsChild>
    </w:div>
    <w:div w:id="1427925884">
      <w:bodyDiv w:val="1"/>
      <w:marLeft w:val="0"/>
      <w:marRight w:val="0"/>
      <w:marTop w:val="0"/>
      <w:marBottom w:val="0"/>
      <w:divBdr>
        <w:top w:val="none" w:sz="0" w:space="0" w:color="auto"/>
        <w:left w:val="none" w:sz="0" w:space="0" w:color="auto"/>
        <w:bottom w:val="none" w:sz="0" w:space="0" w:color="auto"/>
        <w:right w:val="none" w:sz="0" w:space="0" w:color="auto"/>
      </w:divBdr>
    </w:div>
    <w:div w:id="1467430271">
      <w:bodyDiv w:val="1"/>
      <w:marLeft w:val="0"/>
      <w:marRight w:val="0"/>
      <w:marTop w:val="30"/>
      <w:marBottom w:val="750"/>
      <w:divBdr>
        <w:top w:val="none" w:sz="0" w:space="0" w:color="auto"/>
        <w:left w:val="none" w:sz="0" w:space="0" w:color="auto"/>
        <w:bottom w:val="none" w:sz="0" w:space="0" w:color="auto"/>
        <w:right w:val="none" w:sz="0" w:space="0" w:color="auto"/>
      </w:divBdr>
      <w:divsChild>
        <w:div w:id="1394111773">
          <w:marLeft w:val="0"/>
          <w:marRight w:val="0"/>
          <w:marTop w:val="0"/>
          <w:marBottom w:val="0"/>
          <w:divBdr>
            <w:top w:val="none" w:sz="0" w:space="0" w:color="auto"/>
            <w:left w:val="none" w:sz="0" w:space="0" w:color="auto"/>
            <w:bottom w:val="none" w:sz="0" w:space="0" w:color="auto"/>
            <w:right w:val="none" w:sz="0" w:space="0" w:color="auto"/>
          </w:divBdr>
        </w:div>
      </w:divsChild>
    </w:div>
    <w:div w:id="1520580284">
      <w:bodyDiv w:val="1"/>
      <w:marLeft w:val="0"/>
      <w:marRight w:val="0"/>
      <w:marTop w:val="30"/>
      <w:marBottom w:val="750"/>
      <w:divBdr>
        <w:top w:val="none" w:sz="0" w:space="0" w:color="auto"/>
        <w:left w:val="none" w:sz="0" w:space="0" w:color="auto"/>
        <w:bottom w:val="none" w:sz="0" w:space="0" w:color="auto"/>
        <w:right w:val="none" w:sz="0" w:space="0" w:color="auto"/>
      </w:divBdr>
      <w:divsChild>
        <w:div w:id="2017684522">
          <w:marLeft w:val="0"/>
          <w:marRight w:val="0"/>
          <w:marTop w:val="0"/>
          <w:marBottom w:val="0"/>
          <w:divBdr>
            <w:top w:val="none" w:sz="0" w:space="0" w:color="auto"/>
            <w:left w:val="none" w:sz="0" w:space="0" w:color="auto"/>
            <w:bottom w:val="none" w:sz="0" w:space="0" w:color="auto"/>
            <w:right w:val="none" w:sz="0" w:space="0" w:color="auto"/>
          </w:divBdr>
        </w:div>
      </w:divsChild>
    </w:div>
    <w:div w:id="1535072079">
      <w:bodyDiv w:val="1"/>
      <w:marLeft w:val="0"/>
      <w:marRight w:val="0"/>
      <w:marTop w:val="0"/>
      <w:marBottom w:val="0"/>
      <w:divBdr>
        <w:top w:val="none" w:sz="0" w:space="0" w:color="auto"/>
        <w:left w:val="none" w:sz="0" w:space="0" w:color="auto"/>
        <w:bottom w:val="none" w:sz="0" w:space="0" w:color="auto"/>
        <w:right w:val="none" w:sz="0" w:space="0" w:color="auto"/>
      </w:divBdr>
    </w:div>
    <w:div w:id="1572081118">
      <w:bodyDiv w:val="1"/>
      <w:marLeft w:val="0"/>
      <w:marRight w:val="0"/>
      <w:marTop w:val="0"/>
      <w:marBottom w:val="0"/>
      <w:divBdr>
        <w:top w:val="none" w:sz="0" w:space="0" w:color="auto"/>
        <w:left w:val="none" w:sz="0" w:space="0" w:color="auto"/>
        <w:bottom w:val="none" w:sz="0" w:space="0" w:color="auto"/>
        <w:right w:val="none" w:sz="0" w:space="0" w:color="auto"/>
      </w:divBdr>
    </w:div>
    <w:div w:id="1596862289">
      <w:bodyDiv w:val="1"/>
      <w:marLeft w:val="0"/>
      <w:marRight w:val="0"/>
      <w:marTop w:val="30"/>
      <w:marBottom w:val="750"/>
      <w:divBdr>
        <w:top w:val="none" w:sz="0" w:space="0" w:color="auto"/>
        <w:left w:val="none" w:sz="0" w:space="0" w:color="auto"/>
        <w:bottom w:val="none" w:sz="0" w:space="0" w:color="auto"/>
        <w:right w:val="none" w:sz="0" w:space="0" w:color="auto"/>
      </w:divBdr>
      <w:divsChild>
        <w:div w:id="1307517461">
          <w:marLeft w:val="0"/>
          <w:marRight w:val="0"/>
          <w:marTop w:val="0"/>
          <w:marBottom w:val="0"/>
          <w:divBdr>
            <w:top w:val="none" w:sz="0" w:space="0" w:color="auto"/>
            <w:left w:val="none" w:sz="0" w:space="0" w:color="auto"/>
            <w:bottom w:val="none" w:sz="0" w:space="0" w:color="auto"/>
            <w:right w:val="none" w:sz="0" w:space="0" w:color="auto"/>
          </w:divBdr>
        </w:div>
      </w:divsChild>
    </w:div>
    <w:div w:id="1719086202">
      <w:bodyDiv w:val="1"/>
      <w:marLeft w:val="0"/>
      <w:marRight w:val="0"/>
      <w:marTop w:val="30"/>
      <w:marBottom w:val="750"/>
      <w:divBdr>
        <w:top w:val="none" w:sz="0" w:space="0" w:color="auto"/>
        <w:left w:val="none" w:sz="0" w:space="0" w:color="auto"/>
        <w:bottom w:val="none" w:sz="0" w:space="0" w:color="auto"/>
        <w:right w:val="none" w:sz="0" w:space="0" w:color="auto"/>
      </w:divBdr>
      <w:divsChild>
        <w:div w:id="1622298766">
          <w:marLeft w:val="0"/>
          <w:marRight w:val="0"/>
          <w:marTop w:val="0"/>
          <w:marBottom w:val="0"/>
          <w:divBdr>
            <w:top w:val="none" w:sz="0" w:space="0" w:color="auto"/>
            <w:left w:val="none" w:sz="0" w:space="0" w:color="auto"/>
            <w:bottom w:val="none" w:sz="0" w:space="0" w:color="auto"/>
            <w:right w:val="none" w:sz="0" w:space="0" w:color="auto"/>
          </w:divBdr>
        </w:div>
      </w:divsChild>
    </w:div>
    <w:div w:id="1725371207">
      <w:bodyDiv w:val="1"/>
      <w:marLeft w:val="0"/>
      <w:marRight w:val="0"/>
      <w:marTop w:val="0"/>
      <w:marBottom w:val="0"/>
      <w:divBdr>
        <w:top w:val="none" w:sz="0" w:space="0" w:color="auto"/>
        <w:left w:val="none" w:sz="0" w:space="0" w:color="auto"/>
        <w:bottom w:val="none" w:sz="0" w:space="0" w:color="auto"/>
        <w:right w:val="none" w:sz="0" w:space="0" w:color="auto"/>
      </w:divBdr>
    </w:div>
    <w:div w:id="1743793597">
      <w:bodyDiv w:val="1"/>
      <w:marLeft w:val="0"/>
      <w:marRight w:val="0"/>
      <w:marTop w:val="0"/>
      <w:marBottom w:val="0"/>
      <w:divBdr>
        <w:top w:val="none" w:sz="0" w:space="0" w:color="auto"/>
        <w:left w:val="none" w:sz="0" w:space="0" w:color="auto"/>
        <w:bottom w:val="none" w:sz="0" w:space="0" w:color="auto"/>
        <w:right w:val="none" w:sz="0" w:space="0" w:color="auto"/>
      </w:divBdr>
    </w:div>
    <w:div w:id="1831602796">
      <w:bodyDiv w:val="1"/>
      <w:marLeft w:val="0"/>
      <w:marRight w:val="0"/>
      <w:marTop w:val="0"/>
      <w:marBottom w:val="0"/>
      <w:divBdr>
        <w:top w:val="none" w:sz="0" w:space="0" w:color="auto"/>
        <w:left w:val="none" w:sz="0" w:space="0" w:color="auto"/>
        <w:bottom w:val="none" w:sz="0" w:space="0" w:color="auto"/>
        <w:right w:val="none" w:sz="0" w:space="0" w:color="auto"/>
      </w:divBdr>
    </w:div>
    <w:div w:id="1961647727">
      <w:bodyDiv w:val="1"/>
      <w:marLeft w:val="0"/>
      <w:marRight w:val="0"/>
      <w:marTop w:val="0"/>
      <w:marBottom w:val="0"/>
      <w:divBdr>
        <w:top w:val="none" w:sz="0" w:space="0" w:color="auto"/>
        <w:left w:val="none" w:sz="0" w:space="0" w:color="auto"/>
        <w:bottom w:val="none" w:sz="0" w:space="0" w:color="auto"/>
        <w:right w:val="none" w:sz="0" w:space="0" w:color="auto"/>
      </w:divBdr>
    </w:div>
    <w:div w:id="1977905615">
      <w:bodyDiv w:val="1"/>
      <w:marLeft w:val="0"/>
      <w:marRight w:val="0"/>
      <w:marTop w:val="0"/>
      <w:marBottom w:val="0"/>
      <w:divBdr>
        <w:top w:val="none" w:sz="0" w:space="0" w:color="auto"/>
        <w:left w:val="none" w:sz="0" w:space="0" w:color="auto"/>
        <w:bottom w:val="none" w:sz="0" w:space="0" w:color="auto"/>
        <w:right w:val="none" w:sz="0" w:space="0" w:color="auto"/>
      </w:divBdr>
    </w:div>
    <w:div w:id="1978223563">
      <w:bodyDiv w:val="1"/>
      <w:marLeft w:val="0"/>
      <w:marRight w:val="0"/>
      <w:marTop w:val="0"/>
      <w:marBottom w:val="0"/>
      <w:divBdr>
        <w:top w:val="none" w:sz="0" w:space="0" w:color="auto"/>
        <w:left w:val="none" w:sz="0" w:space="0" w:color="auto"/>
        <w:bottom w:val="none" w:sz="0" w:space="0" w:color="auto"/>
        <w:right w:val="none" w:sz="0" w:space="0" w:color="auto"/>
      </w:divBdr>
    </w:div>
    <w:div w:id="2028099721">
      <w:bodyDiv w:val="1"/>
      <w:marLeft w:val="0"/>
      <w:marRight w:val="0"/>
      <w:marTop w:val="0"/>
      <w:marBottom w:val="0"/>
      <w:divBdr>
        <w:top w:val="none" w:sz="0" w:space="0" w:color="auto"/>
        <w:left w:val="none" w:sz="0" w:space="0" w:color="auto"/>
        <w:bottom w:val="none" w:sz="0" w:space="0" w:color="auto"/>
        <w:right w:val="none" w:sz="0" w:space="0" w:color="auto"/>
      </w:divBdr>
    </w:div>
    <w:div w:id="2040665293">
      <w:bodyDiv w:val="1"/>
      <w:marLeft w:val="0"/>
      <w:marRight w:val="0"/>
      <w:marTop w:val="0"/>
      <w:marBottom w:val="0"/>
      <w:divBdr>
        <w:top w:val="none" w:sz="0" w:space="0" w:color="auto"/>
        <w:left w:val="none" w:sz="0" w:space="0" w:color="auto"/>
        <w:bottom w:val="none" w:sz="0" w:space="0" w:color="auto"/>
        <w:right w:val="none" w:sz="0" w:space="0" w:color="auto"/>
      </w:divBdr>
    </w:div>
    <w:div w:id="2050571536">
      <w:bodyDiv w:val="1"/>
      <w:marLeft w:val="0"/>
      <w:marRight w:val="0"/>
      <w:marTop w:val="0"/>
      <w:marBottom w:val="0"/>
      <w:divBdr>
        <w:top w:val="none" w:sz="0" w:space="0" w:color="auto"/>
        <w:left w:val="none" w:sz="0" w:space="0" w:color="auto"/>
        <w:bottom w:val="none" w:sz="0" w:space="0" w:color="auto"/>
        <w:right w:val="none" w:sz="0" w:space="0" w:color="auto"/>
      </w:divBdr>
      <w:divsChild>
        <w:div w:id="620847237">
          <w:marLeft w:val="0"/>
          <w:marRight w:val="0"/>
          <w:marTop w:val="225"/>
          <w:marBottom w:val="150"/>
          <w:divBdr>
            <w:top w:val="none" w:sz="0" w:space="0" w:color="auto"/>
            <w:left w:val="none" w:sz="0" w:space="0" w:color="auto"/>
            <w:bottom w:val="none" w:sz="0" w:space="0" w:color="auto"/>
            <w:right w:val="none" w:sz="0" w:space="0" w:color="auto"/>
          </w:divBdr>
          <w:divsChild>
            <w:div w:id="1598293373">
              <w:marLeft w:val="0"/>
              <w:marRight w:val="0"/>
              <w:marTop w:val="0"/>
              <w:marBottom w:val="0"/>
              <w:divBdr>
                <w:top w:val="none" w:sz="0" w:space="0" w:color="auto"/>
                <w:left w:val="none" w:sz="0" w:space="0" w:color="auto"/>
                <w:bottom w:val="none" w:sz="0" w:space="0" w:color="auto"/>
                <w:right w:val="none" w:sz="0" w:space="0" w:color="auto"/>
              </w:divBdr>
              <w:divsChild>
                <w:div w:id="301152182">
                  <w:marLeft w:val="0"/>
                  <w:marRight w:val="0"/>
                  <w:marTop w:val="0"/>
                  <w:marBottom w:val="0"/>
                  <w:divBdr>
                    <w:top w:val="none" w:sz="0" w:space="0" w:color="auto"/>
                    <w:left w:val="none" w:sz="0" w:space="0" w:color="auto"/>
                    <w:bottom w:val="none" w:sz="0" w:space="0" w:color="auto"/>
                    <w:right w:val="none" w:sz="0" w:space="0" w:color="auto"/>
                  </w:divBdr>
                  <w:divsChild>
                    <w:div w:id="186869517">
                      <w:marLeft w:val="0"/>
                      <w:marRight w:val="0"/>
                      <w:marTop w:val="0"/>
                      <w:marBottom w:val="0"/>
                      <w:divBdr>
                        <w:top w:val="none" w:sz="0" w:space="0" w:color="auto"/>
                        <w:left w:val="none" w:sz="0" w:space="0" w:color="auto"/>
                        <w:bottom w:val="none" w:sz="0" w:space="0" w:color="auto"/>
                        <w:right w:val="none" w:sz="0" w:space="0" w:color="auto"/>
                      </w:divBdr>
                      <w:divsChild>
                        <w:div w:id="1575433603">
                          <w:marLeft w:val="0"/>
                          <w:marRight w:val="0"/>
                          <w:marTop w:val="120"/>
                          <w:marBottom w:val="240"/>
                          <w:divBdr>
                            <w:top w:val="none" w:sz="0" w:space="0" w:color="auto"/>
                            <w:left w:val="none" w:sz="0" w:space="0" w:color="auto"/>
                            <w:bottom w:val="single" w:sz="6" w:space="12" w:color="BBBBBB"/>
                            <w:right w:val="none" w:sz="0" w:space="0" w:color="auto"/>
                          </w:divBdr>
                          <w:divsChild>
                            <w:div w:id="2670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raunfoss.fcc.gov/edocs_public/attachmatch/DOC-228542A1.pdf" TargetMode="External"/><Relationship Id="rId1" Type="http://schemas.openxmlformats.org/officeDocument/2006/relationships/hyperlink" Target="http://hraunfoss.fcc.gov/edocs_public/attachment/DOC-296935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9525</Words>
  <Characters>51244</Characters>
  <Application>Microsoft Office Word</Application>
  <DocSecurity>0</DocSecurity>
  <Lines>745</Lines>
  <Paragraphs>143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2013-11-09T05:20:00Z</cp:lastPrinted>
  <dcterms:created xsi:type="dcterms:W3CDTF">2013-12-20T15:31:00Z</dcterms:created>
  <dcterms:modified xsi:type="dcterms:W3CDTF">2013-12-20T15:31:00Z</dcterms:modified>
  <cp:category> </cp:category>
  <cp:contentStatus> </cp:contentStatus>
</cp:coreProperties>
</file>