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BA" w:rsidRDefault="00E945BA" w:rsidP="00E945BA">
      <w:pPr>
        <w:jc w:val="right"/>
        <w:rPr>
          <w:b/>
          <w:bCs/>
          <w:sz w:val="24"/>
          <w:szCs w:val="24"/>
        </w:rPr>
      </w:pPr>
      <w:bookmarkStart w:id="0" w:name="_GoBack"/>
      <w:bookmarkEnd w:id="0"/>
      <w:r w:rsidRPr="00D5237E">
        <w:rPr>
          <w:sz w:val="24"/>
          <w:szCs w:val="24"/>
        </w:rPr>
        <w:tab/>
      </w:r>
      <w:r w:rsidRPr="00D5237E">
        <w:rPr>
          <w:sz w:val="24"/>
          <w:szCs w:val="24"/>
        </w:rPr>
        <w:tab/>
      </w:r>
      <w:r w:rsidRPr="00D5237E">
        <w:rPr>
          <w:sz w:val="24"/>
          <w:szCs w:val="24"/>
        </w:rPr>
        <w:tab/>
      </w:r>
      <w:r w:rsidRPr="00D5237E">
        <w:rPr>
          <w:sz w:val="24"/>
          <w:szCs w:val="24"/>
        </w:rPr>
        <w:tab/>
      </w:r>
      <w:r w:rsidRPr="00D5237E">
        <w:rPr>
          <w:sz w:val="24"/>
          <w:szCs w:val="24"/>
        </w:rPr>
        <w:tab/>
      </w:r>
      <w:r w:rsidRPr="00D5237E">
        <w:rPr>
          <w:sz w:val="24"/>
          <w:szCs w:val="24"/>
        </w:rPr>
        <w:tab/>
      </w:r>
      <w:r w:rsidRPr="00D5237E">
        <w:rPr>
          <w:sz w:val="24"/>
          <w:szCs w:val="24"/>
        </w:rPr>
        <w:tab/>
      </w:r>
      <w:r w:rsidRPr="00D5237E">
        <w:rPr>
          <w:sz w:val="24"/>
          <w:szCs w:val="24"/>
        </w:rPr>
        <w:tab/>
      </w:r>
      <w:r w:rsidRPr="00D5237E">
        <w:rPr>
          <w:sz w:val="24"/>
          <w:szCs w:val="24"/>
        </w:rPr>
        <w:tab/>
      </w:r>
      <w:r w:rsidRPr="00D5237E">
        <w:rPr>
          <w:sz w:val="24"/>
          <w:szCs w:val="24"/>
        </w:rPr>
        <w:tab/>
      </w:r>
      <w:r w:rsidRPr="00D5237E">
        <w:rPr>
          <w:sz w:val="24"/>
          <w:szCs w:val="24"/>
        </w:rPr>
        <w:tab/>
      </w:r>
      <w:r w:rsidRPr="00D5237E">
        <w:rPr>
          <w:b/>
          <w:bCs/>
          <w:sz w:val="24"/>
          <w:szCs w:val="24"/>
        </w:rPr>
        <w:t xml:space="preserve">DA </w:t>
      </w:r>
      <w:r>
        <w:rPr>
          <w:b/>
          <w:bCs/>
          <w:sz w:val="24"/>
          <w:szCs w:val="24"/>
        </w:rPr>
        <w:t>13-</w:t>
      </w:r>
      <w:r w:rsidR="00747D45">
        <w:rPr>
          <w:b/>
          <w:bCs/>
          <w:sz w:val="24"/>
          <w:szCs w:val="24"/>
        </w:rPr>
        <w:t>2416</w:t>
      </w:r>
    </w:p>
    <w:p w:rsidR="00E945BA" w:rsidRPr="00D5237E" w:rsidRDefault="00E945BA" w:rsidP="00E945BA">
      <w:pPr>
        <w:jc w:val="right"/>
        <w:rPr>
          <w:sz w:val="24"/>
          <w:szCs w:val="24"/>
        </w:rPr>
      </w:pPr>
      <w:r w:rsidRPr="00D5237E">
        <w:rPr>
          <w:b/>
          <w:bCs/>
          <w:sz w:val="24"/>
          <w:szCs w:val="24"/>
        </w:rPr>
        <w:t xml:space="preserve">Released:  </w:t>
      </w:r>
      <w:r w:rsidR="000B2994">
        <w:rPr>
          <w:b/>
          <w:bCs/>
          <w:sz w:val="24"/>
          <w:szCs w:val="24"/>
        </w:rPr>
        <w:t>December</w:t>
      </w:r>
      <w:r>
        <w:rPr>
          <w:b/>
          <w:bCs/>
          <w:sz w:val="24"/>
          <w:szCs w:val="24"/>
        </w:rPr>
        <w:t xml:space="preserve"> </w:t>
      </w:r>
      <w:r w:rsidR="00990754">
        <w:rPr>
          <w:b/>
          <w:bCs/>
          <w:sz w:val="24"/>
          <w:szCs w:val="24"/>
        </w:rPr>
        <w:t>18</w:t>
      </w:r>
      <w:r>
        <w:rPr>
          <w:b/>
          <w:bCs/>
          <w:sz w:val="24"/>
          <w:szCs w:val="24"/>
        </w:rPr>
        <w:t>,</w:t>
      </w:r>
      <w:r w:rsidRPr="00D5237E">
        <w:rPr>
          <w:b/>
          <w:bCs/>
          <w:sz w:val="24"/>
          <w:szCs w:val="24"/>
        </w:rPr>
        <w:t xml:space="preserve"> 2013</w:t>
      </w:r>
    </w:p>
    <w:p w:rsidR="00E945BA" w:rsidRPr="00D5237E" w:rsidRDefault="00E945BA" w:rsidP="00E945BA">
      <w:pPr>
        <w:jc w:val="right"/>
        <w:rPr>
          <w:sz w:val="24"/>
          <w:szCs w:val="24"/>
        </w:rPr>
      </w:pPr>
    </w:p>
    <w:p w:rsidR="00E945BA" w:rsidRPr="00D5237E" w:rsidRDefault="00E945BA" w:rsidP="00E945BA">
      <w:pPr>
        <w:spacing w:after="240"/>
        <w:jc w:val="center"/>
        <w:rPr>
          <w:b/>
          <w:bCs/>
          <w:sz w:val="24"/>
          <w:szCs w:val="24"/>
        </w:rPr>
      </w:pPr>
      <w:r w:rsidRPr="00D5237E">
        <w:rPr>
          <w:b/>
          <w:bCs/>
          <w:smallCaps/>
          <w:sz w:val="24"/>
          <w:szCs w:val="24"/>
        </w:rPr>
        <w:t xml:space="preserve">WIRELESS TELECOMMUNICATIONS BUREAU </w:t>
      </w:r>
      <w:r w:rsidR="005A4A6A">
        <w:rPr>
          <w:b/>
          <w:bCs/>
          <w:smallCaps/>
          <w:sz w:val="24"/>
          <w:szCs w:val="24"/>
        </w:rPr>
        <w:t xml:space="preserve">UPDATES </w:t>
      </w:r>
      <w:r w:rsidR="002A6390">
        <w:rPr>
          <w:b/>
          <w:bCs/>
          <w:smallCaps/>
          <w:sz w:val="24"/>
          <w:szCs w:val="24"/>
        </w:rPr>
        <w:t xml:space="preserve">700 MHZ LICENSE RECORDS </w:t>
      </w:r>
      <w:r w:rsidR="000B5831">
        <w:rPr>
          <w:b/>
          <w:bCs/>
          <w:smallCaps/>
          <w:sz w:val="24"/>
          <w:szCs w:val="24"/>
        </w:rPr>
        <w:t>PURSUANT TO</w:t>
      </w:r>
      <w:r w:rsidR="005A4A6A">
        <w:rPr>
          <w:b/>
          <w:bCs/>
          <w:smallCaps/>
          <w:sz w:val="24"/>
          <w:szCs w:val="24"/>
        </w:rPr>
        <w:t xml:space="preserve"> INTEROPERABILITY REPORT AND ORDER</w:t>
      </w:r>
      <w:r>
        <w:rPr>
          <w:b/>
          <w:bCs/>
          <w:smallCaps/>
          <w:sz w:val="24"/>
          <w:szCs w:val="24"/>
        </w:rPr>
        <w:t xml:space="preserve"> </w:t>
      </w:r>
      <w:r>
        <w:rPr>
          <w:b/>
          <w:bCs/>
          <w:smallCaps/>
          <w:sz w:val="24"/>
          <w:szCs w:val="24"/>
        </w:rPr>
        <w:br/>
      </w:r>
    </w:p>
    <w:p w:rsidR="00E945BA" w:rsidRPr="00891B99" w:rsidRDefault="00E945BA" w:rsidP="00E945BA">
      <w:pPr>
        <w:rPr>
          <w:color w:val="000000"/>
          <w:sz w:val="24"/>
          <w:szCs w:val="24"/>
        </w:rPr>
      </w:pPr>
      <w:r w:rsidRPr="00D5237E">
        <w:rPr>
          <w:color w:val="000000"/>
          <w:sz w:val="24"/>
          <w:szCs w:val="24"/>
        </w:rPr>
        <w:t xml:space="preserve">By this </w:t>
      </w:r>
      <w:r w:rsidRPr="00D5237E">
        <w:rPr>
          <w:i/>
          <w:iCs/>
          <w:color w:val="000000"/>
          <w:sz w:val="24"/>
          <w:szCs w:val="24"/>
        </w:rPr>
        <w:t>Public Notice</w:t>
      </w:r>
      <w:r w:rsidRPr="00D5237E">
        <w:rPr>
          <w:color w:val="000000"/>
          <w:sz w:val="24"/>
          <w:szCs w:val="24"/>
        </w:rPr>
        <w:t xml:space="preserve">, the Wireless Telecommunications Bureau </w:t>
      </w:r>
      <w:r>
        <w:rPr>
          <w:color w:val="000000"/>
          <w:sz w:val="24"/>
          <w:szCs w:val="24"/>
        </w:rPr>
        <w:t xml:space="preserve">(Bureau) </w:t>
      </w:r>
      <w:r w:rsidR="00BE3EE3">
        <w:rPr>
          <w:color w:val="000000"/>
          <w:sz w:val="24"/>
          <w:szCs w:val="24"/>
        </w:rPr>
        <w:t xml:space="preserve">confirms </w:t>
      </w:r>
      <w:r w:rsidR="005A4A6A">
        <w:rPr>
          <w:color w:val="000000"/>
          <w:sz w:val="24"/>
          <w:szCs w:val="24"/>
        </w:rPr>
        <w:t xml:space="preserve">that </w:t>
      </w:r>
      <w:r w:rsidR="00CC51BB">
        <w:rPr>
          <w:color w:val="000000"/>
          <w:sz w:val="24"/>
          <w:szCs w:val="24"/>
        </w:rPr>
        <w:t xml:space="preserve">the Universal Licensing System (ULS) </w:t>
      </w:r>
      <w:r w:rsidR="00EF3ECF">
        <w:rPr>
          <w:color w:val="000000"/>
          <w:sz w:val="24"/>
          <w:szCs w:val="24"/>
        </w:rPr>
        <w:t>has</w:t>
      </w:r>
      <w:r w:rsidR="00CC51BB">
        <w:rPr>
          <w:color w:val="000000"/>
          <w:sz w:val="24"/>
          <w:szCs w:val="24"/>
        </w:rPr>
        <w:t xml:space="preserve"> been</w:t>
      </w:r>
      <w:r w:rsidR="00EF3ECF">
        <w:rPr>
          <w:color w:val="000000"/>
          <w:sz w:val="24"/>
          <w:szCs w:val="24"/>
        </w:rPr>
        <w:t xml:space="preserve"> updated </w:t>
      </w:r>
      <w:r w:rsidR="00CC51BB">
        <w:rPr>
          <w:color w:val="000000"/>
          <w:sz w:val="24"/>
          <w:szCs w:val="24"/>
        </w:rPr>
        <w:t xml:space="preserve">to reflect </w:t>
      </w:r>
      <w:r w:rsidR="00EF3ECF">
        <w:rPr>
          <w:color w:val="000000"/>
          <w:sz w:val="24"/>
          <w:szCs w:val="24"/>
        </w:rPr>
        <w:t>relevant con</w:t>
      </w:r>
      <w:r w:rsidR="00AC4DA1">
        <w:rPr>
          <w:color w:val="000000"/>
          <w:sz w:val="24"/>
          <w:szCs w:val="24"/>
        </w:rPr>
        <w:t xml:space="preserve">struction deadlines </w:t>
      </w:r>
      <w:r w:rsidR="00891B99">
        <w:rPr>
          <w:color w:val="000000"/>
          <w:sz w:val="24"/>
          <w:szCs w:val="24"/>
        </w:rPr>
        <w:t xml:space="preserve">and license terms </w:t>
      </w:r>
      <w:r w:rsidR="00BE3EE3">
        <w:rPr>
          <w:color w:val="000000"/>
          <w:sz w:val="24"/>
          <w:szCs w:val="24"/>
        </w:rPr>
        <w:t xml:space="preserve">for Lower 700 MHz band A, B, and E Block licensees </w:t>
      </w:r>
      <w:r w:rsidR="00AC4DA1">
        <w:rPr>
          <w:color w:val="000000"/>
          <w:sz w:val="24"/>
          <w:szCs w:val="24"/>
        </w:rPr>
        <w:t>purs</w:t>
      </w:r>
      <w:r w:rsidR="00891B99">
        <w:rPr>
          <w:color w:val="000000"/>
          <w:sz w:val="24"/>
          <w:szCs w:val="24"/>
        </w:rPr>
        <w:t>uant to the Commission’s actions</w:t>
      </w:r>
      <w:r w:rsidR="00AC4DA1">
        <w:rPr>
          <w:color w:val="000000"/>
          <w:sz w:val="24"/>
          <w:szCs w:val="24"/>
        </w:rPr>
        <w:t xml:space="preserve"> in the </w:t>
      </w:r>
      <w:r w:rsidR="00AC4DA1">
        <w:rPr>
          <w:i/>
          <w:color w:val="000000"/>
          <w:sz w:val="24"/>
          <w:szCs w:val="24"/>
        </w:rPr>
        <w:t>Interoperability Report and Order.</w:t>
      </w:r>
      <w:r w:rsidR="00AC4DA1" w:rsidRPr="00184899">
        <w:rPr>
          <w:rStyle w:val="FootnoteReference"/>
          <w:color w:val="000000"/>
          <w:sz w:val="24"/>
          <w:szCs w:val="24"/>
        </w:rPr>
        <w:footnoteReference w:id="1"/>
      </w:r>
      <w:r w:rsidR="00891B99" w:rsidRPr="00184899">
        <w:rPr>
          <w:color w:val="000000"/>
          <w:sz w:val="24"/>
          <w:szCs w:val="24"/>
        </w:rPr>
        <w:t xml:space="preserve"> </w:t>
      </w:r>
      <w:r w:rsidR="00891B99">
        <w:rPr>
          <w:i/>
          <w:color w:val="000000"/>
          <w:sz w:val="24"/>
          <w:szCs w:val="24"/>
        </w:rPr>
        <w:t xml:space="preserve"> </w:t>
      </w:r>
      <w:r w:rsidR="007429FC">
        <w:rPr>
          <w:color w:val="000000"/>
          <w:sz w:val="24"/>
          <w:szCs w:val="24"/>
        </w:rPr>
        <w:t xml:space="preserve">In the </w:t>
      </w:r>
      <w:r w:rsidR="007429FC">
        <w:rPr>
          <w:i/>
          <w:color w:val="000000"/>
          <w:sz w:val="24"/>
          <w:szCs w:val="24"/>
        </w:rPr>
        <w:t>Interoperability Report and Order</w:t>
      </w:r>
      <w:r w:rsidR="00CC51BB">
        <w:rPr>
          <w:color w:val="000000"/>
          <w:sz w:val="24"/>
          <w:szCs w:val="24"/>
        </w:rPr>
        <w:t>,</w:t>
      </w:r>
      <w:r w:rsidR="007429FC">
        <w:rPr>
          <w:i/>
          <w:color w:val="000000"/>
          <w:sz w:val="24"/>
          <w:szCs w:val="24"/>
        </w:rPr>
        <w:t xml:space="preserve"> </w:t>
      </w:r>
      <w:r w:rsidR="007429FC">
        <w:rPr>
          <w:color w:val="000000"/>
          <w:sz w:val="24"/>
          <w:szCs w:val="24"/>
        </w:rPr>
        <w:t>the Commission</w:t>
      </w:r>
      <w:r w:rsidR="00CC51BB">
        <w:rPr>
          <w:color w:val="000000"/>
          <w:sz w:val="24"/>
          <w:szCs w:val="24"/>
        </w:rPr>
        <w:t xml:space="preserve"> </w:t>
      </w:r>
      <w:r w:rsidR="005F6D30">
        <w:rPr>
          <w:color w:val="000000"/>
          <w:sz w:val="24"/>
          <w:szCs w:val="24"/>
        </w:rPr>
        <w:t xml:space="preserve">extended or waived the interim construction deadline for </w:t>
      </w:r>
      <w:r w:rsidR="003111F4">
        <w:rPr>
          <w:color w:val="000000"/>
          <w:sz w:val="24"/>
          <w:szCs w:val="24"/>
        </w:rPr>
        <w:t xml:space="preserve">Lower 700 MHz </w:t>
      </w:r>
      <w:r w:rsidR="00D521B4">
        <w:rPr>
          <w:color w:val="000000"/>
          <w:sz w:val="24"/>
          <w:szCs w:val="24"/>
        </w:rPr>
        <w:t>b</w:t>
      </w:r>
      <w:r w:rsidR="003111F4">
        <w:rPr>
          <w:color w:val="000000"/>
          <w:sz w:val="24"/>
          <w:szCs w:val="24"/>
        </w:rPr>
        <w:t>and A</w:t>
      </w:r>
      <w:r w:rsidR="005F6D30">
        <w:rPr>
          <w:color w:val="000000"/>
          <w:sz w:val="24"/>
          <w:szCs w:val="24"/>
        </w:rPr>
        <w:t xml:space="preserve"> B</w:t>
      </w:r>
      <w:r w:rsidR="003111F4">
        <w:rPr>
          <w:color w:val="000000"/>
          <w:sz w:val="24"/>
          <w:szCs w:val="24"/>
        </w:rPr>
        <w:t>lock licensees</w:t>
      </w:r>
      <w:r w:rsidR="008752A8">
        <w:rPr>
          <w:color w:val="000000"/>
          <w:sz w:val="24"/>
          <w:szCs w:val="24"/>
        </w:rPr>
        <w:t>; extended the interim construction deadline</w:t>
      </w:r>
      <w:r w:rsidR="005F6D30">
        <w:rPr>
          <w:color w:val="000000"/>
          <w:sz w:val="24"/>
          <w:szCs w:val="24"/>
        </w:rPr>
        <w:t xml:space="preserve"> for Lower </w:t>
      </w:r>
      <w:r w:rsidR="00D521B4">
        <w:rPr>
          <w:color w:val="000000"/>
          <w:sz w:val="24"/>
          <w:szCs w:val="24"/>
        </w:rPr>
        <w:t xml:space="preserve">700 MHz band </w:t>
      </w:r>
      <w:r w:rsidR="008752A8">
        <w:rPr>
          <w:color w:val="000000"/>
          <w:sz w:val="24"/>
          <w:szCs w:val="24"/>
        </w:rPr>
        <w:t xml:space="preserve">B Block licensees; and </w:t>
      </w:r>
      <w:r w:rsidR="005F6D30">
        <w:rPr>
          <w:color w:val="000000"/>
          <w:sz w:val="24"/>
          <w:szCs w:val="24"/>
        </w:rPr>
        <w:t>extended the</w:t>
      </w:r>
      <w:r w:rsidR="005F6D30" w:rsidRPr="005F6D30">
        <w:rPr>
          <w:color w:val="000000"/>
          <w:sz w:val="24"/>
          <w:szCs w:val="24"/>
        </w:rPr>
        <w:t xml:space="preserve"> </w:t>
      </w:r>
      <w:r w:rsidR="005F6D30">
        <w:rPr>
          <w:color w:val="000000"/>
          <w:sz w:val="24"/>
          <w:szCs w:val="24"/>
        </w:rPr>
        <w:t>interim construction deadline, final construction deadline and license term</w:t>
      </w:r>
      <w:r w:rsidR="008752A8">
        <w:rPr>
          <w:color w:val="000000"/>
          <w:sz w:val="24"/>
          <w:szCs w:val="24"/>
        </w:rPr>
        <w:t xml:space="preserve"> for Lower </w:t>
      </w:r>
      <w:r w:rsidR="00D521B4">
        <w:rPr>
          <w:color w:val="000000"/>
          <w:sz w:val="24"/>
          <w:szCs w:val="24"/>
        </w:rPr>
        <w:t xml:space="preserve">700 MHz band </w:t>
      </w:r>
      <w:r w:rsidR="008752A8">
        <w:rPr>
          <w:color w:val="000000"/>
          <w:sz w:val="24"/>
          <w:szCs w:val="24"/>
        </w:rPr>
        <w:t>E Block licensees</w:t>
      </w:r>
      <w:r w:rsidR="00083DA9">
        <w:rPr>
          <w:color w:val="000000"/>
          <w:sz w:val="24"/>
          <w:szCs w:val="24"/>
        </w:rPr>
        <w:t>.</w:t>
      </w:r>
      <w:r w:rsidR="00E117AA">
        <w:rPr>
          <w:rStyle w:val="FootnoteReference"/>
          <w:color w:val="000000"/>
          <w:sz w:val="24"/>
          <w:szCs w:val="24"/>
        </w:rPr>
        <w:footnoteReference w:id="2"/>
      </w:r>
      <w:r w:rsidR="00083DA9">
        <w:rPr>
          <w:color w:val="000000"/>
          <w:sz w:val="24"/>
          <w:szCs w:val="24"/>
        </w:rPr>
        <w:t xml:space="preserve">  </w:t>
      </w:r>
      <w:r w:rsidR="00891B99">
        <w:rPr>
          <w:color w:val="000000"/>
          <w:sz w:val="24"/>
          <w:szCs w:val="24"/>
        </w:rPr>
        <w:t xml:space="preserve">We encourage licensees to </w:t>
      </w:r>
      <w:r w:rsidR="00CC51BB">
        <w:rPr>
          <w:color w:val="000000"/>
          <w:sz w:val="24"/>
          <w:szCs w:val="24"/>
        </w:rPr>
        <w:t>carefully review</w:t>
      </w:r>
      <w:r w:rsidR="00891B99">
        <w:rPr>
          <w:color w:val="000000"/>
          <w:sz w:val="24"/>
          <w:szCs w:val="24"/>
        </w:rPr>
        <w:t xml:space="preserve"> ULS </w:t>
      </w:r>
      <w:r w:rsidR="00CC51BB">
        <w:rPr>
          <w:color w:val="000000"/>
          <w:sz w:val="24"/>
          <w:szCs w:val="24"/>
        </w:rPr>
        <w:t>records</w:t>
      </w:r>
      <w:r w:rsidR="00307836">
        <w:rPr>
          <w:color w:val="000000"/>
          <w:sz w:val="24"/>
          <w:szCs w:val="24"/>
        </w:rPr>
        <w:t xml:space="preserve"> </w:t>
      </w:r>
      <w:r w:rsidR="00CC51BB">
        <w:rPr>
          <w:color w:val="000000"/>
          <w:sz w:val="24"/>
          <w:szCs w:val="24"/>
        </w:rPr>
        <w:t xml:space="preserve">regarding </w:t>
      </w:r>
      <w:r w:rsidR="00891B99">
        <w:rPr>
          <w:color w:val="000000"/>
          <w:sz w:val="24"/>
          <w:szCs w:val="24"/>
        </w:rPr>
        <w:t xml:space="preserve">their licenses, </w:t>
      </w:r>
      <w:r w:rsidR="00CC51BB">
        <w:rPr>
          <w:color w:val="000000"/>
          <w:sz w:val="24"/>
          <w:szCs w:val="24"/>
        </w:rPr>
        <w:t>including construction deadlines, license terms</w:t>
      </w:r>
      <w:r w:rsidR="00891B99">
        <w:rPr>
          <w:color w:val="000000"/>
          <w:sz w:val="24"/>
          <w:szCs w:val="24"/>
        </w:rPr>
        <w:t xml:space="preserve"> and comments.</w:t>
      </w:r>
      <w:r w:rsidR="00097480">
        <w:rPr>
          <w:rStyle w:val="FootnoteReference"/>
          <w:color w:val="000000"/>
          <w:sz w:val="24"/>
          <w:szCs w:val="24"/>
        </w:rPr>
        <w:footnoteReference w:id="3"/>
      </w:r>
    </w:p>
    <w:p w:rsidR="00E945BA" w:rsidRDefault="00E945BA" w:rsidP="00E945BA">
      <w:pPr>
        <w:rPr>
          <w:color w:val="000000"/>
          <w:sz w:val="24"/>
          <w:szCs w:val="24"/>
        </w:rPr>
      </w:pPr>
    </w:p>
    <w:p w:rsidR="00035A6E" w:rsidRDefault="00DC061E" w:rsidP="00A4416D">
      <w:pPr>
        <w:rPr>
          <w:color w:val="000000"/>
          <w:sz w:val="24"/>
          <w:szCs w:val="24"/>
        </w:rPr>
      </w:pPr>
      <w:r>
        <w:rPr>
          <w:color w:val="000000"/>
          <w:sz w:val="24"/>
          <w:szCs w:val="24"/>
        </w:rPr>
        <w:t>We recognize that s</w:t>
      </w:r>
      <w:r w:rsidR="00A4416D">
        <w:rPr>
          <w:color w:val="000000"/>
          <w:sz w:val="24"/>
          <w:szCs w:val="24"/>
        </w:rPr>
        <w:t xml:space="preserve">ome Lower 700 MHz band licensees have already filed notifications of construction </w:t>
      </w:r>
      <w:r w:rsidR="00301624">
        <w:rPr>
          <w:color w:val="000000"/>
          <w:sz w:val="24"/>
          <w:szCs w:val="24"/>
        </w:rPr>
        <w:t xml:space="preserve">indicating compliance with </w:t>
      </w:r>
      <w:r w:rsidR="00A4416D">
        <w:rPr>
          <w:color w:val="000000"/>
          <w:sz w:val="24"/>
          <w:szCs w:val="24"/>
        </w:rPr>
        <w:t xml:space="preserve">the interim construction </w:t>
      </w:r>
      <w:r w:rsidR="006901B6">
        <w:rPr>
          <w:color w:val="000000"/>
          <w:sz w:val="24"/>
          <w:szCs w:val="24"/>
        </w:rPr>
        <w:t xml:space="preserve">benchmark </w:t>
      </w:r>
      <w:r w:rsidR="00A4416D">
        <w:rPr>
          <w:color w:val="000000"/>
          <w:sz w:val="24"/>
          <w:szCs w:val="24"/>
        </w:rPr>
        <w:t xml:space="preserve">deadline and/or the final construction </w:t>
      </w:r>
      <w:r w:rsidR="006901B6">
        <w:rPr>
          <w:color w:val="000000"/>
          <w:sz w:val="24"/>
          <w:szCs w:val="24"/>
        </w:rPr>
        <w:t xml:space="preserve">benchmark </w:t>
      </w:r>
      <w:r w:rsidR="00A4416D">
        <w:rPr>
          <w:color w:val="000000"/>
          <w:sz w:val="24"/>
          <w:szCs w:val="24"/>
        </w:rPr>
        <w:t>deadline</w:t>
      </w:r>
      <w:r w:rsidR="00342105">
        <w:rPr>
          <w:color w:val="000000"/>
          <w:sz w:val="24"/>
          <w:szCs w:val="24"/>
        </w:rPr>
        <w:t xml:space="preserve"> previously established by the Commission’s rules</w:t>
      </w:r>
      <w:r w:rsidR="00301624">
        <w:rPr>
          <w:color w:val="000000"/>
          <w:sz w:val="24"/>
          <w:szCs w:val="24"/>
        </w:rPr>
        <w:t>, and t</w:t>
      </w:r>
      <w:r w:rsidR="00084C90">
        <w:rPr>
          <w:color w:val="000000"/>
          <w:sz w:val="24"/>
          <w:szCs w:val="24"/>
        </w:rPr>
        <w:t xml:space="preserve">he Bureau will perform a substantive review of </w:t>
      </w:r>
      <w:r w:rsidR="00301624">
        <w:rPr>
          <w:color w:val="000000"/>
          <w:sz w:val="24"/>
          <w:szCs w:val="24"/>
        </w:rPr>
        <w:t xml:space="preserve">these </w:t>
      </w:r>
      <w:r w:rsidR="00084C90">
        <w:rPr>
          <w:color w:val="000000"/>
          <w:sz w:val="24"/>
          <w:szCs w:val="24"/>
        </w:rPr>
        <w:t>pending notifications</w:t>
      </w:r>
      <w:r w:rsidR="00301624">
        <w:rPr>
          <w:color w:val="000000"/>
          <w:sz w:val="24"/>
          <w:szCs w:val="24"/>
        </w:rPr>
        <w:t>.</w:t>
      </w:r>
      <w:r w:rsidR="00084C90">
        <w:rPr>
          <w:color w:val="000000"/>
          <w:sz w:val="24"/>
          <w:szCs w:val="24"/>
        </w:rPr>
        <w:t xml:space="preserve">  If the Bureau finds that </w:t>
      </w:r>
      <w:r w:rsidR="00184899">
        <w:rPr>
          <w:color w:val="000000"/>
          <w:sz w:val="24"/>
          <w:szCs w:val="24"/>
        </w:rPr>
        <w:t xml:space="preserve">a </w:t>
      </w:r>
      <w:r w:rsidR="00084C90">
        <w:rPr>
          <w:color w:val="000000"/>
          <w:sz w:val="24"/>
          <w:szCs w:val="24"/>
        </w:rPr>
        <w:t xml:space="preserve">licensee meets the </w:t>
      </w:r>
      <w:r w:rsidR="006901B6">
        <w:rPr>
          <w:color w:val="000000"/>
          <w:sz w:val="24"/>
          <w:szCs w:val="24"/>
        </w:rPr>
        <w:t>relevant benchmark</w:t>
      </w:r>
      <w:r w:rsidR="00084C90">
        <w:rPr>
          <w:color w:val="000000"/>
          <w:sz w:val="24"/>
          <w:szCs w:val="24"/>
        </w:rPr>
        <w:t>, the Bur</w:t>
      </w:r>
      <w:r w:rsidR="005E6030">
        <w:rPr>
          <w:color w:val="000000"/>
          <w:sz w:val="24"/>
          <w:szCs w:val="24"/>
        </w:rPr>
        <w:t xml:space="preserve">eau will accept the </w:t>
      </w:r>
      <w:r w:rsidR="004508CD">
        <w:rPr>
          <w:color w:val="000000"/>
          <w:sz w:val="24"/>
          <w:szCs w:val="24"/>
        </w:rPr>
        <w:t>notification;</w:t>
      </w:r>
      <w:r w:rsidR="00035A6E">
        <w:rPr>
          <w:color w:val="000000"/>
          <w:sz w:val="24"/>
          <w:szCs w:val="24"/>
        </w:rPr>
        <w:t xml:space="preserve"> otherwise </w:t>
      </w:r>
      <w:r w:rsidR="00AE06D5">
        <w:rPr>
          <w:color w:val="000000"/>
          <w:sz w:val="24"/>
          <w:szCs w:val="24"/>
        </w:rPr>
        <w:t>the notification</w:t>
      </w:r>
      <w:r w:rsidR="00035A6E">
        <w:rPr>
          <w:color w:val="000000"/>
          <w:sz w:val="24"/>
          <w:szCs w:val="24"/>
        </w:rPr>
        <w:t xml:space="preserve"> will not be accepted.  Where a notification is not accepted, licensees </w:t>
      </w:r>
      <w:r w:rsidR="00084C90">
        <w:rPr>
          <w:color w:val="000000"/>
          <w:sz w:val="24"/>
          <w:szCs w:val="24"/>
        </w:rPr>
        <w:t xml:space="preserve">may refile </w:t>
      </w:r>
      <w:r w:rsidR="007F43AA">
        <w:rPr>
          <w:color w:val="000000"/>
          <w:sz w:val="24"/>
          <w:szCs w:val="24"/>
        </w:rPr>
        <w:t>demonstrating compliance with the relevant construction benchmark</w:t>
      </w:r>
      <w:r w:rsidR="009A0A3E">
        <w:rPr>
          <w:color w:val="000000"/>
          <w:sz w:val="24"/>
          <w:szCs w:val="24"/>
        </w:rPr>
        <w:t>(</w:t>
      </w:r>
      <w:r w:rsidR="007F43AA">
        <w:rPr>
          <w:color w:val="000000"/>
          <w:sz w:val="24"/>
          <w:szCs w:val="24"/>
        </w:rPr>
        <w:t>s</w:t>
      </w:r>
      <w:r w:rsidR="009A0A3E">
        <w:rPr>
          <w:color w:val="000000"/>
          <w:sz w:val="24"/>
          <w:szCs w:val="24"/>
        </w:rPr>
        <w:t>)</w:t>
      </w:r>
      <w:r w:rsidR="007F43AA">
        <w:rPr>
          <w:color w:val="000000"/>
          <w:sz w:val="24"/>
          <w:szCs w:val="24"/>
        </w:rPr>
        <w:t xml:space="preserve"> c</w:t>
      </w:r>
      <w:r w:rsidR="00084C90">
        <w:rPr>
          <w:color w:val="000000"/>
          <w:sz w:val="24"/>
          <w:szCs w:val="24"/>
        </w:rPr>
        <w:t xml:space="preserve">onsistent with the </w:t>
      </w:r>
      <w:r w:rsidR="009A0A3E">
        <w:rPr>
          <w:color w:val="000000"/>
          <w:sz w:val="24"/>
          <w:szCs w:val="24"/>
        </w:rPr>
        <w:t xml:space="preserve">extended </w:t>
      </w:r>
      <w:r w:rsidR="00084C90">
        <w:rPr>
          <w:color w:val="000000"/>
          <w:sz w:val="24"/>
          <w:szCs w:val="24"/>
        </w:rPr>
        <w:t>deadlines</w:t>
      </w:r>
      <w:r w:rsidR="00BC7A82">
        <w:rPr>
          <w:color w:val="000000"/>
          <w:sz w:val="24"/>
          <w:szCs w:val="24"/>
        </w:rPr>
        <w:t xml:space="preserve"> established in the </w:t>
      </w:r>
      <w:r w:rsidR="005E6030">
        <w:rPr>
          <w:i/>
          <w:color w:val="000000"/>
          <w:sz w:val="24"/>
          <w:szCs w:val="24"/>
        </w:rPr>
        <w:t>Interoperability Report and Order</w:t>
      </w:r>
      <w:r w:rsidR="00035A6E">
        <w:rPr>
          <w:color w:val="000000"/>
          <w:sz w:val="24"/>
          <w:szCs w:val="24"/>
        </w:rPr>
        <w:t xml:space="preserve"> and Commission rule 1.946(d)</w:t>
      </w:r>
      <w:r w:rsidR="00084C90">
        <w:rPr>
          <w:color w:val="000000"/>
          <w:sz w:val="24"/>
          <w:szCs w:val="24"/>
        </w:rPr>
        <w:t>.</w:t>
      </w:r>
      <w:r w:rsidR="00035A6E">
        <w:rPr>
          <w:rStyle w:val="FootnoteReference"/>
          <w:color w:val="000000"/>
          <w:sz w:val="24"/>
          <w:szCs w:val="24"/>
        </w:rPr>
        <w:footnoteReference w:id="4"/>
      </w:r>
      <w:r w:rsidR="00084C90">
        <w:rPr>
          <w:color w:val="000000"/>
          <w:sz w:val="24"/>
          <w:szCs w:val="24"/>
        </w:rPr>
        <w:t xml:space="preserve">  </w:t>
      </w:r>
    </w:p>
    <w:p w:rsidR="00035A6E" w:rsidRDefault="00035A6E" w:rsidP="00A4416D">
      <w:pPr>
        <w:rPr>
          <w:color w:val="000000"/>
          <w:sz w:val="24"/>
          <w:szCs w:val="24"/>
        </w:rPr>
      </w:pPr>
    </w:p>
    <w:p w:rsidR="00A4416D" w:rsidRDefault="00035A6E" w:rsidP="00E945BA">
      <w:pPr>
        <w:rPr>
          <w:color w:val="000000"/>
          <w:sz w:val="24"/>
          <w:szCs w:val="24"/>
        </w:rPr>
      </w:pPr>
      <w:r>
        <w:rPr>
          <w:color w:val="000000"/>
          <w:sz w:val="24"/>
          <w:szCs w:val="24"/>
        </w:rPr>
        <w:t xml:space="preserve">Some Lower 700 MHz band licensees have filed notifications of construction </w:t>
      </w:r>
      <w:r w:rsidR="00EB5DCE">
        <w:rPr>
          <w:color w:val="000000"/>
          <w:sz w:val="24"/>
          <w:szCs w:val="24"/>
        </w:rPr>
        <w:t xml:space="preserve">indicating that while the interim </w:t>
      </w:r>
      <w:r>
        <w:rPr>
          <w:color w:val="000000"/>
          <w:sz w:val="24"/>
          <w:szCs w:val="24"/>
        </w:rPr>
        <w:t xml:space="preserve">construction benchmark </w:t>
      </w:r>
      <w:r w:rsidR="00EB5DCE">
        <w:rPr>
          <w:color w:val="000000"/>
          <w:sz w:val="24"/>
          <w:szCs w:val="24"/>
        </w:rPr>
        <w:t>was not met</w:t>
      </w:r>
      <w:r>
        <w:rPr>
          <w:color w:val="000000"/>
          <w:sz w:val="24"/>
          <w:szCs w:val="24"/>
        </w:rPr>
        <w:t xml:space="preserve">, they have </w:t>
      </w:r>
      <w:r w:rsidR="005D3CE8">
        <w:rPr>
          <w:color w:val="000000"/>
          <w:sz w:val="24"/>
          <w:szCs w:val="24"/>
        </w:rPr>
        <w:t>nonetheless undertaken “meaningful efforts” to put their spectrum to use</w:t>
      </w:r>
      <w:r w:rsidR="00EB5DCE">
        <w:rPr>
          <w:color w:val="000000"/>
          <w:sz w:val="24"/>
          <w:szCs w:val="24"/>
        </w:rPr>
        <w:t xml:space="preserve">.  These filings </w:t>
      </w:r>
      <w:r w:rsidR="009A0A3E">
        <w:rPr>
          <w:color w:val="000000"/>
          <w:sz w:val="24"/>
          <w:szCs w:val="24"/>
        </w:rPr>
        <w:t xml:space="preserve">were made </w:t>
      </w:r>
      <w:r w:rsidR="005D3CE8">
        <w:rPr>
          <w:color w:val="000000"/>
          <w:sz w:val="24"/>
          <w:szCs w:val="24"/>
        </w:rPr>
        <w:t>c</w:t>
      </w:r>
      <w:r>
        <w:rPr>
          <w:color w:val="000000"/>
          <w:sz w:val="24"/>
          <w:szCs w:val="24"/>
        </w:rPr>
        <w:t xml:space="preserve">onsistent with the Bureau’s 2011 reminder </w:t>
      </w:r>
      <w:r w:rsidRPr="00184899">
        <w:rPr>
          <w:i/>
          <w:color w:val="000000"/>
          <w:sz w:val="24"/>
          <w:szCs w:val="24"/>
        </w:rPr>
        <w:t>Public Notice</w:t>
      </w:r>
      <w:r>
        <w:rPr>
          <w:color w:val="000000"/>
          <w:sz w:val="24"/>
          <w:szCs w:val="24"/>
        </w:rPr>
        <w:t xml:space="preserve"> providing</w:t>
      </w:r>
      <w:r w:rsidR="007F43AA">
        <w:rPr>
          <w:color w:val="000000"/>
          <w:sz w:val="24"/>
          <w:szCs w:val="24"/>
        </w:rPr>
        <w:t xml:space="preserve"> </w:t>
      </w:r>
      <w:r>
        <w:rPr>
          <w:color w:val="000000"/>
          <w:sz w:val="24"/>
          <w:szCs w:val="24"/>
        </w:rPr>
        <w:t>guidance</w:t>
      </w:r>
      <w:r w:rsidR="004D73BE">
        <w:rPr>
          <w:color w:val="000000"/>
          <w:sz w:val="24"/>
          <w:szCs w:val="24"/>
        </w:rPr>
        <w:t xml:space="preserve"> </w:t>
      </w:r>
      <w:r w:rsidR="00184899">
        <w:rPr>
          <w:color w:val="000000"/>
          <w:sz w:val="24"/>
          <w:szCs w:val="24"/>
        </w:rPr>
        <w:t xml:space="preserve">on </w:t>
      </w:r>
      <w:r w:rsidR="005D3CE8">
        <w:rPr>
          <w:color w:val="000000"/>
          <w:sz w:val="24"/>
          <w:szCs w:val="24"/>
        </w:rPr>
        <w:t xml:space="preserve">how the Bureau would implement its discretion in applying penalties for </w:t>
      </w:r>
      <w:r>
        <w:rPr>
          <w:color w:val="000000"/>
          <w:sz w:val="24"/>
          <w:szCs w:val="24"/>
        </w:rPr>
        <w:t xml:space="preserve">700 MHz licensees </w:t>
      </w:r>
      <w:r w:rsidR="005D3CE8">
        <w:rPr>
          <w:color w:val="000000"/>
          <w:sz w:val="24"/>
          <w:szCs w:val="24"/>
        </w:rPr>
        <w:t xml:space="preserve">failing to meet the interim construction </w:t>
      </w:r>
      <w:r w:rsidR="005D3CE8">
        <w:rPr>
          <w:color w:val="000000"/>
          <w:sz w:val="24"/>
          <w:szCs w:val="24"/>
        </w:rPr>
        <w:lastRenderedPageBreak/>
        <w:t>benchmark</w:t>
      </w:r>
      <w:r w:rsidR="009A0A3E">
        <w:rPr>
          <w:color w:val="000000"/>
          <w:sz w:val="24"/>
          <w:szCs w:val="24"/>
        </w:rPr>
        <w:t>.</w:t>
      </w:r>
      <w:r w:rsidR="004F541F">
        <w:rPr>
          <w:rStyle w:val="FootnoteReference"/>
          <w:color w:val="000000"/>
          <w:sz w:val="24"/>
          <w:szCs w:val="24"/>
        </w:rPr>
        <w:footnoteReference w:id="5"/>
      </w:r>
      <w:r w:rsidR="009A0A3E">
        <w:rPr>
          <w:color w:val="000000"/>
          <w:sz w:val="24"/>
          <w:szCs w:val="24"/>
        </w:rPr>
        <w:t xml:space="preserve">  </w:t>
      </w:r>
      <w:r w:rsidR="0063528D" w:rsidRPr="0063528D">
        <w:rPr>
          <w:color w:val="000000"/>
          <w:sz w:val="24"/>
          <w:szCs w:val="24"/>
        </w:rPr>
        <w:t>However, as the Commission has extended or waived the interim deadline for Lower 700 MHz licensee</w:t>
      </w:r>
      <w:r w:rsidR="00867BDD">
        <w:rPr>
          <w:color w:val="000000"/>
          <w:sz w:val="24"/>
          <w:szCs w:val="24"/>
        </w:rPr>
        <w:t>s</w:t>
      </w:r>
      <w:r w:rsidR="0063528D" w:rsidRPr="0063528D">
        <w:rPr>
          <w:color w:val="000000"/>
          <w:sz w:val="24"/>
          <w:szCs w:val="24"/>
        </w:rPr>
        <w:t xml:space="preserve"> through the </w:t>
      </w:r>
      <w:r w:rsidR="0063528D" w:rsidRPr="0063528D">
        <w:rPr>
          <w:i/>
          <w:color w:val="000000"/>
          <w:sz w:val="24"/>
          <w:szCs w:val="24"/>
        </w:rPr>
        <w:t>Interoperability Report and Order</w:t>
      </w:r>
      <w:r w:rsidR="0063528D" w:rsidRPr="0063528D">
        <w:rPr>
          <w:color w:val="000000"/>
          <w:sz w:val="24"/>
          <w:szCs w:val="24"/>
        </w:rPr>
        <w:t xml:space="preserve">, the Bureau has dismissed as not ripe for review all </w:t>
      </w:r>
      <w:r w:rsidR="00301624">
        <w:rPr>
          <w:color w:val="000000"/>
          <w:sz w:val="24"/>
          <w:szCs w:val="24"/>
        </w:rPr>
        <w:t>notifications</w:t>
      </w:r>
      <w:r w:rsidR="0063528D" w:rsidRPr="0063528D">
        <w:rPr>
          <w:color w:val="000000"/>
          <w:sz w:val="24"/>
          <w:szCs w:val="24"/>
        </w:rPr>
        <w:t xml:space="preserve"> asserting that “meaningful efforts” have been undertaken to put spectrum to use</w:t>
      </w:r>
      <w:r w:rsidR="0063528D">
        <w:rPr>
          <w:color w:val="000000"/>
          <w:sz w:val="24"/>
          <w:szCs w:val="24"/>
        </w:rPr>
        <w:t xml:space="preserve">. </w:t>
      </w:r>
      <w:r w:rsidR="00A62FB1">
        <w:rPr>
          <w:color w:val="000000"/>
          <w:sz w:val="24"/>
          <w:szCs w:val="24"/>
        </w:rPr>
        <w:t xml:space="preserve"> </w:t>
      </w:r>
    </w:p>
    <w:p w:rsidR="00E50C95" w:rsidRDefault="00E50C95" w:rsidP="00E945BA">
      <w:pPr>
        <w:rPr>
          <w:color w:val="000000"/>
          <w:sz w:val="24"/>
          <w:szCs w:val="24"/>
        </w:rPr>
      </w:pPr>
    </w:p>
    <w:p w:rsidR="00EF3D41" w:rsidRDefault="00301624" w:rsidP="00E945BA">
      <w:pPr>
        <w:rPr>
          <w:color w:val="000000"/>
          <w:sz w:val="24"/>
          <w:szCs w:val="24"/>
        </w:rPr>
      </w:pPr>
      <w:r>
        <w:rPr>
          <w:color w:val="000000"/>
          <w:sz w:val="24"/>
          <w:szCs w:val="24"/>
        </w:rPr>
        <w:t>For information purposes, t</w:t>
      </w:r>
      <w:r w:rsidR="00A11F34">
        <w:rPr>
          <w:color w:val="000000"/>
          <w:sz w:val="24"/>
          <w:szCs w:val="24"/>
        </w:rPr>
        <w:t>his</w:t>
      </w:r>
      <w:r w:rsidR="00A4416D">
        <w:rPr>
          <w:color w:val="000000"/>
          <w:sz w:val="24"/>
          <w:szCs w:val="24"/>
        </w:rPr>
        <w:t xml:space="preserve"> </w:t>
      </w:r>
      <w:r w:rsidR="00A4416D">
        <w:rPr>
          <w:i/>
          <w:color w:val="000000"/>
          <w:sz w:val="24"/>
          <w:szCs w:val="24"/>
        </w:rPr>
        <w:t xml:space="preserve">Public Notice </w:t>
      </w:r>
      <w:r w:rsidR="00A11F34">
        <w:rPr>
          <w:color w:val="000000"/>
          <w:sz w:val="24"/>
          <w:szCs w:val="24"/>
        </w:rPr>
        <w:t xml:space="preserve">also </w:t>
      </w:r>
      <w:r w:rsidR="00A4416D">
        <w:rPr>
          <w:color w:val="000000"/>
          <w:sz w:val="24"/>
          <w:szCs w:val="24"/>
        </w:rPr>
        <w:t xml:space="preserve">provides a list </w:t>
      </w:r>
      <w:r w:rsidR="00DC061E">
        <w:rPr>
          <w:color w:val="000000"/>
          <w:sz w:val="24"/>
          <w:szCs w:val="24"/>
        </w:rPr>
        <w:t>of</w:t>
      </w:r>
      <w:r w:rsidR="00A4416D">
        <w:rPr>
          <w:color w:val="000000"/>
          <w:sz w:val="24"/>
          <w:szCs w:val="24"/>
        </w:rPr>
        <w:t xml:space="preserve"> Lower 700 MHz Band A </w:t>
      </w:r>
      <w:r w:rsidR="00867BDD">
        <w:rPr>
          <w:color w:val="000000"/>
          <w:sz w:val="24"/>
          <w:szCs w:val="24"/>
        </w:rPr>
        <w:t>B</w:t>
      </w:r>
      <w:r w:rsidR="00A4416D">
        <w:rPr>
          <w:color w:val="000000"/>
          <w:sz w:val="24"/>
          <w:szCs w:val="24"/>
        </w:rPr>
        <w:t>lock licensees</w:t>
      </w:r>
      <w:r w:rsidR="00A11F34" w:rsidRPr="00A11F34">
        <w:rPr>
          <w:color w:val="000000"/>
          <w:sz w:val="24"/>
          <w:szCs w:val="24"/>
        </w:rPr>
        <w:t xml:space="preserve"> </w:t>
      </w:r>
      <w:r w:rsidR="00A11F34">
        <w:rPr>
          <w:color w:val="000000"/>
          <w:sz w:val="24"/>
          <w:szCs w:val="24"/>
        </w:rPr>
        <w:t xml:space="preserve">subject to a waiver of the interim construction </w:t>
      </w:r>
      <w:r w:rsidR="0025536E">
        <w:rPr>
          <w:color w:val="000000"/>
          <w:sz w:val="24"/>
          <w:szCs w:val="24"/>
        </w:rPr>
        <w:t xml:space="preserve">benchmark </w:t>
      </w:r>
      <w:r w:rsidR="00A11F34">
        <w:rPr>
          <w:color w:val="000000"/>
          <w:sz w:val="24"/>
          <w:szCs w:val="24"/>
        </w:rPr>
        <w:t>deadline</w:t>
      </w:r>
      <w:r w:rsidR="00A4416D">
        <w:rPr>
          <w:color w:val="000000"/>
          <w:sz w:val="24"/>
          <w:szCs w:val="24"/>
        </w:rPr>
        <w:t xml:space="preserve"> </w:t>
      </w:r>
      <w:r w:rsidR="00A11F34">
        <w:rPr>
          <w:color w:val="000000"/>
          <w:sz w:val="24"/>
          <w:szCs w:val="24"/>
        </w:rPr>
        <w:t xml:space="preserve">based on proximity to </w:t>
      </w:r>
      <w:r w:rsidR="00DC061E">
        <w:rPr>
          <w:color w:val="000000"/>
          <w:sz w:val="24"/>
          <w:szCs w:val="24"/>
        </w:rPr>
        <w:t>incumbent Channel 51 operations.</w:t>
      </w:r>
      <w:r w:rsidR="00891B99">
        <w:rPr>
          <w:rStyle w:val="FootnoteReference"/>
          <w:color w:val="000000"/>
          <w:sz w:val="24"/>
          <w:szCs w:val="24"/>
        </w:rPr>
        <w:footnoteReference w:id="6"/>
      </w:r>
      <w:r w:rsidR="00305358">
        <w:rPr>
          <w:color w:val="000000"/>
          <w:sz w:val="24"/>
          <w:szCs w:val="24"/>
        </w:rPr>
        <w:t xml:space="preserve">  </w:t>
      </w:r>
      <w:r w:rsidR="00A4416D">
        <w:rPr>
          <w:color w:val="000000"/>
          <w:sz w:val="24"/>
          <w:szCs w:val="24"/>
        </w:rPr>
        <w:t>The complete list</w:t>
      </w:r>
      <w:r w:rsidR="00305358">
        <w:rPr>
          <w:color w:val="000000"/>
          <w:sz w:val="24"/>
          <w:szCs w:val="24"/>
        </w:rPr>
        <w:t xml:space="preserve"> </w:t>
      </w:r>
      <w:r w:rsidR="00A4416D">
        <w:rPr>
          <w:color w:val="000000"/>
          <w:sz w:val="24"/>
          <w:szCs w:val="24"/>
        </w:rPr>
        <w:t>can</w:t>
      </w:r>
      <w:r w:rsidR="00305358">
        <w:rPr>
          <w:color w:val="000000"/>
          <w:sz w:val="24"/>
          <w:szCs w:val="24"/>
        </w:rPr>
        <w:t xml:space="preserve"> be found in Appendix A.</w:t>
      </w:r>
    </w:p>
    <w:p w:rsidR="00097480" w:rsidRDefault="00097480" w:rsidP="00E945BA">
      <w:pPr>
        <w:rPr>
          <w:color w:val="000000"/>
          <w:sz w:val="24"/>
          <w:szCs w:val="24"/>
        </w:rPr>
      </w:pPr>
    </w:p>
    <w:p w:rsidR="00E945BA" w:rsidRPr="00D5237E" w:rsidRDefault="00E945BA" w:rsidP="00E945BA">
      <w:pPr>
        <w:rPr>
          <w:rFonts w:eastAsia="MS Mincho"/>
          <w:sz w:val="24"/>
          <w:szCs w:val="24"/>
        </w:rPr>
      </w:pPr>
      <w:r w:rsidRPr="00D5237E">
        <w:rPr>
          <w:rFonts w:eastAsia="MS Mincho"/>
          <w:sz w:val="24"/>
          <w:szCs w:val="24"/>
        </w:rPr>
        <w:t xml:space="preserve">For further information, contact Ms. </w:t>
      </w:r>
      <w:r w:rsidRPr="00D5237E">
        <w:rPr>
          <w:sz w:val="24"/>
          <w:szCs w:val="24"/>
        </w:rPr>
        <w:t xml:space="preserve">Becky Schwartz </w:t>
      </w:r>
      <w:r w:rsidRPr="00D5237E">
        <w:rPr>
          <w:rFonts w:eastAsia="MS Mincho"/>
          <w:sz w:val="24"/>
          <w:szCs w:val="24"/>
        </w:rPr>
        <w:t xml:space="preserve">of the Mobility Division, Wireless Telecommunications Bureau at (202) 418-7178, or via e-mail at </w:t>
      </w:r>
      <w:r w:rsidRPr="00D5237E">
        <w:rPr>
          <w:sz w:val="24"/>
          <w:szCs w:val="24"/>
        </w:rPr>
        <w:t>Becky.Schwartz</w:t>
      </w:r>
      <w:r w:rsidRPr="00D5237E">
        <w:rPr>
          <w:rFonts w:eastAsia="MS Mincho"/>
          <w:sz w:val="24"/>
          <w:szCs w:val="24"/>
        </w:rPr>
        <w:t>@fcc.gov.</w:t>
      </w:r>
    </w:p>
    <w:p w:rsidR="00E945BA" w:rsidRPr="00D5237E" w:rsidRDefault="00E945BA" w:rsidP="00E945BA">
      <w:pPr>
        <w:autoSpaceDE w:val="0"/>
        <w:autoSpaceDN w:val="0"/>
        <w:adjustRightInd w:val="0"/>
        <w:rPr>
          <w:color w:val="000000"/>
          <w:sz w:val="24"/>
          <w:szCs w:val="24"/>
        </w:rPr>
      </w:pPr>
    </w:p>
    <w:p w:rsidR="00E945BA" w:rsidRPr="00D5237E" w:rsidRDefault="00E945BA" w:rsidP="00E945BA">
      <w:pPr>
        <w:ind w:firstLine="720"/>
        <w:rPr>
          <w:sz w:val="24"/>
          <w:szCs w:val="24"/>
        </w:rPr>
      </w:pPr>
      <w:r>
        <w:rPr>
          <w:sz w:val="24"/>
          <w:szCs w:val="24"/>
        </w:rPr>
        <w:t>B</w:t>
      </w:r>
      <w:r w:rsidRPr="00D5237E">
        <w:rPr>
          <w:sz w:val="24"/>
          <w:szCs w:val="24"/>
        </w:rPr>
        <w:t>y the Chief, Mobility Division, Wireless Telecommunications Bureau.</w:t>
      </w:r>
    </w:p>
    <w:p w:rsidR="00E945BA" w:rsidRPr="00D5237E" w:rsidRDefault="00E945BA" w:rsidP="00E945BA">
      <w:pPr>
        <w:autoSpaceDE w:val="0"/>
        <w:autoSpaceDN w:val="0"/>
        <w:adjustRightInd w:val="0"/>
        <w:rPr>
          <w:color w:val="000000"/>
          <w:sz w:val="24"/>
          <w:szCs w:val="24"/>
        </w:rPr>
      </w:pPr>
    </w:p>
    <w:p w:rsidR="00E945BA" w:rsidRPr="00D5237E" w:rsidRDefault="00E945BA" w:rsidP="00E945BA">
      <w:pPr>
        <w:autoSpaceDE w:val="0"/>
        <w:autoSpaceDN w:val="0"/>
        <w:adjustRightInd w:val="0"/>
        <w:jc w:val="center"/>
        <w:rPr>
          <w:sz w:val="24"/>
          <w:szCs w:val="24"/>
        </w:rPr>
      </w:pPr>
      <w:r w:rsidRPr="00D5237E">
        <w:rPr>
          <w:sz w:val="24"/>
          <w:szCs w:val="24"/>
        </w:rPr>
        <w:t>- FCC -</w:t>
      </w:r>
    </w:p>
    <w:p w:rsidR="00E945BA" w:rsidRDefault="00E945BA" w:rsidP="00E945BA"/>
    <w:p w:rsidR="00926EEA" w:rsidRDefault="00926EEA"/>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DC061E" w:rsidRDefault="00DC061E"/>
    <w:p w:rsidR="008E2CC1" w:rsidRDefault="008E2CC1">
      <w:pPr>
        <w:jc w:val="center"/>
        <w:rPr>
          <w:b/>
          <w:sz w:val="24"/>
          <w:szCs w:val="24"/>
        </w:rPr>
      </w:pPr>
    </w:p>
    <w:p w:rsidR="008E2CC1" w:rsidRDefault="008E2CC1">
      <w:pPr>
        <w:jc w:val="center"/>
        <w:rPr>
          <w:b/>
          <w:sz w:val="24"/>
          <w:szCs w:val="24"/>
        </w:rPr>
      </w:pPr>
    </w:p>
    <w:p w:rsidR="008E2CC1" w:rsidRDefault="008E2CC1">
      <w:pPr>
        <w:jc w:val="center"/>
        <w:rPr>
          <w:b/>
          <w:sz w:val="24"/>
          <w:szCs w:val="24"/>
        </w:rPr>
      </w:pPr>
    </w:p>
    <w:p w:rsidR="008E2CC1" w:rsidRDefault="008E2CC1">
      <w:pPr>
        <w:jc w:val="center"/>
        <w:rPr>
          <w:b/>
          <w:sz w:val="24"/>
          <w:szCs w:val="24"/>
        </w:rPr>
      </w:pPr>
    </w:p>
    <w:p w:rsidR="008E2CC1" w:rsidRDefault="008E2CC1">
      <w:pPr>
        <w:jc w:val="center"/>
        <w:rPr>
          <w:b/>
          <w:sz w:val="24"/>
          <w:szCs w:val="24"/>
        </w:rPr>
        <w:sectPr w:rsidR="008E2CC1" w:rsidSect="00926EEA">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576" w:left="1440" w:header="720" w:footer="288" w:gutter="0"/>
          <w:cols w:space="720"/>
          <w:titlePg/>
        </w:sectPr>
      </w:pPr>
    </w:p>
    <w:p w:rsidR="00DC061E" w:rsidRDefault="000A7D78">
      <w:pPr>
        <w:jc w:val="center"/>
        <w:rPr>
          <w:b/>
          <w:sz w:val="24"/>
          <w:szCs w:val="24"/>
        </w:rPr>
      </w:pPr>
      <w:r w:rsidRPr="00FF39F3">
        <w:rPr>
          <w:b/>
          <w:sz w:val="24"/>
          <w:szCs w:val="24"/>
        </w:rPr>
        <w:lastRenderedPageBreak/>
        <w:t>APPENDIX A</w:t>
      </w:r>
    </w:p>
    <w:p w:rsidR="00926EEA" w:rsidRDefault="00926EEA">
      <w:pPr>
        <w:jc w:val="center"/>
        <w:rPr>
          <w:b/>
          <w:sz w:val="24"/>
          <w:szCs w:val="24"/>
        </w:rPr>
      </w:pPr>
    </w:p>
    <w:p w:rsidR="00926EEA" w:rsidRDefault="00926EEA">
      <w:pPr>
        <w:jc w:val="center"/>
        <w:rPr>
          <w:b/>
          <w:sz w:val="24"/>
          <w:szCs w:val="24"/>
        </w:rPr>
      </w:pPr>
      <w:r>
        <w:rPr>
          <w:b/>
          <w:sz w:val="24"/>
          <w:szCs w:val="24"/>
        </w:rPr>
        <w:t>LOWER 700 MH</w:t>
      </w:r>
      <w:r w:rsidR="00EB5DCE">
        <w:rPr>
          <w:b/>
          <w:sz w:val="24"/>
          <w:szCs w:val="24"/>
        </w:rPr>
        <w:t>z</w:t>
      </w:r>
      <w:r>
        <w:rPr>
          <w:b/>
          <w:sz w:val="24"/>
          <w:szCs w:val="24"/>
        </w:rPr>
        <w:t xml:space="preserve"> A BLOCK LICENSEES SUBJECT TO WAIVER OF INTERIM CONSTRUCTION BENCHMARK DEADLINE</w:t>
      </w:r>
    </w:p>
    <w:p w:rsidR="00926EEA" w:rsidRPr="00FF39F3" w:rsidRDefault="00926EEA">
      <w:pPr>
        <w:jc w:val="center"/>
        <w:rPr>
          <w:b/>
          <w:sz w:val="24"/>
          <w:szCs w:val="24"/>
        </w:rPr>
      </w:pPr>
    </w:p>
    <w:tbl>
      <w:tblPr>
        <w:tblpPr w:leftFromText="180" w:rightFromText="180" w:vertAnchor="text" w:horzAnchor="margin" w:tblpXSpec="center" w:tblpY="124"/>
        <w:tblOverlap w:val="never"/>
        <w:tblW w:w="8961" w:type="dxa"/>
        <w:tblLook w:val="04A0" w:firstRow="1" w:lastRow="0" w:firstColumn="1" w:lastColumn="0" w:noHBand="0" w:noVBand="1"/>
      </w:tblPr>
      <w:tblGrid>
        <w:gridCol w:w="3398"/>
        <w:gridCol w:w="1400"/>
        <w:gridCol w:w="1389"/>
        <w:gridCol w:w="2774"/>
      </w:tblGrid>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FF39F3" w:rsidRDefault="00926EEA" w:rsidP="00926EEA">
            <w:pPr>
              <w:rPr>
                <w:b/>
                <w:bCs/>
                <w:color w:val="000000"/>
                <w:sz w:val="24"/>
                <w:szCs w:val="24"/>
              </w:rPr>
            </w:pPr>
            <w:r w:rsidRPr="00FF39F3">
              <w:rPr>
                <w:b/>
                <w:bCs/>
                <w:color w:val="000000"/>
                <w:sz w:val="24"/>
                <w:szCs w:val="24"/>
              </w:rPr>
              <w:t>Licensee Name</w:t>
            </w:r>
          </w:p>
        </w:tc>
        <w:tc>
          <w:tcPr>
            <w:tcW w:w="1400" w:type="dxa"/>
            <w:tcBorders>
              <w:top w:val="nil"/>
              <w:left w:val="nil"/>
              <w:bottom w:val="nil"/>
              <w:right w:val="nil"/>
            </w:tcBorders>
            <w:shd w:val="clear" w:color="auto" w:fill="auto"/>
            <w:vAlign w:val="center"/>
            <w:hideMark/>
          </w:tcPr>
          <w:p w:rsidR="00926EEA" w:rsidRPr="00FF39F3" w:rsidRDefault="00926EEA" w:rsidP="00926EEA">
            <w:pPr>
              <w:rPr>
                <w:b/>
                <w:bCs/>
                <w:color w:val="000000"/>
                <w:sz w:val="24"/>
                <w:szCs w:val="24"/>
              </w:rPr>
            </w:pPr>
            <w:r w:rsidRPr="00FF39F3">
              <w:rPr>
                <w:b/>
                <w:bCs/>
                <w:color w:val="000000"/>
                <w:sz w:val="24"/>
                <w:szCs w:val="24"/>
              </w:rPr>
              <w:t>Call Sign</w:t>
            </w:r>
          </w:p>
        </w:tc>
        <w:tc>
          <w:tcPr>
            <w:tcW w:w="1389" w:type="dxa"/>
            <w:tcBorders>
              <w:top w:val="nil"/>
              <w:left w:val="nil"/>
              <w:bottom w:val="nil"/>
              <w:right w:val="nil"/>
            </w:tcBorders>
            <w:shd w:val="clear" w:color="auto" w:fill="auto"/>
            <w:vAlign w:val="center"/>
            <w:hideMark/>
          </w:tcPr>
          <w:p w:rsidR="00926EEA" w:rsidRPr="00FF39F3" w:rsidRDefault="00926EEA" w:rsidP="00926EEA">
            <w:pPr>
              <w:rPr>
                <w:b/>
                <w:bCs/>
                <w:color w:val="000000"/>
                <w:sz w:val="24"/>
                <w:szCs w:val="24"/>
              </w:rPr>
            </w:pPr>
            <w:r w:rsidRPr="00FF39F3">
              <w:rPr>
                <w:b/>
                <w:bCs/>
                <w:color w:val="000000"/>
                <w:sz w:val="24"/>
                <w:szCs w:val="24"/>
              </w:rPr>
              <w:t>Market</w:t>
            </w:r>
          </w:p>
        </w:tc>
        <w:tc>
          <w:tcPr>
            <w:tcW w:w="2774" w:type="dxa"/>
            <w:tcBorders>
              <w:top w:val="nil"/>
              <w:left w:val="nil"/>
              <w:bottom w:val="nil"/>
              <w:right w:val="nil"/>
            </w:tcBorders>
            <w:shd w:val="clear" w:color="auto" w:fill="auto"/>
            <w:vAlign w:val="center"/>
            <w:hideMark/>
          </w:tcPr>
          <w:p w:rsidR="00926EEA" w:rsidRPr="00FF39F3" w:rsidRDefault="00926EEA" w:rsidP="00926EEA">
            <w:pPr>
              <w:rPr>
                <w:b/>
                <w:bCs/>
                <w:color w:val="000000"/>
                <w:sz w:val="24"/>
                <w:szCs w:val="24"/>
              </w:rPr>
            </w:pPr>
            <w:r w:rsidRPr="00FF39F3">
              <w:rPr>
                <w:b/>
                <w:bCs/>
                <w:color w:val="000000"/>
                <w:sz w:val="24"/>
                <w:szCs w:val="24"/>
              </w:rPr>
              <w:t>Market Description</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AB License Co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WQIZ545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BEA158</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Phoenix-Mesa, AZ-NM</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Actel,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WQIZ456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BEA036</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Dothan, AL-FL-GA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Actel,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WQIZ467</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BEA095</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Jonesboro, AR-MO</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Big Wave Ventures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WQQI315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BEA052</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Wheeling, WV-OH</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WQIZ389</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BEA006</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Syracuse, NY-PA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WQIZ394</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BEA018</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Greensboro-Winston-Salem-High</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WQIZ396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BEA023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Charlotte-Gastonia-Rock Hill,</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WQIZ397</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BEA024</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Columbia, SC</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WQIZ398</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BEA027</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Augusta-Aiken, GA-SC</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WQIZ399</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BEA035</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Tallahassee, FL-GA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WQIZ400</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BEA037</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Albany, GA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WQIZ403</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BEA047</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Lexington, KY-TN-VA-WV</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WQIZ404</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BEA056</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Toledo, OH</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Cavalier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WQIZ405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BEA070</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Louisville, KY-IN</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WQJQ696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BEA010</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New York-No. New Jer.-Long Isl</w:t>
            </w:r>
            <w:r w:rsidR="00FF39F3">
              <w:rPr>
                <w:color w:val="000000"/>
                <w:sz w:val="20"/>
                <w:szCs w:val="20"/>
              </w:rPr>
              <w:t>and</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WQJQ699</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BEA030</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Orlando, FL</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WQJQ702</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BEA040</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Atlanta, GA-AL-NC</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WQJQ703</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BEA049</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Cincinnati-Hamilton, OH-KY-IN</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WQJQ705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BEA057</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Detroit-Ann Arbor-Flint, MI</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WQJQ706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BEA062</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Grand Rapids-Muskegon-Holland,</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WQJQ708</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BEA067</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Indianapolis, IN-IL</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WQJQ709</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BEA099</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Kansas City, MO-KS</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WQJQ713</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BEA130</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Austin-San Marcos, TX</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WQJQ715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BEA134</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San Antonio, TX</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WQJQ716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BEA141</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Denver-Boulder-Greeley, CO-KS-</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WQJQ717</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BEA160</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Los Angeles-Riverside-Orange C</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WQJQ719</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BEA163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San Francisco-Oakland-San Jose</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Cellco Partnership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WQJQ720</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BEA164</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Sacramento-Yolo, CA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Cellular South Licenses,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WQIZ424</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BEA043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Chattanooga, TN-GA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Cellular South Licenses,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WQIZ425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BEA044</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Knoxville, TN</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Cellular South Licenses,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WQIZ426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BEA045</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Johnson City-Kingsport-Bristol</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Cellular South Licenses,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WQIZ428</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BEA073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Memphis, TN-AR-MS-KY</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Cincinnati Bell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WQIZ531</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BEA050</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Dayton-Springfield, OH</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Continuum 700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WQLA792</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BEA152</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Salt Lake City-Ogden, UT-ID</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Cox TMI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WQIZ535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BEA038</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Macon, GA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Cox TMI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WQIZ536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BEA081</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Pensacola, FL</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Cricket License Company,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WQJQ707</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BEA064</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Chicago-Gary-Kenosha, IL-IN-WI</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King Street Wireless, LP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WQLE663</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BEA065</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Elkhart-Goshen, IN-MI</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King Street Wireless, LP</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WQLE664</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BEA066</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Fort Wayne, IN</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McBride Spectrum Partners,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WQIZ576</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BEA053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Pittsburgh, PA-WV</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Default="00926EEA" w:rsidP="00926EEA">
            <w:pPr>
              <w:rPr>
                <w:color w:val="000000"/>
                <w:sz w:val="20"/>
                <w:szCs w:val="20"/>
              </w:rPr>
            </w:pPr>
          </w:p>
          <w:p w:rsidR="00926EEA" w:rsidRPr="00926EEA" w:rsidRDefault="00926EEA" w:rsidP="00926EEA">
            <w:pPr>
              <w:rPr>
                <w:color w:val="000000"/>
                <w:sz w:val="20"/>
                <w:szCs w:val="20"/>
              </w:rPr>
            </w:pPr>
            <w:r w:rsidRPr="00926EEA">
              <w:rPr>
                <w:color w:val="000000"/>
                <w:sz w:val="20"/>
                <w:szCs w:val="20"/>
              </w:rPr>
              <w:t>MetroPCS 700 MHz, LLC</w:t>
            </w:r>
          </w:p>
        </w:tc>
        <w:tc>
          <w:tcPr>
            <w:tcW w:w="1400" w:type="dxa"/>
            <w:tcBorders>
              <w:top w:val="nil"/>
              <w:left w:val="nil"/>
              <w:bottom w:val="nil"/>
              <w:right w:val="nil"/>
            </w:tcBorders>
            <w:shd w:val="clear" w:color="auto" w:fill="auto"/>
            <w:vAlign w:val="center"/>
            <w:hideMark/>
          </w:tcPr>
          <w:p w:rsidR="00926EEA" w:rsidRDefault="00926EEA" w:rsidP="00926EEA">
            <w:pPr>
              <w:rPr>
                <w:color w:val="000000"/>
                <w:sz w:val="20"/>
                <w:szCs w:val="20"/>
              </w:rPr>
            </w:pPr>
          </w:p>
          <w:p w:rsidR="00926EEA" w:rsidRPr="00926EEA" w:rsidRDefault="00926EEA" w:rsidP="00926EEA">
            <w:pPr>
              <w:rPr>
                <w:color w:val="000000"/>
                <w:sz w:val="20"/>
                <w:szCs w:val="20"/>
              </w:rPr>
            </w:pPr>
            <w:r w:rsidRPr="00926EEA">
              <w:rPr>
                <w:color w:val="000000"/>
                <w:sz w:val="20"/>
                <w:szCs w:val="20"/>
              </w:rPr>
              <w:t>WQIZ578</w:t>
            </w:r>
          </w:p>
        </w:tc>
        <w:tc>
          <w:tcPr>
            <w:tcW w:w="1389" w:type="dxa"/>
            <w:tcBorders>
              <w:top w:val="nil"/>
              <w:left w:val="nil"/>
              <w:bottom w:val="nil"/>
              <w:right w:val="nil"/>
            </w:tcBorders>
            <w:shd w:val="clear" w:color="auto" w:fill="auto"/>
            <w:vAlign w:val="center"/>
            <w:hideMark/>
          </w:tcPr>
          <w:p w:rsidR="00926EEA" w:rsidRDefault="00926EEA" w:rsidP="00926EEA">
            <w:pPr>
              <w:rPr>
                <w:color w:val="000000"/>
                <w:sz w:val="20"/>
                <w:szCs w:val="20"/>
              </w:rPr>
            </w:pPr>
          </w:p>
          <w:p w:rsidR="00926EEA" w:rsidRPr="00926EEA" w:rsidRDefault="00926EEA" w:rsidP="00926EEA">
            <w:pPr>
              <w:rPr>
                <w:color w:val="000000"/>
                <w:sz w:val="20"/>
                <w:szCs w:val="20"/>
              </w:rPr>
            </w:pPr>
            <w:r w:rsidRPr="00926EEA">
              <w:rPr>
                <w:color w:val="000000"/>
                <w:sz w:val="20"/>
                <w:szCs w:val="20"/>
              </w:rPr>
              <w:t>BEA003</w:t>
            </w:r>
          </w:p>
        </w:tc>
        <w:tc>
          <w:tcPr>
            <w:tcW w:w="2774" w:type="dxa"/>
            <w:tcBorders>
              <w:top w:val="nil"/>
              <w:left w:val="nil"/>
              <w:bottom w:val="nil"/>
              <w:right w:val="nil"/>
            </w:tcBorders>
            <w:shd w:val="clear" w:color="auto" w:fill="auto"/>
            <w:vAlign w:val="center"/>
            <w:hideMark/>
          </w:tcPr>
          <w:p w:rsidR="00926EEA" w:rsidRDefault="00926EEA" w:rsidP="00926EEA">
            <w:pPr>
              <w:rPr>
                <w:color w:val="000000"/>
                <w:sz w:val="20"/>
                <w:szCs w:val="20"/>
              </w:rPr>
            </w:pPr>
          </w:p>
          <w:p w:rsidR="00926EEA" w:rsidRPr="00926EEA" w:rsidRDefault="00926EEA" w:rsidP="00926EEA">
            <w:pPr>
              <w:rPr>
                <w:color w:val="000000"/>
                <w:sz w:val="20"/>
                <w:szCs w:val="20"/>
              </w:rPr>
            </w:pPr>
            <w:r w:rsidRPr="00926EEA">
              <w:rPr>
                <w:color w:val="000000"/>
                <w:sz w:val="20"/>
                <w:szCs w:val="20"/>
              </w:rPr>
              <w:t>Boston-Worcester-Lawrence-Lowe</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Miller, David</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WQIZ583</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BEA157</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El Paso, TX-NM</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Puerto Rico Telephone Company, Inc.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WQNI292</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BEA174</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Puerto Rico &amp; Virgin Isl.</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USCOC NEBRASKA/KANSAS,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WQIZ540</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BEA118</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Omaha, NE-IA-MO</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USCOC OF GREATER IOWA,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WQJQ679</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BEA103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Cedar Rapids, IA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USCOC OF GREATER IOWA,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WQLK631</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BEA103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Cedar Rapids, IA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USCOC OF GREATER IOWA,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WQNB985</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BEA103</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Cedar Rapids, IA</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USCOC OF GREATER IOWA,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WQIZ471</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BEA119</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Lincoln, NE</w:t>
            </w:r>
          </w:p>
        </w:tc>
      </w:tr>
      <w:tr w:rsidR="00926EEA" w:rsidRPr="00926EEA" w:rsidTr="00FF39F3">
        <w:trPr>
          <w:trHeight w:val="512"/>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USCOC OF GREATER OKLAHOMA,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WQJQ711</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BEA125</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Oklahoma City, OK</w:t>
            </w:r>
          </w:p>
        </w:tc>
      </w:tr>
      <w:tr w:rsidR="00926EEA" w:rsidRPr="00926EEA" w:rsidTr="00FF39F3">
        <w:trPr>
          <w:trHeight w:val="256"/>
        </w:trPr>
        <w:tc>
          <w:tcPr>
            <w:tcW w:w="3398"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Vulcan Wireless LLC</w:t>
            </w:r>
          </w:p>
        </w:tc>
        <w:tc>
          <w:tcPr>
            <w:tcW w:w="1400"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WQIZ638</w:t>
            </w:r>
          </w:p>
        </w:tc>
        <w:tc>
          <w:tcPr>
            <w:tcW w:w="1389"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BEA167</w:t>
            </w:r>
          </w:p>
        </w:tc>
        <w:tc>
          <w:tcPr>
            <w:tcW w:w="2774" w:type="dxa"/>
            <w:tcBorders>
              <w:top w:val="nil"/>
              <w:left w:val="nil"/>
              <w:bottom w:val="nil"/>
              <w:right w:val="nil"/>
            </w:tcBorders>
            <w:shd w:val="clear" w:color="auto" w:fill="auto"/>
            <w:vAlign w:val="center"/>
            <w:hideMark/>
          </w:tcPr>
          <w:p w:rsidR="00926EEA" w:rsidRPr="00926EEA" w:rsidRDefault="00926EEA" w:rsidP="00926EEA">
            <w:pPr>
              <w:rPr>
                <w:color w:val="000000"/>
                <w:sz w:val="20"/>
                <w:szCs w:val="20"/>
              </w:rPr>
            </w:pPr>
            <w:r w:rsidRPr="00926EEA">
              <w:rPr>
                <w:color w:val="000000"/>
                <w:sz w:val="20"/>
                <w:szCs w:val="20"/>
              </w:rPr>
              <w:t>Portland-Salem, OR-WA</w:t>
            </w:r>
          </w:p>
        </w:tc>
      </w:tr>
    </w:tbl>
    <w:p w:rsidR="000A7D78" w:rsidRDefault="000A7D78" w:rsidP="003E03C8">
      <w:pPr>
        <w:jc w:val="center"/>
        <w:rPr>
          <w:b/>
        </w:rPr>
      </w:pPr>
    </w:p>
    <w:p w:rsidR="000A7D78" w:rsidRPr="00FF39F3" w:rsidRDefault="000A7D78" w:rsidP="003E03C8">
      <w:pPr>
        <w:jc w:val="center"/>
        <w:rPr>
          <w:b/>
          <w:sz w:val="24"/>
          <w:szCs w:val="24"/>
        </w:rPr>
      </w:pPr>
    </w:p>
    <w:sectPr w:rsidR="000A7D78" w:rsidRPr="00FF39F3" w:rsidSect="00441EF2">
      <w:headerReference w:type="first" r:id="rId13"/>
      <w:type w:val="continuous"/>
      <w:pgSz w:w="12240" w:h="15840" w:code="1"/>
      <w:pgMar w:top="720" w:right="1440" w:bottom="576" w:left="1440" w:header="0"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0F" w:rsidRDefault="00B9480F" w:rsidP="00E945BA">
      <w:r>
        <w:separator/>
      </w:r>
    </w:p>
  </w:endnote>
  <w:endnote w:type="continuationSeparator" w:id="0">
    <w:p w:rsidR="00B9480F" w:rsidRDefault="00B9480F" w:rsidP="00E9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96" w:rsidRDefault="00F74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F3" w:rsidRDefault="00FF39F3" w:rsidP="00926EE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5D1">
      <w:rPr>
        <w:rStyle w:val="PageNumber"/>
        <w:noProof/>
      </w:rPr>
      <w:t>2</w:t>
    </w:r>
    <w:r>
      <w:rPr>
        <w:rStyle w:val="PageNumber"/>
      </w:rPr>
      <w:fldChar w:fldCharType="end"/>
    </w:r>
  </w:p>
  <w:p w:rsidR="00FF39F3" w:rsidRDefault="00FF39F3" w:rsidP="00926E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F3" w:rsidRPr="00424EFA" w:rsidRDefault="00FF39F3" w:rsidP="00926EEA">
    <w:pPr>
      <w:pStyle w:val="Footer"/>
      <w:rPr>
        <w:i/>
        <w:iCs/>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0F" w:rsidRDefault="00B9480F" w:rsidP="00E945BA">
      <w:r>
        <w:separator/>
      </w:r>
    </w:p>
  </w:footnote>
  <w:footnote w:type="continuationSeparator" w:id="0">
    <w:p w:rsidR="00B9480F" w:rsidRDefault="00B9480F" w:rsidP="00E945BA">
      <w:r>
        <w:continuationSeparator/>
      </w:r>
    </w:p>
  </w:footnote>
  <w:footnote w:id="1">
    <w:p w:rsidR="00FF39F3" w:rsidRPr="00084C90" w:rsidRDefault="00FF39F3">
      <w:pPr>
        <w:pStyle w:val="FootnoteText"/>
      </w:pPr>
      <w:r>
        <w:rPr>
          <w:rStyle w:val="FootnoteReference"/>
        </w:rPr>
        <w:footnoteRef/>
      </w:r>
      <w:r>
        <w:t xml:space="preserve"> In the Matter of Promoting Interoperability in the 700 MHz Commercial Spectrum, </w:t>
      </w:r>
      <w:r>
        <w:rPr>
          <w:i/>
        </w:rPr>
        <w:t xml:space="preserve">Report and Order and Order of Proposed Modification, </w:t>
      </w:r>
      <w:r>
        <w:t>2013 WL 5817601 (Oct. 2013) (</w:t>
      </w:r>
      <w:r>
        <w:rPr>
          <w:i/>
        </w:rPr>
        <w:t>Interoperability Report and Order)</w:t>
      </w:r>
      <w:r>
        <w:t>.</w:t>
      </w:r>
    </w:p>
  </w:footnote>
  <w:footnote w:id="2">
    <w:p w:rsidR="00FF39F3" w:rsidRDefault="00FF39F3">
      <w:pPr>
        <w:pStyle w:val="FootnoteText"/>
      </w:pPr>
      <w:r>
        <w:rPr>
          <w:rStyle w:val="FootnoteReference"/>
        </w:rPr>
        <w:footnoteRef/>
      </w:r>
      <w:r>
        <w:t xml:space="preserve"> </w:t>
      </w:r>
      <w:r>
        <w:rPr>
          <w:i/>
        </w:rPr>
        <w:t xml:space="preserve">See id. </w:t>
      </w:r>
      <w:r>
        <w:t>at 2013 WL 5817601, ¶¶ 56-61</w:t>
      </w:r>
      <w:r>
        <w:rPr>
          <w:i/>
        </w:rPr>
        <w:t>.</w:t>
      </w:r>
    </w:p>
  </w:footnote>
  <w:footnote w:id="3">
    <w:p w:rsidR="00097480" w:rsidRDefault="00097480">
      <w:pPr>
        <w:pStyle w:val="FootnoteText"/>
      </w:pPr>
      <w:r>
        <w:rPr>
          <w:rStyle w:val="FootnoteReference"/>
        </w:rPr>
        <w:footnoteRef/>
      </w:r>
      <w:r>
        <w:t xml:space="preserve"> </w:t>
      </w:r>
      <w:r w:rsidRPr="00097480">
        <w:t>Comments to individual licenses can be found by accessing ULS License Search under the “Admin” tab.</w:t>
      </w:r>
    </w:p>
  </w:footnote>
  <w:footnote w:id="4">
    <w:p w:rsidR="00FF39F3" w:rsidRDefault="00FF39F3">
      <w:pPr>
        <w:pStyle w:val="FootnoteText"/>
      </w:pPr>
      <w:r>
        <w:rPr>
          <w:rStyle w:val="FootnoteReference"/>
        </w:rPr>
        <w:footnoteRef/>
      </w:r>
      <w:r>
        <w:t xml:space="preserve"> </w:t>
      </w:r>
      <w:r>
        <w:rPr>
          <w:i/>
        </w:rPr>
        <w:t xml:space="preserve">Id.; </w:t>
      </w:r>
      <w:r>
        <w:t>47 C.F.R. § 1.946(d) (requiring licensees to file a notification of construction within fifteen days of the expiration of the construction period).</w:t>
      </w:r>
    </w:p>
  </w:footnote>
  <w:footnote w:id="5">
    <w:p w:rsidR="00FF39F3" w:rsidRPr="00EB5DCE" w:rsidRDefault="00FF39F3" w:rsidP="004F541F">
      <w:pPr>
        <w:pStyle w:val="FootnoteText"/>
      </w:pPr>
      <w:r>
        <w:rPr>
          <w:rStyle w:val="FootnoteReference"/>
        </w:rPr>
        <w:footnoteRef/>
      </w:r>
      <w:r>
        <w:t xml:space="preserve"> 700 MHz Construction and Reporting Requirements, </w:t>
      </w:r>
      <w:r w:rsidRPr="00301624">
        <w:rPr>
          <w:i/>
        </w:rPr>
        <w:t>Public Notice</w:t>
      </w:r>
      <w:r>
        <w:t>, 26 FCC Rcd 16442 (WTB 2011).  T</w:t>
      </w:r>
      <w:r w:rsidRPr="004F541F">
        <w:t>he Bureau indicated that</w:t>
      </w:r>
      <w:r>
        <w:t xml:space="preserve">: 1) </w:t>
      </w:r>
      <w:r w:rsidRPr="004F541F">
        <w:t>it would use its discretion to implement a penalty of reducing the size of a licensed area only where Bureau staff determine</w:t>
      </w:r>
      <w:r>
        <w:t>d</w:t>
      </w:r>
      <w:r w:rsidRPr="004F541F">
        <w:t xml:space="preserve"> that a licensee had </w:t>
      </w:r>
      <w:r>
        <w:t>failed to under</w:t>
      </w:r>
      <w:r w:rsidRPr="004F541F">
        <w:t xml:space="preserve">take meaningful efforts </w:t>
      </w:r>
      <w:r>
        <w:t xml:space="preserve">to put its spectrum to use; 2) licensees were required to notify the Commission whether or not they had met the interim construction benchmark; and 3) licensees failing the interim benchmark </w:t>
      </w:r>
      <w:r w:rsidRPr="004F541F">
        <w:t>could include information detailing meaningful efforts to put spectrum to use</w:t>
      </w:r>
      <w:r>
        <w:t xml:space="preserve">.  </w:t>
      </w:r>
      <w:r w:rsidRPr="004F541F">
        <w:rPr>
          <w:i/>
        </w:rPr>
        <w:t>Id</w:t>
      </w:r>
      <w:r>
        <w:t xml:space="preserve">., 26 FCC Rcd at 16444-45. </w:t>
      </w:r>
      <w:r w:rsidRPr="004F541F">
        <w:t xml:space="preserve"> </w:t>
      </w:r>
    </w:p>
  </w:footnote>
  <w:footnote w:id="6">
    <w:p w:rsidR="00FF39F3" w:rsidRDefault="00FF39F3">
      <w:pPr>
        <w:pStyle w:val="FootnoteText"/>
      </w:pPr>
      <w:r>
        <w:rPr>
          <w:rStyle w:val="FootnoteReference"/>
        </w:rPr>
        <w:footnoteRef/>
      </w:r>
      <w:r>
        <w:t xml:space="preserve"> </w:t>
      </w:r>
      <w:r>
        <w:rPr>
          <w:i/>
        </w:rPr>
        <w:t xml:space="preserve">Interoperability Report and Order, </w:t>
      </w:r>
      <w:r>
        <w:t>2013 WL 5817601, ¶ 66; 47 C.F.R. § 27.14(g) (requiring A Block licensees to provide signal coverage and offer service over at least 35 percent of their license area within four years of the initial license grant, with a failure to do so resulting in a two-year reduction of the license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96" w:rsidRDefault="00F74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F3" w:rsidRDefault="00FF39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F3" w:rsidRDefault="00FF39F3">
    <w:pPr>
      <w:pStyle w:val="Header"/>
      <w:tabs>
        <w:tab w:val="clear" w:pos="4320"/>
        <w:tab w:val="clear" w:pos="8640"/>
      </w:tabs>
      <w:spacing w:before="40"/>
      <w:ind w:firstLine="1080"/>
      <w:rPr>
        <w:rFonts w:ascii="News Gothic MT" w:hAnsi="News Gothic MT" w:cs="News Gothic MT"/>
        <w:b/>
        <w:bCs/>
        <w:kern w:val="28"/>
        <w:sz w:val="96"/>
        <w:szCs w:val="96"/>
      </w:rPr>
    </w:pPr>
    <w:r>
      <w:rPr>
        <w:noProof/>
      </w:rPr>
      <mc:AlternateContent>
        <mc:Choice Requires="wps">
          <w:drawing>
            <wp:anchor distT="0" distB="0" distL="114300" distR="114300" simplePos="0" relativeHeight="251659264" behindDoc="0" locked="0" layoutInCell="0" allowOverlap="1" wp14:anchorId="182654F0" wp14:editId="119535DC">
              <wp:simplePos x="0" y="0"/>
              <wp:positionH relativeFrom="column">
                <wp:posOffset>604520</wp:posOffset>
              </wp:positionH>
              <wp:positionV relativeFrom="paragraph">
                <wp:posOffset>731520</wp:posOffset>
              </wp:positionV>
              <wp:extent cx="310896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9F3" w:rsidRDefault="00FF39F3">
                          <w:pPr>
                            <w:rPr>
                              <w:rFonts w:ascii="Arial Narrow" w:hAnsi="Arial Narrow" w:cs="Arial Narrow"/>
                              <w:b/>
                              <w:bCs/>
                            </w:rPr>
                          </w:pPr>
                          <w:r>
                            <w:rPr>
                              <w:rFonts w:ascii="Arial Narrow" w:hAnsi="Arial Narrow" w:cs="Arial Narrow"/>
                              <w:b/>
                              <w:bCs/>
                            </w:rPr>
                            <w:t>Federal Communications Commission</w:t>
                          </w:r>
                        </w:p>
                        <w:p w:rsidR="00FF39F3" w:rsidRDefault="00FF39F3">
                          <w:pPr>
                            <w:rPr>
                              <w:rFonts w:ascii="Arial Narrow" w:hAnsi="Arial Narrow" w:cs="Arial Narrow"/>
                              <w:b/>
                              <w:bCs/>
                            </w:rPr>
                          </w:pPr>
                          <w:r>
                            <w:rPr>
                              <w:rFonts w:ascii="Arial Narrow" w:hAnsi="Arial Narrow" w:cs="Arial Narrow"/>
                              <w:b/>
                              <w:bCs/>
                            </w:rPr>
                            <w:t>445 12</w:t>
                          </w:r>
                          <w:r>
                            <w:rPr>
                              <w:rFonts w:ascii="Arial Narrow" w:hAnsi="Arial Narrow" w:cs="Arial Narrow"/>
                              <w:b/>
                              <w:bCs/>
                              <w:vertAlign w:val="superscript"/>
                            </w:rPr>
                            <w:t>th</w:t>
                          </w:r>
                          <w:r>
                            <w:rPr>
                              <w:rFonts w:ascii="Arial Narrow" w:hAnsi="Arial Narrow" w:cs="Arial Narrow"/>
                              <w:b/>
                              <w:bCs/>
                            </w:rPr>
                            <w:t xml:space="preserve"> St., S.W.</w:t>
                          </w:r>
                        </w:p>
                        <w:p w:rsidR="00FF39F3" w:rsidRDefault="00FF39F3">
                          <w:pPr>
                            <w:rPr>
                              <w:rFonts w:ascii="Arial" w:hAnsi="Arial" w:cs="Arial"/>
                              <w:sz w:val="24"/>
                              <w:szCs w:val="24"/>
                            </w:rPr>
                          </w:pPr>
                          <w:r>
                            <w:rPr>
                              <w:rFonts w:ascii="Arial Narrow" w:hAnsi="Arial Narrow" w:cs="Arial Narrow"/>
                              <w:b/>
                              <w:bCs/>
                            </w:rPr>
                            <w:t>Washington, D.C.20554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LvODKmB&#10;AgAADwUAAA4AAAAAAAAAAAAAAAAALgIAAGRycy9lMm9Eb2MueG1sUEsBAi0AFAAGAAgAAAAhAGBZ&#10;2b/eAAAACgEAAA8AAAAAAAAAAAAAAAAA2wQAAGRycy9kb3ducmV2LnhtbFBLBQYAAAAABAAEAPMA&#10;AADmBQAAAAA=&#10;" o:allowincell="f" stroked="f">
              <v:textbox>
                <w:txbxContent>
                  <w:p w:rsidR="00FF39F3" w:rsidRDefault="00FF39F3">
                    <w:pPr>
                      <w:rPr>
                        <w:rFonts w:ascii="Arial Narrow" w:hAnsi="Arial Narrow" w:cs="Arial Narrow"/>
                        <w:b/>
                        <w:bCs/>
                      </w:rPr>
                    </w:pPr>
                    <w:r>
                      <w:rPr>
                        <w:rFonts w:ascii="Arial Narrow" w:hAnsi="Arial Narrow" w:cs="Arial Narrow"/>
                        <w:b/>
                        <w:bCs/>
                      </w:rPr>
                      <w:t>Federal Communications Commission</w:t>
                    </w:r>
                  </w:p>
                  <w:p w:rsidR="00FF39F3" w:rsidRDefault="00FF39F3">
                    <w:pPr>
                      <w:rPr>
                        <w:rFonts w:ascii="Arial Narrow" w:hAnsi="Arial Narrow" w:cs="Arial Narrow"/>
                        <w:b/>
                        <w:bCs/>
                      </w:rPr>
                    </w:pPr>
                    <w:r>
                      <w:rPr>
                        <w:rFonts w:ascii="Arial Narrow" w:hAnsi="Arial Narrow" w:cs="Arial Narrow"/>
                        <w:b/>
                        <w:bCs/>
                      </w:rPr>
                      <w:t>445 12</w:t>
                    </w:r>
                    <w:r>
                      <w:rPr>
                        <w:rFonts w:ascii="Arial Narrow" w:hAnsi="Arial Narrow" w:cs="Arial Narrow"/>
                        <w:b/>
                        <w:bCs/>
                        <w:vertAlign w:val="superscript"/>
                      </w:rPr>
                      <w:t>th</w:t>
                    </w:r>
                    <w:r>
                      <w:rPr>
                        <w:rFonts w:ascii="Arial Narrow" w:hAnsi="Arial Narrow" w:cs="Arial Narrow"/>
                        <w:b/>
                        <w:bCs/>
                      </w:rPr>
                      <w:t xml:space="preserve"> St., S.W.</w:t>
                    </w:r>
                  </w:p>
                  <w:p w:rsidR="00FF39F3" w:rsidRDefault="00FF39F3">
                    <w:pPr>
                      <w:rPr>
                        <w:rFonts w:ascii="Arial" w:hAnsi="Arial" w:cs="Arial"/>
                        <w:sz w:val="24"/>
                        <w:szCs w:val="24"/>
                      </w:rPr>
                    </w:pPr>
                    <w:r>
                      <w:rPr>
                        <w:rFonts w:ascii="Arial Narrow" w:hAnsi="Arial Narrow" w:cs="Arial Narrow"/>
                        <w:b/>
                        <w:bCs/>
                      </w:rPr>
                      <w:t>Washington, D.C.20554</w:t>
                    </w:r>
                  </w:p>
                </w:txbxContent>
              </v:textbox>
            </v:shape>
          </w:pict>
        </mc:Fallback>
      </mc:AlternateContent>
    </w:r>
    <w:r>
      <w:rPr>
        <w:noProof/>
      </w:rPr>
      <w:drawing>
        <wp:anchor distT="0" distB="0" distL="114300" distR="114300" simplePos="0" relativeHeight="251662336" behindDoc="0" locked="0" layoutInCell="0" allowOverlap="1" wp14:anchorId="243FF504" wp14:editId="44A767DB">
          <wp:simplePos x="0" y="0"/>
          <wp:positionH relativeFrom="column">
            <wp:posOffset>0</wp:posOffset>
          </wp:positionH>
          <wp:positionV relativeFrom="paragraph">
            <wp:posOffset>0</wp:posOffset>
          </wp:positionV>
          <wp:extent cx="586740" cy="5911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cs="News Gothic MT"/>
        <w:b/>
        <w:bCs/>
        <w:kern w:val="28"/>
        <w:sz w:val="96"/>
        <w:szCs w:val="96"/>
      </w:rPr>
      <w:t>PUBLIC NOTICE</w:t>
    </w:r>
  </w:p>
  <w:p w:rsidR="00FF39F3" w:rsidRDefault="00FF39F3">
    <w:pPr>
      <w:pStyle w:val="Header"/>
      <w:tabs>
        <w:tab w:val="clear" w:pos="4320"/>
        <w:tab w:val="clear" w:pos="8640"/>
        <w:tab w:val="left" w:pos="1080"/>
      </w:tabs>
      <w:spacing w:line="1120" w:lineRule="exact"/>
      <w:ind w:left="720"/>
      <w:rPr>
        <w:rFonts w:ascii="Arial" w:hAnsi="Arial" w:cs="Arial"/>
        <w:b/>
        <w:bCs/>
        <w:sz w:val="28"/>
        <w:szCs w:val="28"/>
      </w:rPr>
    </w:pPr>
    <w:r>
      <w:rPr>
        <w:noProof/>
      </w:rPr>
      <mc:AlternateContent>
        <mc:Choice Requires="wps">
          <w:drawing>
            <wp:anchor distT="0" distB="0" distL="114300" distR="114300" simplePos="0" relativeHeight="251661312" behindDoc="0" locked="0" layoutInCell="0" allowOverlap="1" wp14:anchorId="65480862" wp14:editId="177690EA">
              <wp:simplePos x="0" y="0"/>
              <wp:positionH relativeFrom="column">
                <wp:posOffset>3790950</wp:posOffset>
              </wp:positionH>
              <wp:positionV relativeFrom="paragraph">
                <wp:posOffset>96520</wp:posOffset>
              </wp:positionV>
              <wp:extent cx="2640965" cy="601345"/>
              <wp:effectExtent l="0" t="0" r="698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9F3" w:rsidRDefault="00FF39F3">
                          <w:pPr>
                            <w:jc w:val="right"/>
                            <w:rPr>
                              <w:rFonts w:ascii="Arial" w:hAnsi="Arial" w:cs="Arial"/>
                              <w:sz w:val="16"/>
                              <w:szCs w:val="16"/>
                            </w:rPr>
                          </w:pPr>
                          <w:r>
                            <w:rPr>
                              <w:rFonts w:ascii="Arial" w:hAnsi="Arial" w:cs="Arial"/>
                              <w:sz w:val="16"/>
                              <w:szCs w:val="16"/>
                            </w:rPr>
                            <w:tab/>
                            <w:t>News Media Information 202 / 418-0500</w:t>
                          </w:r>
                        </w:p>
                        <w:p w:rsidR="00FF39F3" w:rsidRDefault="00FF39F3">
                          <w:pPr>
                            <w:jc w:val="right"/>
                            <w:rPr>
                              <w:rFonts w:ascii="Arial" w:hAnsi="Arial" w:cs="Arial"/>
                              <w:sz w:val="16"/>
                              <w:szCs w:val="16"/>
                            </w:rPr>
                          </w:pPr>
                          <w:r>
                            <w:rPr>
                              <w:rFonts w:ascii="Arial" w:hAnsi="Arial" w:cs="Arial"/>
                              <w:sz w:val="16"/>
                              <w:szCs w:val="16"/>
                            </w:rPr>
                            <w:tab/>
                            <w:t>Fax-On-Demand 202 / 418-2830</w:t>
                          </w:r>
                        </w:p>
                        <w:p w:rsidR="00FF39F3" w:rsidRDefault="00FF39F3">
                          <w:pPr>
                            <w:jc w:val="right"/>
                            <w:rPr>
                              <w:rFonts w:ascii="Arial" w:hAnsi="Arial" w:cs="Arial"/>
                              <w:sz w:val="16"/>
                              <w:szCs w:val="16"/>
                            </w:rPr>
                          </w:pPr>
                          <w:r>
                            <w:rPr>
                              <w:rFonts w:ascii="Arial" w:hAnsi="Arial" w:cs="Arial"/>
                              <w:sz w:val="16"/>
                              <w:szCs w:val="16"/>
                            </w:rPr>
                            <w:tab/>
                            <w:t>TTY 202 / 418-2555</w:t>
                          </w:r>
                        </w:p>
                        <w:p w:rsidR="00FF39F3" w:rsidRDefault="00FF39F3">
                          <w:pPr>
                            <w:jc w:val="right"/>
                            <w:rPr>
                              <w:rFonts w:ascii="Arial" w:hAnsi="Arial" w:cs="Arial"/>
                              <w:sz w:val="16"/>
                              <w:szCs w:val="16"/>
                            </w:rPr>
                          </w:pPr>
                          <w:r>
                            <w:rPr>
                              <w:rFonts w:ascii="Arial" w:hAnsi="Arial" w:cs="Arial"/>
                              <w:sz w:val="16"/>
                              <w:szCs w:val="16"/>
                            </w:rPr>
                            <w:t>Internet: http://www.fcc.gov</w:t>
                          </w:r>
                        </w:p>
                        <w:p w:rsidR="00FF39F3" w:rsidRDefault="00FF39F3">
                          <w:pPr>
                            <w:jc w:val="right"/>
                            <w:rPr>
                              <w:rFonts w:ascii="Arial" w:hAnsi="Arial" w:cs="Arial"/>
                              <w:sz w:val="16"/>
                              <w:szCs w:val="16"/>
                            </w:rPr>
                          </w:pPr>
                          <w:r>
                            <w:rPr>
                              <w:rFonts w:ascii="Arial" w:hAnsi="Arial" w:cs="Arial"/>
                              <w:sz w:val="16"/>
                              <w:szCs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8.5pt;margin-top:7.6pt;width:207.95pt;height:4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2gQ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" o:allowincell="f" stroked="f">
              <v:textbox inset=",0,,0">
                <w:txbxContent>
                  <w:p w:rsidR="00FF39F3" w:rsidRDefault="00FF39F3">
                    <w:pPr>
                      <w:jc w:val="right"/>
                      <w:rPr>
                        <w:rFonts w:ascii="Arial" w:hAnsi="Arial" w:cs="Arial"/>
                        <w:sz w:val="16"/>
                        <w:szCs w:val="16"/>
                      </w:rPr>
                    </w:pPr>
                    <w:r>
                      <w:rPr>
                        <w:rFonts w:ascii="Arial" w:hAnsi="Arial" w:cs="Arial"/>
                        <w:sz w:val="16"/>
                        <w:szCs w:val="16"/>
                      </w:rPr>
                      <w:tab/>
                      <w:t>News Media Information 202 / 418-0500</w:t>
                    </w:r>
                  </w:p>
                  <w:p w:rsidR="00FF39F3" w:rsidRDefault="00FF39F3">
                    <w:pPr>
                      <w:jc w:val="right"/>
                      <w:rPr>
                        <w:rFonts w:ascii="Arial" w:hAnsi="Arial" w:cs="Arial"/>
                        <w:sz w:val="16"/>
                        <w:szCs w:val="16"/>
                      </w:rPr>
                    </w:pPr>
                    <w:r>
                      <w:rPr>
                        <w:rFonts w:ascii="Arial" w:hAnsi="Arial" w:cs="Arial"/>
                        <w:sz w:val="16"/>
                        <w:szCs w:val="16"/>
                      </w:rPr>
                      <w:tab/>
                      <w:t>Fax-On-Demand 202 / 418-2830</w:t>
                    </w:r>
                  </w:p>
                  <w:p w:rsidR="00FF39F3" w:rsidRDefault="00FF39F3">
                    <w:pPr>
                      <w:jc w:val="right"/>
                      <w:rPr>
                        <w:rFonts w:ascii="Arial" w:hAnsi="Arial" w:cs="Arial"/>
                        <w:sz w:val="16"/>
                        <w:szCs w:val="16"/>
                      </w:rPr>
                    </w:pPr>
                    <w:r>
                      <w:rPr>
                        <w:rFonts w:ascii="Arial" w:hAnsi="Arial" w:cs="Arial"/>
                        <w:sz w:val="16"/>
                        <w:szCs w:val="16"/>
                      </w:rPr>
                      <w:tab/>
                      <w:t>TTY 202 / 418-2555</w:t>
                    </w:r>
                  </w:p>
                  <w:p w:rsidR="00FF39F3" w:rsidRDefault="00FF39F3">
                    <w:pPr>
                      <w:jc w:val="right"/>
                      <w:rPr>
                        <w:rFonts w:ascii="Arial" w:hAnsi="Arial" w:cs="Arial"/>
                        <w:sz w:val="16"/>
                        <w:szCs w:val="16"/>
                      </w:rPr>
                    </w:pPr>
                    <w:r>
                      <w:rPr>
                        <w:rFonts w:ascii="Arial" w:hAnsi="Arial" w:cs="Arial"/>
                        <w:sz w:val="16"/>
                        <w:szCs w:val="16"/>
                      </w:rPr>
                      <w:t>Internet: http://www.fcc.gov</w:t>
                    </w:r>
                  </w:p>
                  <w:p w:rsidR="00FF39F3" w:rsidRDefault="00FF39F3">
                    <w:pPr>
                      <w:jc w:val="right"/>
                      <w:rPr>
                        <w:rFonts w:ascii="Arial" w:hAnsi="Arial" w:cs="Arial"/>
                        <w:sz w:val="16"/>
                        <w:szCs w:val="16"/>
                      </w:rPr>
                    </w:pPr>
                    <w:r>
                      <w:rPr>
                        <w:rFonts w:ascii="Arial" w:hAnsi="Arial" w:cs="Arial"/>
                        <w:sz w:val="16"/>
                        <w:szCs w:val="16"/>
                      </w:rPr>
                      <w:tab/>
                      <w:t>ftp.fcc.gov</w:t>
                    </w:r>
                  </w:p>
                </w:txbxContent>
              </v:textbox>
            </v:shape>
          </w:pict>
        </mc:Fallback>
      </mc:AlternateContent>
    </w:r>
  </w:p>
  <w:p w:rsidR="00FF39F3" w:rsidRDefault="00FF39F3">
    <w:pPr>
      <w:pStyle w:val="Header"/>
      <w:tabs>
        <w:tab w:val="clear" w:pos="4320"/>
        <w:tab w:val="clear" w:pos="8640"/>
        <w:tab w:val="left" w:pos="1080"/>
      </w:tabs>
      <w:ind w:left="720"/>
      <w:rPr>
        <w:rFonts w:ascii="Arial" w:hAnsi="Arial" w:cs="Arial"/>
        <w:b/>
        <w:bCs/>
        <w:sz w:val="24"/>
        <w:szCs w:val="24"/>
      </w:rPr>
    </w:pPr>
    <w:r>
      <w:rPr>
        <w:noProof/>
      </w:rPr>
      <mc:AlternateContent>
        <mc:Choice Requires="wps">
          <w:drawing>
            <wp:anchor distT="4294967295" distB="4294967295" distL="114300" distR="114300" simplePos="0" relativeHeight="251660288" behindDoc="0" locked="0" layoutInCell="0" allowOverlap="1" wp14:anchorId="3AA21768" wp14:editId="7768C5AC">
              <wp:simplePos x="0" y="0"/>
              <wp:positionH relativeFrom="column">
                <wp:posOffset>-517525</wp:posOffset>
              </wp:positionH>
              <wp:positionV relativeFrom="paragraph">
                <wp:posOffset>67309</wp:posOffset>
              </wp:positionV>
              <wp:extent cx="710882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5pt,5.3pt" to="5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l4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T1k6n0+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C1" w:rsidRDefault="008E2CC1">
    <w:pPr>
      <w:pStyle w:val="Header"/>
      <w:tabs>
        <w:tab w:val="clear" w:pos="4320"/>
        <w:tab w:val="clear" w:pos="8640"/>
        <w:tab w:val="left" w:pos="1080"/>
      </w:tabs>
      <w:spacing w:line="1120" w:lineRule="exact"/>
      <w:ind w:left="720"/>
      <w:rPr>
        <w:rFonts w:ascii="Arial" w:hAnsi="Arial" w:cs="Arial"/>
        <w:b/>
        <w:bCs/>
        <w:sz w:val="28"/>
        <w:szCs w:val="28"/>
      </w:rPr>
    </w:pPr>
  </w:p>
  <w:p w:rsidR="008E2CC1" w:rsidRDefault="008E2CC1">
    <w:pPr>
      <w:pStyle w:val="Header"/>
      <w:tabs>
        <w:tab w:val="clear" w:pos="4320"/>
        <w:tab w:val="clear" w:pos="8640"/>
        <w:tab w:val="left" w:pos="1080"/>
      </w:tabs>
      <w:ind w:left="720"/>
      <w:rPr>
        <w:rFonts w:ascii="Arial" w:hAnsi="Arial" w:cs="Arial"/>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BA"/>
    <w:rsid w:val="00035A6E"/>
    <w:rsid w:val="000544C0"/>
    <w:rsid w:val="000629B2"/>
    <w:rsid w:val="00083DA9"/>
    <w:rsid w:val="00084C90"/>
    <w:rsid w:val="00097480"/>
    <w:rsid w:val="000A2594"/>
    <w:rsid w:val="000A7D78"/>
    <w:rsid w:val="000B2994"/>
    <w:rsid w:val="000B5831"/>
    <w:rsid w:val="000B7B47"/>
    <w:rsid w:val="000C65D1"/>
    <w:rsid w:val="000F6567"/>
    <w:rsid w:val="00122AA5"/>
    <w:rsid w:val="00184899"/>
    <w:rsid w:val="002108E7"/>
    <w:rsid w:val="00211171"/>
    <w:rsid w:val="00251C7A"/>
    <w:rsid w:val="0025536E"/>
    <w:rsid w:val="00283741"/>
    <w:rsid w:val="002A6390"/>
    <w:rsid w:val="002B62A1"/>
    <w:rsid w:val="002F6691"/>
    <w:rsid w:val="00301624"/>
    <w:rsid w:val="00305358"/>
    <w:rsid w:val="00307836"/>
    <w:rsid w:val="003111F4"/>
    <w:rsid w:val="00342105"/>
    <w:rsid w:val="003E03C8"/>
    <w:rsid w:val="004145BB"/>
    <w:rsid w:val="00441EF2"/>
    <w:rsid w:val="004508CD"/>
    <w:rsid w:val="00463C01"/>
    <w:rsid w:val="0048536C"/>
    <w:rsid w:val="00485880"/>
    <w:rsid w:val="004D73BE"/>
    <w:rsid w:val="004E3835"/>
    <w:rsid w:val="004F541F"/>
    <w:rsid w:val="005A4A6A"/>
    <w:rsid w:val="005D3CE8"/>
    <w:rsid w:val="005E6030"/>
    <w:rsid w:val="005F1D9F"/>
    <w:rsid w:val="005F6D30"/>
    <w:rsid w:val="0063528D"/>
    <w:rsid w:val="006446DE"/>
    <w:rsid w:val="006901B6"/>
    <w:rsid w:val="007429FC"/>
    <w:rsid w:val="00747D45"/>
    <w:rsid w:val="007C26DB"/>
    <w:rsid w:val="007F080F"/>
    <w:rsid w:val="007F43AA"/>
    <w:rsid w:val="00867BDD"/>
    <w:rsid w:val="008752A8"/>
    <w:rsid w:val="00891B99"/>
    <w:rsid w:val="008D1474"/>
    <w:rsid w:val="008E2CC1"/>
    <w:rsid w:val="00926EEA"/>
    <w:rsid w:val="00990754"/>
    <w:rsid w:val="009A0A3E"/>
    <w:rsid w:val="009D3654"/>
    <w:rsid w:val="00A11F34"/>
    <w:rsid w:val="00A132EE"/>
    <w:rsid w:val="00A33F3D"/>
    <w:rsid w:val="00A4416D"/>
    <w:rsid w:val="00A62FB1"/>
    <w:rsid w:val="00AB7180"/>
    <w:rsid w:val="00AC4DA1"/>
    <w:rsid w:val="00AE06D5"/>
    <w:rsid w:val="00B2172B"/>
    <w:rsid w:val="00B25F1A"/>
    <w:rsid w:val="00B543BB"/>
    <w:rsid w:val="00B659B2"/>
    <w:rsid w:val="00B9480F"/>
    <w:rsid w:val="00BC6F48"/>
    <w:rsid w:val="00BC7A82"/>
    <w:rsid w:val="00BE3EE3"/>
    <w:rsid w:val="00BF0017"/>
    <w:rsid w:val="00C1203A"/>
    <w:rsid w:val="00C26BCE"/>
    <w:rsid w:val="00C270F3"/>
    <w:rsid w:val="00C329BE"/>
    <w:rsid w:val="00C50C56"/>
    <w:rsid w:val="00C964B4"/>
    <w:rsid w:val="00CB212C"/>
    <w:rsid w:val="00CC51BB"/>
    <w:rsid w:val="00CD4195"/>
    <w:rsid w:val="00CF6277"/>
    <w:rsid w:val="00D43FA6"/>
    <w:rsid w:val="00D521B4"/>
    <w:rsid w:val="00D83795"/>
    <w:rsid w:val="00DB6F41"/>
    <w:rsid w:val="00DC0601"/>
    <w:rsid w:val="00DC061E"/>
    <w:rsid w:val="00DC3D74"/>
    <w:rsid w:val="00E117AA"/>
    <w:rsid w:val="00E50291"/>
    <w:rsid w:val="00E50C95"/>
    <w:rsid w:val="00E6085D"/>
    <w:rsid w:val="00E87761"/>
    <w:rsid w:val="00E945BA"/>
    <w:rsid w:val="00EB5DCE"/>
    <w:rsid w:val="00EF3D41"/>
    <w:rsid w:val="00EF3ECF"/>
    <w:rsid w:val="00F124D3"/>
    <w:rsid w:val="00F72D20"/>
    <w:rsid w:val="00F74296"/>
    <w:rsid w:val="00FF39A4"/>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B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5BA"/>
    <w:pPr>
      <w:tabs>
        <w:tab w:val="center" w:pos="4320"/>
        <w:tab w:val="right" w:pos="8640"/>
      </w:tabs>
    </w:pPr>
  </w:style>
  <w:style w:type="character" w:customStyle="1" w:styleId="HeaderChar">
    <w:name w:val="Header Char"/>
    <w:basedOn w:val="DefaultParagraphFont"/>
    <w:link w:val="Header"/>
    <w:uiPriority w:val="99"/>
    <w:rsid w:val="00E945BA"/>
    <w:rPr>
      <w:rFonts w:ascii="Times New Roman" w:eastAsia="Times New Roman" w:hAnsi="Times New Roman" w:cs="Times New Roman"/>
    </w:rPr>
  </w:style>
  <w:style w:type="paragraph" w:styleId="Footer">
    <w:name w:val="footer"/>
    <w:basedOn w:val="Normal"/>
    <w:link w:val="FooterChar"/>
    <w:uiPriority w:val="99"/>
    <w:rsid w:val="00E945BA"/>
    <w:pPr>
      <w:tabs>
        <w:tab w:val="center" w:pos="4320"/>
        <w:tab w:val="right" w:pos="8640"/>
      </w:tabs>
    </w:pPr>
  </w:style>
  <w:style w:type="character" w:customStyle="1" w:styleId="FooterChar">
    <w:name w:val="Footer Char"/>
    <w:basedOn w:val="DefaultParagraphFont"/>
    <w:link w:val="Footer"/>
    <w:uiPriority w:val="99"/>
    <w:rsid w:val="00E945BA"/>
    <w:rPr>
      <w:rFonts w:ascii="Times New Roman" w:eastAsia="Times New Roman" w:hAnsi="Times New Roman" w:cs="Times New Roman"/>
    </w:rPr>
  </w:style>
  <w:style w:type="character" w:styleId="FootnoteReference">
    <w:name w:val="footnote reference"/>
    <w:aliases w:val="Appel note de bas de p,Style 12,(NECG) Footnote Reference,Style 124,Style 13,o,fr,Style 3,FR"/>
    <w:uiPriority w:val="99"/>
    <w:semiHidden/>
    <w:rsid w:val="00E945BA"/>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
    <w:basedOn w:val="Normal"/>
    <w:link w:val="FootnoteTextChar1"/>
    <w:uiPriority w:val="99"/>
    <w:semiHidden/>
    <w:rsid w:val="00E945BA"/>
    <w:pPr>
      <w:tabs>
        <w:tab w:val="left" w:pos="720"/>
      </w:tabs>
      <w:spacing w:after="200"/>
    </w:pPr>
    <w:rPr>
      <w:rFonts w:eastAsia="Calibri"/>
      <w:sz w:val="20"/>
      <w:szCs w:val="20"/>
    </w:rPr>
  </w:style>
  <w:style w:type="character" w:customStyle="1" w:styleId="FootnoteTextChar">
    <w:name w:val="Footnote Text Char"/>
    <w:basedOn w:val="DefaultParagraphFont"/>
    <w:uiPriority w:val="99"/>
    <w:semiHidden/>
    <w:rsid w:val="00E945BA"/>
    <w:rPr>
      <w:rFonts w:ascii="Times New Roman" w:eastAsia="Times New Roman" w:hAnsi="Times New Roman" w:cs="Times New Roman"/>
      <w:sz w:val="20"/>
      <w:szCs w:val="20"/>
    </w:rPr>
  </w:style>
  <w:style w:type="character" w:customStyle="1" w:styleId="FootnoteTextChar1">
    <w:name w:val="Footnote Text Char1"/>
    <w:aliases w:val="Footnote Text Char2 Char Char,Footnote Text Char1 Char Char Char,Footnote Text Char Char Char Char Char,Footnote Text Char2 Char Char Char Char Char,Footnote Text Char1 Char1 Char Char Char Char Char,Footnote Text Char2 Char1"/>
    <w:link w:val="FootnoteText"/>
    <w:uiPriority w:val="99"/>
    <w:semiHidden/>
    <w:locked/>
    <w:rsid w:val="00E945BA"/>
    <w:rPr>
      <w:rFonts w:ascii="Times New Roman" w:eastAsia="Calibri" w:hAnsi="Times New Roman" w:cs="Times New Roman"/>
      <w:sz w:val="20"/>
      <w:szCs w:val="20"/>
    </w:rPr>
  </w:style>
  <w:style w:type="character" w:styleId="PageNumber">
    <w:name w:val="page number"/>
    <w:basedOn w:val="DefaultParagraphFont"/>
    <w:uiPriority w:val="99"/>
    <w:rsid w:val="00E945BA"/>
  </w:style>
  <w:style w:type="character" w:styleId="CommentReference">
    <w:name w:val="annotation reference"/>
    <w:basedOn w:val="DefaultParagraphFont"/>
    <w:uiPriority w:val="99"/>
    <w:semiHidden/>
    <w:unhideWhenUsed/>
    <w:rsid w:val="00E50291"/>
    <w:rPr>
      <w:sz w:val="16"/>
      <w:szCs w:val="16"/>
    </w:rPr>
  </w:style>
  <w:style w:type="paragraph" w:styleId="CommentText">
    <w:name w:val="annotation text"/>
    <w:basedOn w:val="Normal"/>
    <w:link w:val="CommentTextChar"/>
    <w:uiPriority w:val="99"/>
    <w:semiHidden/>
    <w:unhideWhenUsed/>
    <w:rsid w:val="00E50291"/>
    <w:rPr>
      <w:sz w:val="20"/>
      <w:szCs w:val="20"/>
    </w:rPr>
  </w:style>
  <w:style w:type="character" w:customStyle="1" w:styleId="CommentTextChar">
    <w:name w:val="Comment Text Char"/>
    <w:basedOn w:val="DefaultParagraphFont"/>
    <w:link w:val="CommentText"/>
    <w:uiPriority w:val="99"/>
    <w:semiHidden/>
    <w:rsid w:val="00E502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291"/>
    <w:rPr>
      <w:b/>
      <w:bCs/>
    </w:rPr>
  </w:style>
  <w:style w:type="character" w:customStyle="1" w:styleId="CommentSubjectChar">
    <w:name w:val="Comment Subject Char"/>
    <w:basedOn w:val="CommentTextChar"/>
    <w:link w:val="CommentSubject"/>
    <w:uiPriority w:val="99"/>
    <w:semiHidden/>
    <w:rsid w:val="00E502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0291"/>
    <w:rPr>
      <w:rFonts w:ascii="Tahoma" w:hAnsi="Tahoma" w:cs="Tahoma"/>
      <w:sz w:val="16"/>
      <w:szCs w:val="16"/>
    </w:rPr>
  </w:style>
  <w:style w:type="character" w:customStyle="1" w:styleId="BalloonTextChar">
    <w:name w:val="Balloon Text Char"/>
    <w:basedOn w:val="DefaultParagraphFont"/>
    <w:link w:val="BalloonText"/>
    <w:uiPriority w:val="99"/>
    <w:semiHidden/>
    <w:rsid w:val="00E50291"/>
    <w:rPr>
      <w:rFonts w:ascii="Tahoma" w:eastAsia="Times New Roman" w:hAnsi="Tahoma" w:cs="Tahoma"/>
      <w:sz w:val="16"/>
      <w:szCs w:val="16"/>
    </w:rPr>
  </w:style>
  <w:style w:type="paragraph" w:styleId="Revision">
    <w:name w:val="Revision"/>
    <w:hidden/>
    <w:uiPriority w:val="99"/>
    <w:semiHidden/>
    <w:rsid w:val="005E6030"/>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B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5BA"/>
    <w:pPr>
      <w:tabs>
        <w:tab w:val="center" w:pos="4320"/>
        <w:tab w:val="right" w:pos="8640"/>
      </w:tabs>
    </w:pPr>
  </w:style>
  <w:style w:type="character" w:customStyle="1" w:styleId="HeaderChar">
    <w:name w:val="Header Char"/>
    <w:basedOn w:val="DefaultParagraphFont"/>
    <w:link w:val="Header"/>
    <w:uiPriority w:val="99"/>
    <w:rsid w:val="00E945BA"/>
    <w:rPr>
      <w:rFonts w:ascii="Times New Roman" w:eastAsia="Times New Roman" w:hAnsi="Times New Roman" w:cs="Times New Roman"/>
    </w:rPr>
  </w:style>
  <w:style w:type="paragraph" w:styleId="Footer">
    <w:name w:val="footer"/>
    <w:basedOn w:val="Normal"/>
    <w:link w:val="FooterChar"/>
    <w:uiPriority w:val="99"/>
    <w:rsid w:val="00E945BA"/>
    <w:pPr>
      <w:tabs>
        <w:tab w:val="center" w:pos="4320"/>
        <w:tab w:val="right" w:pos="8640"/>
      </w:tabs>
    </w:pPr>
  </w:style>
  <w:style w:type="character" w:customStyle="1" w:styleId="FooterChar">
    <w:name w:val="Footer Char"/>
    <w:basedOn w:val="DefaultParagraphFont"/>
    <w:link w:val="Footer"/>
    <w:uiPriority w:val="99"/>
    <w:rsid w:val="00E945BA"/>
    <w:rPr>
      <w:rFonts w:ascii="Times New Roman" w:eastAsia="Times New Roman" w:hAnsi="Times New Roman" w:cs="Times New Roman"/>
    </w:rPr>
  </w:style>
  <w:style w:type="character" w:styleId="FootnoteReference">
    <w:name w:val="footnote reference"/>
    <w:aliases w:val="Appel note de bas de p,Style 12,(NECG) Footnote Reference,Style 124,Style 13,o,fr,Style 3,FR"/>
    <w:uiPriority w:val="99"/>
    <w:semiHidden/>
    <w:rsid w:val="00E945BA"/>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
    <w:basedOn w:val="Normal"/>
    <w:link w:val="FootnoteTextChar1"/>
    <w:uiPriority w:val="99"/>
    <w:semiHidden/>
    <w:rsid w:val="00E945BA"/>
    <w:pPr>
      <w:tabs>
        <w:tab w:val="left" w:pos="720"/>
      </w:tabs>
      <w:spacing w:after="200"/>
    </w:pPr>
    <w:rPr>
      <w:rFonts w:eastAsia="Calibri"/>
      <w:sz w:val="20"/>
      <w:szCs w:val="20"/>
    </w:rPr>
  </w:style>
  <w:style w:type="character" w:customStyle="1" w:styleId="FootnoteTextChar">
    <w:name w:val="Footnote Text Char"/>
    <w:basedOn w:val="DefaultParagraphFont"/>
    <w:uiPriority w:val="99"/>
    <w:semiHidden/>
    <w:rsid w:val="00E945BA"/>
    <w:rPr>
      <w:rFonts w:ascii="Times New Roman" w:eastAsia="Times New Roman" w:hAnsi="Times New Roman" w:cs="Times New Roman"/>
      <w:sz w:val="20"/>
      <w:szCs w:val="20"/>
    </w:rPr>
  </w:style>
  <w:style w:type="character" w:customStyle="1" w:styleId="FootnoteTextChar1">
    <w:name w:val="Footnote Text Char1"/>
    <w:aliases w:val="Footnote Text Char2 Char Char,Footnote Text Char1 Char Char Char,Footnote Text Char Char Char Char Char,Footnote Text Char2 Char Char Char Char Char,Footnote Text Char1 Char1 Char Char Char Char Char,Footnote Text Char2 Char1"/>
    <w:link w:val="FootnoteText"/>
    <w:uiPriority w:val="99"/>
    <w:semiHidden/>
    <w:locked/>
    <w:rsid w:val="00E945BA"/>
    <w:rPr>
      <w:rFonts w:ascii="Times New Roman" w:eastAsia="Calibri" w:hAnsi="Times New Roman" w:cs="Times New Roman"/>
      <w:sz w:val="20"/>
      <w:szCs w:val="20"/>
    </w:rPr>
  </w:style>
  <w:style w:type="character" w:styleId="PageNumber">
    <w:name w:val="page number"/>
    <w:basedOn w:val="DefaultParagraphFont"/>
    <w:uiPriority w:val="99"/>
    <w:rsid w:val="00E945BA"/>
  </w:style>
  <w:style w:type="character" w:styleId="CommentReference">
    <w:name w:val="annotation reference"/>
    <w:basedOn w:val="DefaultParagraphFont"/>
    <w:uiPriority w:val="99"/>
    <w:semiHidden/>
    <w:unhideWhenUsed/>
    <w:rsid w:val="00E50291"/>
    <w:rPr>
      <w:sz w:val="16"/>
      <w:szCs w:val="16"/>
    </w:rPr>
  </w:style>
  <w:style w:type="paragraph" w:styleId="CommentText">
    <w:name w:val="annotation text"/>
    <w:basedOn w:val="Normal"/>
    <w:link w:val="CommentTextChar"/>
    <w:uiPriority w:val="99"/>
    <w:semiHidden/>
    <w:unhideWhenUsed/>
    <w:rsid w:val="00E50291"/>
    <w:rPr>
      <w:sz w:val="20"/>
      <w:szCs w:val="20"/>
    </w:rPr>
  </w:style>
  <w:style w:type="character" w:customStyle="1" w:styleId="CommentTextChar">
    <w:name w:val="Comment Text Char"/>
    <w:basedOn w:val="DefaultParagraphFont"/>
    <w:link w:val="CommentText"/>
    <w:uiPriority w:val="99"/>
    <w:semiHidden/>
    <w:rsid w:val="00E502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291"/>
    <w:rPr>
      <w:b/>
      <w:bCs/>
    </w:rPr>
  </w:style>
  <w:style w:type="character" w:customStyle="1" w:styleId="CommentSubjectChar">
    <w:name w:val="Comment Subject Char"/>
    <w:basedOn w:val="CommentTextChar"/>
    <w:link w:val="CommentSubject"/>
    <w:uiPriority w:val="99"/>
    <w:semiHidden/>
    <w:rsid w:val="00E502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0291"/>
    <w:rPr>
      <w:rFonts w:ascii="Tahoma" w:hAnsi="Tahoma" w:cs="Tahoma"/>
      <w:sz w:val="16"/>
      <w:szCs w:val="16"/>
    </w:rPr>
  </w:style>
  <w:style w:type="character" w:customStyle="1" w:styleId="BalloonTextChar">
    <w:name w:val="Balloon Text Char"/>
    <w:basedOn w:val="DefaultParagraphFont"/>
    <w:link w:val="BalloonText"/>
    <w:uiPriority w:val="99"/>
    <w:semiHidden/>
    <w:rsid w:val="00E50291"/>
    <w:rPr>
      <w:rFonts w:ascii="Tahoma" w:eastAsia="Times New Roman" w:hAnsi="Tahoma" w:cs="Tahoma"/>
      <w:sz w:val="16"/>
      <w:szCs w:val="16"/>
    </w:rPr>
  </w:style>
  <w:style w:type="paragraph" w:styleId="Revision">
    <w:name w:val="Revision"/>
    <w:hidden/>
    <w:uiPriority w:val="99"/>
    <w:semiHidden/>
    <w:rsid w:val="005E603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8077">
      <w:bodyDiv w:val="1"/>
      <w:marLeft w:val="0"/>
      <w:marRight w:val="0"/>
      <w:marTop w:val="0"/>
      <w:marBottom w:val="0"/>
      <w:divBdr>
        <w:top w:val="none" w:sz="0" w:space="0" w:color="auto"/>
        <w:left w:val="none" w:sz="0" w:space="0" w:color="auto"/>
        <w:bottom w:val="none" w:sz="0" w:space="0" w:color="auto"/>
        <w:right w:val="none" w:sz="0" w:space="0" w:color="auto"/>
      </w:divBdr>
    </w:div>
    <w:div w:id="1463230599">
      <w:bodyDiv w:val="1"/>
      <w:marLeft w:val="0"/>
      <w:marRight w:val="0"/>
      <w:marTop w:val="0"/>
      <w:marBottom w:val="0"/>
      <w:divBdr>
        <w:top w:val="none" w:sz="0" w:space="0" w:color="auto"/>
        <w:left w:val="none" w:sz="0" w:space="0" w:color="auto"/>
        <w:bottom w:val="none" w:sz="0" w:space="0" w:color="auto"/>
        <w:right w:val="none" w:sz="0" w:space="0" w:color="auto"/>
      </w:divBdr>
    </w:div>
    <w:div w:id="1490899673">
      <w:bodyDiv w:val="1"/>
      <w:marLeft w:val="0"/>
      <w:marRight w:val="0"/>
      <w:marTop w:val="0"/>
      <w:marBottom w:val="0"/>
      <w:divBdr>
        <w:top w:val="none" w:sz="0" w:space="0" w:color="auto"/>
        <w:left w:val="none" w:sz="0" w:space="0" w:color="auto"/>
        <w:bottom w:val="none" w:sz="0" w:space="0" w:color="auto"/>
        <w:right w:val="none" w:sz="0" w:space="0" w:color="auto"/>
      </w:divBdr>
    </w:div>
    <w:div w:id="1768386411">
      <w:bodyDiv w:val="1"/>
      <w:marLeft w:val="0"/>
      <w:marRight w:val="0"/>
      <w:marTop w:val="0"/>
      <w:marBottom w:val="0"/>
      <w:divBdr>
        <w:top w:val="none" w:sz="0" w:space="0" w:color="auto"/>
        <w:left w:val="none" w:sz="0" w:space="0" w:color="auto"/>
        <w:bottom w:val="none" w:sz="0" w:space="0" w:color="auto"/>
        <w:right w:val="none" w:sz="0" w:space="0" w:color="auto"/>
      </w:divBdr>
    </w:div>
    <w:div w:id="1978872235">
      <w:bodyDiv w:val="1"/>
      <w:marLeft w:val="0"/>
      <w:marRight w:val="0"/>
      <w:marTop w:val="0"/>
      <w:marBottom w:val="0"/>
      <w:divBdr>
        <w:top w:val="none" w:sz="0" w:space="0" w:color="auto"/>
        <w:left w:val="none" w:sz="0" w:space="0" w:color="auto"/>
        <w:bottom w:val="none" w:sz="0" w:space="0" w:color="auto"/>
        <w:right w:val="none" w:sz="0" w:space="0" w:color="auto"/>
      </w:divBdr>
    </w:div>
    <w:div w:id="20442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5299</Characters>
  <Application>Microsoft Office Word</Application>
  <DocSecurity>0</DocSecurity>
  <Lines>300</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2013-12-18T15:41:00Z</cp:lastPrinted>
  <dcterms:created xsi:type="dcterms:W3CDTF">2013-12-18T19:02:00Z</dcterms:created>
  <dcterms:modified xsi:type="dcterms:W3CDTF">2013-12-18T19:02:00Z</dcterms:modified>
  <cp:category> </cp:category>
  <cp:contentStatus> </cp:contentStatus>
</cp:coreProperties>
</file>