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E9" w:rsidRDefault="00490AE9">
      <w:pPr>
        <w:jc w:val="center"/>
        <w:rPr>
          <w:b/>
        </w:rPr>
      </w:pPr>
      <w:bookmarkStart w:id="0" w:name="_GoBack"/>
      <w:bookmarkEnd w:id="0"/>
      <w:r>
        <w:rPr>
          <w:b/>
        </w:rPr>
        <w:t>Before the</w:t>
      </w:r>
    </w:p>
    <w:p w:rsidR="00490AE9" w:rsidRDefault="00490AE9">
      <w:pPr>
        <w:jc w:val="center"/>
        <w:rPr>
          <w:b/>
        </w:rPr>
      </w:pPr>
      <w:r>
        <w:rPr>
          <w:b/>
        </w:rPr>
        <w:t>Federal Communications Commission</w:t>
      </w:r>
    </w:p>
    <w:p w:rsidR="00490AE9" w:rsidRDefault="00490AE9">
      <w:pPr>
        <w:jc w:val="center"/>
        <w:rPr>
          <w:b/>
        </w:rPr>
      </w:pPr>
      <w:r>
        <w:rPr>
          <w:b/>
        </w:rPr>
        <w:t>Washington, D.C. 20554</w:t>
      </w:r>
    </w:p>
    <w:p w:rsidR="00490AE9" w:rsidRDefault="00490AE9"/>
    <w:p w:rsidR="00490AE9" w:rsidRDefault="00490AE9"/>
    <w:tbl>
      <w:tblPr>
        <w:tblW w:w="0" w:type="auto"/>
        <w:tblLayout w:type="fixed"/>
        <w:tblLook w:val="0000" w:firstRow="0" w:lastRow="0" w:firstColumn="0" w:lastColumn="0" w:noHBand="0" w:noVBand="0"/>
      </w:tblPr>
      <w:tblGrid>
        <w:gridCol w:w="4698"/>
        <w:gridCol w:w="720"/>
        <w:gridCol w:w="4230"/>
      </w:tblGrid>
      <w:tr w:rsidR="00490AE9">
        <w:tc>
          <w:tcPr>
            <w:tcW w:w="4698" w:type="dxa"/>
          </w:tcPr>
          <w:p w:rsidR="00490AE9" w:rsidRDefault="00490AE9">
            <w:pPr>
              <w:ind w:right="-18"/>
            </w:pPr>
            <w:r>
              <w:t>In the Matter of</w:t>
            </w:r>
          </w:p>
          <w:p w:rsidR="00490AE9" w:rsidRDefault="00490AE9">
            <w:pPr>
              <w:ind w:right="-18"/>
            </w:pPr>
          </w:p>
          <w:p w:rsidR="00490AE9" w:rsidRDefault="00490AE9">
            <w:pPr>
              <w:ind w:right="-18"/>
            </w:pPr>
            <w:r>
              <w:t>Connect America Fund</w:t>
            </w:r>
          </w:p>
          <w:p w:rsidR="00490AE9" w:rsidRDefault="00490AE9">
            <w:pPr>
              <w:ind w:right="-18"/>
            </w:pPr>
          </w:p>
          <w:p w:rsidR="00490AE9" w:rsidRDefault="00490AE9">
            <w:pPr>
              <w:ind w:right="-18"/>
            </w:pPr>
            <w:r>
              <w:t>High-Cost Universal Service Support</w:t>
            </w:r>
          </w:p>
        </w:tc>
        <w:tc>
          <w:tcPr>
            <w:tcW w:w="720" w:type="dxa"/>
          </w:tcPr>
          <w:p w:rsidR="00490AE9" w:rsidRDefault="00490AE9">
            <w:pPr>
              <w:rPr>
                <w:b/>
              </w:rPr>
            </w:pPr>
            <w:r>
              <w:rPr>
                <w:b/>
              </w:rPr>
              <w:t>)</w:t>
            </w:r>
          </w:p>
          <w:p w:rsidR="00490AE9" w:rsidRDefault="00490AE9">
            <w:pPr>
              <w:rPr>
                <w:b/>
              </w:rPr>
            </w:pPr>
            <w:r>
              <w:rPr>
                <w:b/>
              </w:rPr>
              <w:t>)</w:t>
            </w:r>
          </w:p>
          <w:p w:rsidR="00490AE9" w:rsidRDefault="00490AE9">
            <w:pPr>
              <w:rPr>
                <w:b/>
              </w:rPr>
            </w:pPr>
            <w:r>
              <w:rPr>
                <w:b/>
              </w:rPr>
              <w:t>)</w:t>
            </w:r>
          </w:p>
          <w:p w:rsidR="00490AE9" w:rsidRDefault="00490AE9">
            <w:pPr>
              <w:rPr>
                <w:b/>
              </w:rPr>
            </w:pPr>
            <w:r>
              <w:rPr>
                <w:b/>
              </w:rPr>
              <w:t>)</w:t>
            </w:r>
          </w:p>
          <w:p w:rsidR="00490AE9" w:rsidRDefault="00490AE9">
            <w:pPr>
              <w:rPr>
                <w:b/>
              </w:rPr>
            </w:pPr>
            <w:r>
              <w:rPr>
                <w:b/>
              </w:rPr>
              <w:t>)</w:t>
            </w:r>
          </w:p>
          <w:p w:rsidR="00490AE9" w:rsidRDefault="00490AE9">
            <w:pPr>
              <w:rPr>
                <w:b/>
              </w:rPr>
            </w:pPr>
          </w:p>
        </w:tc>
        <w:tc>
          <w:tcPr>
            <w:tcW w:w="4230" w:type="dxa"/>
          </w:tcPr>
          <w:p w:rsidR="00490AE9" w:rsidRDefault="00490AE9"/>
          <w:p w:rsidR="00490AE9" w:rsidRDefault="00490AE9"/>
          <w:p w:rsidR="00490AE9" w:rsidRDefault="00490AE9">
            <w:r>
              <w:t>WC Docket No. 10-90</w:t>
            </w:r>
          </w:p>
          <w:p w:rsidR="00490AE9" w:rsidRDefault="00490AE9">
            <w:pPr>
              <w:rPr>
                <w:spacing w:val="-2"/>
              </w:rPr>
            </w:pPr>
          </w:p>
          <w:p w:rsidR="00490AE9" w:rsidRDefault="00490AE9">
            <w:r>
              <w:rPr>
                <w:spacing w:val="-2"/>
              </w:rPr>
              <w:t>WC Docket No. 05-337</w:t>
            </w:r>
          </w:p>
        </w:tc>
      </w:tr>
    </w:tbl>
    <w:p w:rsidR="00490AE9" w:rsidRDefault="00490AE9"/>
    <w:p w:rsidR="00490AE9" w:rsidRDefault="00490AE9">
      <w:pPr>
        <w:spacing w:before="120"/>
        <w:jc w:val="center"/>
        <w:rPr>
          <w:b/>
        </w:rPr>
      </w:pPr>
      <w:r>
        <w:rPr>
          <w:b/>
          <w:spacing w:val="-2"/>
        </w:rPr>
        <w:t>ORDER</w:t>
      </w:r>
    </w:p>
    <w:p w:rsidR="00490AE9" w:rsidRDefault="00490AE9"/>
    <w:p w:rsidR="00490AE9" w:rsidRDefault="00490AE9">
      <w:pPr>
        <w:tabs>
          <w:tab w:val="right" w:pos="9360"/>
        </w:tabs>
        <w:rPr>
          <w:b/>
        </w:rPr>
      </w:pPr>
      <w:r>
        <w:rPr>
          <w:b/>
        </w:rPr>
        <w:t>Adopted:  December 20</w:t>
      </w:r>
      <w:r>
        <w:rPr>
          <w:b/>
          <w:spacing w:val="-2"/>
        </w:rPr>
        <w:t>, 2013</w:t>
      </w:r>
      <w:r>
        <w:rPr>
          <w:b/>
        </w:rPr>
        <w:tab/>
        <w:t>Released:  December 20</w:t>
      </w:r>
      <w:r>
        <w:rPr>
          <w:b/>
          <w:spacing w:val="-2"/>
        </w:rPr>
        <w:t>, 2013</w:t>
      </w:r>
    </w:p>
    <w:p w:rsidR="00490AE9" w:rsidRDefault="00490AE9">
      <w:pPr>
        <w:tabs>
          <w:tab w:val="left" w:pos="5760"/>
        </w:tabs>
        <w:rPr>
          <w:b/>
        </w:rPr>
      </w:pPr>
    </w:p>
    <w:p w:rsidR="00490AE9" w:rsidRDefault="00490AE9">
      <w:pPr>
        <w:tabs>
          <w:tab w:val="left" w:pos="5760"/>
        </w:tabs>
      </w:pPr>
      <w:r>
        <w:t>By the</w:t>
      </w:r>
      <w:r>
        <w:rPr>
          <w:spacing w:val="-2"/>
        </w:rPr>
        <w:t xml:space="preserve"> Chief, Wireline Competition Bureau:</w:t>
      </w:r>
    </w:p>
    <w:p w:rsidR="00490AE9" w:rsidRDefault="00490AE9"/>
    <w:p w:rsidR="00490AE9" w:rsidRDefault="00490AE9">
      <w:pPr>
        <w:pStyle w:val="Heading1"/>
        <w:widowControl/>
      </w:pPr>
      <w:r>
        <w:t>introduction</w:t>
      </w:r>
    </w:p>
    <w:p w:rsidR="00490AE9" w:rsidRDefault="00490AE9">
      <w:pPr>
        <w:pStyle w:val="ParaNum"/>
        <w:widowControl/>
        <w:jc w:val="left"/>
      </w:pPr>
      <w:r>
        <w:t xml:space="preserve">In this Order, we revisit certain aspects of </w:t>
      </w:r>
      <w:r>
        <w:rPr>
          <w:szCs w:val="22"/>
        </w:rPr>
        <w:t xml:space="preserve">Silver Star Telephone Company, Inc.’s (Silver Star) requests for expedited waiver to correct the </w:t>
      </w:r>
      <w:r>
        <w:t>road miles and road crossings (road information) for Silver Star’s Idaho (472295) and Wyoming (512295) study areas that were used in the regression analysis that established “benchmarks” for high-cost loop support (HCLS), and revise the road information used in the regression analysis.</w:t>
      </w:r>
      <w:r>
        <w:rPr>
          <w:rStyle w:val="FootnoteReference"/>
        </w:rPr>
        <w:footnoteReference w:id="2"/>
      </w:r>
      <w:r>
        <w:t xml:space="preserve">  Using improved road information provided by Silver Star increases its benchmarks; therefore, Silver Star may be entitled to additional support, which will be processed in accordance with the instructions given below. </w:t>
      </w:r>
    </w:p>
    <w:p w:rsidR="00490AE9" w:rsidRDefault="00490AE9">
      <w:pPr>
        <w:pStyle w:val="Heading1"/>
        <w:widowControl/>
      </w:pPr>
      <w:r>
        <w:t>background</w:t>
      </w:r>
    </w:p>
    <w:p w:rsidR="00490AE9" w:rsidRDefault="00490AE9">
      <w:pPr>
        <w:pStyle w:val="ParaNum"/>
        <w:widowControl/>
        <w:jc w:val="left"/>
      </w:pPr>
      <w:r>
        <w:t xml:space="preserve">  In the </w:t>
      </w:r>
      <w:r>
        <w:rPr>
          <w:i/>
        </w:rPr>
        <w:t>HCLS Benchmarks Implementation Order</w:t>
      </w:r>
      <w:r>
        <w:t>,</w:t>
      </w:r>
      <w:r>
        <w:rPr>
          <w:rStyle w:val="FootnoteReference"/>
        </w:rPr>
        <w:footnoteReference w:id="3"/>
      </w:r>
      <w:r>
        <w:t xml:space="preserve"> the Wireline Competition Bureau (Bureau) adopted the methodology for establishing limits on reimbursable capital costs and operating expenses (capex and opex, respectively), to implement the benchmarking rule that the Commission adopted in the </w:t>
      </w:r>
      <w:r>
        <w:rPr>
          <w:i/>
        </w:rPr>
        <w:t>USF/ICC Transformation Order</w:t>
      </w:r>
      <w:r>
        <w:t>.</w:t>
      </w:r>
      <w:r>
        <w:rPr>
          <w:rStyle w:val="FootnoteReference"/>
        </w:rPr>
        <w:footnoteReference w:id="4"/>
      </w:r>
      <w:r>
        <w:t xml:space="preserve">  </w:t>
      </w:r>
      <w:r>
        <w:rPr>
          <w:color w:val="000000"/>
          <w:szCs w:val="22"/>
        </w:rPr>
        <w:t xml:space="preserve">The HCLS benchmarking methodology used quantile regression analyses to generate a capex limit and an opex limit for each rate-of-return cost company study area.  The geographic independent variables used in the regressions were rolled up to the study area using </w:t>
      </w:r>
      <w:r>
        <w:rPr>
          <w:color w:val="000000"/>
          <w:szCs w:val="22"/>
        </w:rPr>
        <w:lastRenderedPageBreak/>
        <w:t xml:space="preserve">Tele Atlas wire center boundaries, </w:t>
      </w:r>
      <w:r>
        <w:rPr>
          <w:szCs w:val="22"/>
        </w:rPr>
        <w:t>which is a widely-used, commercially available, comprehensive source for this information.</w:t>
      </w:r>
      <w:r>
        <w:rPr>
          <w:rStyle w:val="FootnoteReference"/>
          <w:color w:val="000000"/>
          <w:szCs w:val="22"/>
        </w:rPr>
        <w:footnoteReference w:id="5"/>
      </w:r>
      <w:r>
        <w:rPr>
          <w:szCs w:val="22"/>
        </w:rPr>
        <w:t xml:space="preserve">  </w:t>
      </w:r>
      <w:r>
        <w:t xml:space="preserve">The </w:t>
      </w:r>
      <w:r>
        <w:rPr>
          <w:i/>
        </w:rPr>
        <w:t>HCLS Benchmarks Implementation Order</w:t>
      </w:r>
      <w:r>
        <w:rPr>
          <w:szCs w:val="22"/>
        </w:rPr>
        <w:t xml:space="preserve"> recognized that there were concerns regarding inaccuracies in these data.</w:t>
      </w:r>
      <w:r>
        <w:rPr>
          <w:rStyle w:val="FootnoteReference"/>
          <w:szCs w:val="22"/>
        </w:rPr>
        <w:footnoteReference w:id="6"/>
      </w:r>
      <w:r>
        <w:rPr>
          <w:szCs w:val="22"/>
        </w:rPr>
        <w:t xml:space="preserve">  In response, the Bureau created a streamlined, expedited waiver process for carriers affected by the benchmarks to correct any errors in their study area boundaries, by providing accurate information in a manner and format that Bureau staff can readily evaluate and process to determine whether there are special circumstances supporting a waiver.</w:t>
      </w:r>
      <w:r>
        <w:rPr>
          <w:rStyle w:val="FootnoteReference"/>
          <w:szCs w:val="22"/>
        </w:rPr>
        <w:footnoteReference w:id="7"/>
      </w:r>
      <w:r>
        <w:rPr>
          <w:szCs w:val="22"/>
        </w:rPr>
        <w:t xml:space="preserve">  To help potential petitioners file information efficiently, accurately, and in a manner that will permit the Bureau to evaluate and process the information expeditiously, the Bureau set forth a template for filing study area maps.</w:t>
      </w:r>
      <w:r>
        <w:rPr>
          <w:rStyle w:val="FootnoteReference"/>
          <w:szCs w:val="22"/>
        </w:rPr>
        <w:footnoteReference w:id="8"/>
      </w:r>
    </w:p>
    <w:p w:rsidR="00490AE9" w:rsidRDefault="00490AE9">
      <w:pPr>
        <w:pStyle w:val="ParaNum"/>
        <w:widowControl/>
        <w:jc w:val="left"/>
      </w:pPr>
      <w:r>
        <w:t>On September 27, 2012 and January 2, 2013, Silver Star filed waiver requests asking, among other things, that the Commission replace the ESRI Street Map data used in the regression analysis with road information data based on Tiger Line 2010 Census data for Silver Star’s Idaho and Wyoming study areas.</w:t>
      </w:r>
      <w:r>
        <w:rPr>
          <w:rStyle w:val="FootnoteReference"/>
        </w:rPr>
        <w:footnoteReference w:id="9"/>
      </w:r>
      <w:r>
        <w:t xml:space="preserve">  Silver Star argued that the ESRI Street Map data used in the regression analysis are “grossly inaccurate for Silver Star with respect to road miles and road crossings”</w:t>
      </w:r>
      <w:r>
        <w:rPr>
          <w:rStyle w:val="FootnoteReference"/>
        </w:rPr>
        <w:footnoteReference w:id="10"/>
      </w:r>
      <w:r>
        <w:t xml:space="preserve">  and that Tiger Line 2010 Census data are more accurate than ESRI when compared with county maps and Silver Star’s own internal information.</w:t>
      </w:r>
      <w:r>
        <w:rPr>
          <w:rStyle w:val="FootnoteReference"/>
        </w:rPr>
        <w:footnoteReference w:id="11"/>
      </w:r>
      <w:r>
        <w:t xml:space="preserve">  Silver Star also provided an aerial photograph illustrating one example of where Silver Star asserted Tiger Line data are more accurate than the ESRI data.</w:t>
      </w:r>
      <w:r>
        <w:rPr>
          <w:rStyle w:val="FootnoteReference"/>
        </w:rPr>
        <w:footnoteReference w:id="12"/>
      </w:r>
      <w:r>
        <w:t xml:space="preserve">  The Bureau denied the portions of Silver Star’s waiver requests regarding road information data, finding that Silver Star had not demonstrated that Tiger Line 2010 data are superior to the ESRI data used by the Bureau.</w:t>
      </w:r>
      <w:r>
        <w:rPr>
          <w:rStyle w:val="FootnoteReference"/>
        </w:rPr>
        <w:footnoteReference w:id="13"/>
      </w:r>
      <w:r>
        <w:t xml:space="preserve">  In addition, the Bureau noted that </w:t>
      </w:r>
      <w:r>
        <w:rPr>
          <w:szCs w:val="22"/>
        </w:rPr>
        <w:t>Silver Star used ESRI 2010 Street Map version 9.3,</w:t>
      </w:r>
      <w:r>
        <w:rPr>
          <w:rStyle w:val="FootnoteReference"/>
          <w:szCs w:val="22"/>
        </w:rPr>
        <w:footnoteReference w:id="14"/>
      </w:r>
      <w:r>
        <w:rPr>
          <w:szCs w:val="22"/>
        </w:rPr>
        <w:t xml:space="preserve"> whereas the Bureau used the more recent version 10.0, and that, while the example provided by Silver Star showed that in some cases </w:t>
      </w:r>
      <w:r>
        <w:rPr>
          <w:szCs w:val="22"/>
        </w:rPr>
        <w:lastRenderedPageBreak/>
        <w:t>the ESRI data missed some roads, the Tiger data appeared to be overly inclusive, in some cases including driveways and intra-property access routes.</w:t>
      </w:r>
      <w:r>
        <w:rPr>
          <w:rStyle w:val="FootnoteReference"/>
          <w:szCs w:val="22"/>
        </w:rPr>
        <w:footnoteReference w:id="15"/>
      </w:r>
    </w:p>
    <w:p w:rsidR="00490AE9" w:rsidRDefault="00490AE9">
      <w:pPr>
        <w:pStyle w:val="ParaNum"/>
        <w:widowControl/>
        <w:jc w:val="left"/>
      </w:pPr>
      <w:r>
        <w:t>On June 10, 2013, Silver Star filed an Application for Review asking the Commission to reverse the Bureau’s findings regarding ESRI Street Map and Tiger Line data, and use Tiger Line data to compute Silver Star density, road miles, and road crossings in the regression analysis.</w:t>
      </w:r>
      <w:r>
        <w:rPr>
          <w:rStyle w:val="FootnoteReference"/>
        </w:rPr>
        <w:footnoteReference w:id="16"/>
      </w:r>
      <w:r>
        <w:t xml:space="preserve">  After several </w:t>
      </w:r>
      <w:r>
        <w:rPr>
          <w:i/>
        </w:rPr>
        <w:t>ex parte</w:t>
      </w:r>
      <w:r>
        <w:t xml:space="preserve"> meetings with Bureau staff discussing “how to determine an accurate representation for road miles and road crossing data to be used for purposes of the QRA model,” on October 28, 2013, Silver Star submitted additional data to the Commission that calculated actual road miles and road crossings in Silver Star’s Idaho and Wyoming study areas, and requested that these data be used to correct all benchmark calculations effective July 1, 2012.</w:t>
      </w:r>
      <w:r>
        <w:rPr>
          <w:rStyle w:val="FootnoteReference"/>
        </w:rPr>
        <w:footnoteReference w:id="17"/>
      </w:r>
    </w:p>
    <w:p w:rsidR="00490AE9" w:rsidRDefault="00490AE9">
      <w:pPr>
        <w:pStyle w:val="Heading1"/>
        <w:widowControl/>
      </w:pPr>
      <w:r>
        <w:t>discussion</w:t>
      </w:r>
    </w:p>
    <w:p w:rsidR="00490AE9" w:rsidRDefault="00490AE9">
      <w:pPr>
        <w:pStyle w:val="ParaNum"/>
        <w:widowControl/>
        <w:jc w:val="left"/>
      </w:pPr>
      <w:r>
        <w:t>In support of its revised request to correct road information, Silver Star provided the Bureau with Silver Star’s “own base mapping data reflecting roads, road crossings, subdivisions, cable service areas and routes which was developed using Silver Star data in concert with town, city, county, state, Bureau of Land Management and other publicly available data, and visual inspection by Silver Star.”</w:t>
      </w:r>
      <w:r>
        <w:rPr>
          <w:rStyle w:val="FootnoteReference"/>
        </w:rPr>
        <w:footnoteReference w:id="18"/>
      </w:r>
      <w:r>
        <w:t xml:space="preserve">  Silver Star explained that it created a map using the ESRI data source utilized by the Bureau.</w:t>
      </w:r>
      <w:r>
        <w:rPr>
          <w:rStyle w:val="FootnoteReference"/>
        </w:rPr>
        <w:footnoteReference w:id="19"/>
      </w:r>
      <w:r>
        <w:t xml:space="preserve">  Then, Silver Star </w:t>
      </w:r>
      <w:r>
        <w:rPr>
          <w:color w:val="010101"/>
          <w:szCs w:val="22"/>
        </w:rPr>
        <w:t xml:space="preserve">created a separate map layer by taking information from </w:t>
      </w:r>
      <w:r>
        <w:t>its own internal mapping system and town, city, county, state, and Bureau of Land Management maps, as well as visual inspection by Silver Star personnel.</w:t>
      </w:r>
      <w:r>
        <w:rPr>
          <w:rStyle w:val="FootnoteReference"/>
        </w:rPr>
        <w:footnoteReference w:id="20"/>
      </w:r>
      <w:r>
        <w:t xml:space="preserve">  All of the roads and road crossings on this layer are geocoded in Silver Star’s mapping system.</w:t>
      </w:r>
      <w:r>
        <w:rPr>
          <w:rStyle w:val="FootnoteReference"/>
        </w:rPr>
        <w:footnoteReference w:id="21"/>
      </w:r>
      <w:r>
        <w:t xml:space="preserve">  As part of its analysis, Silver Star included publicly used and maintained roads, roads plowed and maintained by public authorities, and roads and intersections on which Silver Star has deployed facilities.</w:t>
      </w:r>
      <w:r>
        <w:rPr>
          <w:rStyle w:val="FootnoteReference"/>
        </w:rPr>
        <w:footnoteReference w:id="22"/>
      </w:r>
      <w:r>
        <w:t xml:space="preserve">  Silver Star then removed all driveways and single-party roads.</w:t>
      </w:r>
      <w:r>
        <w:rPr>
          <w:rStyle w:val="FootnoteReference"/>
        </w:rPr>
        <w:footnoteReference w:id="23"/>
      </w:r>
    </w:p>
    <w:p w:rsidR="00490AE9" w:rsidRDefault="00490AE9">
      <w:pPr>
        <w:pStyle w:val="ParaNum"/>
        <w:widowControl/>
        <w:jc w:val="left"/>
      </w:pPr>
      <w:r>
        <w:t xml:space="preserve"> To reconcile these different data sources, Silver Star created a combined centerline map using ESRI StreetMap data, the data collected by Silver Star, and county GIS data, where available.  Duplicate roads were removed.</w:t>
      </w:r>
      <w:r>
        <w:rPr>
          <w:rStyle w:val="FootnoteReference"/>
        </w:rPr>
        <w:footnoteReference w:id="24"/>
      </w:r>
      <w:r>
        <w:t xml:space="preserve">  Where there were discrepancies among the data sources, Silver Star used aerial photo base maps and physical inspection to develop an accurate map.</w:t>
      </w:r>
      <w:r>
        <w:rPr>
          <w:rStyle w:val="FootnoteReference"/>
        </w:rPr>
        <w:footnoteReference w:id="25"/>
      </w:r>
      <w:r>
        <w:t xml:space="preserve">  Silver Star then used this final map to calculate road miles and road crossings according to the Bureau’s Geospatial Data Creation Algorithms for HCLS Regressions.</w:t>
      </w:r>
      <w:r>
        <w:rPr>
          <w:rStyle w:val="FootnoteReference"/>
        </w:rPr>
        <w:footnoteReference w:id="26"/>
      </w:r>
      <w:r>
        <w:t xml:space="preserve">  T</w:t>
      </w:r>
      <w:r>
        <w:rPr>
          <w:color w:val="010101"/>
          <w:szCs w:val="22"/>
        </w:rPr>
        <w:t xml:space="preserve">he information submitted includes a certification by an </w:t>
      </w:r>
      <w:r>
        <w:rPr>
          <w:color w:val="010101"/>
          <w:szCs w:val="22"/>
        </w:rPr>
        <w:lastRenderedPageBreak/>
        <w:t>officer of the company, under penalty of perjury, that the information provided accurately portrays Silver Star’s Idaho and Wyoming study areas.</w:t>
      </w:r>
      <w:r>
        <w:rPr>
          <w:rStyle w:val="FootnoteReference"/>
          <w:color w:val="010101"/>
          <w:szCs w:val="22"/>
        </w:rPr>
        <w:footnoteReference w:id="27"/>
      </w:r>
    </w:p>
    <w:p w:rsidR="00490AE9" w:rsidRDefault="00490AE9">
      <w:pPr>
        <w:pStyle w:val="ParaNum"/>
        <w:widowControl/>
        <w:jc w:val="left"/>
      </w:pPr>
      <w:r>
        <w:t>Pursuant to section 1.3 of the Commission’s rules,</w:t>
      </w:r>
      <w:r>
        <w:rPr>
          <w:rStyle w:val="FootnoteReference"/>
        </w:rPr>
        <w:footnoteReference w:id="28"/>
      </w:r>
      <w:r>
        <w:t xml:space="preserve"> we find that good cause has been shown and special circumstances warrant waiver of the Commission’s rules to revise the capex and opex benchmarks for Silver Star’s Idaho and Wyoming study areas that were listed in Appendix B of the </w:t>
      </w:r>
      <w:r>
        <w:rPr>
          <w:i/>
        </w:rPr>
        <w:t>HCLS Benchmarks Implementation Order</w:t>
      </w:r>
      <w:r>
        <w:rPr>
          <w:rStyle w:val="FootnoteReference"/>
        </w:rPr>
        <w:footnoteReference w:id="29"/>
      </w:r>
      <w:r>
        <w:t xml:space="preserve"> and in the 2013 benchmarks Public Notice.</w:t>
      </w:r>
      <w:r>
        <w:rPr>
          <w:rStyle w:val="FootnoteReference"/>
        </w:rPr>
        <w:footnoteReference w:id="30"/>
      </w:r>
      <w:r>
        <w:t xml:space="preserve">  Consistent with Bureau precedent,</w:t>
      </w:r>
      <w:r>
        <w:rPr>
          <w:rStyle w:val="FootnoteReference"/>
        </w:rPr>
        <w:footnoteReference w:id="31"/>
      </w:r>
      <w:r>
        <w:t xml:space="preserve"> Silver Star has provided detailed information on the actual location of roads and road crossings within its service areas.  The Bureau agrees that the information provided by Silver Star is the most accurate source of road and road crossing data available for Silver Star’s study areas.  Therefore, using the corrected road data, the Bureau staff modified the relevant variables and calculated revised capex and opex benchmarks for Silver Star’s Idaho and Wyoming study areas.  We direct the National Exchange Carrier Association (NECA) to use the revised benchmarks in place of the original benchmarks for calculating HCLS for Silver Star’s Wyoming and Idaho study areas from July 1, 2012 through December 31, 2012 and from January 1, 2013 through March 31, 2013, as indicated in the Appendix attached to this Order.  For the period beginning April 1, 2013, the Commission concluded that “it is appropriate to combine or ‘sum’ the existing caps as an interim measure.”</w:t>
      </w:r>
      <w:r>
        <w:rPr>
          <w:rStyle w:val="FootnoteReference"/>
        </w:rPr>
        <w:footnoteReference w:id="32"/>
      </w:r>
      <w:r>
        <w:t xml:space="preserve">  Therefore, for the period from April 1, 2013 through December 31, 2013,</w:t>
      </w:r>
      <w:r>
        <w:rPr>
          <w:rStyle w:val="FootnoteReference"/>
        </w:rPr>
        <w:footnoteReference w:id="33"/>
      </w:r>
      <w:r>
        <w:t xml:space="preserve"> we direct NECA to use the revised summed benchmarks, as indicated in the Appendix.  We instruct NECA to make these changes within sixty days after this Order is adopted.</w:t>
      </w:r>
    </w:p>
    <w:p w:rsidR="00490AE9" w:rsidRDefault="00490AE9">
      <w:pPr>
        <w:pStyle w:val="ParaNum"/>
        <w:widowControl/>
        <w:jc w:val="left"/>
      </w:pPr>
      <w:r>
        <w:t xml:space="preserve">Using the revised road information for the Idaho study area, Silver Star’s capex and opex benchmarks increased for the first two periods, and its summed benchmark increased for the third period.  Therefore, Silver Star may be entitled to additional support above what it received with the lower benchmarks in all three periods.  Because Silver Star’s Idaho study area remains limited by the benchmarks during all three periods, Silver Star is not eligible for redistributed HCLS in any of the three periods.  Using the revised road information for the Wyoming Study area, Silver Star’s capex and opex benchmarks increased for the first two periods, and its summed benchmark increased for the third period.  </w:t>
      </w:r>
      <w:r w:rsidR="00BD5754">
        <w:t xml:space="preserve">Silver Star’s Wyoming study area becomes eligible for redistribution in the first period because it becomes uncapped by the benchmarks during that period.  Due to the higher benchmarks, Silver Star will be entitled to additional support above what it received with the lower benchmarks in the first period.  </w:t>
      </w:r>
      <w:r>
        <w:t xml:space="preserve"> Silver Star’s Wyoming study area continues to be uncapped by the benchmarks for the last two periods, so it is eligible for redistributed HCLS for those two periods.  We also instruct the Universal </w:t>
      </w:r>
      <w:r>
        <w:lastRenderedPageBreak/>
        <w:t>Service Administrative Company to make any necessary support amount adjustments consistent with the corrected information.</w:t>
      </w:r>
    </w:p>
    <w:p w:rsidR="00490AE9" w:rsidRDefault="00490AE9">
      <w:pPr>
        <w:pStyle w:val="Heading1"/>
        <w:widowControl/>
      </w:pPr>
      <w:r>
        <w:t>ordering clauses</w:t>
      </w:r>
    </w:p>
    <w:p w:rsidR="00490AE9" w:rsidRDefault="00490AE9">
      <w:pPr>
        <w:pStyle w:val="ParaNum"/>
        <w:widowControl/>
        <w:jc w:val="left"/>
      </w:pPr>
      <w:r>
        <w:t xml:space="preserve">Accordingly, IT IS ORDERED, pursuant to the authority contained in sections 1, 2, 4(i), 201-206, 214, 218-220, 251, 254, and 303(r) of the Communications Act of 1934, as amended, and section 706 of the Telecommunications Act of 1996, 47 U.S.C. §§ 151, 152, 154(i), 201-206, 214, 218-220, 251, 254, 303(r), 1302, sections 0.91, 0.201(d), 0.291, and 1.3 of the Commission’s rules, 47 C.F.R. §§ 0.91, 0.201(d), 0.291, 1.3, and the delegations of authority in paragraphs 210, 217, 226 and 1404 of the </w:t>
      </w:r>
      <w:r>
        <w:rPr>
          <w:i/>
        </w:rPr>
        <w:t>USF/ICC Transformation Order</w:t>
      </w:r>
      <w:r>
        <w:t>, 26 FCC Rcd 17663 (2011), that we are waiving the rules to the extent described herein.</w:t>
      </w:r>
    </w:p>
    <w:p w:rsidR="00490AE9" w:rsidRDefault="00490AE9">
      <w:pPr>
        <w:pStyle w:val="ParaNum"/>
        <w:widowControl/>
        <w:jc w:val="left"/>
      </w:pPr>
      <w:r>
        <w:t>IT IS FURTHER ORDERED, pursuant to the authority delegated under sections 0.91, 0.291 and 1.102 of the Commission’s rules, 47 C.F.R. §§ 0.91, 0.291, 1.102, that this Order SHALL BE EFFECTIVE upon release.</w:t>
      </w:r>
    </w:p>
    <w:p w:rsidR="00490AE9" w:rsidRDefault="00490AE9">
      <w:pPr>
        <w:pStyle w:val="ParaNum"/>
        <w:widowControl/>
        <w:numPr>
          <w:ilvl w:val="0"/>
          <w:numId w:val="0"/>
        </w:numPr>
      </w:pPr>
    </w:p>
    <w:p w:rsidR="00490AE9" w:rsidRDefault="00490AE9">
      <w:pPr>
        <w:keepNext/>
        <w:ind w:left="4320"/>
      </w:pPr>
      <w:r>
        <w:t>FEDERAL COMMUNICATIONS COMMISSION</w:t>
      </w:r>
    </w:p>
    <w:p w:rsidR="00490AE9" w:rsidRDefault="00490AE9">
      <w:pPr>
        <w:keepNext/>
        <w:ind w:left="4320"/>
      </w:pPr>
    </w:p>
    <w:p w:rsidR="00490AE9" w:rsidRDefault="00490AE9">
      <w:pPr>
        <w:keepNext/>
        <w:ind w:left="4320"/>
      </w:pPr>
    </w:p>
    <w:p w:rsidR="00490AE9" w:rsidRDefault="00490AE9">
      <w:pPr>
        <w:keepNext/>
        <w:ind w:left="4320"/>
      </w:pPr>
    </w:p>
    <w:p w:rsidR="00490AE9" w:rsidRDefault="00490AE9">
      <w:pPr>
        <w:keepNext/>
        <w:ind w:left="4320"/>
      </w:pPr>
    </w:p>
    <w:p w:rsidR="00490AE9" w:rsidRDefault="00490AE9">
      <w:pPr>
        <w:keepNext/>
        <w:ind w:left="4320"/>
      </w:pPr>
      <w:r>
        <w:t>Julie A. Veach</w:t>
      </w:r>
    </w:p>
    <w:p w:rsidR="00490AE9" w:rsidRDefault="00490AE9">
      <w:pPr>
        <w:keepNext/>
        <w:ind w:left="4320"/>
      </w:pPr>
      <w:r>
        <w:t>Chief</w:t>
      </w:r>
    </w:p>
    <w:p w:rsidR="00490AE9" w:rsidRDefault="00490AE9">
      <w:pPr>
        <w:pStyle w:val="ParaNum"/>
        <w:widowControl/>
        <w:numPr>
          <w:ilvl w:val="0"/>
          <w:numId w:val="0"/>
        </w:numPr>
        <w:jc w:val="left"/>
      </w:pPr>
      <w:r>
        <w:tab/>
      </w:r>
      <w:r>
        <w:tab/>
      </w:r>
      <w:r>
        <w:tab/>
      </w:r>
      <w:r>
        <w:tab/>
      </w:r>
      <w:r>
        <w:tab/>
        <w:t>Wireline Competition Bureau</w:t>
      </w:r>
    </w:p>
    <w:p w:rsidR="00490AE9" w:rsidRDefault="00490AE9">
      <w:pPr>
        <w:pStyle w:val="ParaNum"/>
        <w:widowControl/>
        <w:numPr>
          <w:ilvl w:val="0"/>
          <w:numId w:val="0"/>
        </w:numPr>
        <w:jc w:val="center"/>
        <w:sectPr w:rsidR="00490A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pPr>
    </w:p>
    <w:p w:rsidR="00490AE9" w:rsidRDefault="00490AE9">
      <w:pPr>
        <w:pStyle w:val="ParaNum"/>
        <w:widowControl/>
        <w:numPr>
          <w:ilvl w:val="0"/>
          <w:numId w:val="0"/>
        </w:numPr>
        <w:jc w:val="center"/>
        <w:rPr>
          <w:b/>
        </w:rPr>
      </w:pPr>
      <w:r>
        <w:rPr>
          <w:b/>
        </w:rPr>
        <w:lastRenderedPageBreak/>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787"/>
        <w:gridCol w:w="129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Idaho Study Area 472295 -- July 1, 2012 through December 31, 2012</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787" w:type="dxa"/>
            <w:shd w:val="clear" w:color="auto" w:fill="auto"/>
          </w:tcPr>
          <w:p w:rsidR="00490AE9" w:rsidRDefault="00490AE9">
            <w:pPr>
              <w:pStyle w:val="ParaNum"/>
              <w:keepNext/>
              <w:keepLines/>
              <w:widowControl/>
              <w:numPr>
                <w:ilvl w:val="0"/>
                <w:numId w:val="0"/>
              </w:numPr>
              <w:jc w:val="center"/>
              <w:rPr>
                <w:b/>
              </w:rPr>
            </w:pPr>
            <w:r>
              <w:rPr>
                <w:b/>
              </w:rPr>
              <w:t>90% Capex CPL Estimate</w:t>
            </w:r>
          </w:p>
        </w:tc>
        <w:tc>
          <w:tcPr>
            <w:tcW w:w="1290" w:type="dxa"/>
            <w:shd w:val="clear" w:color="auto" w:fill="auto"/>
          </w:tcPr>
          <w:p w:rsidR="00490AE9" w:rsidRDefault="00490AE9">
            <w:pPr>
              <w:pStyle w:val="ParaNum"/>
              <w:keepNext/>
              <w:keepLines/>
              <w:widowControl/>
              <w:numPr>
                <w:ilvl w:val="0"/>
                <w:numId w:val="0"/>
              </w:numPr>
              <w:jc w:val="center"/>
              <w:rPr>
                <w:b/>
              </w:rPr>
            </w:pPr>
            <w:r>
              <w:rPr>
                <w:b/>
              </w:rPr>
              <w:t>Capex CPL</w:t>
            </w:r>
            <w:bookmarkStart w:id="3" w:name="_Ref328060664"/>
            <w:r>
              <w:rPr>
                <w:rStyle w:val="FootnoteReference"/>
                <w:b/>
              </w:rPr>
              <w:footnoteReference w:id="34"/>
            </w:r>
            <w:bookmarkEnd w:id="3"/>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Opex CPL</w:t>
            </w:r>
            <w:r>
              <w:rPr>
                <w:rStyle w:val="FootnoteReference"/>
                <w:b/>
              </w:rPr>
              <w:footnoteReference w:id="35"/>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787" w:type="dxa"/>
            <w:shd w:val="clear" w:color="auto" w:fill="auto"/>
          </w:tcPr>
          <w:p w:rsidR="00490AE9" w:rsidRDefault="00490AE9">
            <w:pPr>
              <w:pStyle w:val="ParaNum"/>
              <w:keepNext/>
              <w:keepLines/>
              <w:widowControl/>
              <w:numPr>
                <w:ilvl w:val="0"/>
                <w:numId w:val="0"/>
              </w:numPr>
              <w:jc w:val="center"/>
            </w:pPr>
            <w:r>
              <w:t>513.01</w:t>
            </w:r>
          </w:p>
        </w:tc>
        <w:tc>
          <w:tcPr>
            <w:tcW w:w="1290" w:type="dxa"/>
            <w:shd w:val="clear" w:color="auto" w:fill="auto"/>
          </w:tcPr>
          <w:p w:rsidR="00490AE9" w:rsidRDefault="00490AE9">
            <w:pPr>
              <w:pStyle w:val="ParaNum"/>
              <w:keepNext/>
              <w:keepLines/>
              <w:widowControl/>
              <w:numPr>
                <w:ilvl w:val="0"/>
                <w:numId w:val="0"/>
              </w:numPr>
              <w:jc w:val="center"/>
            </w:pPr>
            <w:r>
              <w:t>670.86</w:t>
            </w:r>
          </w:p>
        </w:tc>
        <w:tc>
          <w:tcPr>
            <w:tcW w:w="1440" w:type="dxa"/>
            <w:shd w:val="clear" w:color="auto" w:fill="auto"/>
          </w:tcPr>
          <w:p w:rsidR="00490AE9" w:rsidRDefault="00490AE9">
            <w:pPr>
              <w:pStyle w:val="ParaNum"/>
              <w:keepNext/>
              <w:keepLines/>
              <w:widowControl/>
              <w:numPr>
                <w:ilvl w:val="0"/>
                <w:numId w:val="0"/>
              </w:numPr>
              <w:jc w:val="center"/>
            </w:pPr>
            <w:r>
              <w:t>608.80</w:t>
            </w:r>
          </w:p>
        </w:tc>
        <w:tc>
          <w:tcPr>
            <w:tcW w:w="1620" w:type="dxa"/>
            <w:shd w:val="clear" w:color="auto" w:fill="auto"/>
          </w:tcPr>
          <w:p w:rsidR="00490AE9" w:rsidRDefault="00490AE9">
            <w:pPr>
              <w:pStyle w:val="ParaNum"/>
              <w:keepNext/>
              <w:keepLines/>
              <w:widowControl/>
              <w:numPr>
                <w:ilvl w:val="0"/>
                <w:numId w:val="0"/>
              </w:numPr>
              <w:jc w:val="center"/>
            </w:pPr>
            <w:r>
              <w:t>1077.67</w:t>
            </w:r>
          </w:p>
        </w:tc>
        <w:tc>
          <w:tcPr>
            <w:tcW w:w="1530" w:type="dxa"/>
            <w:shd w:val="clear" w:color="auto" w:fill="auto"/>
          </w:tcPr>
          <w:p w:rsidR="00490AE9" w:rsidRDefault="00490AE9">
            <w:pPr>
              <w:pStyle w:val="ParaNum"/>
              <w:keepNext/>
              <w:keepLines/>
              <w:widowControl/>
              <w:numPr>
                <w:ilvl w:val="0"/>
                <w:numId w:val="0"/>
              </w:numPr>
              <w:jc w:val="center"/>
            </w:pPr>
            <w:r>
              <w:t>Yes</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787" w:type="dxa"/>
            <w:shd w:val="clear" w:color="auto" w:fill="auto"/>
          </w:tcPr>
          <w:p w:rsidR="00490AE9" w:rsidRDefault="00490AE9">
            <w:pPr>
              <w:pStyle w:val="ParaNum"/>
              <w:keepNext/>
              <w:keepLines/>
              <w:widowControl/>
              <w:numPr>
                <w:ilvl w:val="0"/>
                <w:numId w:val="0"/>
              </w:numPr>
              <w:jc w:val="center"/>
            </w:pPr>
            <w:r>
              <w:t>573.26</w:t>
            </w:r>
          </w:p>
        </w:tc>
        <w:tc>
          <w:tcPr>
            <w:tcW w:w="1290" w:type="dxa"/>
            <w:shd w:val="clear" w:color="auto" w:fill="auto"/>
          </w:tcPr>
          <w:p w:rsidR="00490AE9" w:rsidRDefault="00490AE9">
            <w:pPr>
              <w:pStyle w:val="ParaNum"/>
              <w:keepNext/>
              <w:keepLines/>
              <w:widowControl/>
              <w:numPr>
                <w:ilvl w:val="0"/>
                <w:numId w:val="0"/>
              </w:numPr>
              <w:jc w:val="center"/>
            </w:pPr>
            <w:r>
              <w:t>670.86</w:t>
            </w:r>
          </w:p>
        </w:tc>
        <w:tc>
          <w:tcPr>
            <w:tcW w:w="1440" w:type="dxa"/>
            <w:shd w:val="clear" w:color="auto" w:fill="auto"/>
          </w:tcPr>
          <w:p w:rsidR="00490AE9" w:rsidRDefault="00490AE9">
            <w:pPr>
              <w:pStyle w:val="ParaNum"/>
              <w:keepNext/>
              <w:keepLines/>
              <w:widowControl/>
              <w:numPr>
                <w:ilvl w:val="0"/>
                <w:numId w:val="0"/>
              </w:numPr>
              <w:jc w:val="center"/>
            </w:pPr>
            <w:r>
              <w:t>672.21</w:t>
            </w:r>
          </w:p>
        </w:tc>
        <w:tc>
          <w:tcPr>
            <w:tcW w:w="1620" w:type="dxa"/>
            <w:shd w:val="clear" w:color="auto" w:fill="auto"/>
          </w:tcPr>
          <w:p w:rsidR="00490AE9" w:rsidRDefault="00490AE9">
            <w:pPr>
              <w:pStyle w:val="ParaNum"/>
              <w:keepNext/>
              <w:keepLines/>
              <w:widowControl/>
              <w:numPr>
                <w:ilvl w:val="0"/>
                <w:numId w:val="0"/>
              </w:numPr>
              <w:jc w:val="center"/>
            </w:pPr>
            <w:r>
              <w:t>1077.67</w:t>
            </w:r>
          </w:p>
        </w:tc>
        <w:tc>
          <w:tcPr>
            <w:tcW w:w="1530" w:type="dxa"/>
            <w:shd w:val="clear" w:color="auto" w:fill="auto"/>
          </w:tcPr>
          <w:p w:rsidR="00490AE9" w:rsidRDefault="00490AE9">
            <w:pPr>
              <w:pStyle w:val="ParaNum"/>
              <w:keepNext/>
              <w:keepLines/>
              <w:widowControl/>
              <w:numPr>
                <w:ilvl w:val="0"/>
                <w:numId w:val="0"/>
              </w:numPr>
              <w:jc w:val="center"/>
            </w:pPr>
            <w:r>
              <w:t>Yes</w:t>
            </w:r>
          </w:p>
        </w:tc>
      </w:tr>
    </w:tbl>
    <w:p w:rsidR="00490AE9" w:rsidRDefault="00490AE9">
      <w:pPr>
        <w:pStyle w:val="ParaNum"/>
        <w:widowControl/>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787"/>
        <w:gridCol w:w="129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Idaho Study Area 472295 – January 1, 2013 through March 31, 2013</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787" w:type="dxa"/>
            <w:shd w:val="clear" w:color="auto" w:fill="auto"/>
          </w:tcPr>
          <w:p w:rsidR="00490AE9" w:rsidRDefault="00490AE9">
            <w:pPr>
              <w:pStyle w:val="ParaNum"/>
              <w:keepNext/>
              <w:keepLines/>
              <w:widowControl/>
              <w:numPr>
                <w:ilvl w:val="0"/>
                <w:numId w:val="0"/>
              </w:numPr>
              <w:jc w:val="center"/>
              <w:rPr>
                <w:b/>
              </w:rPr>
            </w:pPr>
            <w:r>
              <w:rPr>
                <w:b/>
              </w:rPr>
              <w:t>90% Capex CPL Estimate</w:t>
            </w:r>
          </w:p>
        </w:tc>
        <w:tc>
          <w:tcPr>
            <w:tcW w:w="1290" w:type="dxa"/>
            <w:shd w:val="clear" w:color="auto" w:fill="auto"/>
          </w:tcPr>
          <w:p w:rsidR="00490AE9" w:rsidRDefault="00490AE9">
            <w:pPr>
              <w:pStyle w:val="ParaNum"/>
              <w:keepNext/>
              <w:keepLines/>
              <w:widowControl/>
              <w:numPr>
                <w:ilvl w:val="0"/>
                <w:numId w:val="0"/>
              </w:numPr>
              <w:jc w:val="center"/>
              <w:rPr>
                <w:b/>
              </w:rPr>
            </w:pPr>
            <w:r>
              <w:rPr>
                <w:b/>
              </w:rPr>
              <w:t>Capex CPL</w:t>
            </w:r>
            <w:r>
              <w:rPr>
                <w:rStyle w:val="FootnoteReference"/>
                <w:b/>
              </w:rPr>
              <w:footnoteReference w:id="36"/>
            </w:r>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Opex CPL</w:t>
            </w:r>
            <w:r>
              <w:rPr>
                <w:rStyle w:val="FootnoteReference"/>
                <w:b/>
              </w:rPr>
              <w:footnoteReference w:id="37"/>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787" w:type="dxa"/>
            <w:shd w:val="clear" w:color="auto" w:fill="auto"/>
          </w:tcPr>
          <w:p w:rsidR="00490AE9" w:rsidRDefault="00490AE9">
            <w:pPr>
              <w:pStyle w:val="ParaNum"/>
              <w:keepNext/>
              <w:keepLines/>
              <w:widowControl/>
              <w:numPr>
                <w:ilvl w:val="0"/>
                <w:numId w:val="0"/>
              </w:numPr>
              <w:jc w:val="center"/>
            </w:pPr>
            <w:r>
              <w:t>466.38</w:t>
            </w:r>
          </w:p>
        </w:tc>
        <w:tc>
          <w:tcPr>
            <w:tcW w:w="1290" w:type="dxa"/>
            <w:shd w:val="clear" w:color="auto" w:fill="auto"/>
          </w:tcPr>
          <w:p w:rsidR="00490AE9" w:rsidRDefault="00490AE9">
            <w:pPr>
              <w:pStyle w:val="ParaNum"/>
              <w:keepNext/>
              <w:keepLines/>
              <w:widowControl/>
              <w:numPr>
                <w:ilvl w:val="0"/>
                <w:numId w:val="0"/>
              </w:numPr>
              <w:jc w:val="center"/>
            </w:pPr>
            <w:r>
              <w:t>649.84</w:t>
            </w:r>
          </w:p>
        </w:tc>
        <w:tc>
          <w:tcPr>
            <w:tcW w:w="1440" w:type="dxa"/>
            <w:shd w:val="clear" w:color="auto" w:fill="auto"/>
          </w:tcPr>
          <w:p w:rsidR="00490AE9" w:rsidRDefault="00490AE9">
            <w:pPr>
              <w:pStyle w:val="ParaNum"/>
              <w:keepNext/>
              <w:keepLines/>
              <w:widowControl/>
              <w:numPr>
                <w:ilvl w:val="0"/>
                <w:numId w:val="0"/>
              </w:numPr>
              <w:jc w:val="center"/>
            </w:pPr>
            <w:r>
              <w:t>621.84</w:t>
            </w:r>
          </w:p>
        </w:tc>
        <w:tc>
          <w:tcPr>
            <w:tcW w:w="1620" w:type="dxa"/>
            <w:shd w:val="clear" w:color="auto" w:fill="auto"/>
          </w:tcPr>
          <w:p w:rsidR="00490AE9" w:rsidRDefault="00490AE9">
            <w:pPr>
              <w:pStyle w:val="ParaNum"/>
              <w:keepNext/>
              <w:keepLines/>
              <w:widowControl/>
              <w:numPr>
                <w:ilvl w:val="0"/>
                <w:numId w:val="0"/>
              </w:numPr>
              <w:jc w:val="center"/>
            </w:pPr>
            <w:r>
              <w:t>1,050.08</w:t>
            </w:r>
          </w:p>
        </w:tc>
        <w:tc>
          <w:tcPr>
            <w:tcW w:w="1530" w:type="dxa"/>
            <w:shd w:val="clear" w:color="auto" w:fill="auto"/>
          </w:tcPr>
          <w:p w:rsidR="00490AE9" w:rsidRDefault="00490AE9">
            <w:pPr>
              <w:pStyle w:val="ParaNum"/>
              <w:keepNext/>
              <w:keepLines/>
              <w:widowControl/>
              <w:numPr>
                <w:ilvl w:val="0"/>
                <w:numId w:val="0"/>
              </w:numPr>
              <w:jc w:val="center"/>
            </w:pPr>
            <w:r>
              <w:t>Yes</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787" w:type="dxa"/>
            <w:shd w:val="clear" w:color="auto" w:fill="auto"/>
          </w:tcPr>
          <w:p w:rsidR="00490AE9" w:rsidRDefault="00490AE9">
            <w:pPr>
              <w:pStyle w:val="ParaNum"/>
              <w:keepNext/>
              <w:keepLines/>
              <w:widowControl/>
              <w:numPr>
                <w:ilvl w:val="0"/>
                <w:numId w:val="0"/>
              </w:numPr>
              <w:jc w:val="center"/>
            </w:pPr>
            <w:r>
              <w:t>500.90</w:t>
            </w:r>
          </w:p>
        </w:tc>
        <w:tc>
          <w:tcPr>
            <w:tcW w:w="1290" w:type="dxa"/>
            <w:shd w:val="clear" w:color="auto" w:fill="auto"/>
          </w:tcPr>
          <w:p w:rsidR="00490AE9" w:rsidRDefault="00490AE9">
            <w:pPr>
              <w:pStyle w:val="ParaNum"/>
              <w:keepNext/>
              <w:keepLines/>
              <w:widowControl/>
              <w:numPr>
                <w:ilvl w:val="0"/>
                <w:numId w:val="0"/>
              </w:numPr>
              <w:jc w:val="center"/>
            </w:pPr>
            <w:r>
              <w:t>649.84</w:t>
            </w:r>
          </w:p>
        </w:tc>
        <w:tc>
          <w:tcPr>
            <w:tcW w:w="1440" w:type="dxa"/>
            <w:shd w:val="clear" w:color="auto" w:fill="auto"/>
          </w:tcPr>
          <w:p w:rsidR="00490AE9" w:rsidRDefault="00490AE9">
            <w:pPr>
              <w:pStyle w:val="ParaNum"/>
              <w:keepNext/>
              <w:keepLines/>
              <w:widowControl/>
              <w:numPr>
                <w:ilvl w:val="0"/>
                <w:numId w:val="0"/>
              </w:numPr>
              <w:jc w:val="center"/>
            </w:pPr>
            <w:r>
              <w:t>658.33</w:t>
            </w:r>
          </w:p>
        </w:tc>
        <w:tc>
          <w:tcPr>
            <w:tcW w:w="1620" w:type="dxa"/>
            <w:shd w:val="clear" w:color="auto" w:fill="auto"/>
          </w:tcPr>
          <w:p w:rsidR="00490AE9" w:rsidRDefault="00490AE9">
            <w:pPr>
              <w:pStyle w:val="ParaNum"/>
              <w:keepNext/>
              <w:keepLines/>
              <w:widowControl/>
              <w:numPr>
                <w:ilvl w:val="0"/>
                <w:numId w:val="0"/>
              </w:numPr>
              <w:jc w:val="center"/>
            </w:pPr>
            <w:r>
              <w:t>1,050.08</w:t>
            </w:r>
          </w:p>
        </w:tc>
        <w:tc>
          <w:tcPr>
            <w:tcW w:w="1530" w:type="dxa"/>
            <w:shd w:val="clear" w:color="auto" w:fill="auto"/>
          </w:tcPr>
          <w:p w:rsidR="00490AE9" w:rsidRDefault="00490AE9">
            <w:pPr>
              <w:pStyle w:val="ParaNum"/>
              <w:keepNext/>
              <w:keepLines/>
              <w:widowControl/>
              <w:numPr>
                <w:ilvl w:val="0"/>
                <w:numId w:val="0"/>
              </w:numPr>
              <w:jc w:val="center"/>
            </w:pPr>
            <w:r>
              <w:t>Yes</w:t>
            </w:r>
          </w:p>
        </w:tc>
      </w:tr>
    </w:tbl>
    <w:p w:rsidR="00490AE9" w:rsidRDefault="00490AE9">
      <w:pPr>
        <w:pStyle w:val="ParaNum"/>
        <w:widowControl/>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637"/>
        <w:gridCol w:w="144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Idaho Study Area 472295  – April 1, 2013 through December 31, 2013</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637" w:type="dxa"/>
            <w:shd w:val="clear" w:color="auto" w:fill="auto"/>
          </w:tcPr>
          <w:p w:rsidR="00490AE9" w:rsidRDefault="00490AE9">
            <w:pPr>
              <w:pStyle w:val="ParaNum"/>
              <w:keepNext/>
              <w:keepLines/>
              <w:widowControl/>
              <w:numPr>
                <w:ilvl w:val="0"/>
                <w:numId w:val="0"/>
              </w:numPr>
              <w:jc w:val="left"/>
              <w:rPr>
                <w:b/>
              </w:rPr>
            </w:pPr>
            <w:r>
              <w:rPr>
                <w:b/>
              </w:rPr>
              <w:t>90% Capex CPL Estimate</w:t>
            </w:r>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440" w:type="dxa"/>
            <w:shd w:val="clear" w:color="auto" w:fill="auto"/>
          </w:tcPr>
          <w:p w:rsidR="00490AE9" w:rsidRDefault="00490AE9">
            <w:pPr>
              <w:pStyle w:val="ParaNum"/>
              <w:keepNext/>
              <w:keepLines/>
              <w:widowControl/>
              <w:numPr>
                <w:ilvl w:val="0"/>
                <w:numId w:val="0"/>
              </w:numPr>
              <w:jc w:val="center"/>
              <w:rPr>
                <w:b/>
              </w:rPr>
            </w:pPr>
            <w:r>
              <w:rPr>
                <w:b/>
              </w:rPr>
              <w:t>Summed 90%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Total Cost per Loop</w:t>
            </w:r>
            <w:r>
              <w:rPr>
                <w:rStyle w:val="FootnoteReference"/>
                <w:b/>
              </w:rPr>
              <w:footnoteReference w:id="38"/>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637" w:type="dxa"/>
            <w:shd w:val="clear" w:color="auto" w:fill="auto"/>
          </w:tcPr>
          <w:p w:rsidR="00490AE9" w:rsidRDefault="00490AE9">
            <w:pPr>
              <w:pStyle w:val="ParaNum"/>
              <w:keepNext/>
              <w:keepLines/>
              <w:widowControl/>
              <w:numPr>
                <w:ilvl w:val="0"/>
                <w:numId w:val="0"/>
              </w:numPr>
              <w:jc w:val="center"/>
            </w:pPr>
            <w:r>
              <w:t>466.38</w:t>
            </w:r>
          </w:p>
        </w:tc>
        <w:tc>
          <w:tcPr>
            <w:tcW w:w="1440" w:type="dxa"/>
            <w:shd w:val="clear" w:color="auto" w:fill="auto"/>
          </w:tcPr>
          <w:p w:rsidR="00490AE9" w:rsidRDefault="00490AE9">
            <w:pPr>
              <w:jc w:val="center"/>
            </w:pPr>
            <w:r>
              <w:t>621.84</w:t>
            </w:r>
          </w:p>
        </w:tc>
        <w:tc>
          <w:tcPr>
            <w:tcW w:w="1440" w:type="dxa"/>
            <w:shd w:val="clear" w:color="auto" w:fill="auto"/>
          </w:tcPr>
          <w:p w:rsidR="00490AE9" w:rsidRDefault="00490AE9">
            <w:pPr>
              <w:jc w:val="center"/>
              <w:rPr>
                <w:color w:val="000000"/>
                <w:sz w:val="24"/>
                <w:szCs w:val="24"/>
              </w:rPr>
            </w:pPr>
            <w:r>
              <w:rPr>
                <w:color w:val="000000"/>
              </w:rPr>
              <w:t>1,088.22</w:t>
            </w:r>
            <w:r>
              <w:rPr>
                <w:color w:val="000000"/>
              </w:rPr>
              <w:tab/>
            </w:r>
          </w:p>
        </w:tc>
        <w:tc>
          <w:tcPr>
            <w:tcW w:w="1620" w:type="dxa"/>
            <w:shd w:val="clear" w:color="auto" w:fill="auto"/>
          </w:tcPr>
          <w:p w:rsidR="00490AE9" w:rsidRDefault="00490AE9">
            <w:pPr>
              <w:jc w:val="center"/>
              <w:rPr>
                <w:color w:val="000000"/>
                <w:sz w:val="24"/>
                <w:szCs w:val="24"/>
              </w:rPr>
            </w:pPr>
            <w:r>
              <w:rPr>
                <w:color w:val="000000"/>
              </w:rPr>
              <w:t>1,699.92</w:t>
            </w:r>
          </w:p>
        </w:tc>
        <w:tc>
          <w:tcPr>
            <w:tcW w:w="1530" w:type="dxa"/>
            <w:shd w:val="clear" w:color="auto" w:fill="auto"/>
          </w:tcPr>
          <w:p w:rsidR="00490AE9" w:rsidRDefault="00490AE9">
            <w:pPr>
              <w:pStyle w:val="ParaNum"/>
              <w:keepNext/>
              <w:keepLines/>
              <w:widowControl/>
              <w:numPr>
                <w:ilvl w:val="0"/>
                <w:numId w:val="0"/>
              </w:numPr>
              <w:jc w:val="center"/>
            </w:pPr>
            <w:r>
              <w:t>Yes</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637" w:type="dxa"/>
            <w:shd w:val="clear" w:color="auto" w:fill="auto"/>
          </w:tcPr>
          <w:p w:rsidR="00490AE9" w:rsidRDefault="00490AE9">
            <w:pPr>
              <w:pStyle w:val="ParaNum"/>
              <w:keepNext/>
              <w:keepLines/>
              <w:widowControl/>
              <w:numPr>
                <w:ilvl w:val="0"/>
                <w:numId w:val="0"/>
              </w:numPr>
              <w:jc w:val="center"/>
            </w:pPr>
            <w:r>
              <w:t>500.90</w:t>
            </w:r>
          </w:p>
        </w:tc>
        <w:tc>
          <w:tcPr>
            <w:tcW w:w="1440" w:type="dxa"/>
            <w:shd w:val="clear" w:color="auto" w:fill="auto"/>
          </w:tcPr>
          <w:p w:rsidR="00490AE9" w:rsidRDefault="00490AE9">
            <w:pPr>
              <w:jc w:val="center"/>
            </w:pPr>
            <w:r>
              <w:t>658.33</w:t>
            </w:r>
          </w:p>
        </w:tc>
        <w:tc>
          <w:tcPr>
            <w:tcW w:w="1440" w:type="dxa"/>
            <w:shd w:val="clear" w:color="auto" w:fill="auto"/>
          </w:tcPr>
          <w:p w:rsidR="00490AE9" w:rsidRDefault="00490AE9">
            <w:pPr>
              <w:pStyle w:val="ParaNum"/>
              <w:keepNext/>
              <w:keepLines/>
              <w:widowControl/>
              <w:numPr>
                <w:ilvl w:val="0"/>
                <w:numId w:val="0"/>
              </w:numPr>
              <w:jc w:val="center"/>
            </w:pPr>
            <w:r>
              <w:t>1159.23</w:t>
            </w:r>
          </w:p>
        </w:tc>
        <w:tc>
          <w:tcPr>
            <w:tcW w:w="1620" w:type="dxa"/>
            <w:shd w:val="clear" w:color="auto" w:fill="auto"/>
          </w:tcPr>
          <w:p w:rsidR="00490AE9" w:rsidRDefault="00490AE9">
            <w:pPr>
              <w:pStyle w:val="ParaNum"/>
              <w:keepNext/>
              <w:keepLines/>
              <w:widowControl/>
              <w:numPr>
                <w:ilvl w:val="0"/>
                <w:numId w:val="0"/>
              </w:numPr>
              <w:jc w:val="center"/>
            </w:pPr>
            <w:r>
              <w:rPr>
                <w:color w:val="000000"/>
              </w:rPr>
              <w:t>1,699.92</w:t>
            </w:r>
          </w:p>
        </w:tc>
        <w:tc>
          <w:tcPr>
            <w:tcW w:w="1530" w:type="dxa"/>
            <w:shd w:val="clear" w:color="auto" w:fill="auto"/>
          </w:tcPr>
          <w:p w:rsidR="00490AE9" w:rsidRDefault="00490AE9">
            <w:pPr>
              <w:pStyle w:val="ParaNum"/>
              <w:keepNext/>
              <w:keepLines/>
              <w:widowControl/>
              <w:numPr>
                <w:ilvl w:val="0"/>
                <w:numId w:val="0"/>
              </w:numPr>
              <w:jc w:val="center"/>
            </w:pPr>
            <w:r>
              <w:t>Yes</w:t>
            </w:r>
          </w:p>
        </w:tc>
      </w:tr>
    </w:tbl>
    <w:p w:rsidR="00490AE9" w:rsidRDefault="00490AE9">
      <w:pPr>
        <w:pStyle w:val="ParaNum"/>
        <w:widowControl/>
        <w:numPr>
          <w:ilvl w:val="0"/>
          <w:numId w:val="0"/>
        </w:num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787"/>
        <w:gridCol w:w="129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Wyoming Study Area 512295 -- July 1, 2012 through December 31, 2012</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787" w:type="dxa"/>
            <w:shd w:val="clear" w:color="auto" w:fill="auto"/>
          </w:tcPr>
          <w:p w:rsidR="00490AE9" w:rsidRDefault="00490AE9">
            <w:pPr>
              <w:pStyle w:val="ParaNum"/>
              <w:keepNext/>
              <w:keepLines/>
              <w:widowControl/>
              <w:numPr>
                <w:ilvl w:val="0"/>
                <w:numId w:val="0"/>
              </w:numPr>
              <w:jc w:val="center"/>
              <w:rPr>
                <w:b/>
              </w:rPr>
            </w:pPr>
            <w:r>
              <w:rPr>
                <w:b/>
              </w:rPr>
              <w:t>90% Capex CPL Estimate</w:t>
            </w:r>
          </w:p>
        </w:tc>
        <w:tc>
          <w:tcPr>
            <w:tcW w:w="1290" w:type="dxa"/>
            <w:shd w:val="clear" w:color="auto" w:fill="auto"/>
          </w:tcPr>
          <w:p w:rsidR="00490AE9" w:rsidRDefault="00490AE9">
            <w:pPr>
              <w:pStyle w:val="ParaNum"/>
              <w:keepNext/>
              <w:keepLines/>
              <w:widowControl/>
              <w:numPr>
                <w:ilvl w:val="0"/>
                <w:numId w:val="0"/>
              </w:numPr>
              <w:jc w:val="center"/>
              <w:rPr>
                <w:b/>
              </w:rPr>
            </w:pPr>
            <w:r>
              <w:rPr>
                <w:b/>
              </w:rPr>
              <w:t>Capex CPL</w:t>
            </w:r>
            <w:r>
              <w:rPr>
                <w:rStyle w:val="FootnoteReference"/>
                <w:b/>
              </w:rPr>
              <w:footnoteReference w:id="39"/>
            </w:r>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Opex CPL</w:t>
            </w:r>
            <w:r>
              <w:rPr>
                <w:rStyle w:val="FootnoteReference"/>
                <w:b/>
              </w:rPr>
              <w:footnoteReference w:id="40"/>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787" w:type="dxa"/>
            <w:shd w:val="clear" w:color="auto" w:fill="auto"/>
          </w:tcPr>
          <w:p w:rsidR="00490AE9" w:rsidRDefault="00490AE9">
            <w:pPr>
              <w:pStyle w:val="ParaNum"/>
              <w:keepNext/>
              <w:keepLines/>
              <w:widowControl/>
              <w:numPr>
                <w:ilvl w:val="0"/>
                <w:numId w:val="0"/>
              </w:numPr>
              <w:jc w:val="center"/>
            </w:pPr>
            <w:r>
              <w:t>625.10</w:t>
            </w:r>
          </w:p>
        </w:tc>
        <w:tc>
          <w:tcPr>
            <w:tcW w:w="1290" w:type="dxa"/>
            <w:shd w:val="clear" w:color="auto" w:fill="auto"/>
          </w:tcPr>
          <w:p w:rsidR="00490AE9" w:rsidRDefault="00490AE9">
            <w:pPr>
              <w:pStyle w:val="ParaNum"/>
              <w:keepNext/>
              <w:keepLines/>
              <w:widowControl/>
              <w:numPr>
                <w:ilvl w:val="0"/>
                <w:numId w:val="0"/>
              </w:numPr>
              <w:jc w:val="center"/>
            </w:pPr>
            <w:r>
              <w:t>458.25</w:t>
            </w:r>
          </w:p>
        </w:tc>
        <w:tc>
          <w:tcPr>
            <w:tcW w:w="1440" w:type="dxa"/>
            <w:shd w:val="clear" w:color="auto" w:fill="auto"/>
          </w:tcPr>
          <w:p w:rsidR="00490AE9" w:rsidRDefault="00490AE9">
            <w:pPr>
              <w:pStyle w:val="ParaNum"/>
              <w:keepNext/>
              <w:keepLines/>
              <w:widowControl/>
              <w:numPr>
                <w:ilvl w:val="0"/>
                <w:numId w:val="0"/>
              </w:numPr>
              <w:jc w:val="center"/>
            </w:pPr>
            <w:r>
              <w:t>725.26</w:t>
            </w:r>
          </w:p>
        </w:tc>
        <w:tc>
          <w:tcPr>
            <w:tcW w:w="1620" w:type="dxa"/>
            <w:shd w:val="clear" w:color="auto" w:fill="auto"/>
          </w:tcPr>
          <w:p w:rsidR="00490AE9" w:rsidRDefault="00490AE9">
            <w:pPr>
              <w:pStyle w:val="ParaNum"/>
              <w:keepNext/>
              <w:keepLines/>
              <w:widowControl/>
              <w:numPr>
                <w:ilvl w:val="0"/>
                <w:numId w:val="0"/>
              </w:numPr>
              <w:jc w:val="center"/>
            </w:pPr>
            <w:r>
              <w:t>780.34</w:t>
            </w:r>
          </w:p>
        </w:tc>
        <w:tc>
          <w:tcPr>
            <w:tcW w:w="1530" w:type="dxa"/>
            <w:shd w:val="clear" w:color="auto" w:fill="auto"/>
          </w:tcPr>
          <w:p w:rsidR="00490AE9" w:rsidRDefault="00490AE9">
            <w:pPr>
              <w:pStyle w:val="ParaNum"/>
              <w:keepNext/>
              <w:keepLines/>
              <w:widowControl/>
              <w:numPr>
                <w:ilvl w:val="0"/>
                <w:numId w:val="0"/>
              </w:numPr>
              <w:jc w:val="center"/>
            </w:pPr>
            <w:r>
              <w:t>Yes</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787" w:type="dxa"/>
            <w:shd w:val="clear" w:color="auto" w:fill="auto"/>
          </w:tcPr>
          <w:p w:rsidR="00490AE9" w:rsidRDefault="00490AE9">
            <w:pPr>
              <w:pStyle w:val="ParaNum"/>
              <w:keepNext/>
              <w:keepLines/>
              <w:widowControl/>
              <w:numPr>
                <w:ilvl w:val="0"/>
                <w:numId w:val="0"/>
              </w:numPr>
              <w:jc w:val="center"/>
            </w:pPr>
            <w:r>
              <w:t>671.89</w:t>
            </w:r>
          </w:p>
        </w:tc>
        <w:tc>
          <w:tcPr>
            <w:tcW w:w="1290" w:type="dxa"/>
            <w:shd w:val="clear" w:color="auto" w:fill="auto"/>
          </w:tcPr>
          <w:p w:rsidR="00490AE9" w:rsidRDefault="00490AE9">
            <w:pPr>
              <w:pStyle w:val="ParaNum"/>
              <w:keepNext/>
              <w:keepLines/>
              <w:widowControl/>
              <w:numPr>
                <w:ilvl w:val="0"/>
                <w:numId w:val="0"/>
              </w:numPr>
              <w:jc w:val="center"/>
            </w:pPr>
            <w:r>
              <w:t>458.25</w:t>
            </w:r>
          </w:p>
        </w:tc>
        <w:tc>
          <w:tcPr>
            <w:tcW w:w="1440" w:type="dxa"/>
            <w:shd w:val="clear" w:color="auto" w:fill="auto"/>
          </w:tcPr>
          <w:p w:rsidR="00490AE9" w:rsidRDefault="00BD5754">
            <w:pPr>
              <w:pStyle w:val="ParaNum"/>
              <w:keepNext/>
              <w:keepLines/>
              <w:widowControl/>
              <w:numPr>
                <w:ilvl w:val="0"/>
                <w:numId w:val="0"/>
              </w:numPr>
              <w:jc w:val="center"/>
            </w:pPr>
            <w:r>
              <w:t>781.81</w:t>
            </w:r>
          </w:p>
        </w:tc>
        <w:tc>
          <w:tcPr>
            <w:tcW w:w="1620" w:type="dxa"/>
            <w:shd w:val="clear" w:color="auto" w:fill="auto"/>
          </w:tcPr>
          <w:p w:rsidR="00490AE9" w:rsidRDefault="00490AE9">
            <w:pPr>
              <w:pStyle w:val="ParaNum"/>
              <w:keepNext/>
              <w:keepLines/>
              <w:widowControl/>
              <w:numPr>
                <w:ilvl w:val="0"/>
                <w:numId w:val="0"/>
              </w:numPr>
              <w:jc w:val="center"/>
            </w:pPr>
            <w:r>
              <w:t>780.34</w:t>
            </w:r>
          </w:p>
        </w:tc>
        <w:tc>
          <w:tcPr>
            <w:tcW w:w="1530" w:type="dxa"/>
            <w:shd w:val="clear" w:color="auto" w:fill="auto"/>
          </w:tcPr>
          <w:p w:rsidR="00490AE9" w:rsidRDefault="00BD5754">
            <w:pPr>
              <w:pStyle w:val="ParaNum"/>
              <w:keepNext/>
              <w:keepLines/>
              <w:widowControl/>
              <w:numPr>
                <w:ilvl w:val="0"/>
                <w:numId w:val="0"/>
              </w:numPr>
              <w:jc w:val="center"/>
            </w:pPr>
            <w:r>
              <w:t>No</w:t>
            </w:r>
          </w:p>
        </w:tc>
      </w:tr>
    </w:tbl>
    <w:p w:rsidR="00490AE9" w:rsidRDefault="00490AE9">
      <w:pPr>
        <w:pStyle w:val="ParaNum"/>
        <w:widowControl/>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787"/>
        <w:gridCol w:w="129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Wyoming Study Area 512295 – January 1, 2013 through March 31, 2013</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787" w:type="dxa"/>
            <w:shd w:val="clear" w:color="auto" w:fill="auto"/>
          </w:tcPr>
          <w:p w:rsidR="00490AE9" w:rsidRDefault="00490AE9">
            <w:pPr>
              <w:pStyle w:val="ParaNum"/>
              <w:keepNext/>
              <w:keepLines/>
              <w:widowControl/>
              <w:numPr>
                <w:ilvl w:val="0"/>
                <w:numId w:val="0"/>
              </w:numPr>
              <w:jc w:val="center"/>
              <w:rPr>
                <w:b/>
              </w:rPr>
            </w:pPr>
            <w:r>
              <w:rPr>
                <w:b/>
              </w:rPr>
              <w:t>90% Capex CPL Estimate</w:t>
            </w:r>
          </w:p>
        </w:tc>
        <w:tc>
          <w:tcPr>
            <w:tcW w:w="1290" w:type="dxa"/>
            <w:shd w:val="clear" w:color="auto" w:fill="auto"/>
          </w:tcPr>
          <w:p w:rsidR="00490AE9" w:rsidRDefault="00490AE9">
            <w:pPr>
              <w:pStyle w:val="ParaNum"/>
              <w:keepNext/>
              <w:keepLines/>
              <w:widowControl/>
              <w:numPr>
                <w:ilvl w:val="0"/>
                <w:numId w:val="0"/>
              </w:numPr>
              <w:jc w:val="center"/>
              <w:rPr>
                <w:b/>
              </w:rPr>
            </w:pPr>
            <w:r>
              <w:rPr>
                <w:b/>
              </w:rPr>
              <w:t>Capex CPL</w:t>
            </w:r>
            <w:r>
              <w:rPr>
                <w:rStyle w:val="FootnoteReference"/>
                <w:b/>
              </w:rPr>
              <w:footnoteReference w:id="41"/>
            </w:r>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Opex CPL</w:t>
            </w:r>
            <w:r>
              <w:rPr>
                <w:rStyle w:val="FootnoteReference"/>
                <w:b/>
              </w:rPr>
              <w:footnoteReference w:id="42"/>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787" w:type="dxa"/>
            <w:shd w:val="clear" w:color="auto" w:fill="auto"/>
          </w:tcPr>
          <w:p w:rsidR="00490AE9" w:rsidRDefault="00490AE9">
            <w:pPr>
              <w:pStyle w:val="ParaNum"/>
              <w:keepNext/>
              <w:keepLines/>
              <w:widowControl/>
              <w:numPr>
                <w:ilvl w:val="0"/>
                <w:numId w:val="0"/>
              </w:numPr>
              <w:jc w:val="center"/>
            </w:pPr>
            <w:r>
              <w:t>639.65</w:t>
            </w:r>
          </w:p>
        </w:tc>
        <w:tc>
          <w:tcPr>
            <w:tcW w:w="1290" w:type="dxa"/>
            <w:shd w:val="clear" w:color="auto" w:fill="auto"/>
          </w:tcPr>
          <w:p w:rsidR="00490AE9" w:rsidRDefault="00490AE9">
            <w:pPr>
              <w:pStyle w:val="ParaNum"/>
              <w:keepNext/>
              <w:keepLines/>
              <w:widowControl/>
              <w:numPr>
                <w:ilvl w:val="0"/>
                <w:numId w:val="0"/>
              </w:numPr>
              <w:jc w:val="center"/>
            </w:pPr>
            <w:r>
              <w:t>522.50</w:t>
            </w:r>
          </w:p>
        </w:tc>
        <w:tc>
          <w:tcPr>
            <w:tcW w:w="1440" w:type="dxa"/>
            <w:shd w:val="clear" w:color="auto" w:fill="auto"/>
          </w:tcPr>
          <w:p w:rsidR="00490AE9" w:rsidRDefault="00490AE9">
            <w:pPr>
              <w:pStyle w:val="ParaNum"/>
              <w:keepNext/>
              <w:keepLines/>
              <w:widowControl/>
              <w:numPr>
                <w:ilvl w:val="0"/>
                <w:numId w:val="0"/>
              </w:numPr>
              <w:jc w:val="center"/>
            </w:pPr>
            <w:r>
              <w:t>719.54</w:t>
            </w:r>
          </w:p>
        </w:tc>
        <w:tc>
          <w:tcPr>
            <w:tcW w:w="1620" w:type="dxa"/>
            <w:shd w:val="clear" w:color="auto" w:fill="auto"/>
          </w:tcPr>
          <w:p w:rsidR="00490AE9" w:rsidRDefault="00490AE9">
            <w:pPr>
              <w:pStyle w:val="ParaNum"/>
              <w:keepNext/>
              <w:keepLines/>
              <w:widowControl/>
              <w:numPr>
                <w:ilvl w:val="0"/>
                <w:numId w:val="0"/>
              </w:numPr>
              <w:jc w:val="center"/>
            </w:pPr>
            <w:r>
              <w:t>643.13</w:t>
            </w:r>
          </w:p>
        </w:tc>
        <w:tc>
          <w:tcPr>
            <w:tcW w:w="1530" w:type="dxa"/>
            <w:shd w:val="clear" w:color="auto" w:fill="auto"/>
          </w:tcPr>
          <w:p w:rsidR="00490AE9" w:rsidRDefault="00490AE9">
            <w:pPr>
              <w:pStyle w:val="ParaNum"/>
              <w:keepNext/>
              <w:keepLines/>
              <w:widowControl/>
              <w:numPr>
                <w:ilvl w:val="0"/>
                <w:numId w:val="0"/>
              </w:numPr>
              <w:jc w:val="center"/>
            </w:pPr>
            <w:r>
              <w:t>No</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787" w:type="dxa"/>
            <w:shd w:val="clear" w:color="auto" w:fill="auto"/>
          </w:tcPr>
          <w:p w:rsidR="00490AE9" w:rsidRDefault="00490AE9">
            <w:pPr>
              <w:pStyle w:val="ParaNum"/>
              <w:keepNext/>
              <w:keepLines/>
              <w:widowControl/>
              <w:numPr>
                <w:ilvl w:val="0"/>
                <w:numId w:val="0"/>
              </w:numPr>
              <w:jc w:val="center"/>
            </w:pPr>
            <w:r>
              <w:t>687.54</w:t>
            </w:r>
          </w:p>
        </w:tc>
        <w:tc>
          <w:tcPr>
            <w:tcW w:w="1290" w:type="dxa"/>
            <w:shd w:val="clear" w:color="auto" w:fill="auto"/>
          </w:tcPr>
          <w:p w:rsidR="00490AE9" w:rsidRDefault="00490AE9">
            <w:pPr>
              <w:pStyle w:val="ParaNum"/>
              <w:keepNext/>
              <w:keepLines/>
              <w:widowControl/>
              <w:numPr>
                <w:ilvl w:val="0"/>
                <w:numId w:val="0"/>
              </w:numPr>
              <w:jc w:val="center"/>
            </w:pPr>
            <w:r>
              <w:t>522.50</w:t>
            </w:r>
          </w:p>
        </w:tc>
        <w:tc>
          <w:tcPr>
            <w:tcW w:w="1440" w:type="dxa"/>
            <w:shd w:val="clear" w:color="auto" w:fill="auto"/>
          </w:tcPr>
          <w:p w:rsidR="00490AE9" w:rsidRDefault="00490AE9">
            <w:pPr>
              <w:pStyle w:val="ParaNum"/>
              <w:keepNext/>
              <w:keepLines/>
              <w:widowControl/>
              <w:numPr>
                <w:ilvl w:val="0"/>
                <w:numId w:val="0"/>
              </w:numPr>
              <w:jc w:val="center"/>
            </w:pPr>
            <w:r>
              <w:t>775.65</w:t>
            </w:r>
          </w:p>
        </w:tc>
        <w:tc>
          <w:tcPr>
            <w:tcW w:w="1620" w:type="dxa"/>
            <w:shd w:val="clear" w:color="auto" w:fill="auto"/>
          </w:tcPr>
          <w:p w:rsidR="00490AE9" w:rsidRDefault="00490AE9">
            <w:pPr>
              <w:pStyle w:val="ParaNum"/>
              <w:keepNext/>
              <w:keepLines/>
              <w:widowControl/>
              <w:numPr>
                <w:ilvl w:val="0"/>
                <w:numId w:val="0"/>
              </w:numPr>
              <w:jc w:val="center"/>
            </w:pPr>
            <w:r>
              <w:t>643.13</w:t>
            </w:r>
          </w:p>
        </w:tc>
        <w:tc>
          <w:tcPr>
            <w:tcW w:w="1530" w:type="dxa"/>
            <w:shd w:val="clear" w:color="auto" w:fill="auto"/>
          </w:tcPr>
          <w:p w:rsidR="00490AE9" w:rsidRDefault="00490AE9">
            <w:pPr>
              <w:pStyle w:val="ParaNum"/>
              <w:keepNext/>
              <w:keepLines/>
              <w:widowControl/>
              <w:numPr>
                <w:ilvl w:val="0"/>
                <w:numId w:val="0"/>
              </w:numPr>
              <w:jc w:val="center"/>
            </w:pPr>
            <w:r>
              <w:t>No</w:t>
            </w:r>
          </w:p>
        </w:tc>
      </w:tr>
    </w:tbl>
    <w:p w:rsidR="00490AE9" w:rsidRDefault="00490AE9">
      <w:pPr>
        <w:pStyle w:val="ParaNum"/>
        <w:widowControl/>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637"/>
        <w:gridCol w:w="1440"/>
        <w:gridCol w:w="1440"/>
        <w:gridCol w:w="1620"/>
        <w:gridCol w:w="1530"/>
      </w:tblGrid>
      <w:tr w:rsidR="00490AE9">
        <w:trPr>
          <w:cantSplit/>
        </w:trPr>
        <w:tc>
          <w:tcPr>
            <w:tcW w:w="9198" w:type="dxa"/>
            <w:gridSpan w:val="6"/>
            <w:shd w:val="clear" w:color="auto" w:fill="auto"/>
          </w:tcPr>
          <w:p w:rsidR="00490AE9" w:rsidRDefault="00490AE9">
            <w:pPr>
              <w:pStyle w:val="ParaNum"/>
              <w:keepNext/>
              <w:keepLines/>
              <w:widowControl/>
              <w:numPr>
                <w:ilvl w:val="0"/>
                <w:numId w:val="0"/>
              </w:numPr>
              <w:jc w:val="center"/>
              <w:rPr>
                <w:b/>
              </w:rPr>
            </w:pPr>
            <w:r>
              <w:rPr>
                <w:b/>
              </w:rPr>
              <w:t>Wyoming Study Area 512295  – April 1, 2013 through December 31, 2013</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rPr>
                <w:b/>
              </w:rPr>
            </w:pPr>
            <w:r>
              <w:rPr>
                <w:b/>
              </w:rPr>
              <w:t>Silver Star</w:t>
            </w:r>
          </w:p>
        </w:tc>
        <w:tc>
          <w:tcPr>
            <w:tcW w:w="1637" w:type="dxa"/>
            <w:shd w:val="clear" w:color="auto" w:fill="auto"/>
          </w:tcPr>
          <w:p w:rsidR="00490AE9" w:rsidRDefault="00490AE9">
            <w:pPr>
              <w:pStyle w:val="ParaNum"/>
              <w:keepNext/>
              <w:keepLines/>
              <w:widowControl/>
              <w:numPr>
                <w:ilvl w:val="0"/>
                <w:numId w:val="0"/>
              </w:numPr>
              <w:jc w:val="left"/>
              <w:rPr>
                <w:b/>
              </w:rPr>
            </w:pPr>
            <w:r>
              <w:rPr>
                <w:b/>
              </w:rPr>
              <w:t>90% Capex CPL Estimate</w:t>
            </w:r>
          </w:p>
        </w:tc>
        <w:tc>
          <w:tcPr>
            <w:tcW w:w="1440" w:type="dxa"/>
            <w:shd w:val="clear" w:color="auto" w:fill="auto"/>
          </w:tcPr>
          <w:p w:rsidR="00490AE9" w:rsidRDefault="00490AE9">
            <w:pPr>
              <w:pStyle w:val="ParaNum"/>
              <w:keepNext/>
              <w:keepLines/>
              <w:widowControl/>
              <w:numPr>
                <w:ilvl w:val="0"/>
                <w:numId w:val="0"/>
              </w:numPr>
              <w:jc w:val="center"/>
              <w:rPr>
                <w:b/>
              </w:rPr>
            </w:pPr>
            <w:r>
              <w:rPr>
                <w:b/>
              </w:rPr>
              <w:t>90% Opex CPL Estimate</w:t>
            </w:r>
          </w:p>
        </w:tc>
        <w:tc>
          <w:tcPr>
            <w:tcW w:w="1440" w:type="dxa"/>
            <w:shd w:val="clear" w:color="auto" w:fill="auto"/>
          </w:tcPr>
          <w:p w:rsidR="00490AE9" w:rsidRDefault="00490AE9">
            <w:pPr>
              <w:pStyle w:val="ParaNum"/>
              <w:keepNext/>
              <w:keepLines/>
              <w:widowControl/>
              <w:numPr>
                <w:ilvl w:val="0"/>
                <w:numId w:val="0"/>
              </w:numPr>
              <w:jc w:val="center"/>
              <w:rPr>
                <w:b/>
              </w:rPr>
            </w:pPr>
            <w:r>
              <w:rPr>
                <w:b/>
              </w:rPr>
              <w:t>Summed 90% CPL Estimate</w:t>
            </w:r>
          </w:p>
        </w:tc>
        <w:tc>
          <w:tcPr>
            <w:tcW w:w="1620" w:type="dxa"/>
            <w:shd w:val="clear" w:color="auto" w:fill="auto"/>
          </w:tcPr>
          <w:p w:rsidR="00490AE9" w:rsidRDefault="00490AE9">
            <w:pPr>
              <w:pStyle w:val="ParaNum"/>
              <w:keepNext/>
              <w:keepLines/>
              <w:widowControl/>
              <w:numPr>
                <w:ilvl w:val="0"/>
                <w:numId w:val="0"/>
              </w:numPr>
              <w:jc w:val="center"/>
              <w:rPr>
                <w:b/>
              </w:rPr>
            </w:pPr>
            <w:r>
              <w:rPr>
                <w:b/>
              </w:rPr>
              <w:t>Total Cost per Loop</w:t>
            </w:r>
            <w:r>
              <w:rPr>
                <w:rStyle w:val="FootnoteReference"/>
                <w:b/>
              </w:rPr>
              <w:footnoteReference w:id="43"/>
            </w:r>
          </w:p>
        </w:tc>
        <w:tc>
          <w:tcPr>
            <w:tcW w:w="1530" w:type="dxa"/>
            <w:shd w:val="clear" w:color="auto" w:fill="auto"/>
          </w:tcPr>
          <w:p w:rsidR="00490AE9" w:rsidRDefault="00490AE9">
            <w:pPr>
              <w:pStyle w:val="ParaNum"/>
              <w:keepNext/>
              <w:keepLines/>
              <w:widowControl/>
              <w:numPr>
                <w:ilvl w:val="0"/>
                <w:numId w:val="0"/>
              </w:numPr>
              <w:jc w:val="center"/>
              <w:rPr>
                <w:b/>
              </w:rPr>
            </w:pPr>
            <w:r>
              <w:rPr>
                <w:b/>
              </w:rPr>
              <w:t>Capped?</w:t>
            </w:r>
          </w:p>
        </w:tc>
      </w:tr>
      <w:tr w:rsidR="00490AE9">
        <w:trPr>
          <w:cantSplit/>
          <w:trHeight w:val="557"/>
        </w:trPr>
        <w:tc>
          <w:tcPr>
            <w:tcW w:w="1531" w:type="dxa"/>
            <w:shd w:val="clear" w:color="auto" w:fill="auto"/>
          </w:tcPr>
          <w:p w:rsidR="00490AE9" w:rsidRDefault="00490AE9">
            <w:pPr>
              <w:pStyle w:val="ParaNum"/>
              <w:keepNext/>
              <w:keepLines/>
              <w:widowControl/>
              <w:numPr>
                <w:ilvl w:val="0"/>
                <w:numId w:val="0"/>
              </w:numPr>
              <w:jc w:val="left"/>
            </w:pPr>
            <w:r>
              <w:t>Original</w:t>
            </w:r>
          </w:p>
        </w:tc>
        <w:tc>
          <w:tcPr>
            <w:tcW w:w="1637" w:type="dxa"/>
            <w:shd w:val="clear" w:color="auto" w:fill="auto"/>
          </w:tcPr>
          <w:p w:rsidR="00490AE9" w:rsidRDefault="00490AE9">
            <w:pPr>
              <w:pStyle w:val="ParaNum"/>
              <w:keepNext/>
              <w:keepLines/>
              <w:widowControl/>
              <w:numPr>
                <w:ilvl w:val="0"/>
                <w:numId w:val="0"/>
              </w:numPr>
              <w:jc w:val="center"/>
            </w:pPr>
            <w:r>
              <w:t>639.65</w:t>
            </w:r>
          </w:p>
        </w:tc>
        <w:tc>
          <w:tcPr>
            <w:tcW w:w="1440" w:type="dxa"/>
            <w:shd w:val="clear" w:color="auto" w:fill="auto"/>
          </w:tcPr>
          <w:p w:rsidR="00490AE9" w:rsidRDefault="00490AE9">
            <w:pPr>
              <w:pStyle w:val="ParaNum"/>
              <w:keepNext/>
              <w:keepLines/>
              <w:widowControl/>
              <w:numPr>
                <w:ilvl w:val="0"/>
                <w:numId w:val="0"/>
              </w:numPr>
              <w:jc w:val="center"/>
            </w:pPr>
            <w:r>
              <w:t>719.54</w:t>
            </w:r>
          </w:p>
        </w:tc>
        <w:tc>
          <w:tcPr>
            <w:tcW w:w="1440" w:type="dxa"/>
            <w:shd w:val="clear" w:color="auto" w:fill="auto"/>
          </w:tcPr>
          <w:p w:rsidR="00490AE9" w:rsidRDefault="00490AE9">
            <w:pPr>
              <w:jc w:val="center"/>
              <w:rPr>
                <w:color w:val="000000"/>
                <w:sz w:val="24"/>
                <w:szCs w:val="24"/>
              </w:rPr>
            </w:pPr>
            <w:r>
              <w:rPr>
                <w:color w:val="000000"/>
              </w:rPr>
              <w:t>1359.19</w:t>
            </w:r>
            <w:r>
              <w:rPr>
                <w:color w:val="000000"/>
              </w:rPr>
              <w:tab/>
            </w:r>
          </w:p>
        </w:tc>
        <w:tc>
          <w:tcPr>
            <w:tcW w:w="1620" w:type="dxa"/>
            <w:shd w:val="clear" w:color="auto" w:fill="auto"/>
          </w:tcPr>
          <w:p w:rsidR="00490AE9" w:rsidRDefault="00490AE9">
            <w:pPr>
              <w:jc w:val="center"/>
              <w:rPr>
                <w:color w:val="000000"/>
                <w:sz w:val="24"/>
                <w:szCs w:val="24"/>
              </w:rPr>
            </w:pPr>
            <w:r>
              <w:rPr>
                <w:color w:val="000000"/>
              </w:rPr>
              <w:t>1165.63</w:t>
            </w:r>
          </w:p>
        </w:tc>
        <w:tc>
          <w:tcPr>
            <w:tcW w:w="1530" w:type="dxa"/>
            <w:shd w:val="clear" w:color="auto" w:fill="auto"/>
          </w:tcPr>
          <w:p w:rsidR="00490AE9" w:rsidRDefault="00490AE9">
            <w:pPr>
              <w:pStyle w:val="ParaNum"/>
              <w:keepNext/>
              <w:keepLines/>
              <w:widowControl/>
              <w:numPr>
                <w:ilvl w:val="0"/>
                <w:numId w:val="0"/>
              </w:numPr>
              <w:jc w:val="center"/>
            </w:pPr>
            <w:r>
              <w:t>No</w:t>
            </w:r>
          </w:p>
        </w:tc>
      </w:tr>
      <w:tr w:rsidR="00490AE9">
        <w:trPr>
          <w:cantSplit/>
        </w:trPr>
        <w:tc>
          <w:tcPr>
            <w:tcW w:w="1531" w:type="dxa"/>
            <w:shd w:val="clear" w:color="auto" w:fill="auto"/>
          </w:tcPr>
          <w:p w:rsidR="00490AE9" w:rsidRDefault="00490AE9">
            <w:pPr>
              <w:pStyle w:val="ParaNum"/>
              <w:keepNext/>
              <w:keepLines/>
              <w:widowControl/>
              <w:numPr>
                <w:ilvl w:val="0"/>
                <w:numId w:val="0"/>
              </w:numPr>
              <w:jc w:val="left"/>
            </w:pPr>
            <w:r>
              <w:t>Revised</w:t>
            </w:r>
          </w:p>
        </w:tc>
        <w:tc>
          <w:tcPr>
            <w:tcW w:w="1637" w:type="dxa"/>
            <w:shd w:val="clear" w:color="auto" w:fill="auto"/>
          </w:tcPr>
          <w:p w:rsidR="00490AE9" w:rsidRDefault="00490AE9">
            <w:pPr>
              <w:pStyle w:val="ParaNum"/>
              <w:keepNext/>
              <w:keepLines/>
              <w:widowControl/>
              <w:numPr>
                <w:ilvl w:val="0"/>
                <w:numId w:val="0"/>
              </w:numPr>
              <w:jc w:val="center"/>
            </w:pPr>
            <w:r>
              <w:t>687.54</w:t>
            </w:r>
          </w:p>
        </w:tc>
        <w:tc>
          <w:tcPr>
            <w:tcW w:w="1440" w:type="dxa"/>
            <w:shd w:val="clear" w:color="auto" w:fill="auto"/>
          </w:tcPr>
          <w:p w:rsidR="00490AE9" w:rsidRDefault="00490AE9">
            <w:pPr>
              <w:pStyle w:val="ParaNum"/>
              <w:keepNext/>
              <w:keepLines/>
              <w:widowControl/>
              <w:numPr>
                <w:ilvl w:val="0"/>
                <w:numId w:val="0"/>
              </w:numPr>
              <w:jc w:val="center"/>
            </w:pPr>
            <w:r>
              <w:t>775.65</w:t>
            </w:r>
          </w:p>
        </w:tc>
        <w:tc>
          <w:tcPr>
            <w:tcW w:w="1440" w:type="dxa"/>
            <w:shd w:val="clear" w:color="auto" w:fill="auto"/>
          </w:tcPr>
          <w:p w:rsidR="00490AE9" w:rsidRDefault="00490AE9">
            <w:pPr>
              <w:pStyle w:val="ParaNum"/>
              <w:keepNext/>
              <w:keepLines/>
              <w:widowControl/>
              <w:numPr>
                <w:ilvl w:val="0"/>
                <w:numId w:val="0"/>
              </w:numPr>
              <w:jc w:val="center"/>
            </w:pPr>
            <w:r>
              <w:t>1463.19</w:t>
            </w:r>
          </w:p>
        </w:tc>
        <w:tc>
          <w:tcPr>
            <w:tcW w:w="1620" w:type="dxa"/>
            <w:shd w:val="clear" w:color="auto" w:fill="auto"/>
          </w:tcPr>
          <w:p w:rsidR="00490AE9" w:rsidRDefault="00490AE9">
            <w:pPr>
              <w:pStyle w:val="ParaNum"/>
              <w:keepNext/>
              <w:keepLines/>
              <w:widowControl/>
              <w:numPr>
                <w:ilvl w:val="0"/>
                <w:numId w:val="0"/>
              </w:numPr>
              <w:jc w:val="center"/>
            </w:pPr>
            <w:r>
              <w:rPr>
                <w:color w:val="000000"/>
              </w:rPr>
              <w:t>1165.63</w:t>
            </w:r>
          </w:p>
        </w:tc>
        <w:tc>
          <w:tcPr>
            <w:tcW w:w="1530" w:type="dxa"/>
            <w:shd w:val="clear" w:color="auto" w:fill="auto"/>
          </w:tcPr>
          <w:p w:rsidR="00490AE9" w:rsidRDefault="00490AE9">
            <w:pPr>
              <w:pStyle w:val="ParaNum"/>
              <w:keepNext/>
              <w:keepLines/>
              <w:widowControl/>
              <w:numPr>
                <w:ilvl w:val="0"/>
                <w:numId w:val="0"/>
              </w:numPr>
              <w:jc w:val="center"/>
            </w:pPr>
            <w:r>
              <w:t>No</w:t>
            </w:r>
          </w:p>
        </w:tc>
      </w:tr>
    </w:tbl>
    <w:p w:rsidR="00490AE9" w:rsidRDefault="00490AE9">
      <w:pPr>
        <w:pStyle w:val="ParaNum"/>
        <w:widowControl/>
        <w:numPr>
          <w:ilvl w:val="0"/>
          <w:numId w:val="0"/>
        </w:numPr>
        <w:jc w:val="left"/>
        <w:rPr>
          <w:b/>
        </w:rPr>
      </w:pPr>
    </w:p>
    <w:sectPr w:rsidR="00490AE9">
      <w:footerReference w:type="first" r:id="rId14"/>
      <w:footnotePr>
        <w:numRestart w:val="eachSect"/>
      </w:footnotePr>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ED" w:rsidRDefault="00D65DED">
      <w:r>
        <w:separator/>
      </w:r>
    </w:p>
  </w:endnote>
  <w:endnote w:type="continuationSeparator" w:id="0">
    <w:p w:rsidR="00D65DED" w:rsidRDefault="00D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34" w:rsidRDefault="00740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9" w:rsidRDefault="00490AE9">
    <w:pPr>
      <w:pStyle w:val="Footer"/>
      <w:jc w:val="center"/>
    </w:pPr>
    <w:r>
      <w:rPr>
        <w:rStyle w:val="PageNumber"/>
      </w:rPr>
      <w:fldChar w:fldCharType="begin"/>
    </w:r>
    <w:r>
      <w:rPr>
        <w:rStyle w:val="PageNumber"/>
      </w:rPr>
      <w:instrText xml:space="preserve"> PAGE </w:instrText>
    </w:r>
    <w:r>
      <w:rPr>
        <w:rStyle w:val="PageNumber"/>
      </w:rPr>
      <w:fldChar w:fldCharType="separate"/>
    </w:r>
    <w:r w:rsidR="00C42FE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9" w:rsidRDefault="00490AE9">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9" w:rsidRDefault="00490AE9">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ED" w:rsidRDefault="00D65DED">
      <w:pPr>
        <w:rPr>
          <w:sz w:val="20"/>
        </w:rPr>
      </w:pPr>
      <w:r>
        <w:rPr>
          <w:sz w:val="20"/>
        </w:rPr>
        <w:separator/>
      </w:r>
    </w:p>
  </w:footnote>
  <w:footnote w:type="continuationSeparator" w:id="0">
    <w:p w:rsidR="00D65DED" w:rsidRDefault="00D65DED">
      <w:pPr>
        <w:rPr>
          <w:sz w:val="20"/>
        </w:rPr>
      </w:pPr>
      <w:r>
        <w:rPr>
          <w:sz w:val="20"/>
        </w:rPr>
        <w:t xml:space="preserve">(Continued from previous page) </w:t>
      </w:r>
      <w:r>
        <w:rPr>
          <w:sz w:val="20"/>
        </w:rPr>
        <w:separator/>
      </w:r>
    </w:p>
    <w:p w:rsidR="00D65DED" w:rsidRDefault="00D65DED"/>
  </w:footnote>
  <w:footnote w:type="continuationNotice" w:id="1">
    <w:p w:rsidR="00D65DED" w:rsidRDefault="00D65DED">
      <w:pPr>
        <w:jc w:val="right"/>
        <w:rPr>
          <w:sz w:val="20"/>
        </w:rPr>
      </w:pPr>
      <w:r>
        <w:rPr>
          <w:sz w:val="20"/>
        </w:rPr>
        <w:t>(continued...)</w:t>
      </w:r>
    </w:p>
  </w:footnote>
  <w:footnote w:id="2">
    <w:p w:rsidR="00490AE9" w:rsidRDefault="00490AE9">
      <w:pPr>
        <w:pStyle w:val="FootnoteText"/>
        <w:jc w:val="left"/>
      </w:pPr>
      <w:r>
        <w:rPr>
          <w:rStyle w:val="FootnoteReference"/>
        </w:rPr>
        <w:footnoteRef/>
      </w:r>
      <w:r>
        <w:t xml:space="preserve"> </w:t>
      </w:r>
      <w:r>
        <w:rPr>
          <w:i/>
        </w:rPr>
        <w:t xml:space="preserve">See </w:t>
      </w:r>
      <w:r>
        <w:t>Letter from Mary J. Sisak, Counsel for Silver Star, to Marlene H. Dortch, Secretary, FCC, WC Docket Nos. 10-90, 05-337 (filed Sept. 27, 2012) (regarding Idaho study area) (</w:t>
      </w:r>
      <w:r>
        <w:rPr>
          <w:i/>
        </w:rPr>
        <w:t>Idaho</w:t>
      </w:r>
      <w:r>
        <w:t xml:space="preserve"> </w:t>
      </w:r>
      <w:r>
        <w:rPr>
          <w:i/>
        </w:rPr>
        <w:t>Waiver Request</w:t>
      </w:r>
      <w:r>
        <w:t>); Letter from Mary J. Sisak, Counsel for Silver Star, to Marlene H. Dortch, Secretary, FCC, WC Docket Nos. 10-90, 05-337 (filed Sept. 27, 2012) (regarding Wyoming study area) (</w:t>
      </w:r>
      <w:r>
        <w:rPr>
          <w:i/>
        </w:rPr>
        <w:t>Wyoming</w:t>
      </w:r>
      <w:r>
        <w:t xml:space="preserve"> </w:t>
      </w:r>
      <w:r>
        <w:rPr>
          <w:i/>
        </w:rPr>
        <w:t>Waiver Request</w:t>
      </w:r>
      <w:r>
        <w:t>); Letter from Mary J. Sisak, Counsel for Silver Star, to Marlene H. Dortch, Secretary, FCC, WC Docket Nos. 10-90, 05-337 (filed Jan. 2, 2013) (regarding Idaho study area amendment) (</w:t>
      </w:r>
      <w:r>
        <w:rPr>
          <w:i/>
        </w:rPr>
        <w:t>Idaho Waiver Request Amendment</w:t>
      </w:r>
      <w:r>
        <w:t>); Letter from Mary J. Sisak, Counsel for Silver Star, to Marlene H. Dortch, Secretary, FCC, WC Docket Nos. 10-90, 05-337 (filed Jan. 2, 2013) (regarding Wyoming study area amendment) (</w:t>
      </w:r>
      <w:r>
        <w:rPr>
          <w:i/>
        </w:rPr>
        <w:t>Wyoming Waiver Request Amendment</w:t>
      </w:r>
      <w:r>
        <w:t xml:space="preserve">); Letter from Mary J. Sisak, Counsel for Silver Star, to Marlene H. Dortch, Secretary, FCC, WC Docket Nos. 10-90, 05-337 (filed Oct. 28, 2013).  </w:t>
      </w:r>
    </w:p>
  </w:footnote>
  <w:footnote w:id="3">
    <w:p w:rsidR="00490AE9" w:rsidRDefault="00490AE9">
      <w:pPr>
        <w:pStyle w:val="FootnoteText"/>
        <w:jc w:val="left"/>
      </w:pPr>
      <w:r>
        <w:rPr>
          <w:rStyle w:val="FootnoteReference"/>
        </w:rPr>
        <w:footnoteRef/>
      </w:r>
      <w:r>
        <w:t xml:space="preserve"> </w:t>
      </w:r>
      <w:r>
        <w:rPr>
          <w:i/>
          <w:color w:val="000000"/>
        </w:rPr>
        <w:t>Connect America Fund; High-Cost Universal Service Support</w:t>
      </w:r>
      <w:r>
        <w:rPr>
          <w:color w:val="000000"/>
        </w:rPr>
        <w:t>, WC Docket Nos. 10-90, 05-337, Order, 27 FCC Rcd 4235 (Wireline Comp. Bur. 2012) (</w:t>
      </w:r>
      <w:r>
        <w:rPr>
          <w:i/>
          <w:color w:val="000000"/>
        </w:rPr>
        <w:t>HCLS Benchmarks Implementation Order</w:t>
      </w:r>
      <w:r>
        <w:rPr>
          <w:color w:val="000000"/>
        </w:rPr>
        <w:t>).</w:t>
      </w:r>
    </w:p>
  </w:footnote>
  <w:footnote w:id="4">
    <w:p w:rsidR="00490AE9" w:rsidRDefault="00490AE9">
      <w:pPr>
        <w:pStyle w:val="FootnoteText"/>
        <w:jc w:val="left"/>
      </w:pPr>
      <w:r>
        <w:rPr>
          <w:rStyle w:val="FootnoteReference"/>
        </w:rPr>
        <w:footnoteRef/>
      </w:r>
      <w:r>
        <w:t xml:space="preserve"> </w:t>
      </w:r>
      <w:r>
        <w:rPr>
          <w:i/>
        </w:rPr>
        <w:t xml:space="preserve">See </w:t>
      </w:r>
      <w:r>
        <w:rPr>
          <w:i/>
          <w:color w:val="000000"/>
        </w:rPr>
        <w:t>Connect America Fund et al</w:t>
      </w:r>
      <w:r>
        <w:rPr>
          <w:color w:val="000000"/>
        </w:rPr>
        <w:t>.,</w:t>
      </w:r>
      <w:r>
        <w:rPr>
          <w:i/>
          <w:color w:val="000000"/>
        </w:rPr>
        <w:t xml:space="preserve"> </w:t>
      </w:r>
      <w:r>
        <w:rPr>
          <w:color w:val="000000"/>
        </w:rPr>
        <w:t xml:space="preserve">WC Docket No. 10-90 et al., Report and Order and Further Notice of Proposed Rulemaking, 26 FCC 17663, </w:t>
      </w:r>
      <w:r>
        <w:t>17741-47, paras. 210-26</w:t>
      </w:r>
      <w:r>
        <w:rPr>
          <w:color w:val="000000"/>
        </w:rPr>
        <w:t xml:space="preserve"> (2011) </w:t>
      </w:r>
      <w:r>
        <w:t>(</w:t>
      </w:r>
      <w:r>
        <w:rPr>
          <w:i/>
        </w:rPr>
        <w:t>USF/ICC Transformation Order</w:t>
      </w:r>
      <w:r>
        <w:t xml:space="preserve">), </w:t>
      </w:r>
      <w:r>
        <w:rPr>
          <w:i/>
          <w:iCs/>
        </w:rPr>
        <w:t>pets. for review pending</w:t>
      </w:r>
      <w:r>
        <w:t xml:space="preserve"> </w:t>
      </w:r>
      <w:r>
        <w:rPr>
          <w:i/>
          <w:iCs/>
        </w:rPr>
        <w:t>sub nom. In re: FCC 11-161</w:t>
      </w:r>
      <w:r>
        <w:rPr>
          <w:i/>
        </w:rPr>
        <w:t xml:space="preserve">, </w:t>
      </w:r>
      <w:r>
        <w:t>No. 11-9900 (10th Cir. argued Nov. 19, 2013).</w:t>
      </w:r>
    </w:p>
  </w:footnote>
  <w:footnote w:id="5">
    <w:p w:rsidR="00490AE9" w:rsidRDefault="00490AE9">
      <w:pPr>
        <w:pStyle w:val="FootnoteText"/>
        <w:jc w:val="left"/>
      </w:pPr>
      <w:r>
        <w:rPr>
          <w:rStyle w:val="FootnoteReference"/>
        </w:rPr>
        <w:footnoteRef/>
      </w:r>
      <w:r>
        <w:t xml:space="preserve"> TomTom Telecommunications Suite 2011.09 (formerly Tele Atlas North America), Wire Center Premium, for wire center boundary and central office location information.</w:t>
      </w:r>
    </w:p>
  </w:footnote>
  <w:footnote w:id="6">
    <w:p w:rsidR="00490AE9" w:rsidRDefault="00490AE9">
      <w:pPr>
        <w:pStyle w:val="FootnoteText"/>
        <w:jc w:val="left"/>
      </w:pPr>
      <w:r>
        <w:rPr>
          <w:rStyle w:val="FootnoteReference"/>
        </w:rPr>
        <w:footnoteRef/>
      </w:r>
      <w:r>
        <w:t xml:space="preserve"> </w:t>
      </w:r>
      <w:r>
        <w:rPr>
          <w:i/>
          <w:color w:val="000000"/>
        </w:rPr>
        <w:t>HCLS Benchmarks Implementation Order</w:t>
      </w:r>
      <w:r>
        <w:t xml:space="preserve">, 27 FCC Rcd at 4246, para. 27.  </w:t>
      </w:r>
    </w:p>
  </w:footnote>
  <w:footnote w:id="7">
    <w:p w:rsidR="00490AE9" w:rsidRDefault="00490AE9">
      <w:pPr>
        <w:pStyle w:val="FootnoteText"/>
        <w:jc w:val="left"/>
      </w:pPr>
      <w:r>
        <w:rPr>
          <w:rStyle w:val="FootnoteReference"/>
        </w:rPr>
        <w:footnoteRef/>
      </w:r>
      <w:r>
        <w:t xml:space="preserve"> </w:t>
      </w:r>
      <w:r>
        <w:rPr>
          <w:i/>
        </w:rPr>
        <w:t>See id.</w:t>
      </w:r>
      <w:r>
        <w:t xml:space="preserve"> at 4246-47, paras. 27, 29.  Generally, the Commission’s rules may be waived if good cause is shown.  47 C.F.R. § 1.3.  The Commission may exercise its discretion to waive a rule where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 xml:space="preserve"> WAIT Radio v. FCC</w:t>
      </w:r>
      <w:r>
        <w:t xml:space="preserve">, 418 F.2d 1153, 1159 (D.C. Cir. 1969); </w:t>
      </w:r>
      <w:r>
        <w:rPr>
          <w:i/>
        </w:rPr>
        <w:t>Northeast Cellular</w:t>
      </w:r>
      <w:r>
        <w:t xml:space="preserve">, 897 F.2d at 1166.  Waiver of the Commission’s rules is appropriate only if both (i) special circumstances warrant a deviation from the general rule, and (ii) such deviation will serve the public interest.  </w:t>
      </w:r>
      <w:r>
        <w:rPr>
          <w:i/>
        </w:rPr>
        <w:t>Northeast Cellular</w:t>
      </w:r>
      <w:r>
        <w:t>, 897 F.2d at 1166.</w:t>
      </w:r>
    </w:p>
  </w:footnote>
  <w:footnote w:id="8">
    <w:p w:rsidR="00490AE9" w:rsidRDefault="00490AE9">
      <w:pPr>
        <w:autoSpaceDE w:val="0"/>
        <w:autoSpaceDN w:val="0"/>
        <w:adjustRightInd w:val="0"/>
        <w:spacing w:after="120"/>
        <w:rPr>
          <w:color w:val="010101"/>
          <w:sz w:val="20"/>
        </w:rPr>
      </w:pPr>
      <w:r>
        <w:rPr>
          <w:rStyle w:val="FootnoteReference"/>
          <w:sz w:val="20"/>
        </w:rPr>
        <w:footnoteRef/>
      </w:r>
      <w:r>
        <w:rPr>
          <w:sz w:val="20"/>
        </w:rPr>
        <w:t xml:space="preserve"> </w:t>
      </w:r>
      <w:r>
        <w:rPr>
          <w:i/>
          <w:iCs/>
          <w:color w:val="010101"/>
          <w:sz w:val="20"/>
        </w:rPr>
        <w:t>HCLS Benchmarks Implementation Order</w:t>
      </w:r>
      <w:r>
        <w:rPr>
          <w:color w:val="010101"/>
          <w:sz w:val="20"/>
        </w:rPr>
        <w:t>, 27 FCC Rcd at 4301-02, App. C.</w:t>
      </w:r>
    </w:p>
  </w:footnote>
  <w:footnote w:id="9">
    <w:p w:rsidR="00490AE9" w:rsidRDefault="00490AE9">
      <w:pPr>
        <w:pStyle w:val="FootnoteText"/>
        <w:jc w:val="left"/>
      </w:pPr>
      <w:r>
        <w:rPr>
          <w:rStyle w:val="FootnoteReference"/>
        </w:rPr>
        <w:footnoteRef/>
      </w:r>
      <w:r>
        <w:t xml:space="preserve"> </w:t>
      </w:r>
      <w:r>
        <w:rPr>
          <w:i/>
        </w:rPr>
        <w:t xml:space="preserve">See </w:t>
      </w:r>
      <w:r>
        <w:rPr>
          <w:i/>
          <w:color w:val="010101"/>
        </w:rPr>
        <w:t xml:space="preserve">Idaho Waiver Request </w:t>
      </w:r>
      <w:r>
        <w:rPr>
          <w:color w:val="010101"/>
        </w:rPr>
        <w:t xml:space="preserve">at 2; </w:t>
      </w:r>
      <w:r>
        <w:rPr>
          <w:i/>
          <w:color w:val="010101"/>
        </w:rPr>
        <w:t>Idaho Waiver Request Amendment</w:t>
      </w:r>
      <w:r>
        <w:rPr>
          <w:color w:val="010101"/>
        </w:rPr>
        <w:t xml:space="preserve"> at 2; </w:t>
      </w:r>
      <w:r>
        <w:rPr>
          <w:i/>
          <w:color w:val="010101"/>
        </w:rPr>
        <w:t xml:space="preserve">Wyoming Waiver Request </w:t>
      </w:r>
      <w:r>
        <w:rPr>
          <w:color w:val="010101"/>
        </w:rPr>
        <w:t xml:space="preserve">at 2; </w:t>
      </w:r>
      <w:r>
        <w:rPr>
          <w:i/>
        </w:rPr>
        <w:t>Wyoming Waiver Request Amendment</w:t>
      </w:r>
      <w:r>
        <w:t xml:space="preserve"> </w:t>
      </w:r>
      <w:r>
        <w:rPr>
          <w:color w:val="010101"/>
        </w:rPr>
        <w:t xml:space="preserve">at 2.  </w:t>
      </w:r>
    </w:p>
  </w:footnote>
  <w:footnote w:id="10">
    <w:p w:rsidR="00490AE9" w:rsidRDefault="00490AE9">
      <w:pPr>
        <w:pStyle w:val="FootnoteText"/>
        <w:jc w:val="left"/>
      </w:pPr>
      <w:r>
        <w:rPr>
          <w:rStyle w:val="FootnoteReference"/>
        </w:rPr>
        <w:footnoteRef/>
      </w:r>
      <w:r>
        <w:t xml:space="preserve"> </w:t>
      </w:r>
      <w:r>
        <w:rPr>
          <w:i/>
        </w:rPr>
        <w:t>Idaho Waiver Request Amendment</w:t>
      </w:r>
      <w:r>
        <w:t xml:space="preserve"> at 2; </w:t>
      </w:r>
      <w:r>
        <w:rPr>
          <w:i/>
        </w:rPr>
        <w:t>Wyoming Waiver Request Amendment</w:t>
      </w:r>
      <w:r>
        <w:t xml:space="preserve"> at 2.</w:t>
      </w:r>
    </w:p>
  </w:footnote>
  <w:footnote w:id="11">
    <w:p w:rsidR="00490AE9" w:rsidRDefault="00490AE9">
      <w:pPr>
        <w:pStyle w:val="FootnoteText"/>
        <w:jc w:val="left"/>
      </w:pPr>
      <w:r>
        <w:rPr>
          <w:rStyle w:val="FootnoteReference"/>
        </w:rPr>
        <w:footnoteRef/>
      </w:r>
      <w:r>
        <w:t xml:space="preserve"> </w:t>
      </w:r>
      <w:r>
        <w:rPr>
          <w:i/>
        </w:rPr>
        <w:t>Id</w:t>
      </w:r>
      <w:r>
        <w:t xml:space="preserve">.; </w:t>
      </w:r>
      <w:r>
        <w:rPr>
          <w:i/>
        </w:rPr>
        <w:t>see Connect America Fund; High-Cost Universal Service Support</w:t>
      </w:r>
      <w:r>
        <w:t>, WC Docket Nos. 10-90, 05-337, Order, 28 FCC Rcd 6337, 6340, para. 6 (Wireline Comp. Bur. 2013) (</w:t>
      </w:r>
      <w:r>
        <w:rPr>
          <w:i/>
        </w:rPr>
        <w:t>Silver Star Order</w:t>
      </w:r>
      <w:r>
        <w:t>).</w:t>
      </w:r>
    </w:p>
  </w:footnote>
  <w:footnote w:id="12">
    <w:p w:rsidR="00490AE9" w:rsidRDefault="00490AE9">
      <w:pPr>
        <w:pStyle w:val="FootnoteText"/>
        <w:jc w:val="left"/>
      </w:pPr>
      <w:r>
        <w:rPr>
          <w:rStyle w:val="FootnoteReference"/>
        </w:rPr>
        <w:footnoteRef/>
      </w:r>
      <w:r>
        <w:t xml:space="preserve"> </w:t>
      </w:r>
      <w:r>
        <w:rPr>
          <w:i/>
        </w:rPr>
        <w:t xml:space="preserve">See </w:t>
      </w:r>
      <w:r>
        <w:rPr>
          <w:i/>
          <w:color w:val="010101"/>
        </w:rPr>
        <w:t>Idaho Waiver Request Amendment</w:t>
      </w:r>
      <w:r>
        <w:rPr>
          <w:color w:val="010101"/>
        </w:rPr>
        <w:t xml:space="preserve">, Map Exhibit; </w:t>
      </w:r>
      <w:r>
        <w:rPr>
          <w:i/>
          <w:color w:val="010101"/>
        </w:rPr>
        <w:t>Wyoming Waiver Request Amendment</w:t>
      </w:r>
      <w:r>
        <w:rPr>
          <w:color w:val="010101"/>
        </w:rPr>
        <w:t xml:space="preserve">, Map Exhibit; </w:t>
      </w:r>
      <w:r>
        <w:rPr>
          <w:i/>
          <w:color w:val="010101"/>
        </w:rPr>
        <w:t>Silver Star Order</w:t>
      </w:r>
      <w:r>
        <w:rPr>
          <w:color w:val="010101"/>
        </w:rPr>
        <w:t xml:space="preserve">, 28 FCC Rcd at 6340, para. 6.  Because ESRI data for Guam and American Samoa was unavailable when the regression inputs were required, Tiger files for those two areas were used.  </w:t>
      </w:r>
      <w:r>
        <w:rPr>
          <w:i/>
          <w:color w:val="000000"/>
        </w:rPr>
        <w:t>HCLS Benchmarks Implementation Order</w:t>
      </w:r>
      <w:r>
        <w:t>, 27 FCC Rcd at 4263, para. 86 n.53.</w:t>
      </w:r>
    </w:p>
  </w:footnote>
  <w:footnote w:id="13">
    <w:p w:rsidR="00490AE9" w:rsidRDefault="00490AE9">
      <w:pPr>
        <w:pStyle w:val="FootnoteText"/>
        <w:jc w:val="left"/>
      </w:pPr>
      <w:r>
        <w:rPr>
          <w:rStyle w:val="FootnoteReference"/>
        </w:rPr>
        <w:footnoteRef/>
      </w:r>
      <w:r>
        <w:t xml:space="preserve"> </w:t>
      </w:r>
      <w:r>
        <w:rPr>
          <w:i/>
        </w:rPr>
        <w:t>See Silver Star Order</w:t>
      </w:r>
      <w:r>
        <w:t>, 28 FCC Rcd at 6340, para. 7.</w:t>
      </w:r>
      <w:r>
        <w:rPr>
          <w:i/>
        </w:rPr>
        <w:t xml:space="preserve">  </w:t>
      </w:r>
      <w:r>
        <w:t>Although the requests regarding road information were denied, the Bureau granted other portions of Silver Star’s waiver requests.</w:t>
      </w:r>
    </w:p>
  </w:footnote>
  <w:footnote w:id="14">
    <w:p w:rsidR="00490AE9" w:rsidRDefault="00490AE9">
      <w:pPr>
        <w:pStyle w:val="FootnoteText"/>
        <w:jc w:val="left"/>
      </w:pPr>
      <w:r>
        <w:rPr>
          <w:rStyle w:val="FootnoteReference"/>
        </w:rPr>
        <w:footnoteRef/>
      </w:r>
      <w:r>
        <w:t xml:space="preserve"> </w:t>
      </w:r>
      <w:r>
        <w:rPr>
          <w:i/>
        </w:rPr>
        <w:t xml:space="preserve">See </w:t>
      </w:r>
      <w:r>
        <w:rPr>
          <w:i/>
          <w:color w:val="010101"/>
        </w:rPr>
        <w:t>Idaho Waiver Request Amendment</w:t>
      </w:r>
      <w:r>
        <w:rPr>
          <w:color w:val="010101"/>
        </w:rPr>
        <w:t xml:space="preserve">, Map Exhibit; </w:t>
      </w:r>
      <w:r>
        <w:rPr>
          <w:i/>
          <w:color w:val="010101"/>
        </w:rPr>
        <w:t>Wyoming Waiver Request Amendment</w:t>
      </w:r>
      <w:r>
        <w:rPr>
          <w:color w:val="010101"/>
        </w:rPr>
        <w:t xml:space="preserve">, Map Exhibit.  </w:t>
      </w:r>
    </w:p>
  </w:footnote>
  <w:footnote w:id="15">
    <w:p w:rsidR="00490AE9" w:rsidRDefault="00490AE9">
      <w:pPr>
        <w:pStyle w:val="FootnoteText"/>
      </w:pPr>
      <w:r>
        <w:rPr>
          <w:rStyle w:val="FootnoteReference"/>
        </w:rPr>
        <w:footnoteRef/>
      </w:r>
      <w:r>
        <w:t xml:space="preserve"> </w:t>
      </w:r>
      <w:r>
        <w:rPr>
          <w:i/>
        </w:rPr>
        <w:t>Silver Star Order</w:t>
      </w:r>
      <w:r>
        <w:t>, 28 FCC Rcd at 6340, para. 7.</w:t>
      </w:r>
    </w:p>
  </w:footnote>
  <w:footnote w:id="16">
    <w:p w:rsidR="00490AE9" w:rsidRDefault="00490AE9">
      <w:pPr>
        <w:pStyle w:val="FootnoteText"/>
      </w:pPr>
      <w:r>
        <w:rPr>
          <w:rStyle w:val="FootnoteReference"/>
        </w:rPr>
        <w:footnoteRef/>
      </w:r>
      <w:r>
        <w:t xml:space="preserve"> Silver Star Telephone Company Application for Review, WC Docket Nos. 10-90, 05-337 (filed June 10, 2013).  </w:t>
      </w:r>
    </w:p>
  </w:footnote>
  <w:footnote w:id="17">
    <w:p w:rsidR="00490AE9" w:rsidRDefault="00490AE9">
      <w:pPr>
        <w:pStyle w:val="FootnoteText"/>
        <w:jc w:val="left"/>
      </w:pPr>
      <w:r>
        <w:rPr>
          <w:rStyle w:val="FootnoteReference"/>
        </w:rPr>
        <w:footnoteRef/>
      </w:r>
      <w:r>
        <w:t xml:space="preserve"> Letter from Mary J. Sisak, Counsel for Silver Star, to Marlene H. Dortch, Secretary, FCC, WC Docket Nos. 10-90, 05-337, at 5 (filed Oct. 28, 2013).  </w:t>
      </w:r>
    </w:p>
  </w:footnote>
  <w:footnote w:id="18">
    <w:p w:rsidR="00490AE9" w:rsidRDefault="00490AE9">
      <w:pPr>
        <w:pStyle w:val="FootnoteText"/>
        <w:jc w:val="left"/>
      </w:pPr>
      <w:r>
        <w:rPr>
          <w:rStyle w:val="FootnoteReference"/>
        </w:rPr>
        <w:footnoteRef/>
      </w:r>
      <w:r>
        <w:rPr>
          <w:i/>
          <w:iCs/>
          <w:color w:val="010101"/>
        </w:rPr>
        <w:t xml:space="preserve"> Id</w:t>
      </w:r>
      <w:r>
        <w:rPr>
          <w:iCs/>
          <w:color w:val="010101"/>
        </w:rPr>
        <w:t>.</w:t>
      </w:r>
      <w:r>
        <w:rPr>
          <w:i/>
          <w:iCs/>
          <w:color w:val="010101"/>
        </w:rPr>
        <w:t xml:space="preserve"> </w:t>
      </w:r>
      <w:r>
        <w:rPr>
          <w:iCs/>
          <w:color w:val="010101"/>
        </w:rPr>
        <w:t>at 5.</w:t>
      </w:r>
    </w:p>
  </w:footnote>
  <w:footnote w:id="19">
    <w:p w:rsidR="00490AE9" w:rsidRDefault="00490AE9">
      <w:pPr>
        <w:pStyle w:val="FootnoteText"/>
      </w:pPr>
      <w:r>
        <w:rPr>
          <w:rStyle w:val="FootnoteReference"/>
        </w:rPr>
        <w:footnoteRef/>
      </w:r>
      <w:r>
        <w:t xml:space="preserve"> </w:t>
      </w:r>
      <w:r>
        <w:rPr>
          <w:i/>
        </w:rPr>
        <w:t>Id</w:t>
      </w:r>
      <w:r>
        <w:t>. at 6.</w:t>
      </w:r>
    </w:p>
  </w:footnote>
  <w:footnote w:id="20">
    <w:p w:rsidR="00490AE9" w:rsidRDefault="00490AE9">
      <w:pPr>
        <w:pStyle w:val="FootnoteText"/>
      </w:pPr>
      <w:r>
        <w:rPr>
          <w:rStyle w:val="FootnoteReference"/>
        </w:rPr>
        <w:footnoteRef/>
      </w:r>
      <w:r>
        <w:t xml:space="preserve"> </w:t>
      </w:r>
      <w:r>
        <w:rPr>
          <w:i/>
        </w:rPr>
        <w:t>Id</w:t>
      </w:r>
      <w:r>
        <w:t>.</w:t>
      </w:r>
    </w:p>
  </w:footnote>
  <w:footnote w:id="21">
    <w:p w:rsidR="00490AE9" w:rsidRDefault="00490AE9">
      <w:pPr>
        <w:pStyle w:val="FootnoteText"/>
      </w:pPr>
      <w:r>
        <w:rPr>
          <w:rStyle w:val="FootnoteReference"/>
        </w:rPr>
        <w:footnoteRef/>
      </w:r>
      <w:r>
        <w:t xml:space="preserve"> </w:t>
      </w:r>
      <w:r>
        <w:rPr>
          <w:i/>
        </w:rPr>
        <w:t>Id</w:t>
      </w:r>
      <w:r>
        <w:t>.</w:t>
      </w:r>
    </w:p>
  </w:footnote>
  <w:footnote w:id="22">
    <w:p w:rsidR="00490AE9" w:rsidRDefault="00490AE9">
      <w:pPr>
        <w:pStyle w:val="FootnoteText"/>
      </w:pPr>
      <w:r>
        <w:rPr>
          <w:rStyle w:val="FootnoteReference"/>
        </w:rPr>
        <w:footnoteRef/>
      </w:r>
      <w:r>
        <w:t xml:space="preserve"> </w:t>
      </w:r>
      <w:r>
        <w:rPr>
          <w:i/>
        </w:rPr>
        <w:t>Id</w:t>
      </w:r>
      <w:r>
        <w:t>.</w:t>
      </w:r>
    </w:p>
  </w:footnote>
  <w:footnote w:id="23">
    <w:p w:rsidR="00490AE9" w:rsidRDefault="00490AE9">
      <w:pPr>
        <w:pStyle w:val="FootnoteText"/>
      </w:pPr>
      <w:r>
        <w:rPr>
          <w:rStyle w:val="FootnoteReference"/>
        </w:rPr>
        <w:footnoteRef/>
      </w:r>
      <w:r>
        <w:t xml:space="preserve"> </w:t>
      </w:r>
      <w:r>
        <w:rPr>
          <w:i/>
        </w:rPr>
        <w:t>Id</w:t>
      </w:r>
      <w:r>
        <w:t>.</w:t>
      </w:r>
    </w:p>
  </w:footnote>
  <w:footnote w:id="24">
    <w:p w:rsidR="00490AE9" w:rsidRDefault="00490AE9">
      <w:pPr>
        <w:pStyle w:val="FootnoteText"/>
      </w:pPr>
      <w:r>
        <w:rPr>
          <w:rStyle w:val="FootnoteReference"/>
        </w:rPr>
        <w:footnoteRef/>
      </w:r>
      <w:r>
        <w:t xml:space="preserve"> </w:t>
      </w:r>
      <w:r>
        <w:rPr>
          <w:i/>
        </w:rPr>
        <w:t>Id</w:t>
      </w:r>
      <w:r>
        <w:t>.</w:t>
      </w:r>
    </w:p>
  </w:footnote>
  <w:footnote w:id="25">
    <w:p w:rsidR="00490AE9" w:rsidRDefault="00490AE9">
      <w:pPr>
        <w:pStyle w:val="FootnoteText"/>
      </w:pPr>
      <w:r>
        <w:rPr>
          <w:rStyle w:val="FootnoteReference"/>
        </w:rPr>
        <w:footnoteRef/>
      </w:r>
      <w:r>
        <w:t xml:space="preserve"> </w:t>
      </w:r>
      <w:r>
        <w:rPr>
          <w:i/>
        </w:rPr>
        <w:t>Id</w:t>
      </w:r>
      <w:r>
        <w:t>.</w:t>
      </w:r>
    </w:p>
  </w:footnote>
  <w:footnote w:id="26">
    <w:p w:rsidR="00490AE9" w:rsidRDefault="00490AE9">
      <w:pPr>
        <w:pStyle w:val="FootnoteText"/>
      </w:pPr>
      <w:r>
        <w:rPr>
          <w:rStyle w:val="FootnoteReference"/>
        </w:rPr>
        <w:footnoteRef/>
      </w:r>
      <w:r>
        <w:t xml:space="preserve"> </w:t>
      </w:r>
      <w:r>
        <w:rPr>
          <w:i/>
        </w:rPr>
        <w:t>Id</w:t>
      </w:r>
      <w:r>
        <w:t>.</w:t>
      </w:r>
    </w:p>
  </w:footnote>
  <w:footnote w:id="27">
    <w:p w:rsidR="00490AE9" w:rsidRDefault="00490AE9">
      <w:pPr>
        <w:pStyle w:val="FootnoteText"/>
        <w:jc w:val="left"/>
      </w:pPr>
      <w:r>
        <w:rPr>
          <w:rStyle w:val="FootnoteReference"/>
        </w:rPr>
        <w:footnoteRef/>
      </w:r>
      <w:r>
        <w:rPr>
          <w:color w:val="010101"/>
        </w:rPr>
        <w:t xml:space="preserve"> </w:t>
      </w:r>
      <w:r>
        <w:rPr>
          <w:i/>
          <w:color w:val="010101"/>
        </w:rPr>
        <w:t>Id</w:t>
      </w:r>
      <w:r>
        <w:rPr>
          <w:color w:val="010101"/>
        </w:rPr>
        <w:t xml:space="preserve">. at 3. </w:t>
      </w:r>
    </w:p>
  </w:footnote>
  <w:footnote w:id="28">
    <w:p w:rsidR="00490AE9" w:rsidRDefault="00490AE9">
      <w:pPr>
        <w:pStyle w:val="FootnoteText"/>
      </w:pPr>
      <w:r>
        <w:rPr>
          <w:rStyle w:val="FootnoteReference"/>
        </w:rPr>
        <w:footnoteRef/>
      </w:r>
      <w:r>
        <w:t xml:space="preserve"> 47 C.F.R. § 1.3.</w:t>
      </w:r>
    </w:p>
  </w:footnote>
  <w:footnote w:id="29">
    <w:p w:rsidR="00490AE9" w:rsidRDefault="00490AE9">
      <w:pPr>
        <w:pStyle w:val="FootnoteText"/>
        <w:jc w:val="left"/>
      </w:pPr>
      <w:r>
        <w:rPr>
          <w:rStyle w:val="FootnoteReference"/>
        </w:rPr>
        <w:footnoteRef/>
      </w:r>
      <w:r>
        <w:t xml:space="preserve"> </w:t>
      </w:r>
      <w:r>
        <w:rPr>
          <w:i/>
          <w:color w:val="000000"/>
        </w:rPr>
        <w:t>HCLS Benchmarks Implementation Order</w:t>
      </w:r>
      <w:r>
        <w:t xml:space="preserve">, 27 FCC Rcd at 4299, App. B.  </w:t>
      </w:r>
    </w:p>
  </w:footnote>
  <w:footnote w:id="30">
    <w:p w:rsidR="00490AE9" w:rsidRDefault="00490AE9">
      <w:pPr>
        <w:pStyle w:val="FootnoteText"/>
        <w:jc w:val="left"/>
      </w:pPr>
      <w:r>
        <w:rPr>
          <w:rStyle w:val="FootnoteReference"/>
        </w:rPr>
        <w:footnoteRef/>
      </w:r>
      <w:r>
        <w:t xml:space="preserve"> </w:t>
      </w:r>
      <w:r>
        <w:rPr>
          <w:i/>
        </w:rPr>
        <w:t>Wireline Competition Bureau Releases New High-Cost Loop Support Benchmarks for 2013</w:t>
      </w:r>
      <w:r>
        <w:t>, WC Docket Nos. 10-90, 05-337, Public Notice, 28 FCC Rcd 3256 (Wireline Comp. Bur. 2013) (</w:t>
      </w:r>
      <w:r>
        <w:rPr>
          <w:i/>
        </w:rPr>
        <w:t>Mar. 26, 2013 Public Notice</w:t>
      </w:r>
      <w:r>
        <w:t>).</w:t>
      </w:r>
    </w:p>
  </w:footnote>
  <w:footnote w:id="31">
    <w:p w:rsidR="00490AE9" w:rsidRDefault="00490AE9">
      <w:pPr>
        <w:pStyle w:val="FootnoteText"/>
        <w:jc w:val="left"/>
      </w:pPr>
      <w:r>
        <w:rPr>
          <w:rStyle w:val="FootnoteReference"/>
        </w:rPr>
        <w:footnoteRef/>
      </w:r>
      <w:r>
        <w:t xml:space="preserve"> </w:t>
      </w:r>
      <w:r>
        <w:rPr>
          <w:i/>
        </w:rPr>
        <w:t>Connect America Fund; High-Cost Universal Service Support</w:t>
      </w:r>
      <w:r>
        <w:t>, Order, WC Docket Nos. 10-90, 05-337, 27 FCC Rcd 14867 (Wireline Comp. Bur. 2012) (granting a waiver request in which Arctic Slope identified and provided evidence that specific roads should be removed from the road miles calculation because these roads constituted caribou migration, foot, jeep, tractor, and winter trails as well as roads across tundra that are inaccessible by most vehicles).</w:t>
      </w:r>
    </w:p>
  </w:footnote>
  <w:footnote w:id="32">
    <w:p w:rsidR="00490AE9" w:rsidRDefault="00490AE9">
      <w:pPr>
        <w:pStyle w:val="FootnoteText"/>
        <w:jc w:val="left"/>
      </w:pPr>
      <w:r>
        <w:rPr>
          <w:rStyle w:val="FootnoteReference"/>
        </w:rPr>
        <w:footnoteRef/>
      </w:r>
      <w:r>
        <w:t xml:space="preserve"> </w:t>
      </w:r>
      <w:r>
        <w:rPr>
          <w:rStyle w:val="emphi"/>
          <w:i/>
          <w:iCs/>
          <w:color w:val="000000"/>
        </w:rPr>
        <w:t>Connect America Fund</w:t>
      </w:r>
      <w:r>
        <w:rPr>
          <w:color w:val="000000"/>
        </w:rPr>
        <w:t>;</w:t>
      </w:r>
      <w:r>
        <w:rPr>
          <w:rStyle w:val="apple-converted-space"/>
          <w:color w:val="000000"/>
        </w:rPr>
        <w:t> </w:t>
      </w:r>
      <w:r>
        <w:rPr>
          <w:rStyle w:val="emphi"/>
          <w:i/>
          <w:iCs/>
          <w:color w:val="000000"/>
        </w:rPr>
        <w:t xml:space="preserve">High-Cost Universal Service Support, </w:t>
      </w:r>
      <w:r>
        <w:rPr>
          <w:color w:val="000000"/>
        </w:rPr>
        <w:t>WC Docket Nos. 10-90, 05-337, Sixth Order on Reconsideration</w:t>
      </w:r>
      <w:bookmarkStart w:id="1" w:name="ctx1"/>
      <w:bookmarkEnd w:id="1"/>
      <w:r w:rsidR="00E42744">
        <w:rPr>
          <w:noProof/>
          <w:color w:val="660066"/>
        </w:rPr>
        <w:drawing>
          <wp:inline distT="0" distB="0" distL="0" distR="0">
            <wp:extent cx="9525" cy="9525"/>
            <wp:effectExtent l="0" t="0" r="0" b="0"/>
            <wp:docPr id="4" name="Picture 1" descr="previous hit">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 w:name="a0d7c4w3f5"/>
      <w:r w:rsidR="00E42744">
        <w:rPr>
          <w:noProof/>
          <w:color w:val="660066"/>
        </w:rPr>
        <w:drawing>
          <wp:inline distT="0" distB="0" distL="0" distR="0">
            <wp:extent cx="9525" cy="9525"/>
            <wp:effectExtent l="0" t="0" r="0" b="0"/>
            <wp:docPr id="3" name="Picture 2" descr="next hit">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r>
        <w:rPr>
          <w:rStyle w:val="apple-converted-space"/>
          <w:color w:val="000000"/>
        </w:rPr>
        <w:t> </w:t>
      </w:r>
      <w:r>
        <w:rPr>
          <w:color w:val="000000"/>
        </w:rPr>
        <w:t>and Memorandum Opinion and Order,</w:t>
      </w:r>
      <w:r>
        <w:rPr>
          <w:rStyle w:val="apple-converted-space"/>
          <w:color w:val="000000"/>
        </w:rPr>
        <w:t> 28 FCC Rcd 2572, 2583, para. 29 </w:t>
      </w:r>
      <w:r>
        <w:rPr>
          <w:color w:val="000000"/>
        </w:rPr>
        <w:t>(2013).</w:t>
      </w:r>
    </w:p>
  </w:footnote>
  <w:footnote w:id="33">
    <w:p w:rsidR="00490AE9" w:rsidRDefault="00490AE9">
      <w:pPr>
        <w:pStyle w:val="FootnoteText"/>
      </w:pPr>
      <w:r>
        <w:rPr>
          <w:rStyle w:val="FootnoteReference"/>
        </w:rPr>
        <w:footnoteRef/>
      </w:r>
      <w:r>
        <w:t xml:space="preserve"> NECA should continue to use the benchmarks calculated for the period from April 1, 2013 through December 31, 2013 until revised benchmarks are made available or the Commission takes other action.</w:t>
      </w:r>
    </w:p>
  </w:footnote>
  <w:footnote w:id="34">
    <w:p w:rsidR="00490AE9" w:rsidRDefault="00490AE9">
      <w:pPr>
        <w:pStyle w:val="FootnoteText"/>
        <w:jc w:val="left"/>
      </w:pPr>
      <w:r>
        <w:rPr>
          <w:rStyle w:val="FootnoteReference"/>
        </w:rPr>
        <w:footnoteRef/>
      </w:r>
      <w:r>
        <w:t xml:space="preserve"> The capex and opex cost per loop (CPL) amounts are the same as those published in Appendix B of the </w:t>
      </w:r>
      <w:r>
        <w:rPr>
          <w:i/>
          <w:color w:val="000000"/>
        </w:rPr>
        <w:t>HCLS Benchmarks Implementation Order</w:t>
      </w:r>
      <w:r>
        <w:t xml:space="preserve">, which were based on the annual cost data NECA filed in 2011.  NECA filed a schedule of HCLS for all carriers for the six-month period of July 1, 2012 through December 31, 2012, which reflects voluntary quarterly updates carriers filed pursuant to section 36.612 of the Commission’s rules.  </w:t>
      </w:r>
      <w:r>
        <w:rPr>
          <w:i/>
        </w:rPr>
        <w:t xml:space="preserve">See </w:t>
      </w:r>
      <w:r>
        <w:t xml:space="preserve">47 C.F.R. § 36.612; </w:t>
      </w:r>
      <w:r>
        <w:rPr>
          <w:i/>
        </w:rPr>
        <w:t>Wireline Competition Bureau Announces Access to High-Cost Loop Support Data Submitted by NECA</w:t>
      </w:r>
      <w:r>
        <w:t>, WC Docket Nos. 10-90, 05-337, Public Notice, 27 FCC Rcd 7135 (Wireline Comp. Bur. 2012).</w:t>
      </w:r>
    </w:p>
  </w:footnote>
  <w:footnote w:id="35">
    <w:p w:rsidR="00490AE9" w:rsidRDefault="00490AE9">
      <w:pPr>
        <w:pStyle w:val="FootnoteText"/>
        <w:jc w:val="left"/>
      </w:pPr>
      <w:r>
        <w:rPr>
          <w:rStyle w:val="FootnoteReference"/>
        </w:rPr>
        <w:footnoteRef/>
      </w:r>
      <w:r>
        <w:t xml:space="preserve"> </w:t>
      </w:r>
      <w:r>
        <w:rPr>
          <w:i/>
        </w:rPr>
        <w:t>See supra</w:t>
      </w:r>
      <w:r>
        <w:t xml:space="preserve"> App. n.1.</w:t>
      </w:r>
    </w:p>
  </w:footnote>
  <w:footnote w:id="36">
    <w:p w:rsidR="00490AE9" w:rsidRDefault="00490AE9">
      <w:pPr>
        <w:pStyle w:val="FootnoteText"/>
        <w:jc w:val="left"/>
      </w:pPr>
      <w:r>
        <w:rPr>
          <w:rStyle w:val="FootnoteReference"/>
        </w:rPr>
        <w:footnoteRef/>
      </w:r>
      <w:r>
        <w:t xml:space="preserve"> The capex and opex CPL amounts are the same as those published by the Commission on March 26, 2013.  </w:t>
      </w:r>
      <w:r>
        <w:rPr>
          <w:i/>
        </w:rPr>
        <w:t>See Mar. 26, 2013 Public Notice</w:t>
      </w:r>
      <w:r>
        <w:t>.</w:t>
      </w:r>
    </w:p>
  </w:footnote>
  <w:footnote w:id="37">
    <w:p w:rsidR="00490AE9" w:rsidRDefault="00490AE9">
      <w:pPr>
        <w:pStyle w:val="FootnoteText"/>
        <w:jc w:val="left"/>
      </w:pPr>
      <w:r>
        <w:rPr>
          <w:rStyle w:val="FootnoteReference"/>
        </w:rPr>
        <w:footnoteRef/>
      </w:r>
      <w:r>
        <w:t xml:space="preserve"> </w:t>
      </w:r>
      <w:r>
        <w:rPr>
          <w:i/>
        </w:rPr>
        <w:t>See supra</w:t>
      </w:r>
      <w:r>
        <w:t xml:space="preserve"> App. n.3.</w:t>
      </w:r>
    </w:p>
  </w:footnote>
  <w:footnote w:id="38">
    <w:p w:rsidR="00490AE9" w:rsidRDefault="00490AE9">
      <w:pPr>
        <w:pStyle w:val="FootnoteText"/>
        <w:jc w:val="left"/>
      </w:pPr>
      <w:r>
        <w:rPr>
          <w:rStyle w:val="FootnoteReference"/>
        </w:rPr>
        <w:footnoteRef/>
      </w:r>
      <w:r>
        <w:t xml:space="preserve"> </w:t>
      </w:r>
      <w:r>
        <w:rPr>
          <w:i/>
        </w:rPr>
        <w:t>See supra</w:t>
      </w:r>
      <w:r>
        <w:t xml:space="preserve"> App. n.3.</w:t>
      </w:r>
    </w:p>
  </w:footnote>
  <w:footnote w:id="39">
    <w:p w:rsidR="00490AE9" w:rsidRDefault="00490AE9">
      <w:pPr>
        <w:pStyle w:val="FootnoteText"/>
        <w:jc w:val="left"/>
      </w:pPr>
      <w:r>
        <w:rPr>
          <w:rStyle w:val="FootnoteReference"/>
        </w:rPr>
        <w:footnoteRef/>
      </w:r>
      <w:r>
        <w:t xml:space="preserve"> </w:t>
      </w:r>
      <w:r>
        <w:rPr>
          <w:i/>
        </w:rPr>
        <w:t>See supra</w:t>
      </w:r>
      <w:r>
        <w:t xml:space="preserve"> App. n.1.</w:t>
      </w:r>
    </w:p>
  </w:footnote>
  <w:footnote w:id="40">
    <w:p w:rsidR="00490AE9" w:rsidRDefault="00490AE9">
      <w:pPr>
        <w:pStyle w:val="FootnoteText"/>
        <w:jc w:val="left"/>
      </w:pPr>
      <w:r>
        <w:rPr>
          <w:rStyle w:val="FootnoteReference"/>
        </w:rPr>
        <w:footnoteRef/>
      </w:r>
      <w:r>
        <w:t xml:space="preserve"> </w:t>
      </w:r>
      <w:r>
        <w:rPr>
          <w:i/>
        </w:rPr>
        <w:t>See supra</w:t>
      </w:r>
      <w:r>
        <w:t xml:space="preserve"> App. n.1.</w:t>
      </w:r>
    </w:p>
  </w:footnote>
  <w:footnote w:id="41">
    <w:p w:rsidR="00490AE9" w:rsidRDefault="00490AE9">
      <w:pPr>
        <w:pStyle w:val="FootnoteText"/>
        <w:jc w:val="left"/>
      </w:pPr>
      <w:r>
        <w:rPr>
          <w:rStyle w:val="FootnoteReference"/>
        </w:rPr>
        <w:footnoteRef/>
      </w:r>
      <w:r>
        <w:t xml:space="preserve"> </w:t>
      </w:r>
      <w:r>
        <w:rPr>
          <w:i/>
        </w:rPr>
        <w:t>See supra</w:t>
      </w:r>
      <w:r>
        <w:t xml:space="preserve"> App. n.3.</w:t>
      </w:r>
    </w:p>
  </w:footnote>
  <w:footnote w:id="42">
    <w:p w:rsidR="00490AE9" w:rsidRDefault="00490AE9">
      <w:pPr>
        <w:pStyle w:val="FootnoteText"/>
        <w:jc w:val="left"/>
      </w:pPr>
      <w:r>
        <w:rPr>
          <w:rStyle w:val="FootnoteReference"/>
        </w:rPr>
        <w:footnoteRef/>
      </w:r>
      <w:r>
        <w:t xml:space="preserve"> </w:t>
      </w:r>
      <w:r>
        <w:rPr>
          <w:i/>
        </w:rPr>
        <w:t>See supra</w:t>
      </w:r>
      <w:r>
        <w:t xml:space="preserve"> App. n.3.</w:t>
      </w:r>
    </w:p>
  </w:footnote>
  <w:footnote w:id="43">
    <w:p w:rsidR="00490AE9" w:rsidRDefault="00490AE9">
      <w:pPr>
        <w:pStyle w:val="FootnoteText"/>
        <w:jc w:val="left"/>
      </w:pPr>
      <w:r>
        <w:rPr>
          <w:rStyle w:val="FootnoteReference"/>
        </w:rPr>
        <w:footnoteRef/>
      </w:r>
      <w:r>
        <w:t xml:space="preserve"> </w:t>
      </w:r>
      <w:r>
        <w:rPr>
          <w:i/>
        </w:rPr>
        <w:t>See supra</w:t>
      </w:r>
      <w:r>
        <w:t xml:space="preserve"> App. n.3.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34" w:rsidRDefault="0074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9" w:rsidRDefault="00490AE9">
    <w:pPr>
      <w:pStyle w:val="Header"/>
      <w:tabs>
        <w:tab w:val="clear" w:pos="4320"/>
        <w:tab w:val="clear" w:pos="8640"/>
        <w:tab w:val="center" w:pos="4680"/>
        <w:tab w:val="right" w:pos="9360"/>
      </w:tabs>
      <w:rPr>
        <w:i/>
      </w:rPr>
    </w:pPr>
  </w:p>
  <w:p w:rsidR="00490AE9" w:rsidRDefault="00490AE9">
    <w:pPr>
      <w:pStyle w:val="Header"/>
      <w:tabs>
        <w:tab w:val="clear" w:pos="4320"/>
        <w:tab w:val="clear" w:pos="8640"/>
        <w:tab w:val="center" w:pos="4680"/>
        <w:tab w:val="right" w:pos="9360"/>
      </w:tabs>
      <w:rPr>
        <w:b/>
      </w:rPr>
    </w:pPr>
    <w:r>
      <w:rPr>
        <w:b/>
      </w:rPr>
      <w:tab/>
      <w:t>Federal Communications Commission</w:t>
    </w:r>
    <w:r>
      <w:rPr>
        <w:b/>
      </w:rPr>
      <w:tab/>
      <w:t>DA 13-2457</w:t>
    </w:r>
  </w:p>
  <w:p w:rsidR="00490AE9" w:rsidRDefault="00E4274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90AE9" w:rsidRDefault="00490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E9" w:rsidRDefault="00490AE9">
    <w:pPr>
      <w:pStyle w:val="Header"/>
      <w:tabs>
        <w:tab w:val="clear" w:pos="4320"/>
        <w:tab w:val="clear" w:pos="8640"/>
        <w:tab w:val="center" w:pos="4680"/>
        <w:tab w:val="right" w:pos="9360"/>
      </w:tabs>
      <w:rPr>
        <w:i/>
      </w:rPr>
    </w:pPr>
  </w:p>
  <w:p w:rsidR="00490AE9" w:rsidRDefault="00490AE9">
    <w:pPr>
      <w:pStyle w:val="Header"/>
      <w:tabs>
        <w:tab w:val="clear" w:pos="4320"/>
        <w:tab w:val="clear" w:pos="8640"/>
        <w:tab w:val="center" w:pos="4680"/>
        <w:tab w:val="right" w:pos="9360"/>
      </w:tabs>
      <w:rPr>
        <w:b/>
      </w:rPr>
    </w:pPr>
    <w:r>
      <w:rPr>
        <w:b/>
      </w:rPr>
      <w:tab/>
      <w:t>Federal Communications Commission</w:t>
    </w:r>
    <w:r>
      <w:rPr>
        <w:b/>
      </w:rPr>
      <w:tab/>
      <w:t>DA 13-2457</w:t>
    </w:r>
  </w:p>
  <w:p w:rsidR="00490AE9" w:rsidRDefault="00E4274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D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12"/>
  </w:num>
  <w:num w:numId="23">
    <w:abstractNumId w:val="12"/>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54"/>
    <w:rsid w:val="00490AE9"/>
    <w:rsid w:val="00740434"/>
    <w:rsid w:val="00AB5095"/>
    <w:rsid w:val="00BD5754"/>
    <w:rsid w:val="00C42FEB"/>
    <w:rsid w:val="00D4508E"/>
    <w:rsid w:val="00D65DED"/>
    <w:rsid w:val="00E4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jc w:val="both"/>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link w:val="ParaNum"/>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emphi">
    <w:name w:val="emphi"/>
  </w:style>
  <w:style w:type="character" w:customStyle="1" w:styleId="apple-converted-space">
    <w:name w:val="apple-converted-space"/>
  </w:style>
  <w:style w:type="character" w:customStyle="1" w:styleId="displayhltextactive">
    <w:name w:val="display_hl_text_active"/>
  </w:style>
  <w:style w:type="paragraph" w:customStyle="1" w:styleId="ColorfulShading-Accent11">
    <w:name w:val="Colorful Shading - Accent 11"/>
    <w:hidden/>
    <w:uiPriority w:val="99"/>
    <w:semiHidden/>
    <w:rPr>
      <w:sz w:val="22"/>
    </w:r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jc w:val="both"/>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semiHidden/>
    <w:locked/>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link w:val="ParaNum"/>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emphi">
    <w:name w:val="emphi"/>
  </w:style>
  <w:style w:type="character" w:customStyle="1" w:styleId="apple-converted-space">
    <w:name w:val="apple-converted-space"/>
  </w:style>
  <w:style w:type="character" w:customStyle="1" w:styleId="displayhltextactive">
    <w:name w:val="display_hl_text_active"/>
  </w:style>
  <w:style w:type="paragraph" w:customStyle="1" w:styleId="ColorfulShading-Accent11">
    <w:name w:val="Colorful Shading - Accent 11"/>
    <w:hidden/>
    <w:uiPriority w:val="99"/>
    <w:semiHidden/>
    <w:rPr>
      <w:sz w:val="22"/>
    </w:r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89248">
      <w:bodyDiv w:val="1"/>
      <w:marLeft w:val="0"/>
      <w:marRight w:val="0"/>
      <w:marTop w:val="0"/>
      <w:marBottom w:val="0"/>
      <w:divBdr>
        <w:top w:val="none" w:sz="0" w:space="0" w:color="auto"/>
        <w:left w:val="none" w:sz="0" w:space="0" w:color="auto"/>
        <w:bottom w:val="none" w:sz="0" w:space="0" w:color="auto"/>
        <w:right w:val="none" w:sz="0" w:space="0" w:color="auto"/>
      </w:divBdr>
    </w:div>
    <w:div w:id="293143661">
      <w:bodyDiv w:val="1"/>
      <w:marLeft w:val="0"/>
      <w:marRight w:val="0"/>
      <w:marTop w:val="0"/>
      <w:marBottom w:val="0"/>
      <w:divBdr>
        <w:top w:val="none" w:sz="0" w:space="0" w:color="auto"/>
        <w:left w:val="none" w:sz="0" w:space="0" w:color="auto"/>
        <w:bottom w:val="none" w:sz="0" w:space="0" w:color="auto"/>
        <w:right w:val="none" w:sz="0" w:space="0" w:color="auto"/>
      </w:divBdr>
    </w:div>
    <w:div w:id="781730049">
      <w:bodyDiv w:val="1"/>
      <w:marLeft w:val="0"/>
      <w:marRight w:val="0"/>
      <w:marTop w:val="0"/>
      <w:marBottom w:val="0"/>
      <w:divBdr>
        <w:top w:val="none" w:sz="0" w:space="0" w:color="auto"/>
        <w:left w:val="none" w:sz="0" w:space="0" w:color="auto"/>
        <w:bottom w:val="none" w:sz="0" w:space="0" w:color="auto"/>
        <w:right w:val="none" w:sz="0" w:space="0" w:color="auto"/>
      </w:divBdr>
    </w:div>
    <w:div w:id="866134956">
      <w:bodyDiv w:val="1"/>
      <w:marLeft w:val="0"/>
      <w:marRight w:val="0"/>
      <w:marTop w:val="0"/>
      <w:marBottom w:val="0"/>
      <w:divBdr>
        <w:top w:val="none" w:sz="0" w:space="0" w:color="auto"/>
        <w:left w:val="none" w:sz="0" w:space="0" w:color="auto"/>
        <w:bottom w:val="none" w:sz="0" w:space="0" w:color="auto"/>
        <w:right w:val="none" w:sz="0" w:space="0" w:color="auto"/>
      </w:divBdr>
    </w:div>
    <w:div w:id="890926793">
      <w:bodyDiv w:val="1"/>
      <w:marLeft w:val="0"/>
      <w:marRight w:val="0"/>
      <w:marTop w:val="0"/>
      <w:marBottom w:val="0"/>
      <w:divBdr>
        <w:top w:val="none" w:sz="0" w:space="0" w:color="auto"/>
        <w:left w:val="none" w:sz="0" w:space="0" w:color="auto"/>
        <w:bottom w:val="none" w:sz="0" w:space="0" w:color="auto"/>
        <w:right w:val="none" w:sz="0" w:space="0" w:color="auto"/>
      </w:divBdr>
    </w:div>
    <w:div w:id="993487984">
      <w:bodyDiv w:val="1"/>
      <w:marLeft w:val="0"/>
      <w:marRight w:val="0"/>
      <w:marTop w:val="0"/>
      <w:marBottom w:val="0"/>
      <w:divBdr>
        <w:top w:val="none" w:sz="0" w:space="0" w:color="auto"/>
        <w:left w:val="none" w:sz="0" w:space="0" w:color="auto"/>
        <w:bottom w:val="none" w:sz="0" w:space="0" w:color="auto"/>
        <w:right w:val="none" w:sz="0" w:space="0" w:color="auto"/>
      </w:divBdr>
    </w:div>
    <w:div w:id="1470171651">
      <w:bodyDiv w:val="1"/>
      <w:marLeft w:val="0"/>
      <w:marRight w:val="0"/>
      <w:marTop w:val="0"/>
      <w:marBottom w:val="0"/>
      <w:divBdr>
        <w:top w:val="none" w:sz="0" w:space="0" w:color="auto"/>
        <w:left w:val="none" w:sz="0" w:space="0" w:color="auto"/>
        <w:bottom w:val="none" w:sz="0" w:space="0" w:color="auto"/>
        <w:right w:val="none" w:sz="0" w:space="0" w:color="auto"/>
      </w:divBdr>
    </w:div>
    <w:div w:id="20364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docjs.next_hit(1)" TargetMode="External"/><Relationship Id="rId2" Type="http://schemas.openxmlformats.org/officeDocument/2006/relationships/image" Target="media/image1.png"/><Relationship Id="rId1" Type="http://schemas.openxmlformats.org/officeDocument/2006/relationships/hyperlink" Target="http://telecomlaw.bna.com/terc/display/split_display.adp?fedfid=18498609&amp;wsn=509534000&amp;vname=comrgdec&amp;searchid=19917628&amp;doctypeid=1&amp;type=court&amp;scm=1502&amp;p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6</Pages>
  <Words>1837</Words>
  <Characters>9858</Characters>
  <Application>Microsoft Office Word</Application>
  <DocSecurity>0</DocSecurity>
  <Lines>294</Lines>
  <Paragraphs>149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11600</CharactersWithSpaces>
  <SharedDoc>false</SharedDoc>
  <HyperlinkBase> </HyperlinkBase>
  <HLinks>
    <vt:vector size="12" baseType="variant">
      <vt:variant>
        <vt:i4>3080193</vt:i4>
      </vt:variant>
      <vt:variant>
        <vt:i4>3</vt:i4>
      </vt:variant>
      <vt:variant>
        <vt:i4>0</vt:i4>
      </vt:variant>
      <vt:variant>
        <vt:i4>5</vt:i4>
      </vt:variant>
      <vt:variant>
        <vt:lpwstr>javascript:top.docjs.next_hit(1)</vt:lpwstr>
      </vt:variant>
      <vt:variant>
        <vt:lpwstr/>
      </vt:variant>
      <vt:variant>
        <vt:i4>1114175</vt:i4>
      </vt:variant>
      <vt:variant>
        <vt:i4>0</vt:i4>
      </vt:variant>
      <vt:variant>
        <vt:i4>0</vt:i4>
      </vt:variant>
      <vt:variant>
        <vt:i4>5</vt:i4>
      </vt:variant>
      <vt:variant>
        <vt:lpwstr>http://telecomlaw.bna.com/terc/display/split_display.adp?fedfid=18498609&amp;wsn=509534000&amp;vname=comrgdec&amp;searchid=19917628&amp;doctypeid=1&amp;type=court&amp;scm=1502&amp;pg=0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2013-12-17T18:21:00Z</cp:lastPrinted>
  <dcterms:created xsi:type="dcterms:W3CDTF">2014-01-08T21:09:00Z</dcterms:created>
  <dcterms:modified xsi:type="dcterms:W3CDTF">2014-01-08T21:09:00Z</dcterms:modified>
  <cp:category> </cp:category>
  <cp:contentStatus> </cp:contentStatus>
</cp:coreProperties>
</file>