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C2" w:rsidRPr="000F762F" w:rsidRDefault="00694BC2" w:rsidP="000F762F">
      <w:pPr>
        <w:jc w:val="center"/>
        <w:rPr>
          <w:b/>
          <w:szCs w:val="22"/>
        </w:rPr>
      </w:pPr>
      <w:bookmarkStart w:id="0" w:name="_GoBack"/>
      <w:bookmarkEnd w:id="0"/>
      <w:r w:rsidRPr="000F762F">
        <w:rPr>
          <w:b/>
          <w:kern w:val="0"/>
          <w:szCs w:val="22"/>
        </w:rPr>
        <w:t>Before</w:t>
      </w:r>
      <w:r w:rsidRPr="000F762F">
        <w:rPr>
          <w:b/>
          <w:szCs w:val="22"/>
        </w:rPr>
        <w:t xml:space="preserve"> the</w:t>
      </w:r>
    </w:p>
    <w:p w:rsidR="00694BC2" w:rsidRPr="000F762F" w:rsidRDefault="00694BC2" w:rsidP="000F762F">
      <w:pPr>
        <w:pStyle w:val="StyleBoldCentered"/>
        <w:rPr>
          <w:rFonts w:ascii="Times New Roman" w:hAnsi="Times New Roman"/>
        </w:rPr>
      </w:pPr>
      <w:r w:rsidRPr="000F762F">
        <w:rPr>
          <w:rFonts w:ascii="Times New Roman" w:hAnsi="Times New Roman"/>
        </w:rPr>
        <w:t>F</w:t>
      </w:r>
      <w:r w:rsidRPr="000F762F">
        <w:rPr>
          <w:rFonts w:ascii="Times New Roman" w:hAnsi="Times New Roman"/>
          <w:caps w:val="0"/>
        </w:rPr>
        <w:t>ederal Communications Commission</w:t>
      </w:r>
    </w:p>
    <w:p w:rsidR="00694BC2" w:rsidRPr="000F762F" w:rsidRDefault="00694BC2" w:rsidP="000F762F">
      <w:pPr>
        <w:pStyle w:val="StyleBoldCentered"/>
        <w:rPr>
          <w:rFonts w:ascii="Times New Roman" w:hAnsi="Times New Roman"/>
        </w:rPr>
      </w:pPr>
      <w:smartTag w:uri="urn:schemas-microsoft-com:office:smarttags" w:element="City">
        <w:smartTag w:uri="urn:schemas-microsoft-com:office:smarttags" w:element="place">
          <w:smartTag w:uri="urn:schemas-microsoft-com:office:smarttags" w:element="City">
            <w:r w:rsidRPr="000F762F">
              <w:rPr>
                <w:rFonts w:ascii="Times New Roman" w:hAnsi="Times New Roman"/>
                <w:caps w:val="0"/>
              </w:rPr>
              <w:t>Washington</w:t>
            </w:r>
          </w:smartTag>
          <w:r w:rsidRPr="000F762F">
            <w:rPr>
              <w:rFonts w:ascii="Times New Roman" w:hAnsi="Times New Roman"/>
            </w:rPr>
            <w:t xml:space="preserve">, </w:t>
          </w:r>
          <w:smartTag w:uri="urn:schemas-microsoft-com:office:smarttags" w:element="State">
            <w:r w:rsidRPr="000F762F">
              <w:rPr>
                <w:rFonts w:ascii="Times New Roman" w:hAnsi="Times New Roman"/>
              </w:rPr>
              <w:t>D.C.</w:t>
            </w:r>
          </w:smartTag>
          <w:r w:rsidRPr="000F762F">
            <w:rPr>
              <w:rFonts w:ascii="Times New Roman" w:hAnsi="Times New Roman"/>
            </w:rPr>
            <w:t xml:space="preserve"> </w:t>
          </w:r>
          <w:smartTag w:uri="urn:schemas-microsoft-com:office:smarttags" w:element="PostalCode">
            <w:r w:rsidRPr="000F762F">
              <w:rPr>
                <w:rFonts w:ascii="Times New Roman" w:hAnsi="Times New Roman"/>
              </w:rPr>
              <w:t>20554</w:t>
            </w:r>
          </w:smartTag>
        </w:smartTag>
      </w:smartTag>
    </w:p>
    <w:p w:rsidR="00694BC2" w:rsidRPr="000F762F" w:rsidRDefault="00694BC2" w:rsidP="000F762F">
      <w:pPr>
        <w:rPr>
          <w:szCs w:val="22"/>
        </w:rPr>
      </w:pPr>
    </w:p>
    <w:p w:rsidR="00694BC2" w:rsidRPr="000F762F" w:rsidRDefault="00694BC2" w:rsidP="000F762F">
      <w:pPr>
        <w:rPr>
          <w:szCs w:val="22"/>
        </w:rPr>
      </w:pPr>
    </w:p>
    <w:tbl>
      <w:tblPr>
        <w:tblW w:w="0" w:type="auto"/>
        <w:tblLayout w:type="fixed"/>
        <w:tblLook w:val="0000" w:firstRow="0" w:lastRow="0" w:firstColumn="0" w:lastColumn="0" w:noHBand="0" w:noVBand="0"/>
      </w:tblPr>
      <w:tblGrid>
        <w:gridCol w:w="4698"/>
        <w:gridCol w:w="630"/>
        <w:gridCol w:w="4248"/>
      </w:tblGrid>
      <w:tr w:rsidR="00694BC2" w:rsidRPr="000F762F">
        <w:tc>
          <w:tcPr>
            <w:tcW w:w="4698" w:type="dxa"/>
          </w:tcPr>
          <w:p w:rsidR="00694BC2" w:rsidRPr="000F762F" w:rsidRDefault="00694BC2" w:rsidP="000F762F">
            <w:pPr>
              <w:tabs>
                <w:tab w:val="center" w:pos="4680"/>
              </w:tabs>
              <w:suppressAutoHyphens/>
              <w:rPr>
                <w:spacing w:val="-2"/>
                <w:szCs w:val="22"/>
              </w:rPr>
            </w:pPr>
            <w:r w:rsidRPr="000F762F">
              <w:rPr>
                <w:spacing w:val="-2"/>
                <w:szCs w:val="22"/>
              </w:rPr>
              <w:t>In the Matter of</w:t>
            </w:r>
          </w:p>
          <w:p w:rsidR="00694BC2" w:rsidRPr="000F762F" w:rsidRDefault="00694BC2" w:rsidP="000F762F">
            <w:pPr>
              <w:tabs>
                <w:tab w:val="center" w:pos="4680"/>
              </w:tabs>
              <w:suppressAutoHyphens/>
              <w:rPr>
                <w:spacing w:val="-2"/>
                <w:szCs w:val="22"/>
              </w:rPr>
            </w:pPr>
          </w:p>
          <w:p w:rsidR="00694BC2" w:rsidRPr="000F762F" w:rsidRDefault="00694BC2" w:rsidP="000F762F">
            <w:pPr>
              <w:tabs>
                <w:tab w:val="center" w:pos="4680"/>
              </w:tabs>
              <w:suppressAutoHyphens/>
              <w:rPr>
                <w:spacing w:val="-2"/>
                <w:szCs w:val="22"/>
              </w:rPr>
            </w:pPr>
            <w:r w:rsidRPr="000F762F">
              <w:rPr>
                <w:szCs w:val="22"/>
              </w:rPr>
              <w:t xml:space="preserve">The Commercial </w:t>
            </w:r>
            <w:smartTag w:uri="urn:schemas-microsoft-com:office:smarttags" w:element="place">
              <w:r w:rsidRPr="000F762F">
                <w:rPr>
                  <w:szCs w:val="22"/>
                </w:rPr>
                <w:t>Mobile</w:t>
              </w:r>
            </w:smartTag>
            <w:r w:rsidRPr="000F762F">
              <w:rPr>
                <w:szCs w:val="22"/>
              </w:rPr>
              <w:t xml:space="preserve"> Alert System</w:t>
            </w:r>
          </w:p>
        </w:tc>
        <w:tc>
          <w:tcPr>
            <w:tcW w:w="630" w:type="dxa"/>
          </w:tcPr>
          <w:p w:rsidR="00694BC2" w:rsidRPr="000F762F" w:rsidRDefault="00694BC2" w:rsidP="000F762F">
            <w:pPr>
              <w:tabs>
                <w:tab w:val="center" w:pos="4680"/>
              </w:tabs>
              <w:suppressAutoHyphens/>
              <w:rPr>
                <w:spacing w:val="-2"/>
                <w:szCs w:val="22"/>
              </w:rPr>
            </w:pPr>
            <w:r w:rsidRPr="000F762F">
              <w:rPr>
                <w:spacing w:val="-2"/>
                <w:szCs w:val="22"/>
              </w:rPr>
              <w:t>)</w:t>
            </w:r>
          </w:p>
          <w:p w:rsidR="00694BC2" w:rsidRPr="000F762F" w:rsidRDefault="00694BC2" w:rsidP="000F762F">
            <w:pPr>
              <w:tabs>
                <w:tab w:val="center" w:pos="4680"/>
              </w:tabs>
              <w:suppressAutoHyphens/>
              <w:rPr>
                <w:spacing w:val="-2"/>
                <w:szCs w:val="22"/>
              </w:rPr>
            </w:pPr>
            <w:r w:rsidRPr="000F762F">
              <w:rPr>
                <w:spacing w:val="-2"/>
                <w:szCs w:val="22"/>
              </w:rPr>
              <w:t>)</w:t>
            </w:r>
          </w:p>
          <w:p w:rsidR="00694BC2" w:rsidRPr="000F762F" w:rsidRDefault="00694BC2" w:rsidP="000F762F">
            <w:pPr>
              <w:tabs>
                <w:tab w:val="center" w:pos="4680"/>
              </w:tabs>
              <w:suppressAutoHyphens/>
              <w:rPr>
                <w:spacing w:val="-2"/>
                <w:szCs w:val="22"/>
              </w:rPr>
            </w:pPr>
            <w:r w:rsidRPr="000F762F">
              <w:rPr>
                <w:spacing w:val="-2"/>
                <w:szCs w:val="22"/>
              </w:rPr>
              <w:t>)</w:t>
            </w:r>
          </w:p>
          <w:p w:rsidR="00694BC2" w:rsidRPr="000F762F" w:rsidRDefault="00694BC2" w:rsidP="000F762F">
            <w:pPr>
              <w:tabs>
                <w:tab w:val="center" w:pos="4680"/>
              </w:tabs>
              <w:suppressAutoHyphens/>
              <w:rPr>
                <w:spacing w:val="-2"/>
                <w:szCs w:val="22"/>
              </w:rPr>
            </w:pPr>
            <w:r w:rsidRPr="000F762F">
              <w:rPr>
                <w:spacing w:val="-2"/>
                <w:szCs w:val="22"/>
              </w:rPr>
              <w:t>)</w:t>
            </w:r>
          </w:p>
          <w:p w:rsidR="00694BC2" w:rsidRPr="000F762F" w:rsidRDefault="00694BC2" w:rsidP="000F762F">
            <w:pPr>
              <w:tabs>
                <w:tab w:val="center" w:pos="4680"/>
              </w:tabs>
              <w:suppressAutoHyphens/>
              <w:rPr>
                <w:spacing w:val="-2"/>
                <w:szCs w:val="22"/>
              </w:rPr>
            </w:pPr>
            <w:r w:rsidRPr="000F762F">
              <w:rPr>
                <w:spacing w:val="-2"/>
                <w:szCs w:val="22"/>
              </w:rPr>
              <w:t>)</w:t>
            </w:r>
          </w:p>
        </w:tc>
        <w:tc>
          <w:tcPr>
            <w:tcW w:w="4248" w:type="dxa"/>
          </w:tcPr>
          <w:p w:rsidR="00694BC2" w:rsidRPr="000F762F" w:rsidRDefault="00694BC2" w:rsidP="000F762F">
            <w:pPr>
              <w:tabs>
                <w:tab w:val="center" w:pos="4680"/>
              </w:tabs>
              <w:suppressAutoHyphens/>
              <w:rPr>
                <w:spacing w:val="-2"/>
                <w:szCs w:val="22"/>
                <w:lang w:val="sv-SE"/>
              </w:rPr>
            </w:pPr>
          </w:p>
          <w:p w:rsidR="00694BC2" w:rsidRPr="000F762F" w:rsidRDefault="00694BC2" w:rsidP="000F762F">
            <w:pPr>
              <w:pStyle w:val="TOAHeading"/>
              <w:tabs>
                <w:tab w:val="clear" w:pos="9360"/>
                <w:tab w:val="center" w:pos="4680"/>
              </w:tabs>
              <w:rPr>
                <w:spacing w:val="-2"/>
                <w:szCs w:val="22"/>
                <w:lang w:val="sv-SE"/>
              </w:rPr>
            </w:pPr>
          </w:p>
          <w:p w:rsidR="00694BC2" w:rsidRPr="000F762F" w:rsidRDefault="00694BC2" w:rsidP="000F762F">
            <w:pPr>
              <w:tabs>
                <w:tab w:val="center" w:pos="4680"/>
              </w:tabs>
              <w:suppressAutoHyphens/>
              <w:rPr>
                <w:spacing w:val="-2"/>
                <w:szCs w:val="22"/>
                <w:lang w:val="sv-SE"/>
              </w:rPr>
            </w:pPr>
            <w:r w:rsidRPr="000F762F">
              <w:rPr>
                <w:spacing w:val="-2"/>
                <w:szCs w:val="22"/>
                <w:lang w:val="sv-SE"/>
              </w:rPr>
              <w:t>PS Docket No. 07-287</w:t>
            </w:r>
          </w:p>
          <w:p w:rsidR="00694BC2" w:rsidRPr="000F762F" w:rsidRDefault="00694BC2" w:rsidP="000F762F">
            <w:pPr>
              <w:tabs>
                <w:tab w:val="center" w:pos="4680"/>
              </w:tabs>
              <w:suppressAutoHyphens/>
              <w:rPr>
                <w:spacing w:val="-2"/>
                <w:szCs w:val="22"/>
                <w:lang w:val="sv-SE"/>
              </w:rPr>
            </w:pPr>
          </w:p>
          <w:p w:rsidR="00694BC2" w:rsidRPr="000F762F" w:rsidRDefault="00694BC2" w:rsidP="000F762F">
            <w:pPr>
              <w:tabs>
                <w:tab w:val="center" w:pos="4680"/>
              </w:tabs>
              <w:suppressAutoHyphens/>
              <w:rPr>
                <w:spacing w:val="-2"/>
                <w:szCs w:val="22"/>
                <w:lang w:val="sv-SE"/>
              </w:rPr>
            </w:pPr>
          </w:p>
          <w:p w:rsidR="00694BC2" w:rsidRPr="000F762F" w:rsidRDefault="00694BC2" w:rsidP="000F762F">
            <w:pPr>
              <w:tabs>
                <w:tab w:val="center" w:pos="4680"/>
              </w:tabs>
              <w:suppressAutoHyphens/>
              <w:rPr>
                <w:spacing w:val="-2"/>
                <w:szCs w:val="22"/>
                <w:lang w:val="sv-SE"/>
              </w:rPr>
            </w:pPr>
          </w:p>
        </w:tc>
      </w:tr>
    </w:tbl>
    <w:p w:rsidR="00694BC2" w:rsidRPr="000F762F" w:rsidRDefault="00694BC2" w:rsidP="000F762F">
      <w:pPr>
        <w:rPr>
          <w:szCs w:val="22"/>
        </w:rPr>
      </w:pPr>
    </w:p>
    <w:p w:rsidR="00694BC2" w:rsidRPr="000F762F" w:rsidRDefault="00694BC2" w:rsidP="000F762F">
      <w:pPr>
        <w:pStyle w:val="StyleBoldCentered"/>
        <w:rPr>
          <w:rFonts w:ascii="Times New Roman" w:hAnsi="Times New Roman"/>
        </w:rPr>
      </w:pPr>
      <w:r w:rsidRPr="000F762F">
        <w:rPr>
          <w:rFonts w:ascii="Times New Roman" w:hAnsi="Times New Roman"/>
        </w:rPr>
        <w:t xml:space="preserve">ORDER </w:t>
      </w:r>
    </w:p>
    <w:p w:rsidR="00694BC2" w:rsidRPr="000F762F" w:rsidRDefault="00694BC2" w:rsidP="000F762F">
      <w:pPr>
        <w:pStyle w:val="StyleBoldCentered"/>
        <w:rPr>
          <w:rFonts w:ascii="Times New Roman" w:hAnsi="Times New Roman"/>
        </w:rPr>
      </w:pPr>
    </w:p>
    <w:p w:rsidR="00694BC2" w:rsidRPr="000F762F" w:rsidRDefault="00694BC2" w:rsidP="000F762F">
      <w:pPr>
        <w:pStyle w:val="StyleBoldCentered"/>
        <w:jc w:val="left"/>
        <w:rPr>
          <w:rFonts w:ascii="Times New Roman" w:hAnsi="Times New Roman"/>
          <w:caps w:val="0"/>
        </w:rPr>
      </w:pPr>
      <w:r w:rsidRPr="000F762F">
        <w:rPr>
          <w:rFonts w:ascii="Times New Roman" w:hAnsi="Times New Roman"/>
          <w:caps w:val="0"/>
        </w:rPr>
        <w:t xml:space="preserve">Adopted:  </w:t>
      </w:r>
      <w:r>
        <w:rPr>
          <w:rFonts w:ascii="Times New Roman" w:hAnsi="Times New Roman"/>
          <w:caps w:val="0"/>
        </w:rPr>
        <w:t>February 25</w:t>
      </w:r>
      <w:r w:rsidRPr="000F762F">
        <w:rPr>
          <w:rFonts w:ascii="Times New Roman" w:hAnsi="Times New Roman"/>
          <w:caps w:val="0"/>
        </w:rPr>
        <w:t>, 201</w:t>
      </w:r>
      <w:r>
        <w:rPr>
          <w:rFonts w:ascii="Times New Roman" w:hAnsi="Times New Roman"/>
          <w:caps w:val="0"/>
        </w:rPr>
        <w:t>3</w:t>
      </w:r>
      <w:r w:rsidRPr="000F762F">
        <w:rPr>
          <w:rFonts w:ascii="Times New Roman" w:hAnsi="Times New Roman"/>
          <w:caps w:val="0"/>
        </w:rPr>
        <w:tab/>
      </w:r>
      <w:r w:rsidRPr="000F762F">
        <w:rPr>
          <w:rFonts w:ascii="Times New Roman" w:hAnsi="Times New Roman"/>
          <w:caps w:val="0"/>
        </w:rPr>
        <w:tab/>
      </w:r>
      <w:r w:rsidRPr="000F762F">
        <w:rPr>
          <w:rFonts w:ascii="Times New Roman" w:hAnsi="Times New Roman"/>
          <w:caps w:val="0"/>
        </w:rPr>
        <w:tab/>
      </w:r>
      <w:r w:rsidRPr="000F762F">
        <w:rPr>
          <w:rFonts w:ascii="Times New Roman" w:hAnsi="Times New Roman"/>
          <w:caps w:val="0"/>
        </w:rPr>
        <w:tab/>
        <w:t xml:space="preserve">                            Released:  </w:t>
      </w:r>
      <w:r>
        <w:rPr>
          <w:rFonts w:ascii="Times New Roman" w:hAnsi="Times New Roman"/>
          <w:caps w:val="0"/>
        </w:rPr>
        <w:t>February 25</w:t>
      </w:r>
      <w:r w:rsidRPr="000F762F">
        <w:rPr>
          <w:rFonts w:ascii="Times New Roman" w:hAnsi="Times New Roman"/>
          <w:caps w:val="0"/>
        </w:rPr>
        <w:t>, 201</w:t>
      </w:r>
      <w:r>
        <w:rPr>
          <w:rFonts w:ascii="Times New Roman" w:hAnsi="Times New Roman"/>
          <w:caps w:val="0"/>
        </w:rPr>
        <w:t>3</w:t>
      </w:r>
    </w:p>
    <w:p w:rsidR="00694BC2" w:rsidRPr="000F762F" w:rsidRDefault="00694BC2" w:rsidP="000F762F">
      <w:pPr>
        <w:pStyle w:val="StyleBoldCentered"/>
        <w:jc w:val="left"/>
        <w:rPr>
          <w:rFonts w:ascii="Times New Roman" w:hAnsi="Times New Roman"/>
          <w:caps w:val="0"/>
        </w:rPr>
      </w:pPr>
    </w:p>
    <w:p w:rsidR="00694BC2" w:rsidRPr="000F762F" w:rsidRDefault="00694BC2" w:rsidP="000F762F">
      <w:pPr>
        <w:rPr>
          <w:szCs w:val="22"/>
        </w:rPr>
      </w:pPr>
      <w:r w:rsidRPr="000F762F">
        <w:rPr>
          <w:szCs w:val="22"/>
        </w:rPr>
        <w:t>By the Chief, Public Safety and Homeland Security Bureau.</w:t>
      </w:r>
    </w:p>
    <w:p w:rsidR="00694BC2" w:rsidRPr="000F762F" w:rsidRDefault="00694BC2" w:rsidP="000F762F">
      <w:pPr>
        <w:pStyle w:val="Heading1"/>
        <w:numPr>
          <w:ilvl w:val="0"/>
          <w:numId w:val="0"/>
        </w:numPr>
        <w:spacing w:after="0"/>
        <w:rPr>
          <w:rFonts w:ascii="Times New Roman" w:hAnsi="Times New Roman"/>
          <w:szCs w:val="22"/>
        </w:rPr>
      </w:pPr>
    </w:p>
    <w:p w:rsidR="00694BC2" w:rsidRPr="000F762F" w:rsidRDefault="00694BC2" w:rsidP="000F762F">
      <w:pPr>
        <w:pStyle w:val="ParaNum"/>
        <w:spacing w:after="0"/>
        <w:rPr>
          <w:szCs w:val="22"/>
        </w:rPr>
      </w:pPr>
      <w:r w:rsidRPr="000F762F">
        <w:rPr>
          <w:kern w:val="0"/>
          <w:szCs w:val="22"/>
        </w:rPr>
        <w:t>The Warning Alert and Response Network Act</w:t>
      </w:r>
      <w:bookmarkStart w:id="1" w:name="FN[FN1]"/>
      <w:bookmarkEnd w:id="1"/>
      <w:r>
        <w:rPr>
          <w:kern w:val="0"/>
          <w:szCs w:val="22"/>
        </w:rPr>
        <w:t xml:space="preserve"> (WARN Act)</w:t>
      </w:r>
      <w:r w:rsidRPr="000F762F">
        <w:rPr>
          <w:rStyle w:val="FootnoteReference"/>
          <w:kern w:val="0"/>
          <w:szCs w:val="22"/>
        </w:rPr>
        <w:footnoteReference w:id="2"/>
      </w:r>
      <w:r w:rsidRPr="000F762F">
        <w:rPr>
          <w:kern w:val="0"/>
          <w:szCs w:val="22"/>
        </w:rPr>
        <w:t xml:space="preserve"> required the Commission to </w:t>
      </w:r>
      <w:r>
        <w:rPr>
          <w:kern w:val="0"/>
          <w:szCs w:val="22"/>
        </w:rPr>
        <w:t>adopt the technical requirements necessary for</w:t>
      </w:r>
      <w:r w:rsidRPr="000F762F">
        <w:rPr>
          <w:kern w:val="0"/>
          <w:szCs w:val="22"/>
        </w:rPr>
        <w:t xml:space="preserve"> commercial mobile service </w:t>
      </w:r>
      <w:r>
        <w:rPr>
          <w:kern w:val="0"/>
          <w:szCs w:val="22"/>
        </w:rPr>
        <w:t xml:space="preserve">providers to transmit emergency alerts, if they elect to transmit those </w:t>
      </w:r>
      <w:r w:rsidRPr="000F762F">
        <w:rPr>
          <w:kern w:val="0"/>
          <w:szCs w:val="22"/>
        </w:rPr>
        <w:t>alerts.</w:t>
      </w:r>
      <w:r w:rsidRPr="000F762F">
        <w:rPr>
          <w:rStyle w:val="FootnoteReference"/>
          <w:kern w:val="0"/>
          <w:szCs w:val="22"/>
        </w:rPr>
        <w:footnoteReference w:id="3"/>
      </w:r>
      <w:r w:rsidRPr="000F762F">
        <w:rPr>
          <w:kern w:val="0"/>
          <w:szCs w:val="22"/>
        </w:rPr>
        <w:t xml:space="preserve">  In the rulemaking proceeding </w:t>
      </w:r>
      <w:r>
        <w:rPr>
          <w:kern w:val="0"/>
          <w:szCs w:val="22"/>
        </w:rPr>
        <w:t xml:space="preserve">that the Commission launched to implement this WARN Act </w:t>
      </w:r>
      <w:r w:rsidRPr="000F762F">
        <w:rPr>
          <w:kern w:val="0"/>
          <w:szCs w:val="22"/>
        </w:rPr>
        <w:t xml:space="preserve">requirement, the Commission </w:t>
      </w:r>
      <w:r>
        <w:rPr>
          <w:kern w:val="0"/>
          <w:szCs w:val="22"/>
        </w:rPr>
        <w:t>used the name</w:t>
      </w:r>
      <w:r w:rsidRPr="000F762F">
        <w:rPr>
          <w:kern w:val="0"/>
          <w:szCs w:val="22"/>
        </w:rPr>
        <w:t xml:space="preserve"> Commercial Mobile Alert System (CMAS)</w:t>
      </w:r>
      <w:r w:rsidRPr="00B66311">
        <w:rPr>
          <w:kern w:val="0"/>
          <w:szCs w:val="22"/>
        </w:rPr>
        <w:t xml:space="preserve"> </w:t>
      </w:r>
      <w:r>
        <w:rPr>
          <w:kern w:val="0"/>
          <w:szCs w:val="22"/>
        </w:rPr>
        <w:t>to describe the system that commercial mobile service providers could use to transmit emergency alerts to the public</w:t>
      </w:r>
      <w:r w:rsidRPr="000F762F">
        <w:rPr>
          <w:kern w:val="0"/>
          <w:szCs w:val="22"/>
        </w:rPr>
        <w:t>.</w:t>
      </w:r>
      <w:r w:rsidRPr="000F762F">
        <w:rPr>
          <w:rStyle w:val="FootnoteReference"/>
          <w:kern w:val="0"/>
          <w:szCs w:val="22"/>
        </w:rPr>
        <w:footnoteReference w:id="4"/>
      </w:r>
      <w:r w:rsidRPr="000F762F">
        <w:rPr>
          <w:kern w:val="0"/>
          <w:szCs w:val="22"/>
        </w:rPr>
        <w:t xml:space="preserve">  </w:t>
      </w:r>
      <w:r>
        <w:rPr>
          <w:kern w:val="0"/>
          <w:szCs w:val="22"/>
        </w:rPr>
        <w:t>The regulations governing this system are codified in Part 10 of the Commission’s rules and also refer to this system as CMAS.</w:t>
      </w:r>
      <w:r>
        <w:rPr>
          <w:rStyle w:val="FootnoteReference"/>
          <w:kern w:val="0"/>
          <w:szCs w:val="22"/>
        </w:rPr>
        <w:footnoteReference w:id="5"/>
      </w:r>
      <w:r>
        <w:rPr>
          <w:kern w:val="0"/>
          <w:szCs w:val="22"/>
        </w:rPr>
        <w:t xml:space="preserve">  </w:t>
      </w:r>
      <w:r w:rsidRPr="000F762F">
        <w:rPr>
          <w:kern w:val="0"/>
          <w:szCs w:val="22"/>
        </w:rPr>
        <w:t xml:space="preserve">Recently, however, an increasing number of the commercial mobile service providers that participate in </w:t>
      </w:r>
      <w:r>
        <w:rPr>
          <w:kern w:val="0"/>
          <w:szCs w:val="22"/>
        </w:rPr>
        <w:t>the</w:t>
      </w:r>
      <w:r w:rsidRPr="000F762F">
        <w:rPr>
          <w:kern w:val="0"/>
          <w:szCs w:val="22"/>
        </w:rPr>
        <w:t xml:space="preserve"> system </w:t>
      </w:r>
      <w:r>
        <w:rPr>
          <w:kern w:val="0"/>
          <w:szCs w:val="22"/>
        </w:rPr>
        <w:t>are referring</w:t>
      </w:r>
      <w:r w:rsidRPr="000F762F">
        <w:rPr>
          <w:kern w:val="0"/>
          <w:szCs w:val="22"/>
        </w:rPr>
        <w:t xml:space="preserve"> to it as Wireless Emergency Alerts (WEA) in the information that they provide to their subscribers.</w:t>
      </w:r>
      <w:r w:rsidRPr="000F762F">
        <w:rPr>
          <w:rStyle w:val="FootnoteReference"/>
          <w:kern w:val="0"/>
          <w:szCs w:val="22"/>
        </w:rPr>
        <w:footnoteReference w:id="6"/>
      </w:r>
      <w:r w:rsidRPr="000F762F">
        <w:rPr>
          <w:kern w:val="0"/>
          <w:szCs w:val="22"/>
        </w:rPr>
        <w:t xml:space="preserve"> </w:t>
      </w:r>
    </w:p>
    <w:p w:rsidR="00694BC2" w:rsidRPr="000F762F" w:rsidRDefault="00694BC2" w:rsidP="000F762F">
      <w:pPr>
        <w:pStyle w:val="ParaNum"/>
        <w:numPr>
          <w:ilvl w:val="0"/>
          <w:numId w:val="0"/>
        </w:numPr>
        <w:spacing w:after="0"/>
        <w:rPr>
          <w:szCs w:val="22"/>
        </w:rPr>
      </w:pPr>
    </w:p>
    <w:p w:rsidR="00694BC2" w:rsidRDefault="00694BC2" w:rsidP="00457ABA">
      <w:pPr>
        <w:pStyle w:val="ParaNum"/>
        <w:spacing w:after="0"/>
        <w:rPr>
          <w:szCs w:val="22"/>
        </w:rPr>
      </w:pPr>
      <w:r w:rsidRPr="005B05C3">
        <w:rPr>
          <w:szCs w:val="22"/>
        </w:rPr>
        <w:lastRenderedPageBreak/>
        <w:t xml:space="preserve">In this </w:t>
      </w:r>
      <w:r w:rsidRPr="005B05C3">
        <w:rPr>
          <w:i/>
          <w:szCs w:val="22"/>
        </w:rPr>
        <w:t>Order</w:t>
      </w:r>
      <w:r w:rsidRPr="005B05C3">
        <w:rPr>
          <w:szCs w:val="22"/>
        </w:rPr>
        <w:t>, we revise Part 10 of the Commission’s rules by changing the name “Commercial Mobile Alert</w:t>
      </w:r>
      <w:r w:rsidRPr="000A5732">
        <w:rPr>
          <w:szCs w:val="22"/>
        </w:rPr>
        <w:t xml:space="preserve"> System” to “Wireless Emergency Alerts” throughout the Part and by changing references to “CMAS” to “WEA</w:t>
      </w:r>
      <w:r w:rsidRPr="009850E6">
        <w:rPr>
          <w:szCs w:val="22"/>
        </w:rPr>
        <w:t xml:space="preserve">.”  These revisions will conform the name used for the wireless alert system regulated under our rules to the name used by the major commercial mobile service providers that participate in that system.  Accordingly, the rules </w:t>
      </w:r>
      <w:r>
        <w:rPr>
          <w:szCs w:val="22"/>
        </w:rPr>
        <w:t>will more accurately reflect common parlance and thus reduce</w:t>
      </w:r>
      <w:r w:rsidRPr="000F762F">
        <w:rPr>
          <w:szCs w:val="22"/>
        </w:rPr>
        <w:t xml:space="preserve"> confusion</w:t>
      </w:r>
      <w:bookmarkStart w:id="2" w:name="_Toc202589910"/>
      <w:bookmarkStart w:id="3" w:name="_Toc202781496"/>
      <w:bookmarkStart w:id="4" w:name="_Toc202782113"/>
      <w:bookmarkStart w:id="5" w:name="_Toc202783849"/>
      <w:bookmarkStart w:id="6" w:name="_Toc202784172"/>
      <w:r>
        <w:rPr>
          <w:szCs w:val="22"/>
        </w:rPr>
        <w:t>.</w:t>
      </w:r>
    </w:p>
    <w:p w:rsidR="00694BC2" w:rsidRPr="000F762F" w:rsidRDefault="00694BC2" w:rsidP="000F762F">
      <w:pPr>
        <w:pStyle w:val="ParaNum"/>
        <w:numPr>
          <w:ilvl w:val="0"/>
          <w:numId w:val="0"/>
        </w:numPr>
        <w:spacing w:after="0"/>
        <w:rPr>
          <w:szCs w:val="22"/>
        </w:rPr>
      </w:pPr>
    </w:p>
    <w:p w:rsidR="00694BC2" w:rsidRPr="00A53C83" w:rsidRDefault="00694BC2" w:rsidP="00A53C83">
      <w:pPr>
        <w:pStyle w:val="ParaNum"/>
        <w:spacing w:after="0"/>
        <w:rPr>
          <w:szCs w:val="22"/>
        </w:rPr>
      </w:pPr>
      <w:r w:rsidRPr="000F762F">
        <w:t xml:space="preserve">The revisions adopted in this </w:t>
      </w:r>
      <w:r w:rsidRPr="000B47F2">
        <w:rPr>
          <w:i/>
        </w:rPr>
        <w:t>Order</w:t>
      </w:r>
      <w:r w:rsidRPr="000F762F">
        <w:t xml:space="preserve"> </w:t>
      </w:r>
      <w:r>
        <w:t xml:space="preserve">and set forth in the attached Appendix </w:t>
      </w:r>
      <w:r w:rsidRPr="000F762F">
        <w:t xml:space="preserve">merely </w:t>
      </w:r>
      <w:r>
        <w:t xml:space="preserve">change the name of the </w:t>
      </w:r>
      <w:r w:rsidRPr="000F762F">
        <w:rPr>
          <w:kern w:val="0"/>
        </w:rPr>
        <w:t>commercial mobile alert</w:t>
      </w:r>
      <w:r>
        <w:rPr>
          <w:kern w:val="0"/>
        </w:rPr>
        <w:t xml:space="preserve"> </w:t>
      </w:r>
      <w:r w:rsidRPr="000F762F">
        <w:rPr>
          <w:kern w:val="0"/>
        </w:rPr>
        <w:t xml:space="preserve">service </w:t>
      </w:r>
      <w:r>
        <w:rPr>
          <w:kern w:val="0"/>
        </w:rPr>
        <w:t>regulated under Part 10 of our rules</w:t>
      </w:r>
      <w:r>
        <w:t>.  These revisions</w:t>
      </w:r>
      <w:r w:rsidRPr="000F762F">
        <w:t xml:space="preserve"> are </w:t>
      </w:r>
      <w:r>
        <w:t xml:space="preserve">thus </w:t>
      </w:r>
      <w:r w:rsidRPr="000F762F">
        <w:t>ministerial, non</w:t>
      </w:r>
      <w:r>
        <w:t>-</w:t>
      </w:r>
      <w:r w:rsidRPr="000F762F">
        <w:t xml:space="preserve">substantive, </w:t>
      </w:r>
      <w:r>
        <w:t xml:space="preserve">and </w:t>
      </w:r>
      <w:r w:rsidRPr="000F762F">
        <w:t>editorial</w:t>
      </w:r>
      <w:r>
        <w:t xml:space="preserve">.  Accordingly, </w:t>
      </w:r>
      <w:r w:rsidRPr="000F762F">
        <w:t>we find good cause to conclude that notice and comment procedures are unnecessary and would not serve any useful purpose.</w:t>
      </w:r>
      <w:r>
        <w:rPr>
          <w:rStyle w:val="FootnoteReference"/>
          <w:szCs w:val="22"/>
        </w:rPr>
        <w:footnoteReference w:id="7"/>
      </w:r>
      <w:r w:rsidRPr="000F762F">
        <w:t xml:space="preserve"> </w:t>
      </w:r>
    </w:p>
    <w:p w:rsidR="00694BC2" w:rsidRDefault="00694BC2" w:rsidP="00A53C83">
      <w:pPr>
        <w:pStyle w:val="ParaNum"/>
        <w:numPr>
          <w:ilvl w:val="0"/>
          <w:numId w:val="0"/>
        </w:numPr>
        <w:spacing w:after="0"/>
      </w:pPr>
    </w:p>
    <w:p w:rsidR="00694BC2" w:rsidRDefault="00694BC2" w:rsidP="00A53C83">
      <w:pPr>
        <w:pStyle w:val="ParaNum"/>
        <w:spacing w:after="0"/>
        <w:rPr>
          <w:szCs w:val="22"/>
        </w:rPr>
      </w:pPr>
      <w:r w:rsidRPr="000F762F">
        <w:t xml:space="preserve">Because the </w:t>
      </w:r>
      <w:r>
        <w:t>rule revisions will not affect the substantive rights or interests of any licensee</w:t>
      </w:r>
      <w:r w:rsidRPr="000F762F">
        <w:t>, we also find good cause to make these non</w:t>
      </w:r>
      <w:r>
        <w:t>-</w:t>
      </w:r>
      <w:r w:rsidRPr="000F762F">
        <w:t>substantive, editorial revisions of the rules effective upon publication in the Federal Register.</w:t>
      </w:r>
      <w:r>
        <w:rPr>
          <w:rStyle w:val="FootnoteReference"/>
          <w:szCs w:val="22"/>
        </w:rPr>
        <w:footnoteReference w:id="8"/>
      </w:r>
      <w:r w:rsidRPr="000F762F">
        <w:t xml:space="preserve"> </w:t>
      </w:r>
    </w:p>
    <w:p w:rsidR="00694BC2" w:rsidRPr="000F762F" w:rsidRDefault="00694BC2" w:rsidP="00186561">
      <w:pPr>
        <w:pStyle w:val="ParaNum"/>
        <w:numPr>
          <w:ilvl w:val="0"/>
          <w:numId w:val="0"/>
        </w:numPr>
        <w:spacing w:after="0"/>
        <w:rPr>
          <w:szCs w:val="22"/>
        </w:rPr>
      </w:pPr>
    </w:p>
    <w:p w:rsidR="00694BC2" w:rsidRDefault="00694BC2" w:rsidP="000F762F">
      <w:pPr>
        <w:pStyle w:val="ParaNum"/>
        <w:spacing w:after="0"/>
        <w:rPr>
          <w:szCs w:val="22"/>
        </w:rPr>
      </w:pPr>
      <w:r w:rsidRPr="000F762F">
        <w:rPr>
          <w:szCs w:val="22"/>
        </w:rPr>
        <w:t xml:space="preserve">Because this </w:t>
      </w:r>
      <w:r w:rsidRPr="00631A44">
        <w:rPr>
          <w:i/>
          <w:szCs w:val="22"/>
        </w:rPr>
        <w:t>Order</w:t>
      </w:r>
      <w:r w:rsidRPr="000F762F">
        <w:rPr>
          <w:szCs w:val="22"/>
        </w:rPr>
        <w:t xml:space="preserve"> is being adopted without </w:t>
      </w:r>
      <w:r>
        <w:rPr>
          <w:szCs w:val="22"/>
        </w:rPr>
        <w:t xml:space="preserve">the publication of a </w:t>
      </w:r>
      <w:r w:rsidRPr="000F762F">
        <w:rPr>
          <w:szCs w:val="22"/>
        </w:rPr>
        <w:t xml:space="preserve">notice </w:t>
      </w:r>
      <w:r>
        <w:rPr>
          <w:szCs w:val="22"/>
        </w:rPr>
        <w:t>of proposed rulemaking</w:t>
      </w:r>
      <w:r w:rsidRPr="000F762F">
        <w:rPr>
          <w:szCs w:val="22"/>
        </w:rPr>
        <w:t xml:space="preserve">, the Regulatory Flexibility Act, </w:t>
      </w:r>
      <w:r w:rsidRPr="00005C89">
        <w:rPr>
          <w:szCs w:val="22"/>
        </w:rPr>
        <w:t xml:space="preserve">5 U.S.C. § 601 </w:t>
      </w:r>
      <w:r w:rsidRPr="00005C89">
        <w:rPr>
          <w:i/>
          <w:iCs/>
          <w:szCs w:val="22"/>
        </w:rPr>
        <w:t>et seq</w:t>
      </w:r>
      <w:r w:rsidRPr="00005C89">
        <w:rPr>
          <w:szCs w:val="22"/>
        </w:rPr>
        <w:t>.,</w:t>
      </w:r>
      <w:r w:rsidRPr="000F762F">
        <w:rPr>
          <w:szCs w:val="22"/>
        </w:rPr>
        <w:t xml:space="preserve"> does not </w:t>
      </w:r>
      <w:r>
        <w:rPr>
          <w:szCs w:val="22"/>
        </w:rPr>
        <w:t>require the Commission to prepare a regulatory flexibility analysis</w:t>
      </w:r>
      <w:r w:rsidRPr="000F762F">
        <w:rPr>
          <w:szCs w:val="22"/>
        </w:rPr>
        <w:t>.</w:t>
      </w:r>
      <w:bookmarkStart w:id="14" w:name="sp_999_2"/>
      <w:bookmarkStart w:id="15" w:name="SDU_2"/>
      <w:bookmarkEnd w:id="14"/>
      <w:bookmarkEnd w:id="15"/>
      <w:r>
        <w:rPr>
          <w:rStyle w:val="FootnoteReference"/>
          <w:szCs w:val="22"/>
        </w:rPr>
        <w:footnoteReference w:id="9"/>
      </w:r>
    </w:p>
    <w:p w:rsidR="00694BC2" w:rsidRPr="000F762F" w:rsidRDefault="00694BC2" w:rsidP="00186561">
      <w:pPr>
        <w:pStyle w:val="ParaNum"/>
        <w:numPr>
          <w:ilvl w:val="0"/>
          <w:numId w:val="0"/>
        </w:numPr>
        <w:spacing w:after="0"/>
        <w:rPr>
          <w:szCs w:val="22"/>
        </w:rPr>
      </w:pPr>
    </w:p>
    <w:p w:rsidR="00694BC2" w:rsidRDefault="00694BC2" w:rsidP="00631A44">
      <w:pPr>
        <w:pStyle w:val="ParaNum"/>
        <w:spacing w:after="0"/>
        <w:rPr>
          <w:szCs w:val="22"/>
        </w:rPr>
      </w:pPr>
      <w:r>
        <w:rPr>
          <w:szCs w:val="22"/>
        </w:rPr>
        <w:t xml:space="preserve">This document does not contain </w:t>
      </w:r>
      <w:r w:rsidRPr="00AF25E6">
        <w:rPr>
          <w:szCs w:val="22"/>
        </w:rPr>
        <w:t xml:space="preserve">new or modified information collection requirements subject to the Paperwork Reduction Act of 1995, Public Law 104-13. </w:t>
      </w:r>
      <w:r>
        <w:rPr>
          <w:szCs w:val="22"/>
        </w:rPr>
        <w:t xml:space="preserve"> </w:t>
      </w:r>
      <w:r w:rsidRPr="00AF25E6">
        <w:rPr>
          <w:szCs w:val="22"/>
        </w:rPr>
        <w:t xml:space="preserve">In addition, therefore, it does not contain any new or modified information collection burden for small business concerns with fewer than 25 employees, pursuant to the Small Business Paperwork Relief Act of 2002, Public Law 107-198, </w:t>
      </w:r>
      <w:r w:rsidRPr="001313D4">
        <w:rPr>
          <w:i/>
          <w:szCs w:val="22"/>
        </w:rPr>
        <w:t>see</w:t>
      </w:r>
      <w:r w:rsidRPr="00AF25E6">
        <w:rPr>
          <w:szCs w:val="22"/>
        </w:rPr>
        <w:t xml:space="preserve"> 44 U.S.C. 3506(c)(4).</w:t>
      </w:r>
      <w:bookmarkStart w:id="16" w:name="FN[FN5]"/>
      <w:bookmarkStart w:id="17" w:name="FN[FN6]"/>
      <w:bookmarkEnd w:id="16"/>
      <w:bookmarkEnd w:id="17"/>
    </w:p>
    <w:p w:rsidR="00694BC2" w:rsidRDefault="00694BC2" w:rsidP="00631A44">
      <w:pPr>
        <w:pStyle w:val="ListParagraph"/>
        <w:rPr>
          <w:szCs w:val="22"/>
        </w:rPr>
      </w:pPr>
    </w:p>
    <w:p w:rsidR="00694BC2" w:rsidRDefault="00694BC2" w:rsidP="00631A44">
      <w:pPr>
        <w:pStyle w:val="ParaNum"/>
        <w:widowControl/>
        <w:spacing w:after="0"/>
        <w:rPr>
          <w:szCs w:val="22"/>
        </w:rPr>
      </w:pPr>
      <w:r w:rsidRPr="000F762F">
        <w:rPr>
          <w:szCs w:val="22"/>
        </w:rPr>
        <w:lastRenderedPageBreak/>
        <w:t xml:space="preserve">The Bureau adopts this </w:t>
      </w:r>
      <w:r w:rsidRPr="000F762F">
        <w:rPr>
          <w:i/>
          <w:szCs w:val="22"/>
        </w:rPr>
        <w:t>Order</w:t>
      </w:r>
      <w:r w:rsidRPr="000F762F">
        <w:rPr>
          <w:szCs w:val="22"/>
        </w:rPr>
        <w:t xml:space="preserve"> pursuant to its delegated authority to “conduct[] rulemaking proceedings” in matters pertaining to public safety and homeland security.</w:t>
      </w:r>
      <w:r w:rsidRPr="000F762F">
        <w:rPr>
          <w:rStyle w:val="FootnoteReference"/>
          <w:szCs w:val="22"/>
        </w:rPr>
        <w:footnoteReference w:id="10"/>
      </w:r>
      <w:r>
        <w:rPr>
          <w:szCs w:val="22"/>
        </w:rPr>
        <w:t xml:space="preserve">  </w:t>
      </w:r>
      <w:r>
        <w:t>Pursuant to section 0.392 of the Commission’s rules, the Bureau Chief is “delegated authority to perform all functions of the Bureau, described  in . . . § 0.191” with certain specified exceptions.</w:t>
      </w:r>
      <w:r>
        <w:rPr>
          <w:rStyle w:val="FootnoteReference"/>
        </w:rPr>
        <w:footnoteReference w:id="11"/>
      </w:r>
      <w:r>
        <w:t xml:space="preserve">  None of those exceptions are present here.</w:t>
      </w:r>
      <w:r>
        <w:rPr>
          <w:rStyle w:val="FootnoteReference"/>
        </w:rPr>
        <w:footnoteReference w:id="12"/>
      </w:r>
      <w:r>
        <w:t xml:space="preserve">  </w:t>
      </w:r>
    </w:p>
    <w:p w:rsidR="00694BC2" w:rsidRPr="000F762F" w:rsidRDefault="00694BC2" w:rsidP="000F762F">
      <w:pPr>
        <w:pStyle w:val="ParaNum"/>
        <w:numPr>
          <w:ilvl w:val="0"/>
          <w:numId w:val="0"/>
        </w:numPr>
        <w:spacing w:after="0"/>
        <w:rPr>
          <w:szCs w:val="22"/>
        </w:rPr>
      </w:pPr>
    </w:p>
    <w:p w:rsidR="00694BC2" w:rsidRDefault="00694BC2" w:rsidP="000F762F">
      <w:pPr>
        <w:pStyle w:val="ParaNum"/>
        <w:spacing w:after="0"/>
        <w:rPr>
          <w:szCs w:val="22"/>
        </w:rPr>
      </w:pPr>
      <w:r w:rsidRPr="000F762F">
        <w:rPr>
          <w:szCs w:val="22"/>
        </w:rPr>
        <w:t xml:space="preserve">Accordingly, </w:t>
      </w:r>
      <w:r w:rsidRPr="000B47F2">
        <w:rPr>
          <w:rStyle w:val="Strong"/>
          <w:b w:val="0"/>
          <w:bCs/>
          <w:szCs w:val="22"/>
        </w:rPr>
        <w:t>IT IS ORDERED THAT</w:t>
      </w:r>
      <w:r w:rsidRPr="000F762F">
        <w:rPr>
          <w:szCs w:val="22"/>
        </w:rPr>
        <w:t>, effective upon publicatio</w:t>
      </w:r>
      <w:r>
        <w:rPr>
          <w:szCs w:val="22"/>
        </w:rPr>
        <w:t>n in the Federal Register, Part</w:t>
      </w:r>
      <w:r w:rsidRPr="000F762F">
        <w:rPr>
          <w:szCs w:val="22"/>
        </w:rPr>
        <w:t xml:space="preserve"> </w:t>
      </w:r>
      <w:r>
        <w:rPr>
          <w:szCs w:val="22"/>
        </w:rPr>
        <w:t>10</w:t>
      </w:r>
      <w:r w:rsidRPr="000F762F">
        <w:rPr>
          <w:szCs w:val="22"/>
        </w:rPr>
        <w:t xml:space="preserve"> of the Commission</w:t>
      </w:r>
      <w:r>
        <w:rPr>
          <w:szCs w:val="22"/>
        </w:rPr>
        <w:t>’</w:t>
      </w:r>
      <w:r w:rsidRPr="000F762F">
        <w:rPr>
          <w:szCs w:val="22"/>
        </w:rPr>
        <w:t xml:space="preserve">s rules </w:t>
      </w:r>
      <w:r w:rsidRPr="000B47F2">
        <w:rPr>
          <w:rStyle w:val="Strong"/>
          <w:b w:val="0"/>
          <w:bCs/>
          <w:szCs w:val="22"/>
        </w:rPr>
        <w:t xml:space="preserve">IS </w:t>
      </w:r>
      <w:r>
        <w:rPr>
          <w:rStyle w:val="Strong"/>
          <w:b w:val="0"/>
          <w:bCs/>
          <w:szCs w:val="22"/>
        </w:rPr>
        <w:t>REVISED</w:t>
      </w:r>
      <w:r w:rsidRPr="000F762F">
        <w:rPr>
          <w:szCs w:val="22"/>
        </w:rPr>
        <w:t>, as set forth in the attached Appendix, pursuant to the authority contained in sections 4(i), 5(c)</w:t>
      </w:r>
      <w:r>
        <w:rPr>
          <w:szCs w:val="22"/>
        </w:rPr>
        <w:t>,</w:t>
      </w:r>
      <w:r w:rsidRPr="000F762F">
        <w:rPr>
          <w:szCs w:val="22"/>
        </w:rPr>
        <w:t xml:space="preserve"> and 303(r) of the Communications Act, </w:t>
      </w:r>
      <w:r w:rsidRPr="00005C89">
        <w:rPr>
          <w:szCs w:val="22"/>
        </w:rPr>
        <w:t>47 U.S.C. §§ 154(i)</w:t>
      </w:r>
      <w:r w:rsidRPr="000F762F">
        <w:rPr>
          <w:szCs w:val="22"/>
        </w:rPr>
        <w:t xml:space="preserve">, </w:t>
      </w:r>
      <w:r w:rsidRPr="00005C89">
        <w:rPr>
          <w:szCs w:val="22"/>
        </w:rPr>
        <w:t>155(c)</w:t>
      </w:r>
      <w:r>
        <w:rPr>
          <w:szCs w:val="22"/>
        </w:rPr>
        <w:t>,</w:t>
      </w:r>
      <w:r w:rsidRPr="000F762F">
        <w:rPr>
          <w:szCs w:val="22"/>
        </w:rPr>
        <w:t xml:space="preserve"> and </w:t>
      </w:r>
      <w:r w:rsidRPr="00005C89">
        <w:rPr>
          <w:szCs w:val="22"/>
        </w:rPr>
        <w:t>303(r)</w:t>
      </w:r>
      <w:r w:rsidRPr="000F762F">
        <w:rPr>
          <w:szCs w:val="22"/>
        </w:rPr>
        <w:t xml:space="preserve">, and </w:t>
      </w:r>
      <w:r w:rsidRPr="00005C89">
        <w:rPr>
          <w:szCs w:val="22"/>
        </w:rPr>
        <w:t>sections 0.231(b)</w:t>
      </w:r>
      <w:r w:rsidRPr="000F762F">
        <w:rPr>
          <w:szCs w:val="22"/>
        </w:rPr>
        <w:t xml:space="preserve"> and </w:t>
      </w:r>
      <w:r w:rsidRPr="00005C89">
        <w:rPr>
          <w:szCs w:val="22"/>
        </w:rPr>
        <w:t>0.392(e)</w:t>
      </w:r>
      <w:r w:rsidRPr="000F762F">
        <w:rPr>
          <w:szCs w:val="22"/>
        </w:rPr>
        <w:t xml:space="preserve"> of the Commission</w:t>
      </w:r>
      <w:r>
        <w:rPr>
          <w:szCs w:val="22"/>
        </w:rPr>
        <w:t>’</w:t>
      </w:r>
      <w:r w:rsidRPr="000F762F">
        <w:rPr>
          <w:szCs w:val="22"/>
        </w:rPr>
        <w:t xml:space="preserve">s regulations, </w:t>
      </w:r>
      <w:r w:rsidRPr="00005C89">
        <w:rPr>
          <w:szCs w:val="22"/>
        </w:rPr>
        <w:t>47 C.F.R. §§ 0.</w:t>
      </w:r>
      <w:r>
        <w:rPr>
          <w:szCs w:val="22"/>
        </w:rPr>
        <w:t>191(e</w:t>
      </w:r>
      <w:r w:rsidRPr="00005C89">
        <w:rPr>
          <w:szCs w:val="22"/>
        </w:rPr>
        <w:t>)</w:t>
      </w:r>
      <w:r w:rsidRPr="000F762F">
        <w:rPr>
          <w:szCs w:val="22"/>
        </w:rPr>
        <w:t xml:space="preserve"> and </w:t>
      </w:r>
      <w:r>
        <w:rPr>
          <w:szCs w:val="22"/>
        </w:rPr>
        <w:t>0.392</w:t>
      </w:r>
      <w:r w:rsidRPr="000F762F">
        <w:rPr>
          <w:szCs w:val="22"/>
        </w:rPr>
        <w:t>.</w:t>
      </w:r>
      <w:bookmarkStart w:id="18" w:name="citeas((Cite_as:_26_F.C.C.R._15453,_*154"/>
      <w:bookmarkStart w:id="19" w:name="sp_1511_15455"/>
      <w:bookmarkStart w:id="20" w:name="SDU_15455"/>
      <w:bookmarkEnd w:id="18"/>
      <w:bookmarkEnd w:id="19"/>
      <w:bookmarkEnd w:id="20"/>
    </w:p>
    <w:p w:rsidR="00694BC2" w:rsidRPr="000F762F" w:rsidRDefault="00694BC2" w:rsidP="000F762F">
      <w:pPr>
        <w:pStyle w:val="ParaNum"/>
        <w:numPr>
          <w:ilvl w:val="0"/>
          <w:numId w:val="0"/>
        </w:numPr>
        <w:spacing w:after="0"/>
        <w:rPr>
          <w:szCs w:val="22"/>
        </w:rPr>
      </w:pPr>
    </w:p>
    <w:p w:rsidR="00694BC2" w:rsidRPr="000B47F2" w:rsidRDefault="00694BC2" w:rsidP="000B47F2">
      <w:pPr>
        <w:pStyle w:val="ParaNum"/>
        <w:spacing w:after="0"/>
        <w:rPr>
          <w:szCs w:val="22"/>
        </w:rPr>
      </w:pPr>
      <w:r w:rsidRPr="000F762F">
        <w:t xml:space="preserve">IT IS FURTHER ORDERED that the Secretary shall cause a copy of this </w:t>
      </w:r>
      <w:r w:rsidRPr="000B47F2">
        <w:rPr>
          <w:i/>
        </w:rPr>
        <w:t>Order</w:t>
      </w:r>
      <w:r w:rsidRPr="000F762F">
        <w:t xml:space="preserve"> to be published in the Federal Register.</w:t>
      </w:r>
    </w:p>
    <w:p w:rsidR="00694BC2" w:rsidRDefault="00694BC2" w:rsidP="000B47F2">
      <w:pPr>
        <w:pStyle w:val="ParaNum"/>
        <w:numPr>
          <w:ilvl w:val="0"/>
          <w:numId w:val="0"/>
        </w:numPr>
        <w:spacing w:after="0"/>
        <w:rPr>
          <w:szCs w:val="22"/>
        </w:rPr>
      </w:pPr>
    </w:p>
    <w:p w:rsidR="00694BC2" w:rsidRPr="000F762F" w:rsidRDefault="00694BC2" w:rsidP="000B47F2">
      <w:pPr>
        <w:pStyle w:val="ParaNum"/>
        <w:spacing w:after="0"/>
        <w:rPr>
          <w:szCs w:val="22"/>
        </w:rPr>
      </w:pPr>
      <w:r w:rsidRPr="000F762F">
        <w:rPr>
          <w:szCs w:val="22"/>
        </w:rPr>
        <w:t xml:space="preserve">IT IS FURTHER ORDERED that the Bureau SHALL SEND a copy of this </w:t>
      </w:r>
      <w:r w:rsidRPr="000F762F">
        <w:rPr>
          <w:i/>
          <w:szCs w:val="22"/>
        </w:rPr>
        <w:t>Order</w:t>
      </w:r>
      <w:r w:rsidRPr="000F762F">
        <w:rPr>
          <w:rStyle w:val="StyleParaNum11pt1CharCharCharCharCharCharCharCharCharCharCharCharCharCharCharCharChar"/>
          <w:snapToGrid/>
          <w:szCs w:val="22"/>
        </w:rPr>
        <w:t xml:space="preserve"> </w:t>
      </w:r>
      <w:r w:rsidRPr="000F762F">
        <w:rPr>
          <w:szCs w:val="22"/>
        </w:rPr>
        <w:t>in a report to Congress and the Government Accountability Office pursuant to the Congressio</w:t>
      </w:r>
      <w:r>
        <w:rPr>
          <w:szCs w:val="22"/>
        </w:rPr>
        <w:t>nal Review Act.</w:t>
      </w:r>
      <w:r w:rsidRPr="000F762F">
        <w:rPr>
          <w:szCs w:val="22"/>
        </w:rPr>
        <w:t xml:space="preserve"> </w:t>
      </w:r>
      <w:r>
        <w:rPr>
          <w:i/>
          <w:szCs w:val="22"/>
        </w:rPr>
        <w:t>S</w:t>
      </w:r>
      <w:r w:rsidRPr="000F762F">
        <w:rPr>
          <w:i/>
          <w:szCs w:val="22"/>
        </w:rPr>
        <w:t xml:space="preserve">ee </w:t>
      </w:r>
      <w:r w:rsidRPr="000F762F">
        <w:rPr>
          <w:szCs w:val="22"/>
        </w:rPr>
        <w:t>5 U.S.C. § 801(a)(1)(A).</w:t>
      </w:r>
      <w:r w:rsidRPr="000F762F">
        <w:rPr>
          <w:szCs w:val="22"/>
        </w:rPr>
        <w:tab/>
      </w:r>
    </w:p>
    <w:p w:rsidR="00694BC2" w:rsidRPr="000F762F" w:rsidRDefault="00694BC2" w:rsidP="000F762F">
      <w:pPr>
        <w:tabs>
          <w:tab w:val="left" w:pos="1080"/>
        </w:tabs>
        <w:ind w:firstLine="720"/>
        <w:rPr>
          <w:szCs w:val="22"/>
        </w:rPr>
      </w:pPr>
    </w:p>
    <w:p w:rsidR="00694BC2" w:rsidRPr="000F762F" w:rsidRDefault="00694BC2" w:rsidP="000F762F">
      <w:pPr>
        <w:keepNext/>
        <w:ind w:left="4320"/>
        <w:outlineLvl w:val="0"/>
        <w:rPr>
          <w:szCs w:val="22"/>
        </w:rPr>
      </w:pPr>
      <w:bookmarkStart w:id="21" w:name="_Toc307223192"/>
      <w:bookmarkStart w:id="22" w:name="_Toc310321218"/>
      <w:bookmarkStart w:id="23" w:name="_Toc311123479"/>
      <w:bookmarkEnd w:id="2"/>
      <w:bookmarkEnd w:id="3"/>
      <w:bookmarkEnd w:id="4"/>
      <w:bookmarkEnd w:id="5"/>
      <w:bookmarkEnd w:id="6"/>
      <w:r w:rsidRPr="000F762F">
        <w:rPr>
          <w:szCs w:val="22"/>
        </w:rPr>
        <w:t>FEDERAL COMMUNICATIONS COMMISSION</w:t>
      </w:r>
      <w:bookmarkEnd w:id="21"/>
      <w:bookmarkEnd w:id="22"/>
      <w:bookmarkEnd w:id="23"/>
    </w:p>
    <w:p w:rsidR="00694BC2" w:rsidRPr="000F762F" w:rsidRDefault="00694BC2" w:rsidP="000F762F">
      <w:pPr>
        <w:ind w:left="4320"/>
        <w:rPr>
          <w:szCs w:val="22"/>
        </w:rPr>
      </w:pPr>
    </w:p>
    <w:p w:rsidR="00694BC2" w:rsidRPr="000F762F" w:rsidRDefault="00694BC2" w:rsidP="000F762F">
      <w:pPr>
        <w:ind w:left="4320"/>
        <w:rPr>
          <w:szCs w:val="22"/>
        </w:rPr>
      </w:pPr>
    </w:p>
    <w:p w:rsidR="00694BC2" w:rsidRPr="000F762F" w:rsidRDefault="00694BC2" w:rsidP="000F762F">
      <w:pPr>
        <w:ind w:left="4320"/>
        <w:rPr>
          <w:szCs w:val="22"/>
        </w:rPr>
      </w:pPr>
    </w:p>
    <w:p w:rsidR="00694BC2" w:rsidRPr="000F762F" w:rsidRDefault="00694BC2" w:rsidP="000F762F">
      <w:pPr>
        <w:ind w:left="4320"/>
        <w:rPr>
          <w:szCs w:val="22"/>
        </w:rPr>
      </w:pPr>
      <w:r w:rsidRPr="000F762F">
        <w:rPr>
          <w:szCs w:val="22"/>
        </w:rPr>
        <w:t>David S. Turetsky</w:t>
      </w:r>
    </w:p>
    <w:p w:rsidR="00694BC2" w:rsidRPr="000F762F" w:rsidRDefault="00694BC2" w:rsidP="000F762F">
      <w:pPr>
        <w:ind w:left="4320"/>
        <w:rPr>
          <w:szCs w:val="22"/>
        </w:rPr>
      </w:pPr>
      <w:r w:rsidRPr="000F762F">
        <w:rPr>
          <w:szCs w:val="22"/>
        </w:rPr>
        <w:t>Chief, Public Safety and Homeland Security Bureau</w:t>
      </w:r>
    </w:p>
    <w:p w:rsidR="00694BC2" w:rsidRPr="000F762F" w:rsidRDefault="00694BC2" w:rsidP="000F762F">
      <w:pPr>
        <w:jc w:val="center"/>
        <w:outlineLvl w:val="0"/>
        <w:rPr>
          <w:b/>
          <w:szCs w:val="22"/>
        </w:rPr>
      </w:pPr>
      <w:bookmarkStart w:id="24" w:name="_Toc280785139"/>
      <w:r w:rsidRPr="000F762F">
        <w:rPr>
          <w:szCs w:val="22"/>
        </w:rPr>
        <w:br w:type="page"/>
      </w:r>
      <w:bookmarkStart w:id="25" w:name="_Toc307223193"/>
      <w:bookmarkStart w:id="26" w:name="_Toc310321219"/>
      <w:bookmarkStart w:id="27" w:name="_Toc311123480"/>
      <w:bookmarkEnd w:id="24"/>
      <w:r w:rsidRPr="000F762F">
        <w:rPr>
          <w:b/>
          <w:szCs w:val="22"/>
        </w:rPr>
        <w:t xml:space="preserve"> </w:t>
      </w:r>
      <w:bookmarkEnd w:id="25"/>
      <w:bookmarkEnd w:id="26"/>
      <w:bookmarkEnd w:id="27"/>
      <w:r w:rsidRPr="000F762F">
        <w:rPr>
          <w:b/>
          <w:szCs w:val="22"/>
        </w:rPr>
        <w:t>APPENDIX A</w:t>
      </w:r>
    </w:p>
    <w:p w:rsidR="00694BC2" w:rsidRPr="000F762F" w:rsidRDefault="00694BC2" w:rsidP="000F762F">
      <w:pPr>
        <w:jc w:val="center"/>
        <w:outlineLvl w:val="0"/>
        <w:rPr>
          <w:b/>
          <w:szCs w:val="22"/>
        </w:rPr>
      </w:pPr>
    </w:p>
    <w:p w:rsidR="00694BC2" w:rsidRPr="000F762F" w:rsidRDefault="00694BC2" w:rsidP="000F762F">
      <w:pPr>
        <w:jc w:val="center"/>
        <w:outlineLvl w:val="0"/>
        <w:rPr>
          <w:szCs w:val="22"/>
        </w:rPr>
      </w:pPr>
      <w:r w:rsidRPr="000F762F">
        <w:rPr>
          <w:b/>
          <w:szCs w:val="22"/>
        </w:rPr>
        <w:t>Final Rules</w:t>
      </w:r>
    </w:p>
    <w:p w:rsidR="00694BC2" w:rsidRPr="000F762F" w:rsidRDefault="00694BC2" w:rsidP="000F762F">
      <w:pPr>
        <w:pStyle w:val="ParaNum"/>
        <w:numPr>
          <w:ilvl w:val="0"/>
          <w:numId w:val="0"/>
        </w:numPr>
        <w:spacing w:after="0"/>
        <w:jc w:val="center"/>
        <w:rPr>
          <w:szCs w:val="22"/>
        </w:rPr>
      </w:pPr>
    </w:p>
    <w:p w:rsidR="00694BC2" w:rsidRDefault="00694BC2" w:rsidP="00131C4E">
      <w:pPr>
        <w:rPr>
          <w:b/>
          <w:szCs w:val="22"/>
        </w:rPr>
      </w:pPr>
      <w:r>
        <w:rPr>
          <w:b/>
          <w:szCs w:val="22"/>
        </w:rPr>
        <w:t>Part</w:t>
      </w:r>
      <w:r w:rsidRPr="009674DD">
        <w:rPr>
          <w:b/>
          <w:szCs w:val="22"/>
        </w:rPr>
        <w:t xml:space="preserve"> 10 </w:t>
      </w:r>
      <w:r>
        <w:rPr>
          <w:b/>
          <w:szCs w:val="22"/>
        </w:rPr>
        <w:t xml:space="preserve">of Title 47 of the Code of Federal Regulations is amended </w:t>
      </w:r>
      <w:r w:rsidRPr="009674DD">
        <w:rPr>
          <w:b/>
          <w:szCs w:val="22"/>
        </w:rPr>
        <w:t>as follows:</w:t>
      </w:r>
    </w:p>
    <w:p w:rsidR="00694BC2" w:rsidRDefault="00694BC2" w:rsidP="00131C4E">
      <w:pPr>
        <w:rPr>
          <w:szCs w:val="22"/>
        </w:rPr>
      </w:pPr>
    </w:p>
    <w:p w:rsidR="00694BC2" w:rsidRPr="00980CCB" w:rsidRDefault="00694BC2" w:rsidP="00131C4E">
      <w:pPr>
        <w:pStyle w:val="ListParagraph"/>
        <w:numPr>
          <w:ilvl w:val="0"/>
          <w:numId w:val="24"/>
        </w:numPr>
        <w:rPr>
          <w:b/>
          <w:szCs w:val="22"/>
        </w:rPr>
      </w:pPr>
      <w:r>
        <w:rPr>
          <w:szCs w:val="22"/>
        </w:rPr>
        <w:t>The title of Part 10 is amended by revising it to read as follows:</w:t>
      </w:r>
    </w:p>
    <w:p w:rsidR="00694BC2" w:rsidRDefault="00694BC2" w:rsidP="00131C4E">
      <w:pPr>
        <w:pStyle w:val="ListParagraph"/>
        <w:ind w:left="360"/>
        <w:rPr>
          <w:szCs w:val="22"/>
        </w:rPr>
      </w:pPr>
    </w:p>
    <w:p w:rsidR="00694BC2" w:rsidRPr="00980CCB" w:rsidRDefault="00694BC2" w:rsidP="00131C4E">
      <w:pPr>
        <w:pStyle w:val="ListParagraph"/>
        <w:ind w:left="360"/>
        <w:rPr>
          <w:b/>
          <w:szCs w:val="22"/>
        </w:rPr>
      </w:pPr>
      <w:r>
        <w:rPr>
          <w:b/>
          <w:szCs w:val="22"/>
        </w:rPr>
        <w:t>PART 10—WIRELESS EMERGENCY ALERTS</w:t>
      </w:r>
    </w:p>
    <w:p w:rsidR="00694BC2" w:rsidRPr="00711340" w:rsidRDefault="00694BC2" w:rsidP="00131C4E">
      <w:pPr>
        <w:rPr>
          <w:b/>
          <w:szCs w:val="22"/>
        </w:rPr>
      </w:pPr>
    </w:p>
    <w:p w:rsidR="00694BC2" w:rsidRPr="00711340" w:rsidRDefault="00694BC2" w:rsidP="00131C4E">
      <w:pPr>
        <w:pStyle w:val="ListParagraph"/>
        <w:numPr>
          <w:ilvl w:val="0"/>
          <w:numId w:val="24"/>
        </w:numPr>
        <w:rPr>
          <w:b/>
          <w:szCs w:val="22"/>
        </w:rPr>
      </w:pPr>
      <w:r w:rsidRPr="00711340">
        <w:rPr>
          <w:szCs w:val="22"/>
        </w:rPr>
        <w:t>The authority citation for Part 10 continues to read as follows:</w:t>
      </w:r>
    </w:p>
    <w:p w:rsidR="00694BC2" w:rsidRPr="00711340" w:rsidRDefault="00694BC2" w:rsidP="00131C4E">
      <w:pPr>
        <w:pStyle w:val="ListParagraph"/>
        <w:ind w:left="360"/>
        <w:rPr>
          <w:szCs w:val="22"/>
        </w:rPr>
      </w:pPr>
    </w:p>
    <w:p w:rsidR="00694BC2" w:rsidRPr="00711340" w:rsidRDefault="00694BC2" w:rsidP="00E67C55">
      <w:pPr>
        <w:pStyle w:val="ListParagraph"/>
        <w:ind w:left="360" w:firstLine="360"/>
        <w:rPr>
          <w:szCs w:val="22"/>
        </w:rPr>
      </w:pPr>
      <w:r w:rsidRPr="00711340">
        <w:rPr>
          <w:szCs w:val="22"/>
        </w:rPr>
        <w:t>AUTHORITY; 47 U.S.C. 151, 154(i) and (o), 201, 303(r), 403, and 606; sections 602(a), (b), (c), (f), 603, 604 and 606 of Pub. L. 109-347, 120 Stat. 1884.</w:t>
      </w:r>
    </w:p>
    <w:p w:rsidR="00694BC2" w:rsidRPr="00711340" w:rsidRDefault="00694BC2" w:rsidP="00131C4E">
      <w:pPr>
        <w:pStyle w:val="ListParagraph"/>
        <w:ind w:left="360"/>
        <w:rPr>
          <w:szCs w:val="22"/>
        </w:rPr>
      </w:pPr>
    </w:p>
    <w:p w:rsidR="00694BC2" w:rsidRPr="00711340" w:rsidRDefault="00694BC2" w:rsidP="00131C4E">
      <w:pPr>
        <w:pStyle w:val="ListParagraph"/>
        <w:numPr>
          <w:ilvl w:val="0"/>
          <w:numId w:val="24"/>
        </w:numPr>
        <w:rPr>
          <w:b/>
          <w:szCs w:val="22"/>
        </w:rPr>
      </w:pPr>
      <w:r w:rsidRPr="00711340">
        <w:rPr>
          <w:szCs w:val="22"/>
        </w:rPr>
        <w:t xml:space="preserve">Section 10.2 is amended </w:t>
      </w:r>
      <w:r>
        <w:rPr>
          <w:szCs w:val="22"/>
        </w:rPr>
        <w:t xml:space="preserve">by revising it </w:t>
      </w:r>
      <w:r w:rsidRPr="00711340">
        <w:rPr>
          <w:szCs w:val="22"/>
        </w:rPr>
        <w:t>to read as follows:</w:t>
      </w:r>
    </w:p>
    <w:p w:rsidR="00694BC2" w:rsidRPr="00711340" w:rsidRDefault="00694BC2" w:rsidP="00131C4E">
      <w:pPr>
        <w:rPr>
          <w:b/>
          <w:szCs w:val="22"/>
        </w:rPr>
      </w:pPr>
    </w:p>
    <w:p w:rsidR="00694BC2" w:rsidRPr="00711340" w:rsidRDefault="00694BC2" w:rsidP="00131C4E">
      <w:pPr>
        <w:ind w:left="360"/>
        <w:rPr>
          <w:b/>
          <w:szCs w:val="22"/>
        </w:rPr>
      </w:pPr>
      <w:r w:rsidRPr="00711340">
        <w:rPr>
          <w:b/>
          <w:szCs w:val="22"/>
        </w:rPr>
        <w:t>§ 10.2  Purpose.</w:t>
      </w:r>
    </w:p>
    <w:p w:rsidR="00694BC2" w:rsidRPr="00711340" w:rsidRDefault="00694BC2" w:rsidP="00E67C55">
      <w:pPr>
        <w:widowControl/>
        <w:spacing w:before="100" w:beforeAutospacing="1" w:after="100" w:afterAutospacing="1"/>
        <w:ind w:left="360" w:firstLine="360"/>
        <w:rPr>
          <w:kern w:val="0"/>
          <w:szCs w:val="22"/>
        </w:rPr>
      </w:pPr>
      <w:r w:rsidRPr="00711340">
        <w:rPr>
          <w:kern w:val="0"/>
          <w:szCs w:val="22"/>
        </w:rPr>
        <w:t>The rules in this part establish the requirements for participation in the voluntary Wireless Emergency Alerts system.</w:t>
      </w:r>
    </w:p>
    <w:p w:rsidR="00694BC2" w:rsidRPr="00711340" w:rsidRDefault="00694BC2" w:rsidP="00131C4E">
      <w:pPr>
        <w:pStyle w:val="ListParagraph"/>
        <w:numPr>
          <w:ilvl w:val="0"/>
          <w:numId w:val="24"/>
        </w:numPr>
        <w:rPr>
          <w:kern w:val="0"/>
          <w:szCs w:val="22"/>
        </w:rPr>
      </w:pPr>
      <w:r w:rsidRPr="00711340">
        <w:rPr>
          <w:kern w:val="0"/>
          <w:szCs w:val="22"/>
        </w:rPr>
        <w:t>Section 10.10 is amended by revising paragraphs (c), (h), (i) and (j) to read as follows:</w:t>
      </w:r>
    </w:p>
    <w:p w:rsidR="00694BC2" w:rsidRPr="00711340" w:rsidRDefault="00694BC2" w:rsidP="00131C4E">
      <w:pPr>
        <w:pStyle w:val="ListParagraph"/>
        <w:ind w:left="360"/>
        <w:rPr>
          <w:kern w:val="0"/>
          <w:szCs w:val="22"/>
        </w:rPr>
      </w:pPr>
    </w:p>
    <w:p w:rsidR="00694BC2" w:rsidRPr="00711340" w:rsidRDefault="00694BC2" w:rsidP="00131C4E">
      <w:pPr>
        <w:pStyle w:val="ListParagraph"/>
        <w:ind w:left="360"/>
        <w:rPr>
          <w:b/>
          <w:kern w:val="0"/>
          <w:szCs w:val="22"/>
        </w:rPr>
      </w:pPr>
      <w:r w:rsidRPr="00711340">
        <w:rPr>
          <w:b/>
          <w:kern w:val="0"/>
          <w:szCs w:val="22"/>
        </w:rPr>
        <w:t>§ 10.10  Definitions.</w:t>
      </w:r>
    </w:p>
    <w:p w:rsidR="00694BC2" w:rsidRPr="00711340" w:rsidRDefault="00694BC2" w:rsidP="00131C4E">
      <w:pPr>
        <w:pStyle w:val="ListParagraph"/>
        <w:ind w:left="360"/>
        <w:rPr>
          <w:b/>
          <w:kern w:val="0"/>
          <w:szCs w:val="22"/>
        </w:rPr>
      </w:pPr>
    </w:p>
    <w:p w:rsidR="00694BC2" w:rsidRPr="003762BD" w:rsidRDefault="00694BC2" w:rsidP="00E67C55">
      <w:r w:rsidRPr="00980CCB">
        <w:rPr>
          <w:b/>
          <w:kern w:val="0"/>
          <w:szCs w:val="22"/>
        </w:rPr>
        <w:t>*****</w:t>
      </w:r>
    </w:p>
    <w:p w:rsidR="00694BC2" w:rsidRPr="00E67C55" w:rsidRDefault="00694BC2" w:rsidP="00E67C55">
      <w:pPr>
        <w:widowControl/>
        <w:spacing w:before="100" w:beforeAutospacing="1" w:after="100" w:afterAutospacing="1"/>
        <w:ind w:left="360" w:firstLine="480"/>
        <w:rPr>
          <w:kern w:val="0"/>
          <w:szCs w:val="22"/>
        </w:rPr>
      </w:pPr>
      <w:r w:rsidRPr="00E67C55">
        <w:rPr>
          <w:kern w:val="0"/>
          <w:szCs w:val="22"/>
        </w:rPr>
        <w:t xml:space="preserve">(b) </w:t>
      </w:r>
      <w:r w:rsidRPr="00E67C55">
        <w:rPr>
          <w:i/>
          <w:iCs/>
          <w:kern w:val="0"/>
          <w:szCs w:val="22"/>
        </w:rPr>
        <w:t>Common Alerting Protocol.</w:t>
      </w:r>
      <w:r w:rsidRPr="00E67C55">
        <w:rPr>
          <w:kern w:val="0"/>
          <w:szCs w:val="22"/>
        </w:rPr>
        <w:t xml:space="preserve"> The Common Alerting Protocol (CAP) refers to Organization for the Advancement of Structured Information Standards (OASIS) Standard CAP-V1.1, October 2005 (available at </w:t>
      </w:r>
      <w:r w:rsidRPr="00E67C55">
        <w:rPr>
          <w:i/>
          <w:iCs/>
          <w:kern w:val="0"/>
          <w:szCs w:val="22"/>
        </w:rPr>
        <w:t>http://www.oasis-open.org/specs/index.php#capv1.1</w:t>
      </w:r>
      <w:r w:rsidRPr="00E67C55">
        <w:rPr>
          <w:kern w:val="0"/>
          <w:szCs w:val="22"/>
        </w:rPr>
        <w:t xml:space="preserve"> ), or any subsequent version of CAP adopted by OASIS and implemented by the </w:t>
      </w:r>
      <w:r>
        <w:rPr>
          <w:kern w:val="0"/>
          <w:szCs w:val="22"/>
        </w:rPr>
        <w:t>WEA</w:t>
      </w:r>
      <w:r w:rsidRPr="00E67C55">
        <w:rPr>
          <w:kern w:val="0"/>
          <w:szCs w:val="22"/>
        </w:rPr>
        <w:t>.</w:t>
      </w:r>
    </w:p>
    <w:p w:rsidR="00694BC2" w:rsidRPr="00980CCB" w:rsidRDefault="00694BC2" w:rsidP="00131C4E">
      <w:pPr>
        <w:pStyle w:val="ListParagraph"/>
        <w:ind w:left="360" w:firstLine="360"/>
        <w:rPr>
          <w:szCs w:val="22"/>
        </w:rPr>
      </w:pPr>
      <w:r w:rsidRPr="00980CCB">
        <w:rPr>
          <w:kern w:val="0"/>
          <w:szCs w:val="22"/>
        </w:rPr>
        <w:t xml:space="preserve">(c)  </w:t>
      </w:r>
      <w:r w:rsidRPr="00980CCB">
        <w:rPr>
          <w:i/>
          <w:iCs/>
          <w:szCs w:val="22"/>
        </w:rPr>
        <w:t>Wireless Emergency Alerts.</w:t>
      </w:r>
      <w:r w:rsidRPr="00980CCB">
        <w:rPr>
          <w:szCs w:val="22"/>
        </w:rPr>
        <w:t xml:space="preserve"> The Wireless Emergency Alerts (WEA) system refers to the voluntary emergency alerting system established by this part, whereby Commercial Mobile Service Providers may elect to transmit Alert Messages to the public.</w:t>
      </w:r>
    </w:p>
    <w:p w:rsidR="00694BC2" w:rsidRPr="00980CCB" w:rsidRDefault="00694BC2" w:rsidP="00131C4E">
      <w:pPr>
        <w:pStyle w:val="ListParagraph"/>
        <w:ind w:left="360"/>
        <w:rPr>
          <w:kern w:val="0"/>
          <w:szCs w:val="22"/>
        </w:rPr>
      </w:pPr>
    </w:p>
    <w:p w:rsidR="00694BC2" w:rsidRPr="00980CCB" w:rsidRDefault="00694BC2" w:rsidP="00131C4E">
      <w:pPr>
        <w:pStyle w:val="ListParagraph"/>
        <w:ind w:left="360"/>
        <w:rPr>
          <w:kern w:val="0"/>
          <w:szCs w:val="22"/>
        </w:rPr>
      </w:pPr>
      <w:r w:rsidRPr="00980CCB">
        <w:rPr>
          <w:kern w:val="0"/>
          <w:szCs w:val="22"/>
        </w:rPr>
        <w:t>*****</w:t>
      </w:r>
    </w:p>
    <w:p w:rsidR="00694BC2" w:rsidRPr="00980CCB" w:rsidRDefault="00694BC2" w:rsidP="00131C4E">
      <w:pPr>
        <w:pStyle w:val="ListParagraph"/>
        <w:ind w:left="360"/>
        <w:rPr>
          <w:kern w:val="0"/>
          <w:szCs w:val="22"/>
        </w:rPr>
      </w:pPr>
    </w:p>
    <w:p w:rsidR="00694BC2" w:rsidRPr="00980CCB" w:rsidRDefault="00694BC2" w:rsidP="00131C4E">
      <w:pPr>
        <w:pStyle w:val="NormalWeb"/>
        <w:ind w:left="360" w:firstLine="360"/>
        <w:rPr>
          <w:kern w:val="0"/>
          <w:sz w:val="22"/>
          <w:szCs w:val="22"/>
        </w:rPr>
      </w:pPr>
      <w:r w:rsidRPr="00980CCB">
        <w:rPr>
          <w:kern w:val="0"/>
          <w:sz w:val="22"/>
          <w:szCs w:val="22"/>
        </w:rPr>
        <w:t xml:space="preserve">(h) </w:t>
      </w:r>
      <w:r w:rsidRPr="00980CCB">
        <w:rPr>
          <w:i/>
          <w:iCs/>
          <w:kern w:val="0"/>
          <w:sz w:val="22"/>
          <w:szCs w:val="22"/>
        </w:rPr>
        <w:t>CMS provider Gateway.</w:t>
      </w:r>
      <w:r w:rsidRPr="00980CCB">
        <w:rPr>
          <w:kern w:val="0"/>
          <w:sz w:val="22"/>
          <w:szCs w:val="22"/>
        </w:rPr>
        <w:t xml:space="preserve"> The mechanism(s) that supports the “C” interface and associated protocols between the Alert Gateway and the CMS provider Gateway, and which performs the various functions associated with the authentication, management and dissemination of WEA Alert Messages received from the Alert Gateway.</w:t>
      </w:r>
    </w:p>
    <w:p w:rsidR="00694BC2" w:rsidRPr="002E14C2" w:rsidRDefault="00694BC2" w:rsidP="00131C4E">
      <w:pPr>
        <w:widowControl/>
        <w:spacing w:before="100" w:beforeAutospacing="1" w:after="100" w:afterAutospacing="1"/>
        <w:ind w:left="360" w:firstLine="480"/>
        <w:rPr>
          <w:kern w:val="0"/>
          <w:szCs w:val="22"/>
        </w:rPr>
      </w:pPr>
      <w:r w:rsidRPr="002E14C2">
        <w:rPr>
          <w:kern w:val="0"/>
          <w:szCs w:val="22"/>
        </w:rPr>
        <w:t xml:space="preserve">(i) </w:t>
      </w:r>
      <w:r w:rsidRPr="002E14C2">
        <w:rPr>
          <w:i/>
          <w:iCs/>
          <w:kern w:val="0"/>
          <w:szCs w:val="22"/>
        </w:rPr>
        <w:t>CMS provider infrastructure.</w:t>
      </w:r>
      <w:r w:rsidRPr="002E14C2">
        <w:rPr>
          <w:kern w:val="0"/>
          <w:szCs w:val="22"/>
        </w:rPr>
        <w:t xml:space="preserve"> The mechanism(s) that distribute received </w:t>
      </w:r>
      <w:r w:rsidRPr="00980CCB">
        <w:rPr>
          <w:kern w:val="0"/>
          <w:szCs w:val="22"/>
        </w:rPr>
        <w:t>WEA</w:t>
      </w:r>
      <w:r w:rsidRPr="002E14C2">
        <w:rPr>
          <w:kern w:val="0"/>
          <w:szCs w:val="22"/>
        </w:rPr>
        <w:t xml:space="preserve"> Alert Messages throughout the CMS provider's network, including cell site/paging transceivers and perform functions associated with authentication of interactions with the Mobile Device.</w:t>
      </w:r>
    </w:p>
    <w:p w:rsidR="00694BC2" w:rsidRPr="002E14C2" w:rsidRDefault="00694BC2" w:rsidP="00131C4E">
      <w:pPr>
        <w:widowControl/>
        <w:spacing w:before="100" w:beforeAutospacing="1" w:after="100" w:afterAutospacing="1"/>
        <w:ind w:left="360" w:firstLine="480"/>
        <w:rPr>
          <w:kern w:val="0"/>
          <w:szCs w:val="22"/>
        </w:rPr>
      </w:pPr>
      <w:r w:rsidRPr="002E14C2">
        <w:rPr>
          <w:kern w:val="0"/>
          <w:szCs w:val="22"/>
        </w:rPr>
        <w:t xml:space="preserve">(j) </w:t>
      </w:r>
      <w:r w:rsidRPr="002E14C2">
        <w:rPr>
          <w:i/>
          <w:iCs/>
          <w:kern w:val="0"/>
          <w:szCs w:val="22"/>
        </w:rPr>
        <w:t>Mobile Devices.</w:t>
      </w:r>
      <w:r w:rsidRPr="002E14C2">
        <w:rPr>
          <w:kern w:val="0"/>
          <w:szCs w:val="22"/>
        </w:rPr>
        <w:t xml:space="preserve"> The subscriber equipment generally offered by CMS providers that supports the distribution of </w:t>
      </w:r>
      <w:r w:rsidRPr="00980CCB">
        <w:rPr>
          <w:kern w:val="0"/>
          <w:szCs w:val="22"/>
        </w:rPr>
        <w:t>WEA</w:t>
      </w:r>
      <w:r w:rsidRPr="002E14C2">
        <w:rPr>
          <w:kern w:val="0"/>
          <w:szCs w:val="22"/>
        </w:rPr>
        <w:t xml:space="preserve"> Alert Messages.</w:t>
      </w:r>
    </w:p>
    <w:p w:rsidR="00694BC2" w:rsidRPr="00711340" w:rsidRDefault="00694BC2" w:rsidP="00131C4E">
      <w:pPr>
        <w:pStyle w:val="ListParagraph"/>
        <w:numPr>
          <w:ilvl w:val="0"/>
          <w:numId w:val="24"/>
        </w:numPr>
        <w:rPr>
          <w:kern w:val="0"/>
          <w:szCs w:val="22"/>
        </w:rPr>
      </w:pPr>
      <w:r w:rsidRPr="00711340">
        <w:rPr>
          <w:kern w:val="0"/>
          <w:szCs w:val="22"/>
        </w:rPr>
        <w:t>Section 10.11 is amended</w:t>
      </w:r>
      <w:r>
        <w:rPr>
          <w:kern w:val="0"/>
          <w:szCs w:val="22"/>
        </w:rPr>
        <w:t xml:space="preserve"> by revising the section heading and text</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C449FA" w:rsidRDefault="00694BC2" w:rsidP="00131C4E">
      <w:pPr>
        <w:pStyle w:val="ListParagraph"/>
        <w:ind w:left="360"/>
        <w:rPr>
          <w:b/>
          <w:kern w:val="0"/>
          <w:szCs w:val="22"/>
        </w:rPr>
      </w:pPr>
      <w:r w:rsidRPr="00711340">
        <w:rPr>
          <w:b/>
          <w:kern w:val="0"/>
          <w:szCs w:val="22"/>
        </w:rPr>
        <w:t>§ 10.11  WEA implementation timeline.</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Notwithstanding anything in this part to the contrary, a participating CMS provider shall begin an 18 month period of development, testing and deployment of the WEA in a manner consistent with the rules in this part no later than 10 months from the date that the Federal Alert Aggregator and Alert Gateway makes the Government Interface Design specifications available.</w:t>
      </w:r>
    </w:p>
    <w:p w:rsidR="00694BC2" w:rsidRPr="00653E80" w:rsidRDefault="00694BC2" w:rsidP="00131C4E">
      <w:pPr>
        <w:pStyle w:val="ListParagraph"/>
        <w:numPr>
          <w:ilvl w:val="0"/>
          <w:numId w:val="24"/>
        </w:numPr>
        <w:rPr>
          <w:b/>
          <w:kern w:val="0"/>
          <w:szCs w:val="22"/>
        </w:rPr>
      </w:pPr>
      <w:r>
        <w:rPr>
          <w:kern w:val="0"/>
          <w:szCs w:val="22"/>
        </w:rPr>
        <w:t>The title of Subpart B to Part 10 is amended by revising it to read as follows:</w:t>
      </w:r>
    </w:p>
    <w:p w:rsidR="00694BC2" w:rsidRDefault="00694BC2" w:rsidP="00131C4E">
      <w:pPr>
        <w:pStyle w:val="ListParagraph"/>
        <w:ind w:left="360"/>
        <w:rPr>
          <w:kern w:val="0"/>
          <w:szCs w:val="22"/>
        </w:rPr>
      </w:pPr>
    </w:p>
    <w:p w:rsidR="00694BC2" w:rsidRPr="00653E80" w:rsidRDefault="00694BC2" w:rsidP="00131C4E">
      <w:pPr>
        <w:pStyle w:val="ListParagraph"/>
        <w:ind w:left="360"/>
        <w:rPr>
          <w:b/>
          <w:kern w:val="0"/>
          <w:szCs w:val="22"/>
        </w:rPr>
      </w:pPr>
      <w:r>
        <w:rPr>
          <w:b/>
          <w:kern w:val="0"/>
          <w:szCs w:val="22"/>
        </w:rPr>
        <w:t>Subpart B—Election to Participate in Wireless Emergency Alerts System</w:t>
      </w:r>
    </w:p>
    <w:p w:rsidR="00694BC2" w:rsidRPr="00711340" w:rsidRDefault="00694BC2" w:rsidP="00131C4E">
      <w:pPr>
        <w:pStyle w:val="ListParagraph"/>
        <w:ind w:left="360"/>
        <w:rPr>
          <w:b/>
          <w:kern w:val="0"/>
          <w:szCs w:val="22"/>
        </w:rPr>
      </w:pPr>
    </w:p>
    <w:p w:rsidR="00694BC2" w:rsidRPr="00711340" w:rsidRDefault="00694BC2" w:rsidP="00131C4E">
      <w:pPr>
        <w:pStyle w:val="ListParagraph"/>
        <w:numPr>
          <w:ilvl w:val="0"/>
          <w:numId w:val="24"/>
        </w:numPr>
        <w:rPr>
          <w:b/>
          <w:kern w:val="0"/>
          <w:szCs w:val="22"/>
        </w:rPr>
      </w:pPr>
      <w:r w:rsidRPr="00711340">
        <w:rPr>
          <w:kern w:val="0"/>
          <w:szCs w:val="22"/>
        </w:rPr>
        <w:t>Section 10.210</w:t>
      </w:r>
      <w:r>
        <w:rPr>
          <w:kern w:val="0"/>
          <w:szCs w:val="22"/>
        </w:rPr>
        <w:t xml:space="preserve"> is amended by revising the section heading and paragraphs (a)(2) and (b)</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653E80" w:rsidRDefault="00694BC2" w:rsidP="00131C4E">
      <w:pPr>
        <w:pStyle w:val="ListParagraph"/>
        <w:ind w:left="360"/>
        <w:rPr>
          <w:b/>
          <w:kern w:val="0"/>
          <w:szCs w:val="22"/>
        </w:rPr>
      </w:pPr>
      <w:r w:rsidRPr="00711340">
        <w:rPr>
          <w:b/>
          <w:kern w:val="0"/>
          <w:szCs w:val="22"/>
        </w:rPr>
        <w:t>§ 10.210  WEA participation election procedures.</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(a) A CMS provider that elects to transmit WEA Alert Messages, in part or in whole, shall electronically file with the Commission a letter attesting that the Provider:</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(1) ***</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(2) Commits to support the development and deployment of technology for the “C” interface, the CMS provider Gateway, the CMS provider infrastructure, and mobile devices with WEA functionality and support of the CMS provider selected technology.</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(b) A CMS provider that elects not to transmit WEA Alert Messages shall file electronically with the Commission a letter attesting to that fact.</w:t>
      </w:r>
    </w:p>
    <w:p w:rsidR="00694BC2" w:rsidRPr="001F6A08" w:rsidRDefault="00694BC2" w:rsidP="00131C4E">
      <w:pPr>
        <w:widowControl/>
        <w:spacing w:before="100" w:beforeAutospacing="1" w:after="100" w:afterAutospacing="1"/>
        <w:ind w:firstLine="480"/>
        <w:rPr>
          <w:kern w:val="0"/>
          <w:szCs w:val="22"/>
        </w:rPr>
      </w:pPr>
      <w:r>
        <w:rPr>
          <w:kern w:val="0"/>
          <w:szCs w:val="22"/>
        </w:rPr>
        <w:t>**</w:t>
      </w:r>
      <w:r w:rsidRPr="001F6A08">
        <w:rPr>
          <w:kern w:val="0"/>
          <w:szCs w:val="22"/>
        </w:rPr>
        <w:t>***</w:t>
      </w:r>
    </w:p>
    <w:p w:rsidR="00694BC2" w:rsidRPr="00711340" w:rsidRDefault="00694BC2" w:rsidP="00131C4E">
      <w:pPr>
        <w:pStyle w:val="ListParagraph"/>
        <w:numPr>
          <w:ilvl w:val="0"/>
          <w:numId w:val="24"/>
        </w:numPr>
        <w:rPr>
          <w:kern w:val="0"/>
          <w:szCs w:val="22"/>
        </w:rPr>
      </w:pPr>
      <w:r w:rsidRPr="00711340">
        <w:rPr>
          <w:kern w:val="0"/>
          <w:szCs w:val="22"/>
        </w:rPr>
        <w:t>Section 10.220 is</w:t>
      </w:r>
      <w:r>
        <w:rPr>
          <w:kern w:val="0"/>
          <w:szCs w:val="22"/>
        </w:rPr>
        <w:t xml:space="preserve"> revised by amending the section heading and text</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711340" w:rsidRDefault="00694BC2" w:rsidP="00131C4E">
      <w:pPr>
        <w:pStyle w:val="ListParagraph"/>
        <w:ind w:left="360"/>
        <w:rPr>
          <w:b/>
          <w:kern w:val="0"/>
          <w:szCs w:val="22"/>
        </w:rPr>
      </w:pPr>
      <w:r w:rsidRPr="00711340">
        <w:rPr>
          <w:b/>
          <w:kern w:val="0"/>
          <w:szCs w:val="22"/>
        </w:rPr>
        <w:t>§ 10.220  Withdrawal of election to participate in WEA</w:t>
      </w:r>
      <w:r>
        <w:rPr>
          <w:b/>
          <w:kern w:val="0"/>
          <w:szCs w:val="22"/>
        </w:rPr>
        <w:t>.</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A CMS provider that elects to transmit WEA Alert Messages, in part or in whole, may withdraw its election without regulatory penalty or forfeiture if it notifies all affected subscribers as well as the Federal Communications Commission at least sixty (60) days prior to the withdrawal of its election. In the event that a carrier withdraws from its election to transmit WEA Alert Messages, the carrier must notify each affected subscriber individually in clear and conspicuous language citing the statute. Such notice must promptly inform the customer that he or she no longer could expect to receive alerts and of his or her right to terminate service as a result, without penalty or early termination fee. Such notice must facilitate the ability of a customer to automatically respond and immediately discontinue service.</w:t>
      </w:r>
    </w:p>
    <w:p w:rsidR="00694BC2" w:rsidRPr="00711340" w:rsidRDefault="00694BC2" w:rsidP="00131C4E">
      <w:pPr>
        <w:pStyle w:val="ListParagraph"/>
        <w:numPr>
          <w:ilvl w:val="0"/>
          <w:numId w:val="24"/>
        </w:numPr>
        <w:rPr>
          <w:kern w:val="0"/>
          <w:szCs w:val="22"/>
        </w:rPr>
      </w:pPr>
      <w:r w:rsidRPr="00711340">
        <w:rPr>
          <w:kern w:val="0"/>
          <w:szCs w:val="22"/>
        </w:rPr>
        <w:t xml:space="preserve">Section 10.230 is </w:t>
      </w:r>
      <w:r>
        <w:rPr>
          <w:kern w:val="0"/>
          <w:szCs w:val="22"/>
        </w:rPr>
        <w:t>revised by amending the section heading and text</w:t>
      </w:r>
      <w:r w:rsidRPr="00711340">
        <w:rPr>
          <w:kern w:val="0"/>
          <w:szCs w:val="22"/>
        </w:rPr>
        <w:t xml:space="preserve"> to read as follow</w:t>
      </w:r>
      <w:r>
        <w:rPr>
          <w:kern w:val="0"/>
          <w:szCs w:val="22"/>
        </w:rPr>
        <w:t>s</w:t>
      </w:r>
      <w:r w:rsidRPr="00711340">
        <w:rPr>
          <w:kern w:val="0"/>
          <w:szCs w:val="22"/>
        </w:rPr>
        <w:t>:</w:t>
      </w:r>
    </w:p>
    <w:p w:rsidR="00694BC2" w:rsidRPr="00711340" w:rsidRDefault="00694BC2" w:rsidP="00131C4E">
      <w:pPr>
        <w:pStyle w:val="ListParagraph"/>
        <w:ind w:left="360"/>
        <w:rPr>
          <w:kern w:val="0"/>
          <w:szCs w:val="22"/>
        </w:rPr>
      </w:pPr>
    </w:p>
    <w:p w:rsidR="00694BC2" w:rsidRPr="00711340" w:rsidRDefault="00694BC2" w:rsidP="00131C4E">
      <w:pPr>
        <w:pStyle w:val="ListParagraph"/>
        <w:ind w:left="360"/>
        <w:rPr>
          <w:b/>
          <w:kern w:val="0"/>
          <w:szCs w:val="22"/>
        </w:rPr>
      </w:pPr>
      <w:r w:rsidRPr="00711340">
        <w:rPr>
          <w:b/>
          <w:kern w:val="0"/>
          <w:szCs w:val="22"/>
        </w:rPr>
        <w:t>§ 10.230 New CMS providers participating in WEA.</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CMS providers who initiate service at a date after the election procedure provided for in § 10.210(d) and who elect to provide WEA Alert Messages, in part or in whole, shall file electronically their election to transmit in the manner and with the attestations described in § 10.210(a).</w:t>
      </w:r>
    </w:p>
    <w:p w:rsidR="00694BC2" w:rsidRPr="00711340" w:rsidRDefault="00694BC2" w:rsidP="00131C4E">
      <w:pPr>
        <w:pStyle w:val="ListParagraph"/>
        <w:numPr>
          <w:ilvl w:val="0"/>
          <w:numId w:val="24"/>
        </w:numPr>
        <w:rPr>
          <w:b/>
          <w:kern w:val="0"/>
          <w:szCs w:val="22"/>
        </w:rPr>
      </w:pPr>
      <w:r w:rsidRPr="00711340">
        <w:rPr>
          <w:kern w:val="0"/>
          <w:szCs w:val="22"/>
        </w:rPr>
        <w:t>Section 10.240</w:t>
      </w:r>
      <w:r>
        <w:rPr>
          <w:kern w:val="0"/>
          <w:szCs w:val="22"/>
        </w:rPr>
        <w:t xml:space="preserve"> is revised by amending the section heading and paragraph (a)</w:t>
      </w:r>
      <w:r w:rsidRPr="00711340">
        <w:rPr>
          <w:kern w:val="0"/>
          <w:szCs w:val="22"/>
        </w:rPr>
        <w:t xml:space="preserve"> </w:t>
      </w:r>
      <w:r>
        <w:rPr>
          <w:kern w:val="0"/>
          <w:szCs w:val="22"/>
        </w:rPr>
        <w:t>t</w:t>
      </w:r>
      <w:r w:rsidRPr="00711340">
        <w:rPr>
          <w:kern w:val="0"/>
          <w:szCs w:val="22"/>
        </w:rPr>
        <w:t>o read as follows:</w:t>
      </w:r>
      <w:r w:rsidRPr="00711340">
        <w:rPr>
          <w:b/>
          <w:kern w:val="0"/>
          <w:szCs w:val="22"/>
        </w:rPr>
        <w:t xml:space="preserve"> </w:t>
      </w:r>
    </w:p>
    <w:p w:rsidR="00694BC2" w:rsidRPr="00711340" w:rsidRDefault="00694BC2" w:rsidP="00131C4E">
      <w:pPr>
        <w:pStyle w:val="ListParagraph"/>
        <w:ind w:left="360"/>
        <w:rPr>
          <w:b/>
          <w:kern w:val="0"/>
          <w:szCs w:val="22"/>
        </w:rPr>
      </w:pPr>
    </w:p>
    <w:p w:rsidR="00694BC2" w:rsidRPr="00711340" w:rsidRDefault="00694BC2" w:rsidP="00131C4E">
      <w:pPr>
        <w:pStyle w:val="ListParagraph"/>
        <w:ind w:left="360"/>
        <w:rPr>
          <w:b/>
          <w:kern w:val="0"/>
          <w:szCs w:val="22"/>
        </w:rPr>
      </w:pPr>
      <w:r>
        <w:rPr>
          <w:b/>
          <w:kern w:val="0"/>
          <w:szCs w:val="22"/>
        </w:rPr>
        <w:t xml:space="preserve">§ 10. 240 </w:t>
      </w:r>
      <w:r w:rsidRPr="00711340">
        <w:rPr>
          <w:b/>
          <w:kern w:val="0"/>
          <w:szCs w:val="22"/>
        </w:rPr>
        <w:t>Notification to new subscribers of non-participation in WEA.</w:t>
      </w:r>
    </w:p>
    <w:p w:rsidR="00694BC2" w:rsidRPr="00711340" w:rsidRDefault="00694BC2" w:rsidP="00131C4E">
      <w:pPr>
        <w:pStyle w:val="ListParagraph"/>
        <w:ind w:left="360"/>
        <w:rPr>
          <w:b/>
          <w:kern w:val="0"/>
          <w:szCs w:val="22"/>
        </w:rPr>
      </w:pPr>
    </w:p>
    <w:p w:rsidR="00694BC2" w:rsidRDefault="00694BC2" w:rsidP="00131C4E">
      <w:pPr>
        <w:widowControl/>
        <w:spacing w:before="100" w:beforeAutospacing="1" w:after="100" w:afterAutospacing="1"/>
        <w:ind w:left="360" w:firstLine="480"/>
        <w:rPr>
          <w:kern w:val="0"/>
          <w:szCs w:val="22"/>
        </w:rPr>
      </w:pPr>
      <w:r w:rsidRPr="00711340">
        <w:rPr>
          <w:kern w:val="0"/>
          <w:szCs w:val="22"/>
        </w:rPr>
        <w:t>(a) A CMS provider that elects not to transmit WEA Alert Messages, in part or in whole, shall provide clear and conspicuous notice, which takes into account the needs of persons with disabilities, to new subscribers of its non-election or partial election to provide Alert messages at the point-of-sale.</w:t>
      </w:r>
    </w:p>
    <w:p w:rsidR="00694BC2" w:rsidRPr="00711340" w:rsidRDefault="00694BC2" w:rsidP="00131C4E">
      <w:pPr>
        <w:widowControl/>
        <w:spacing w:before="100" w:beforeAutospacing="1" w:after="100" w:afterAutospacing="1"/>
        <w:ind w:firstLine="360"/>
        <w:rPr>
          <w:kern w:val="0"/>
          <w:szCs w:val="22"/>
        </w:rPr>
      </w:pPr>
      <w:r>
        <w:rPr>
          <w:kern w:val="0"/>
          <w:szCs w:val="22"/>
        </w:rPr>
        <w:t>******</w:t>
      </w:r>
    </w:p>
    <w:p w:rsidR="00694BC2" w:rsidRPr="00711340" w:rsidRDefault="00694BC2" w:rsidP="00131C4E">
      <w:pPr>
        <w:pStyle w:val="ListParagraph"/>
        <w:numPr>
          <w:ilvl w:val="0"/>
          <w:numId w:val="24"/>
        </w:numPr>
        <w:rPr>
          <w:kern w:val="0"/>
          <w:szCs w:val="22"/>
        </w:rPr>
      </w:pPr>
      <w:r w:rsidRPr="00711340">
        <w:rPr>
          <w:kern w:val="0"/>
          <w:szCs w:val="22"/>
        </w:rPr>
        <w:t>Section 10.250</w:t>
      </w:r>
      <w:r>
        <w:rPr>
          <w:kern w:val="0"/>
          <w:szCs w:val="22"/>
        </w:rPr>
        <w:t xml:space="preserve"> is amended by revising the section heading and paragraphs (a) and (b)</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711340" w:rsidRDefault="00694BC2" w:rsidP="00131C4E">
      <w:pPr>
        <w:pStyle w:val="Heading2"/>
      </w:pPr>
      <w:r w:rsidRPr="00711340">
        <w:t xml:space="preserve">§ 10.250   Notification to existing subscribers of non-participation in </w:t>
      </w:r>
      <w:r>
        <w:t>WEA</w:t>
      </w:r>
      <w:r w:rsidRPr="00711340">
        <w:t>.</w:t>
      </w:r>
    </w:p>
    <w:p w:rsidR="00694BC2" w:rsidRPr="00711340" w:rsidRDefault="00694BC2" w:rsidP="00131C4E">
      <w:pPr>
        <w:pStyle w:val="NormalWeb"/>
        <w:ind w:left="360" w:firstLine="360"/>
        <w:rPr>
          <w:sz w:val="22"/>
          <w:szCs w:val="22"/>
        </w:rPr>
      </w:pPr>
      <w:r w:rsidRPr="00711340">
        <w:rPr>
          <w:sz w:val="22"/>
          <w:szCs w:val="22"/>
        </w:rPr>
        <w:t>(a) A CMS provider that elects not to transmit WEA Alert Messages, in part or in whole, shall provide clear and conspicuous notice, which takes into account the needs of persons with disabilities, to existing subscribers of its non-election or partial election to provide Alert messages by means of an announcement amending the existing subscriber's service agreement.</w:t>
      </w:r>
    </w:p>
    <w:p w:rsidR="00694BC2" w:rsidRPr="00711340" w:rsidRDefault="00694BC2" w:rsidP="00131C4E">
      <w:pPr>
        <w:pStyle w:val="NormalWeb"/>
        <w:ind w:left="1080"/>
        <w:rPr>
          <w:sz w:val="22"/>
          <w:szCs w:val="22"/>
        </w:rPr>
      </w:pPr>
    </w:p>
    <w:p w:rsidR="00694BC2" w:rsidRPr="00711340" w:rsidRDefault="00694BC2" w:rsidP="00131C4E">
      <w:pPr>
        <w:pStyle w:val="NormalWeb"/>
        <w:ind w:left="360" w:firstLine="360"/>
        <w:rPr>
          <w:sz w:val="22"/>
          <w:szCs w:val="22"/>
        </w:rPr>
      </w:pPr>
      <w:r w:rsidRPr="00711340">
        <w:rPr>
          <w:sz w:val="22"/>
          <w:szCs w:val="22"/>
        </w:rPr>
        <w:t>(b) For purposes of this section, a CMS provider that elects not to transmit WEA Alert Messages, in part or in whole, shall use the notification language set forth in § 10.240 (c) or (d) respectively, except that the last line of the notice shall reference FCC Rule 47 CFR 10.250, rather than FCC Rule 47 CFR 10.240.</w:t>
      </w:r>
    </w:p>
    <w:p w:rsidR="00694BC2" w:rsidRPr="00711340" w:rsidRDefault="00694BC2" w:rsidP="00131C4E">
      <w:pPr>
        <w:pStyle w:val="NormalWeb"/>
        <w:rPr>
          <w:sz w:val="22"/>
          <w:szCs w:val="22"/>
        </w:rPr>
      </w:pPr>
    </w:p>
    <w:p w:rsidR="00694BC2" w:rsidRPr="00711340" w:rsidRDefault="00694BC2" w:rsidP="00131C4E">
      <w:pPr>
        <w:pStyle w:val="NormalWeb"/>
        <w:ind w:left="360"/>
        <w:rPr>
          <w:sz w:val="22"/>
          <w:szCs w:val="22"/>
        </w:rPr>
      </w:pPr>
      <w:r>
        <w:rPr>
          <w:sz w:val="22"/>
          <w:szCs w:val="22"/>
        </w:rPr>
        <w:t>**</w:t>
      </w:r>
      <w:r w:rsidRPr="00711340">
        <w:rPr>
          <w:sz w:val="22"/>
          <w:szCs w:val="22"/>
        </w:rPr>
        <w:t>***</w:t>
      </w:r>
    </w:p>
    <w:p w:rsidR="00694BC2" w:rsidRPr="00711340" w:rsidRDefault="00694BC2" w:rsidP="00131C4E">
      <w:pPr>
        <w:pStyle w:val="ListParagraph"/>
        <w:ind w:left="360"/>
        <w:rPr>
          <w:kern w:val="0"/>
          <w:szCs w:val="22"/>
        </w:rPr>
      </w:pPr>
    </w:p>
    <w:p w:rsidR="00694BC2" w:rsidRPr="00711340" w:rsidRDefault="00694BC2" w:rsidP="00131C4E">
      <w:pPr>
        <w:pStyle w:val="ListParagraph"/>
        <w:numPr>
          <w:ilvl w:val="0"/>
          <w:numId w:val="24"/>
        </w:numPr>
        <w:rPr>
          <w:kern w:val="0"/>
          <w:szCs w:val="22"/>
        </w:rPr>
      </w:pPr>
      <w:r w:rsidRPr="00711340">
        <w:rPr>
          <w:kern w:val="0"/>
          <w:szCs w:val="22"/>
        </w:rPr>
        <w:t xml:space="preserve">Section 10.260 is amended </w:t>
      </w:r>
      <w:r>
        <w:rPr>
          <w:kern w:val="0"/>
          <w:szCs w:val="22"/>
        </w:rPr>
        <w:t>by revising it to</w:t>
      </w:r>
      <w:r w:rsidRPr="00711340">
        <w:rPr>
          <w:kern w:val="0"/>
          <w:szCs w:val="22"/>
        </w:rPr>
        <w:t xml:space="preserve"> read as follows:</w:t>
      </w:r>
    </w:p>
    <w:p w:rsidR="00694BC2" w:rsidRPr="00711340" w:rsidRDefault="00694BC2" w:rsidP="00131C4E">
      <w:pPr>
        <w:pStyle w:val="ListParagraph"/>
        <w:ind w:left="360"/>
        <w:rPr>
          <w:kern w:val="0"/>
          <w:szCs w:val="22"/>
        </w:rPr>
      </w:pPr>
    </w:p>
    <w:p w:rsidR="00694BC2" w:rsidRPr="00711340" w:rsidRDefault="00694BC2" w:rsidP="00131C4E">
      <w:pPr>
        <w:pStyle w:val="ListParagraph"/>
        <w:ind w:left="360"/>
        <w:rPr>
          <w:b/>
          <w:kern w:val="0"/>
          <w:szCs w:val="22"/>
        </w:rPr>
      </w:pPr>
      <w:r w:rsidRPr="00711340">
        <w:rPr>
          <w:b/>
          <w:kern w:val="0"/>
          <w:szCs w:val="22"/>
        </w:rPr>
        <w:t>§ 10.260 Timing of subscriber notification.</w:t>
      </w:r>
    </w:p>
    <w:p w:rsidR="00694BC2" w:rsidRPr="00711340" w:rsidRDefault="00694BC2" w:rsidP="00131C4E">
      <w:pPr>
        <w:widowControl/>
        <w:spacing w:before="100" w:beforeAutospacing="1" w:after="100" w:afterAutospacing="1"/>
        <w:ind w:left="360" w:firstLine="360"/>
        <w:rPr>
          <w:kern w:val="0"/>
          <w:szCs w:val="22"/>
        </w:rPr>
      </w:pPr>
      <w:r w:rsidRPr="00711340">
        <w:rPr>
          <w:kern w:val="0"/>
          <w:szCs w:val="22"/>
        </w:rPr>
        <w:t>A CMS provider that elects not to transmit WEA Alert Messages, in part or in whole, must comply with §§ 10.240 and 10.250 no later than 60 days following an announcement by the Commission that the Alert Aggregator/Gateway system is operational and capable of delivering emergency alerts to participating CMS providers.</w:t>
      </w:r>
    </w:p>
    <w:p w:rsidR="00694BC2" w:rsidRPr="00711340" w:rsidRDefault="00694BC2" w:rsidP="00131C4E">
      <w:pPr>
        <w:pStyle w:val="ListParagraph"/>
        <w:numPr>
          <w:ilvl w:val="0"/>
          <w:numId w:val="24"/>
        </w:numPr>
        <w:rPr>
          <w:kern w:val="0"/>
          <w:szCs w:val="22"/>
        </w:rPr>
      </w:pPr>
      <w:r w:rsidRPr="00711340">
        <w:rPr>
          <w:kern w:val="0"/>
          <w:szCs w:val="22"/>
        </w:rPr>
        <w:t xml:space="preserve">Section 10.270 is amended </w:t>
      </w:r>
      <w:r>
        <w:rPr>
          <w:kern w:val="0"/>
          <w:szCs w:val="22"/>
        </w:rPr>
        <w:t xml:space="preserve">by revising it </w:t>
      </w:r>
      <w:r w:rsidRPr="00711340">
        <w:rPr>
          <w:kern w:val="0"/>
          <w:szCs w:val="22"/>
        </w:rPr>
        <w:t>to read as follows:</w:t>
      </w:r>
    </w:p>
    <w:p w:rsidR="00694BC2" w:rsidRPr="00711340" w:rsidRDefault="00694BC2" w:rsidP="00131C4E">
      <w:pPr>
        <w:pStyle w:val="ListParagraph"/>
        <w:ind w:left="360"/>
        <w:rPr>
          <w:kern w:val="0"/>
          <w:szCs w:val="22"/>
        </w:rPr>
      </w:pPr>
    </w:p>
    <w:p w:rsidR="00694BC2" w:rsidRPr="00711340" w:rsidRDefault="00694BC2" w:rsidP="00131C4E">
      <w:pPr>
        <w:pStyle w:val="Heading2"/>
      </w:pPr>
      <w:r w:rsidRPr="00711340">
        <w:t>§ 10.270   Subscribers' right to terminate subscription.</w:t>
      </w:r>
    </w:p>
    <w:p w:rsidR="00694BC2" w:rsidRPr="00711340" w:rsidRDefault="00694BC2" w:rsidP="00131C4E">
      <w:pPr>
        <w:pStyle w:val="NormalWeb"/>
        <w:ind w:left="360" w:firstLine="360"/>
        <w:rPr>
          <w:sz w:val="22"/>
          <w:szCs w:val="22"/>
        </w:rPr>
      </w:pPr>
      <w:r w:rsidRPr="00711340">
        <w:rPr>
          <w:sz w:val="22"/>
          <w:szCs w:val="22"/>
        </w:rPr>
        <w:t>If a CMS provider that has elected to provide WEA Alert Messages in whole or in part thereafter chooses to cease providing such alerts, either in whole or in part, its subscribers may terminate their subscription without penalty or early termination fee.</w:t>
      </w:r>
    </w:p>
    <w:p w:rsidR="00694BC2" w:rsidRPr="00711340" w:rsidRDefault="00694BC2" w:rsidP="00131C4E">
      <w:pPr>
        <w:pStyle w:val="NormalWeb"/>
        <w:ind w:left="360" w:firstLine="360"/>
        <w:rPr>
          <w:sz w:val="22"/>
          <w:szCs w:val="22"/>
        </w:rPr>
      </w:pPr>
    </w:p>
    <w:p w:rsidR="00694BC2" w:rsidRPr="00711340" w:rsidRDefault="00694BC2" w:rsidP="00131C4E">
      <w:pPr>
        <w:pStyle w:val="ListParagraph"/>
        <w:numPr>
          <w:ilvl w:val="0"/>
          <w:numId w:val="24"/>
        </w:numPr>
        <w:rPr>
          <w:kern w:val="0"/>
          <w:szCs w:val="22"/>
        </w:rPr>
      </w:pPr>
      <w:r w:rsidRPr="00711340">
        <w:rPr>
          <w:kern w:val="0"/>
          <w:szCs w:val="22"/>
        </w:rPr>
        <w:t xml:space="preserve">Section 10.280 is amended </w:t>
      </w:r>
      <w:r>
        <w:rPr>
          <w:kern w:val="0"/>
          <w:szCs w:val="22"/>
        </w:rPr>
        <w:t>by revising the section heading</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711340" w:rsidRDefault="00694BC2" w:rsidP="00131C4E">
      <w:pPr>
        <w:pStyle w:val="Heading2"/>
      </w:pPr>
      <w:r w:rsidRPr="00711340">
        <w:t>§ 10.280   Subscribers' right to opt out of WEA notifications.</w:t>
      </w:r>
    </w:p>
    <w:p w:rsidR="00694BC2" w:rsidRPr="00711340" w:rsidRDefault="00694BC2" w:rsidP="00131C4E">
      <w:pPr>
        <w:pStyle w:val="ListParagraph"/>
        <w:ind w:left="360"/>
        <w:rPr>
          <w:kern w:val="0"/>
          <w:szCs w:val="22"/>
        </w:rPr>
      </w:pPr>
    </w:p>
    <w:p w:rsidR="00694BC2" w:rsidRPr="001F6A08" w:rsidRDefault="00694BC2" w:rsidP="00131C4E">
      <w:pPr>
        <w:pStyle w:val="ListParagraph"/>
        <w:ind w:left="360"/>
        <w:rPr>
          <w:b/>
          <w:kern w:val="0"/>
          <w:szCs w:val="22"/>
        </w:rPr>
      </w:pPr>
      <w:r w:rsidRPr="001F6A08">
        <w:rPr>
          <w:b/>
          <w:kern w:val="0"/>
          <w:szCs w:val="22"/>
        </w:rPr>
        <w:t>*****</w:t>
      </w:r>
    </w:p>
    <w:p w:rsidR="00694BC2" w:rsidRPr="00711340" w:rsidRDefault="00694BC2" w:rsidP="00131C4E">
      <w:pPr>
        <w:pStyle w:val="ListParagraph"/>
        <w:ind w:left="360"/>
        <w:rPr>
          <w:kern w:val="0"/>
          <w:szCs w:val="22"/>
        </w:rPr>
      </w:pPr>
    </w:p>
    <w:p w:rsidR="00694BC2" w:rsidRPr="00711340" w:rsidRDefault="00694BC2" w:rsidP="00131C4E">
      <w:pPr>
        <w:pStyle w:val="ListParagraph"/>
        <w:numPr>
          <w:ilvl w:val="0"/>
          <w:numId w:val="24"/>
        </w:numPr>
        <w:rPr>
          <w:kern w:val="0"/>
          <w:szCs w:val="22"/>
        </w:rPr>
      </w:pPr>
      <w:r w:rsidRPr="00711340">
        <w:rPr>
          <w:kern w:val="0"/>
          <w:szCs w:val="22"/>
        </w:rPr>
        <w:t>Section 10.320</w:t>
      </w:r>
      <w:r>
        <w:rPr>
          <w:kern w:val="0"/>
          <w:szCs w:val="22"/>
        </w:rPr>
        <w:t xml:space="preserve"> by revising paragraphs (c) and (f)(1)</w:t>
      </w:r>
      <w:r w:rsidRPr="00711340">
        <w:rPr>
          <w:kern w:val="0"/>
          <w:szCs w:val="22"/>
        </w:rPr>
        <w:t xml:space="preserve"> to read as follows:</w:t>
      </w:r>
    </w:p>
    <w:p w:rsidR="00694BC2" w:rsidRPr="00711340" w:rsidRDefault="00694BC2" w:rsidP="00131C4E">
      <w:pPr>
        <w:pStyle w:val="ListParagraph"/>
        <w:ind w:left="360"/>
        <w:rPr>
          <w:kern w:val="0"/>
          <w:szCs w:val="22"/>
        </w:rPr>
      </w:pPr>
    </w:p>
    <w:p w:rsidR="00694BC2" w:rsidRPr="00711340" w:rsidRDefault="00694BC2" w:rsidP="00131C4E">
      <w:pPr>
        <w:pStyle w:val="Heading2"/>
      </w:pPr>
      <w:r w:rsidRPr="00711340">
        <w:t>§ 10.320   Provider alert gateway requirements.</w:t>
      </w:r>
    </w:p>
    <w:p w:rsidR="00694BC2" w:rsidRPr="00711340" w:rsidRDefault="00694BC2" w:rsidP="00131C4E">
      <w:pPr>
        <w:pStyle w:val="ParaNum"/>
        <w:numPr>
          <w:ilvl w:val="0"/>
          <w:numId w:val="0"/>
        </w:numPr>
        <w:ind w:firstLine="360"/>
        <w:rPr>
          <w:szCs w:val="22"/>
        </w:rPr>
      </w:pPr>
      <w:r>
        <w:rPr>
          <w:szCs w:val="22"/>
        </w:rPr>
        <w:t>*****</w:t>
      </w:r>
    </w:p>
    <w:p w:rsidR="00694BC2" w:rsidRPr="00711340" w:rsidRDefault="00694BC2" w:rsidP="00131C4E">
      <w:pPr>
        <w:pStyle w:val="ParaNum"/>
        <w:numPr>
          <w:ilvl w:val="0"/>
          <w:numId w:val="0"/>
        </w:numPr>
        <w:ind w:left="360" w:firstLine="360"/>
        <w:rPr>
          <w:szCs w:val="22"/>
        </w:rPr>
      </w:pPr>
      <w:r>
        <w:rPr>
          <w:iCs/>
          <w:szCs w:val="22"/>
        </w:rPr>
        <w:t>(c)</w:t>
      </w:r>
      <w:r w:rsidRPr="00711340">
        <w:rPr>
          <w:i/>
          <w:iCs/>
          <w:szCs w:val="22"/>
        </w:rPr>
        <w:t>Security.</w:t>
      </w:r>
      <w:r w:rsidRPr="00711340">
        <w:rPr>
          <w:szCs w:val="22"/>
        </w:rPr>
        <w:t xml:space="preserve"> The CMS provider gateway must support standardized IP-based security mechanisms such as a firewall, and support the defined WEA “C” interface and associated protocols between the Federal alert gateway and the CMS provider gateway.</w:t>
      </w:r>
    </w:p>
    <w:p w:rsidR="00694BC2" w:rsidRDefault="00694BC2" w:rsidP="00131C4E">
      <w:pPr>
        <w:ind w:left="360"/>
        <w:rPr>
          <w:iCs/>
          <w:szCs w:val="22"/>
        </w:rPr>
      </w:pPr>
      <w:r w:rsidRPr="00711340">
        <w:rPr>
          <w:iCs/>
          <w:szCs w:val="22"/>
        </w:rPr>
        <w:t>*****</w:t>
      </w:r>
    </w:p>
    <w:p w:rsidR="00694BC2" w:rsidRDefault="00694BC2" w:rsidP="00131C4E">
      <w:pPr>
        <w:ind w:left="360" w:firstLine="360"/>
        <w:rPr>
          <w:kern w:val="0"/>
          <w:szCs w:val="22"/>
        </w:rPr>
      </w:pPr>
      <w:r w:rsidRPr="00711340">
        <w:rPr>
          <w:kern w:val="0"/>
          <w:szCs w:val="22"/>
        </w:rPr>
        <w:t>(f) ***</w:t>
      </w:r>
    </w:p>
    <w:p w:rsidR="00694BC2" w:rsidRDefault="00694BC2" w:rsidP="00131C4E">
      <w:pPr>
        <w:ind w:left="360" w:firstLine="360"/>
        <w:rPr>
          <w:kern w:val="0"/>
          <w:szCs w:val="22"/>
        </w:rPr>
      </w:pPr>
    </w:p>
    <w:p w:rsidR="00694BC2" w:rsidRDefault="00694BC2" w:rsidP="00131C4E">
      <w:pPr>
        <w:ind w:left="360" w:firstLine="360"/>
        <w:rPr>
          <w:szCs w:val="22"/>
        </w:rPr>
      </w:pPr>
      <w:r w:rsidRPr="00711340">
        <w:rPr>
          <w:kern w:val="0"/>
          <w:szCs w:val="22"/>
        </w:rPr>
        <w:t xml:space="preserve">(1) </w:t>
      </w:r>
      <w:r w:rsidRPr="00711340">
        <w:rPr>
          <w:szCs w:val="22"/>
        </w:rPr>
        <w:t>The information must be provided 30 days in advance of the date when the CMS provider begins to transmit WEA alerts.</w:t>
      </w:r>
    </w:p>
    <w:p w:rsidR="00694BC2" w:rsidRPr="00711340" w:rsidRDefault="00694BC2" w:rsidP="00131C4E">
      <w:pPr>
        <w:ind w:left="360"/>
        <w:rPr>
          <w:szCs w:val="22"/>
        </w:rPr>
      </w:pPr>
    </w:p>
    <w:p w:rsidR="00694BC2" w:rsidRDefault="00694BC2" w:rsidP="00131C4E">
      <w:pPr>
        <w:ind w:left="360"/>
        <w:rPr>
          <w:kern w:val="0"/>
          <w:szCs w:val="22"/>
        </w:rPr>
      </w:pPr>
      <w:r w:rsidRPr="00711340">
        <w:rPr>
          <w:kern w:val="0"/>
          <w:szCs w:val="22"/>
        </w:rPr>
        <w:t>*****</w:t>
      </w:r>
    </w:p>
    <w:p w:rsidR="00694BC2" w:rsidRPr="00711340" w:rsidRDefault="00694BC2" w:rsidP="00131C4E">
      <w:pPr>
        <w:ind w:left="360"/>
        <w:rPr>
          <w:szCs w:val="22"/>
        </w:rPr>
      </w:pPr>
    </w:p>
    <w:p w:rsidR="00694BC2" w:rsidRPr="001F6A08" w:rsidRDefault="00694BC2" w:rsidP="00131C4E">
      <w:pPr>
        <w:pStyle w:val="ListParagraph"/>
        <w:numPr>
          <w:ilvl w:val="0"/>
          <w:numId w:val="24"/>
        </w:numPr>
        <w:rPr>
          <w:szCs w:val="22"/>
        </w:rPr>
      </w:pPr>
      <w:r w:rsidRPr="001F6A08">
        <w:rPr>
          <w:szCs w:val="22"/>
        </w:rPr>
        <w:t xml:space="preserve">Section 10.340 is </w:t>
      </w:r>
      <w:r>
        <w:rPr>
          <w:szCs w:val="22"/>
        </w:rPr>
        <w:t>amended</w:t>
      </w:r>
      <w:r w:rsidRPr="001F6A08">
        <w:rPr>
          <w:szCs w:val="22"/>
        </w:rPr>
        <w:t xml:space="preserve"> </w:t>
      </w:r>
      <w:r>
        <w:rPr>
          <w:kern w:val="0"/>
          <w:szCs w:val="22"/>
        </w:rPr>
        <w:t>by revising it</w:t>
      </w:r>
      <w:r w:rsidRPr="001F6A08">
        <w:rPr>
          <w:szCs w:val="22"/>
        </w:rPr>
        <w:t xml:space="preserve"> to read as follows:</w:t>
      </w:r>
    </w:p>
    <w:p w:rsidR="00694BC2" w:rsidRPr="00711340" w:rsidRDefault="00694BC2" w:rsidP="00131C4E">
      <w:pPr>
        <w:pStyle w:val="ListParagraph"/>
        <w:ind w:left="360"/>
        <w:rPr>
          <w:szCs w:val="22"/>
        </w:rPr>
      </w:pPr>
    </w:p>
    <w:p w:rsidR="00694BC2" w:rsidRPr="00711340" w:rsidRDefault="00694BC2" w:rsidP="00131C4E">
      <w:pPr>
        <w:pStyle w:val="Heading2"/>
      </w:pPr>
      <w:r w:rsidRPr="00711340">
        <w:t>§ 10.340   Digital television transmission towers retransmission capability.</w:t>
      </w:r>
    </w:p>
    <w:p w:rsidR="00694BC2" w:rsidRPr="00711340" w:rsidRDefault="00694BC2" w:rsidP="00131C4E">
      <w:pPr>
        <w:widowControl/>
        <w:spacing w:before="100" w:beforeAutospacing="1" w:after="100" w:afterAutospacing="1"/>
        <w:ind w:left="360" w:firstLine="480"/>
        <w:rPr>
          <w:kern w:val="0"/>
          <w:szCs w:val="22"/>
        </w:rPr>
      </w:pPr>
      <w:r w:rsidRPr="00711340">
        <w:rPr>
          <w:kern w:val="0"/>
          <w:szCs w:val="22"/>
        </w:rPr>
        <w:t>Licensees and permittees of noncommercial educational broadcast television stations (NCE) or public broadcast television stations (to the extent such stations fall within the scope of those terms as defined in section 397(6) of the Communications Act of 1934 (47 U.S.C. 397(6))) are required to install on, or as part of, any broadcast television digital signal transmitter, equipment to enable the distribution of geographically targeted alerts by commercial mobile service providers that have elected to transmit WEA alerts. Such equipment and technologies must have the capability of allowing licensees and permittees of NCE and public broadcast television stations to receive WEA alerts from the Alert Gateway over an alternate, secure interface and then to transmit such WEA alerts to CMS Provider Gateways of participating CMS providers. This equipment must be installed no later than eighteen months from the date of receipt of funding permitted under section 606(b) of the WARN Act or 18 months from the effective date of these rules, whichever is later.</w:t>
      </w:r>
    </w:p>
    <w:p w:rsidR="00694BC2" w:rsidRPr="00711340" w:rsidRDefault="00694BC2" w:rsidP="00131C4E">
      <w:pPr>
        <w:pStyle w:val="ListParagraph"/>
        <w:numPr>
          <w:ilvl w:val="0"/>
          <w:numId w:val="24"/>
        </w:numPr>
        <w:rPr>
          <w:b/>
          <w:szCs w:val="22"/>
        </w:rPr>
      </w:pPr>
      <w:r w:rsidRPr="00711340">
        <w:rPr>
          <w:szCs w:val="22"/>
        </w:rPr>
        <w:t>Section 10.350 is</w:t>
      </w:r>
      <w:r>
        <w:rPr>
          <w:szCs w:val="22"/>
        </w:rPr>
        <w:t xml:space="preserve"> amended by revising the section heading, introduction, and paragraphs (a)(1) and (a)(4)</w:t>
      </w:r>
      <w:r w:rsidRPr="00711340">
        <w:rPr>
          <w:szCs w:val="22"/>
        </w:rPr>
        <w:t xml:space="preserve"> to read as follows:</w:t>
      </w:r>
    </w:p>
    <w:p w:rsidR="00694BC2" w:rsidRDefault="00694BC2" w:rsidP="00131C4E">
      <w:pPr>
        <w:pStyle w:val="ListParagraph"/>
        <w:ind w:left="360"/>
        <w:rPr>
          <w:szCs w:val="22"/>
        </w:rPr>
      </w:pPr>
    </w:p>
    <w:p w:rsidR="00694BC2" w:rsidRDefault="00694BC2" w:rsidP="00131C4E">
      <w:pPr>
        <w:pStyle w:val="Heading2"/>
        <w:rPr>
          <w:sz w:val="20"/>
        </w:rPr>
      </w:pPr>
      <w:r>
        <w:t>§ 10.350   WEA Testing requirements.</w:t>
      </w:r>
    </w:p>
    <w:p w:rsidR="00694BC2" w:rsidRDefault="00694BC2" w:rsidP="00131C4E">
      <w:pPr>
        <w:pStyle w:val="NormalWeb"/>
        <w:ind w:left="360" w:firstLine="360"/>
        <w:rPr>
          <w:sz w:val="22"/>
          <w:szCs w:val="22"/>
        </w:rPr>
      </w:pPr>
      <w:r w:rsidRPr="00711340">
        <w:rPr>
          <w:sz w:val="22"/>
          <w:szCs w:val="22"/>
        </w:rPr>
        <w:t xml:space="preserve">This section specifies the testing that will be required, no later than the date of deployment of the </w:t>
      </w:r>
      <w:r>
        <w:rPr>
          <w:sz w:val="22"/>
          <w:szCs w:val="22"/>
        </w:rPr>
        <w:t>WEA</w:t>
      </w:r>
      <w:r w:rsidRPr="00711340">
        <w:rPr>
          <w:sz w:val="22"/>
          <w:szCs w:val="22"/>
        </w:rPr>
        <w:t xml:space="preserve">, of </w:t>
      </w:r>
      <w:r>
        <w:rPr>
          <w:sz w:val="22"/>
          <w:szCs w:val="22"/>
        </w:rPr>
        <w:t>WEA</w:t>
      </w:r>
      <w:r w:rsidRPr="00711340">
        <w:rPr>
          <w:sz w:val="22"/>
          <w:szCs w:val="22"/>
        </w:rPr>
        <w:t xml:space="preserve"> components.</w:t>
      </w:r>
    </w:p>
    <w:p w:rsidR="00694BC2" w:rsidRDefault="00694BC2" w:rsidP="00131C4E">
      <w:pPr>
        <w:pStyle w:val="NormalWeb"/>
        <w:ind w:left="360" w:firstLine="360"/>
        <w:rPr>
          <w:sz w:val="22"/>
          <w:szCs w:val="22"/>
        </w:rPr>
      </w:pPr>
    </w:p>
    <w:p w:rsidR="00694BC2" w:rsidRDefault="00694BC2" w:rsidP="00131C4E">
      <w:pPr>
        <w:pStyle w:val="NormalWeb"/>
        <w:ind w:left="360" w:firstLine="360"/>
        <w:rPr>
          <w:sz w:val="22"/>
          <w:szCs w:val="22"/>
        </w:rPr>
      </w:pPr>
      <w:r>
        <w:rPr>
          <w:sz w:val="22"/>
          <w:szCs w:val="22"/>
        </w:rPr>
        <w:t xml:space="preserve">(a) </w:t>
      </w:r>
      <w:r w:rsidRPr="00711340">
        <w:rPr>
          <w:i/>
          <w:iCs/>
          <w:sz w:val="22"/>
          <w:szCs w:val="22"/>
        </w:rPr>
        <w:t>Required monthly tests.</w:t>
      </w:r>
      <w:r w:rsidRPr="00711340">
        <w:rPr>
          <w:sz w:val="22"/>
          <w:szCs w:val="22"/>
        </w:rPr>
        <w:t xml:space="preserve"> Testing of the </w:t>
      </w:r>
      <w:r>
        <w:rPr>
          <w:sz w:val="22"/>
          <w:szCs w:val="22"/>
        </w:rPr>
        <w:t>WEA</w:t>
      </w:r>
      <w:r w:rsidRPr="00711340">
        <w:rPr>
          <w:sz w:val="22"/>
          <w:szCs w:val="22"/>
        </w:rPr>
        <w:t xml:space="preserve"> from the Federal Alert Gateway to each Participating CMS Provider's infrastructure shall be conducted monthly.</w:t>
      </w:r>
    </w:p>
    <w:p w:rsidR="00694BC2" w:rsidRDefault="00694BC2" w:rsidP="00131C4E">
      <w:pPr>
        <w:pStyle w:val="NormalWeb"/>
        <w:ind w:left="360" w:firstLine="360"/>
        <w:rPr>
          <w:sz w:val="22"/>
          <w:szCs w:val="22"/>
        </w:rPr>
      </w:pPr>
    </w:p>
    <w:p w:rsidR="00694BC2" w:rsidRDefault="00694BC2" w:rsidP="00131C4E">
      <w:pPr>
        <w:pStyle w:val="NormalWeb"/>
        <w:ind w:firstLine="720"/>
        <w:rPr>
          <w:i/>
          <w:iCs/>
          <w:sz w:val="22"/>
          <w:szCs w:val="22"/>
        </w:rPr>
      </w:pPr>
      <w:r w:rsidRPr="00FC42F8">
        <w:rPr>
          <w:iCs/>
          <w:sz w:val="22"/>
          <w:szCs w:val="22"/>
        </w:rPr>
        <w:t>(1)</w:t>
      </w:r>
      <w:r>
        <w:rPr>
          <w:i/>
          <w:iCs/>
          <w:sz w:val="22"/>
          <w:szCs w:val="22"/>
        </w:rPr>
        <w:t xml:space="preserve"> ***</w:t>
      </w:r>
    </w:p>
    <w:p w:rsidR="00694BC2" w:rsidRDefault="00694BC2" w:rsidP="00131C4E">
      <w:pPr>
        <w:pStyle w:val="NormalWeb"/>
        <w:ind w:firstLine="720"/>
        <w:rPr>
          <w:i/>
          <w:iCs/>
          <w:sz w:val="22"/>
          <w:szCs w:val="22"/>
        </w:rPr>
      </w:pPr>
    </w:p>
    <w:p w:rsidR="00694BC2" w:rsidRPr="00FC42F8" w:rsidRDefault="00694BC2" w:rsidP="00131C4E">
      <w:pPr>
        <w:pStyle w:val="NormalWeb"/>
        <w:ind w:left="360" w:firstLine="360"/>
        <w:rPr>
          <w:sz w:val="22"/>
          <w:szCs w:val="22"/>
        </w:rPr>
      </w:pPr>
      <w:r>
        <w:rPr>
          <w:iCs/>
          <w:sz w:val="22"/>
          <w:szCs w:val="22"/>
        </w:rPr>
        <w:t>(2)</w:t>
      </w:r>
      <w:r>
        <w:rPr>
          <w:sz w:val="22"/>
          <w:szCs w:val="22"/>
        </w:rPr>
        <w:t xml:space="preserve">  </w:t>
      </w:r>
      <w:r w:rsidRPr="00FC42F8">
        <w:rPr>
          <w:sz w:val="22"/>
          <w:szCs w:val="22"/>
        </w:rPr>
        <w:t>Participating CMS Providers shall schedule the distribution of the RMT to their WEA coverage area over a 24 hour period commencing upon receipt of the RMT at the CMS Provider Gateway. Participating CMS Providers shall determine the method to distribute the RMTs, and may schedule over the 24 hour period the delivery of RMTs over geographic subsets of their coverage area to manage traffic loads and to accommodate maintenance windows.</w:t>
      </w:r>
    </w:p>
    <w:p w:rsidR="00694BC2" w:rsidRPr="00711340" w:rsidRDefault="00694BC2" w:rsidP="00131C4E">
      <w:pPr>
        <w:pStyle w:val="NormalWeb"/>
        <w:rPr>
          <w:sz w:val="22"/>
          <w:szCs w:val="22"/>
        </w:rPr>
      </w:pPr>
    </w:p>
    <w:p w:rsidR="00694BC2" w:rsidRDefault="00694BC2" w:rsidP="00131C4E">
      <w:pPr>
        <w:pStyle w:val="NormalWeb"/>
        <w:ind w:left="720"/>
        <w:rPr>
          <w:sz w:val="22"/>
          <w:szCs w:val="22"/>
        </w:rPr>
      </w:pPr>
      <w:r>
        <w:rPr>
          <w:sz w:val="22"/>
          <w:szCs w:val="22"/>
        </w:rPr>
        <w:t>(3) ***</w:t>
      </w:r>
    </w:p>
    <w:p w:rsidR="00694BC2" w:rsidRPr="00711340" w:rsidRDefault="00694BC2" w:rsidP="00131C4E">
      <w:pPr>
        <w:pStyle w:val="NormalWeb"/>
        <w:rPr>
          <w:sz w:val="22"/>
          <w:szCs w:val="22"/>
        </w:rPr>
      </w:pPr>
    </w:p>
    <w:p w:rsidR="00694BC2" w:rsidRDefault="00694BC2" w:rsidP="00131C4E">
      <w:pPr>
        <w:pStyle w:val="NormalWeb"/>
        <w:ind w:left="450" w:firstLine="270"/>
        <w:rPr>
          <w:sz w:val="22"/>
          <w:szCs w:val="22"/>
        </w:rPr>
      </w:pPr>
      <w:r>
        <w:rPr>
          <w:sz w:val="22"/>
          <w:szCs w:val="22"/>
        </w:rPr>
        <w:t xml:space="preserve">(4) </w:t>
      </w:r>
      <w:r w:rsidRPr="00711340">
        <w:rPr>
          <w:sz w:val="22"/>
          <w:szCs w:val="22"/>
        </w:rPr>
        <w:t xml:space="preserve">The RMT shall be initiated only by the Federal Alert Gateway Administrator using a defined test message. Real event codes or alert messages shall not be used for the </w:t>
      </w:r>
      <w:r>
        <w:rPr>
          <w:sz w:val="22"/>
          <w:szCs w:val="22"/>
        </w:rPr>
        <w:t>WEA</w:t>
      </w:r>
      <w:r w:rsidRPr="00711340">
        <w:rPr>
          <w:sz w:val="22"/>
          <w:szCs w:val="22"/>
        </w:rPr>
        <w:t xml:space="preserve"> RMT message.</w:t>
      </w:r>
    </w:p>
    <w:p w:rsidR="00694BC2" w:rsidRPr="00711340" w:rsidRDefault="00694BC2" w:rsidP="00131C4E">
      <w:pPr>
        <w:pStyle w:val="NormalWeb"/>
        <w:rPr>
          <w:sz w:val="22"/>
          <w:szCs w:val="22"/>
        </w:rPr>
      </w:pPr>
      <w:r w:rsidRPr="00E67C55">
        <w:rPr>
          <w:kern w:val="0"/>
          <w:sz w:val="22"/>
          <w:szCs w:val="22"/>
        </w:rPr>
        <w:t xml:space="preserve">(5) A Participating CMS Provider shall distribute an RMT within its </w:t>
      </w:r>
      <w:r>
        <w:rPr>
          <w:kern w:val="0"/>
          <w:szCs w:val="22"/>
        </w:rPr>
        <w:t>WEA</w:t>
      </w:r>
      <w:r w:rsidRPr="00E67C55">
        <w:rPr>
          <w:kern w:val="0"/>
          <w:sz w:val="22"/>
          <w:szCs w:val="22"/>
        </w:rPr>
        <w:t xml:space="preserve"> coverage area within 24 hours of receipt by the CMS Provider Gateway unless pre-empted by actual alert traffic or unable due to an unforeseen condition</w:t>
      </w:r>
      <w:r>
        <w:rPr>
          <w:kern w:val="0"/>
          <w:szCs w:val="22"/>
        </w:rPr>
        <w:t>.</w:t>
      </w:r>
    </w:p>
    <w:p w:rsidR="00694BC2" w:rsidRDefault="00694BC2" w:rsidP="00131C4E">
      <w:pPr>
        <w:pStyle w:val="NormalWeb"/>
        <w:ind w:left="360"/>
        <w:rPr>
          <w:sz w:val="22"/>
          <w:szCs w:val="22"/>
        </w:rPr>
      </w:pPr>
      <w:r>
        <w:rPr>
          <w:sz w:val="22"/>
          <w:szCs w:val="22"/>
        </w:rPr>
        <w:t>*****</w:t>
      </w:r>
    </w:p>
    <w:p w:rsidR="00694BC2" w:rsidRDefault="00694BC2" w:rsidP="00131C4E">
      <w:pPr>
        <w:pStyle w:val="NormalWeb"/>
        <w:ind w:left="360"/>
        <w:rPr>
          <w:sz w:val="22"/>
          <w:szCs w:val="22"/>
        </w:rPr>
      </w:pPr>
    </w:p>
    <w:p w:rsidR="00694BC2" w:rsidRPr="003349A3" w:rsidRDefault="00694BC2" w:rsidP="00131C4E">
      <w:pPr>
        <w:pStyle w:val="ListParagraph"/>
        <w:numPr>
          <w:ilvl w:val="0"/>
          <w:numId w:val="24"/>
        </w:numPr>
        <w:rPr>
          <w:b/>
          <w:szCs w:val="22"/>
        </w:rPr>
      </w:pPr>
      <w:r>
        <w:rPr>
          <w:szCs w:val="22"/>
        </w:rPr>
        <w:t>Section 10.42</w:t>
      </w:r>
      <w:r w:rsidRPr="00711340">
        <w:rPr>
          <w:szCs w:val="22"/>
        </w:rPr>
        <w:t>0 is</w:t>
      </w:r>
      <w:r>
        <w:rPr>
          <w:szCs w:val="22"/>
        </w:rPr>
        <w:t xml:space="preserve"> amended by revising it</w:t>
      </w:r>
      <w:r w:rsidRPr="00711340">
        <w:rPr>
          <w:szCs w:val="22"/>
        </w:rPr>
        <w:t xml:space="preserve"> to read as follows:</w:t>
      </w:r>
    </w:p>
    <w:p w:rsidR="00694BC2" w:rsidRDefault="00694BC2" w:rsidP="00131C4E">
      <w:pPr>
        <w:pStyle w:val="ListParagraph"/>
        <w:ind w:left="360"/>
        <w:rPr>
          <w:szCs w:val="22"/>
        </w:rPr>
      </w:pPr>
    </w:p>
    <w:p w:rsidR="00694BC2" w:rsidRPr="003349A3" w:rsidRDefault="00694BC2" w:rsidP="00131C4E">
      <w:pPr>
        <w:pStyle w:val="Heading2"/>
        <w:rPr>
          <w:szCs w:val="22"/>
        </w:rPr>
      </w:pPr>
      <w:r w:rsidRPr="003349A3">
        <w:rPr>
          <w:szCs w:val="22"/>
        </w:rPr>
        <w:t>§ 10.420   Message elements.</w:t>
      </w:r>
    </w:p>
    <w:p w:rsidR="00694BC2" w:rsidRDefault="00694BC2" w:rsidP="00131C4E">
      <w:pPr>
        <w:pStyle w:val="NormalWeb"/>
        <w:ind w:left="360" w:firstLine="360"/>
        <w:rPr>
          <w:sz w:val="22"/>
          <w:szCs w:val="22"/>
        </w:rPr>
      </w:pPr>
      <w:r w:rsidRPr="003349A3">
        <w:rPr>
          <w:sz w:val="22"/>
          <w:szCs w:val="22"/>
        </w:rPr>
        <w:t xml:space="preserve">A </w:t>
      </w:r>
      <w:r>
        <w:rPr>
          <w:sz w:val="22"/>
          <w:szCs w:val="22"/>
        </w:rPr>
        <w:t>WEA</w:t>
      </w:r>
      <w:r w:rsidRPr="003349A3">
        <w:rPr>
          <w:sz w:val="22"/>
          <w:szCs w:val="22"/>
        </w:rPr>
        <w:t xml:space="preserve"> Alert Message processed by a Participating CMS Provider shall include five mandatory CAP elements—Event Type; Area Affected; Recommended Action; Expiration Time (with time zone); and Sending Agency. This requirement does not apply to Presidential Alerts.</w:t>
      </w:r>
    </w:p>
    <w:p w:rsidR="00694BC2" w:rsidRDefault="00694BC2" w:rsidP="00131C4E">
      <w:pPr>
        <w:pStyle w:val="NormalWeb"/>
        <w:ind w:left="360" w:firstLine="360"/>
        <w:rPr>
          <w:sz w:val="22"/>
          <w:szCs w:val="22"/>
        </w:rPr>
      </w:pPr>
    </w:p>
    <w:p w:rsidR="00694BC2" w:rsidRDefault="00694BC2" w:rsidP="00131C4E">
      <w:pPr>
        <w:pStyle w:val="ListParagraph"/>
        <w:numPr>
          <w:ilvl w:val="0"/>
          <w:numId w:val="24"/>
        </w:numPr>
        <w:rPr>
          <w:szCs w:val="22"/>
        </w:rPr>
      </w:pPr>
      <w:r>
        <w:rPr>
          <w:szCs w:val="22"/>
        </w:rPr>
        <w:t>Section 10.43</w:t>
      </w:r>
      <w:r w:rsidRPr="00711340">
        <w:rPr>
          <w:szCs w:val="22"/>
        </w:rPr>
        <w:t xml:space="preserve">0 is </w:t>
      </w:r>
      <w:r>
        <w:rPr>
          <w:szCs w:val="22"/>
        </w:rPr>
        <w:t>amended by revising it</w:t>
      </w:r>
      <w:r w:rsidRPr="00711340">
        <w:rPr>
          <w:szCs w:val="22"/>
        </w:rPr>
        <w:t xml:space="preserve"> to read as follows:</w:t>
      </w:r>
    </w:p>
    <w:p w:rsidR="00694BC2" w:rsidRDefault="00694BC2" w:rsidP="00131C4E">
      <w:pPr>
        <w:pStyle w:val="ListParagraph"/>
        <w:ind w:left="360"/>
        <w:rPr>
          <w:szCs w:val="22"/>
        </w:rPr>
      </w:pPr>
    </w:p>
    <w:p w:rsidR="00694BC2" w:rsidRPr="0082048D" w:rsidRDefault="00694BC2" w:rsidP="00131C4E">
      <w:pPr>
        <w:pStyle w:val="Heading2"/>
        <w:rPr>
          <w:szCs w:val="22"/>
        </w:rPr>
      </w:pPr>
      <w:r w:rsidRPr="0082048D">
        <w:rPr>
          <w:szCs w:val="22"/>
        </w:rPr>
        <w:t>§ 10.430   Character limit.</w:t>
      </w:r>
    </w:p>
    <w:p w:rsidR="00694BC2" w:rsidRDefault="00694BC2" w:rsidP="00131C4E">
      <w:pPr>
        <w:pStyle w:val="NormalWeb"/>
        <w:ind w:left="360" w:firstLine="360"/>
        <w:rPr>
          <w:sz w:val="22"/>
          <w:szCs w:val="22"/>
        </w:rPr>
      </w:pPr>
      <w:r w:rsidRPr="0082048D">
        <w:rPr>
          <w:sz w:val="22"/>
          <w:szCs w:val="22"/>
        </w:rPr>
        <w:t xml:space="preserve">A </w:t>
      </w:r>
      <w:r>
        <w:rPr>
          <w:sz w:val="22"/>
          <w:szCs w:val="22"/>
        </w:rPr>
        <w:t>WEA</w:t>
      </w:r>
      <w:r w:rsidRPr="0082048D">
        <w:rPr>
          <w:sz w:val="22"/>
          <w:szCs w:val="22"/>
        </w:rPr>
        <w:t xml:space="preserve"> Alert Message processed by a Participating CMS Provider must not exceed 90 characters of alphanumeric text.</w:t>
      </w:r>
    </w:p>
    <w:p w:rsidR="00694BC2" w:rsidRDefault="00694BC2" w:rsidP="00131C4E">
      <w:pPr>
        <w:pStyle w:val="NormalWeb"/>
        <w:ind w:left="360" w:firstLine="360"/>
        <w:rPr>
          <w:sz w:val="22"/>
          <w:szCs w:val="22"/>
        </w:rPr>
      </w:pPr>
    </w:p>
    <w:p w:rsidR="00694BC2" w:rsidRDefault="00694BC2" w:rsidP="00131C4E">
      <w:pPr>
        <w:pStyle w:val="ListParagraph"/>
        <w:numPr>
          <w:ilvl w:val="0"/>
          <w:numId w:val="24"/>
        </w:numPr>
        <w:rPr>
          <w:szCs w:val="22"/>
        </w:rPr>
      </w:pPr>
      <w:r>
        <w:rPr>
          <w:szCs w:val="22"/>
        </w:rPr>
        <w:t>Section 10.440 is amended by revising it to read as follows:</w:t>
      </w:r>
    </w:p>
    <w:p w:rsidR="00694BC2" w:rsidRDefault="00694BC2" w:rsidP="00131C4E">
      <w:pPr>
        <w:pStyle w:val="ListParagraph"/>
        <w:ind w:left="360"/>
        <w:rPr>
          <w:szCs w:val="22"/>
        </w:rPr>
      </w:pPr>
    </w:p>
    <w:p w:rsidR="00694BC2" w:rsidRPr="0082048D" w:rsidRDefault="00694BC2" w:rsidP="00131C4E">
      <w:pPr>
        <w:pStyle w:val="Heading2"/>
        <w:rPr>
          <w:szCs w:val="22"/>
        </w:rPr>
      </w:pPr>
      <w:r w:rsidRPr="0082048D">
        <w:rPr>
          <w:szCs w:val="22"/>
        </w:rPr>
        <w:t>§ 10.440   Embedded reference prohibition.</w:t>
      </w:r>
    </w:p>
    <w:p w:rsidR="00694BC2" w:rsidRDefault="00694BC2" w:rsidP="00131C4E">
      <w:pPr>
        <w:pStyle w:val="NormalWeb"/>
        <w:ind w:left="360" w:firstLine="360"/>
        <w:rPr>
          <w:sz w:val="22"/>
          <w:szCs w:val="22"/>
        </w:rPr>
      </w:pPr>
      <w:r w:rsidRPr="0082048D">
        <w:rPr>
          <w:sz w:val="22"/>
          <w:szCs w:val="22"/>
        </w:rPr>
        <w:t xml:space="preserve">A </w:t>
      </w:r>
      <w:r>
        <w:rPr>
          <w:sz w:val="22"/>
          <w:szCs w:val="22"/>
        </w:rPr>
        <w:t>WEA</w:t>
      </w:r>
      <w:r w:rsidRPr="0082048D">
        <w:rPr>
          <w:sz w:val="22"/>
          <w:szCs w:val="22"/>
        </w:rPr>
        <w:t xml:space="preserve"> Alert Message processed by a Participating CMS Provider must not include an embedded Uniform Resource Locator (URL), which is a reference (an address) to a resource on the Internet, or an embedded telephone number. This prohibition does not apply to Presidential Alerts.</w:t>
      </w:r>
    </w:p>
    <w:p w:rsidR="00694BC2" w:rsidRDefault="00694BC2" w:rsidP="00131C4E">
      <w:pPr>
        <w:pStyle w:val="NormalWeb"/>
        <w:ind w:left="360" w:firstLine="360"/>
        <w:rPr>
          <w:sz w:val="22"/>
          <w:szCs w:val="22"/>
        </w:rPr>
      </w:pPr>
    </w:p>
    <w:p w:rsidR="00694BC2" w:rsidRDefault="00694BC2" w:rsidP="00131C4E">
      <w:pPr>
        <w:pStyle w:val="ListParagraph"/>
        <w:numPr>
          <w:ilvl w:val="0"/>
          <w:numId w:val="24"/>
        </w:numPr>
        <w:rPr>
          <w:szCs w:val="22"/>
        </w:rPr>
      </w:pPr>
      <w:r>
        <w:rPr>
          <w:szCs w:val="22"/>
        </w:rPr>
        <w:t>Section 10.470 is amended by revising it to read as follows:</w:t>
      </w:r>
    </w:p>
    <w:p w:rsidR="00694BC2" w:rsidRDefault="00694BC2" w:rsidP="00131C4E">
      <w:pPr>
        <w:rPr>
          <w:szCs w:val="22"/>
        </w:rPr>
      </w:pPr>
    </w:p>
    <w:p w:rsidR="00694BC2" w:rsidRPr="001A1498" w:rsidRDefault="00694BC2" w:rsidP="00131C4E">
      <w:pPr>
        <w:pStyle w:val="Heading2"/>
        <w:rPr>
          <w:szCs w:val="22"/>
        </w:rPr>
      </w:pPr>
      <w:r w:rsidRPr="001A1498">
        <w:rPr>
          <w:szCs w:val="22"/>
        </w:rPr>
        <w:t>§ 10.470   Roaming.</w:t>
      </w:r>
    </w:p>
    <w:p w:rsidR="00694BC2" w:rsidRDefault="00694BC2" w:rsidP="00131C4E">
      <w:pPr>
        <w:pStyle w:val="NormalWeb"/>
        <w:ind w:left="360" w:firstLine="360"/>
        <w:rPr>
          <w:sz w:val="22"/>
          <w:szCs w:val="22"/>
        </w:rPr>
      </w:pPr>
      <w:r w:rsidRPr="001A1498">
        <w:rPr>
          <w:sz w:val="22"/>
          <w:szCs w:val="22"/>
        </w:rPr>
        <w:t xml:space="preserve">When, pursuant to a roaming agreement ( </w:t>
      </w:r>
      <w:r w:rsidRPr="001A1498">
        <w:rPr>
          <w:i/>
          <w:iCs/>
          <w:sz w:val="22"/>
          <w:szCs w:val="22"/>
        </w:rPr>
        <w:t>see</w:t>
      </w:r>
      <w:r w:rsidRPr="001A1498">
        <w:rPr>
          <w:sz w:val="22"/>
          <w:szCs w:val="22"/>
        </w:rPr>
        <w:t xml:space="preserve"> § 20.12 of this chapter), a subscriber receives services from a roamed-upon network of a Participating CMS Provider, the Participating CMS Provider must support </w:t>
      </w:r>
      <w:r>
        <w:rPr>
          <w:sz w:val="22"/>
          <w:szCs w:val="22"/>
        </w:rPr>
        <w:t>WEA</w:t>
      </w:r>
      <w:r w:rsidRPr="001A1498">
        <w:rPr>
          <w:sz w:val="22"/>
          <w:szCs w:val="22"/>
        </w:rPr>
        <w:t xml:space="preserve"> alerts to the roaming subscriber to the extent the subscriber's mobile device is configured for and technically capable of receiving </w:t>
      </w:r>
      <w:r>
        <w:rPr>
          <w:sz w:val="22"/>
          <w:szCs w:val="22"/>
        </w:rPr>
        <w:t>WEA</w:t>
      </w:r>
      <w:r w:rsidRPr="001A1498">
        <w:rPr>
          <w:sz w:val="22"/>
          <w:szCs w:val="22"/>
        </w:rPr>
        <w:t xml:space="preserve"> alerts.</w:t>
      </w:r>
    </w:p>
    <w:p w:rsidR="00694BC2" w:rsidRDefault="00694BC2" w:rsidP="00131C4E">
      <w:pPr>
        <w:pStyle w:val="NormalWeb"/>
        <w:ind w:left="360" w:firstLine="360"/>
        <w:rPr>
          <w:sz w:val="22"/>
          <w:szCs w:val="22"/>
        </w:rPr>
      </w:pPr>
    </w:p>
    <w:p w:rsidR="00694BC2" w:rsidRDefault="00694BC2" w:rsidP="00131C4E">
      <w:pPr>
        <w:pStyle w:val="ListParagraph"/>
        <w:numPr>
          <w:ilvl w:val="0"/>
          <w:numId w:val="24"/>
        </w:numPr>
        <w:rPr>
          <w:szCs w:val="22"/>
        </w:rPr>
      </w:pPr>
      <w:r>
        <w:rPr>
          <w:szCs w:val="22"/>
        </w:rPr>
        <w:t xml:space="preserve">Section 10.500 is amended </w:t>
      </w:r>
      <w:r>
        <w:rPr>
          <w:kern w:val="0"/>
          <w:szCs w:val="22"/>
        </w:rPr>
        <w:t>by revising it</w:t>
      </w:r>
      <w:r>
        <w:rPr>
          <w:szCs w:val="22"/>
        </w:rPr>
        <w:t xml:space="preserve"> to read as follows:</w:t>
      </w:r>
    </w:p>
    <w:p w:rsidR="00694BC2" w:rsidRDefault="00694BC2" w:rsidP="00131C4E">
      <w:pPr>
        <w:pStyle w:val="ListParagraph"/>
        <w:ind w:left="360"/>
        <w:rPr>
          <w:szCs w:val="22"/>
        </w:rPr>
      </w:pPr>
    </w:p>
    <w:p w:rsidR="00694BC2" w:rsidRPr="006C1511" w:rsidRDefault="00694BC2" w:rsidP="00131C4E">
      <w:pPr>
        <w:pStyle w:val="Heading2"/>
        <w:rPr>
          <w:szCs w:val="22"/>
        </w:rPr>
      </w:pPr>
      <w:r w:rsidRPr="006C1511">
        <w:rPr>
          <w:szCs w:val="22"/>
        </w:rPr>
        <w:t>§ 10.500   General requirements.</w:t>
      </w:r>
    </w:p>
    <w:p w:rsidR="00694BC2" w:rsidRDefault="00694BC2" w:rsidP="00131C4E">
      <w:pPr>
        <w:pStyle w:val="NormalWeb"/>
        <w:ind w:left="360"/>
        <w:rPr>
          <w:sz w:val="22"/>
          <w:szCs w:val="22"/>
        </w:rPr>
      </w:pPr>
      <w:r>
        <w:rPr>
          <w:sz w:val="22"/>
          <w:szCs w:val="22"/>
        </w:rPr>
        <w:t>WEA</w:t>
      </w:r>
      <w:r w:rsidRPr="006C1511">
        <w:rPr>
          <w:sz w:val="22"/>
          <w:szCs w:val="22"/>
        </w:rPr>
        <w:t xml:space="preserve"> mobile device functionality is dependent on the capabilities of a Participating CMS Provider's delivery technologies. Mobile devices are required to perform the following functions:</w:t>
      </w:r>
    </w:p>
    <w:p w:rsidR="00694BC2" w:rsidRDefault="00694BC2" w:rsidP="00131C4E">
      <w:pPr>
        <w:pStyle w:val="NormalWeb"/>
        <w:ind w:left="360"/>
        <w:rPr>
          <w:sz w:val="22"/>
          <w:szCs w:val="22"/>
        </w:rPr>
      </w:pPr>
    </w:p>
    <w:p w:rsidR="00694BC2" w:rsidRPr="001024C6" w:rsidRDefault="00694BC2" w:rsidP="00131C4E">
      <w:pPr>
        <w:pStyle w:val="NormalWeb"/>
        <w:ind w:left="360"/>
        <w:rPr>
          <w:sz w:val="22"/>
          <w:szCs w:val="22"/>
        </w:rPr>
      </w:pPr>
      <w:r>
        <w:rPr>
          <w:sz w:val="22"/>
          <w:szCs w:val="22"/>
        </w:rPr>
        <w:t>*****</w:t>
      </w:r>
    </w:p>
    <w:p w:rsidR="00694BC2" w:rsidRPr="00711340" w:rsidRDefault="00694BC2" w:rsidP="00131C4E">
      <w:pPr>
        <w:pStyle w:val="ListParagraph"/>
        <w:ind w:left="360"/>
        <w:rPr>
          <w:b/>
          <w:szCs w:val="22"/>
        </w:rPr>
      </w:pPr>
    </w:p>
    <w:p w:rsidR="00694BC2" w:rsidRPr="00711340" w:rsidRDefault="00694BC2" w:rsidP="00131C4E">
      <w:pPr>
        <w:pStyle w:val="ListParagraph"/>
        <w:ind w:left="360"/>
        <w:rPr>
          <w:szCs w:val="22"/>
        </w:rPr>
      </w:pPr>
    </w:p>
    <w:p w:rsidR="00694BC2" w:rsidRPr="00711340" w:rsidRDefault="00694BC2" w:rsidP="00131C4E">
      <w:pPr>
        <w:pStyle w:val="ListParagraph"/>
        <w:ind w:left="360"/>
        <w:rPr>
          <w:b/>
          <w:szCs w:val="22"/>
        </w:rPr>
      </w:pPr>
    </w:p>
    <w:p w:rsidR="00694BC2" w:rsidRPr="00711340" w:rsidRDefault="00694BC2" w:rsidP="00131C4E">
      <w:pPr>
        <w:rPr>
          <w:szCs w:val="22"/>
        </w:rPr>
      </w:pPr>
    </w:p>
    <w:p w:rsidR="00694BC2" w:rsidRDefault="00694BC2" w:rsidP="000F762F">
      <w:pPr>
        <w:rPr>
          <w:b/>
          <w:szCs w:val="22"/>
        </w:rPr>
      </w:pPr>
    </w:p>
    <w:p w:rsidR="00694BC2" w:rsidRDefault="00694BC2" w:rsidP="00E67C55">
      <w:pPr>
        <w:pStyle w:val="ListParagraph"/>
        <w:ind w:left="360"/>
        <w:rPr>
          <w:szCs w:val="22"/>
        </w:rPr>
      </w:pPr>
    </w:p>
    <w:p w:rsidR="00694BC2" w:rsidRDefault="00694BC2" w:rsidP="00E67C55">
      <w:pPr>
        <w:pStyle w:val="ListParagraph"/>
        <w:ind w:left="360"/>
        <w:rPr>
          <w:b/>
          <w:szCs w:val="22"/>
        </w:rPr>
      </w:pPr>
    </w:p>
    <w:p w:rsidR="00694BC2" w:rsidRPr="00E67C55" w:rsidRDefault="00694BC2" w:rsidP="00E67C55">
      <w:pPr>
        <w:pStyle w:val="ListParagraph"/>
        <w:ind w:left="360"/>
        <w:rPr>
          <w:b/>
          <w:szCs w:val="22"/>
        </w:rPr>
      </w:pPr>
    </w:p>
    <w:sectPr w:rsidR="00694BC2" w:rsidRPr="00E67C55" w:rsidSect="003A6D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C2" w:rsidRDefault="00694BC2">
      <w:pPr>
        <w:spacing w:line="20" w:lineRule="exact"/>
      </w:pPr>
    </w:p>
  </w:endnote>
  <w:endnote w:type="continuationSeparator" w:id="0">
    <w:p w:rsidR="00694BC2" w:rsidRDefault="00694BC2">
      <w:r>
        <w:t xml:space="preserve"> </w:t>
      </w:r>
    </w:p>
  </w:endnote>
  <w:endnote w:type="continuationNotice" w:id="1">
    <w:p w:rsidR="00694BC2" w:rsidRDefault="00694B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2" w:rsidRDefault="00694BC2">
    <w:pPr>
      <w:pStyle w:val="Footer"/>
      <w:framePr w:wrap="around" w:vAnchor="text" w:hAnchor="margin" w:xAlign="center" w:y="1"/>
    </w:pPr>
    <w:r>
      <w:fldChar w:fldCharType="begin"/>
    </w:r>
    <w:r>
      <w:instrText xml:space="preserve">PAGE  </w:instrText>
    </w:r>
    <w:r>
      <w:fldChar w:fldCharType="end"/>
    </w:r>
  </w:p>
  <w:p w:rsidR="00694BC2" w:rsidRDefault="00694BC2">
    <w:pPr>
      <w:pStyle w:val="Footer"/>
    </w:pPr>
  </w:p>
  <w:p w:rsidR="00694BC2" w:rsidRDefault="00694B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2" w:rsidRDefault="00694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275">
      <w:rPr>
        <w:rStyle w:val="PageNumber"/>
        <w:noProof/>
      </w:rPr>
      <w:t>2</w:t>
    </w:r>
    <w:r>
      <w:rPr>
        <w:rStyle w:val="PageNumber"/>
      </w:rPr>
      <w:fldChar w:fldCharType="end"/>
    </w:r>
  </w:p>
  <w:p w:rsidR="00694BC2" w:rsidRDefault="00694BC2">
    <w:pPr>
      <w:pStyle w:val="Footer"/>
      <w:jc w:val="center"/>
    </w:pPr>
  </w:p>
  <w:p w:rsidR="00694BC2" w:rsidRDefault="00694BC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74" w:rsidRDefault="0036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C2" w:rsidRDefault="00694BC2">
      <w:r>
        <w:separator/>
      </w:r>
    </w:p>
  </w:footnote>
  <w:footnote w:type="continuationSeparator" w:id="0">
    <w:p w:rsidR="00694BC2" w:rsidRDefault="00694BC2">
      <w:pPr>
        <w:rPr>
          <w:sz w:val="20"/>
        </w:rPr>
      </w:pPr>
      <w:r>
        <w:rPr>
          <w:sz w:val="20"/>
        </w:rPr>
        <w:t xml:space="preserve">(Continued from previous page)  </w:t>
      </w:r>
      <w:r>
        <w:rPr>
          <w:sz w:val="20"/>
        </w:rPr>
        <w:separator/>
      </w:r>
    </w:p>
  </w:footnote>
  <w:footnote w:type="continuationNotice" w:id="1">
    <w:p w:rsidR="00694BC2" w:rsidRDefault="00694BC2">
      <w:pPr>
        <w:rPr>
          <w:sz w:val="20"/>
        </w:rPr>
      </w:pPr>
      <w:r>
        <w:rPr>
          <w:sz w:val="20"/>
        </w:rPr>
        <w:t>(continued….)</w:t>
      </w:r>
    </w:p>
  </w:footnote>
  <w:footnote w:id="2">
    <w:p w:rsidR="00694BC2" w:rsidRDefault="00694BC2" w:rsidP="000B47F2">
      <w:r w:rsidRPr="006A0E24">
        <w:rPr>
          <w:rStyle w:val="FootnoteReference"/>
          <w:sz w:val="20"/>
        </w:rPr>
        <w:footnoteRef/>
      </w:r>
      <w:r w:rsidRPr="006A0E24">
        <w:rPr>
          <w:sz w:val="20"/>
        </w:rPr>
        <w:t xml:space="preserve"> Security and Accountability For Every Port Act of 2006 (</w:t>
      </w:r>
      <w:smartTag w:uri="urn:schemas-microsoft-com:office:smarttags" w:element="place">
        <w:smartTag w:uri="urn:schemas-microsoft-com:office:smarttags" w:element="PlaceName">
          <w:r w:rsidRPr="006A0E24">
            <w:rPr>
              <w:sz w:val="20"/>
            </w:rPr>
            <w:t>SAFE</w:t>
          </w:r>
        </w:smartTag>
        <w:r w:rsidRPr="006A0E24">
          <w:rPr>
            <w:sz w:val="20"/>
          </w:rPr>
          <w:t xml:space="preserve"> </w:t>
        </w:r>
        <w:smartTag w:uri="urn:schemas-microsoft-com:office:smarttags" w:element="place">
          <w:r w:rsidRPr="006A0E24">
            <w:rPr>
              <w:sz w:val="20"/>
            </w:rPr>
            <w:t>Port</w:t>
          </w:r>
        </w:smartTag>
      </w:smartTag>
      <w:r w:rsidRPr="006A0E24">
        <w:rPr>
          <w:sz w:val="20"/>
        </w:rPr>
        <w:t xml:space="preserve"> Act), Pub.L. 109-347, Title VI-Commercial Mobile Service Alerts (WARN Act).</w:t>
      </w:r>
      <w:r w:rsidRPr="006A0E24">
        <w:rPr>
          <w:sz w:val="20"/>
        </w:rPr>
        <w:br/>
      </w:r>
    </w:p>
  </w:footnote>
  <w:footnote w:id="3">
    <w:p w:rsidR="00694BC2" w:rsidRDefault="00694BC2" w:rsidP="000B47F2">
      <w:r w:rsidRPr="006A0E24">
        <w:rPr>
          <w:rStyle w:val="FootnoteReference"/>
          <w:sz w:val="20"/>
        </w:rPr>
        <w:footnoteRef/>
      </w:r>
      <w:r w:rsidRPr="006A0E24">
        <w:rPr>
          <w:sz w:val="20"/>
        </w:rPr>
        <w:t xml:space="preserve"> WARN Act, §602(a).</w:t>
      </w:r>
      <w:r w:rsidRPr="006A0E24">
        <w:rPr>
          <w:sz w:val="20"/>
        </w:rPr>
        <w:br/>
      </w:r>
    </w:p>
  </w:footnote>
  <w:footnote w:id="4">
    <w:p w:rsidR="00694BC2" w:rsidRPr="006A0E24" w:rsidRDefault="00694BC2" w:rsidP="000B47F2">
      <w:pPr>
        <w:pStyle w:val="FootnoteText"/>
        <w:spacing w:after="0"/>
      </w:pPr>
      <w:r w:rsidRPr="006A0E24">
        <w:rPr>
          <w:rStyle w:val="FootnoteReference"/>
          <w:sz w:val="20"/>
        </w:rPr>
        <w:footnoteRef/>
      </w:r>
      <w:r w:rsidRPr="006A0E24">
        <w:t xml:space="preserve"> </w:t>
      </w:r>
      <w:r w:rsidRPr="006A0E24">
        <w:rPr>
          <w:i/>
        </w:rPr>
        <w:t xml:space="preserve">See, e.g. </w:t>
      </w:r>
      <w:r w:rsidRPr="006A0E24">
        <w:t xml:space="preserve">The Commercial Mobile Alert System, PS Docket No. 07-287, </w:t>
      </w:r>
      <w:r w:rsidRPr="006A0E24">
        <w:rPr>
          <w:i/>
        </w:rPr>
        <w:t>Notice of Proposed Rulemaking</w:t>
      </w:r>
      <w:r w:rsidRPr="006A0E24">
        <w:t>, 22 FCC Rcd 21975 (2007)</w:t>
      </w:r>
      <w:r>
        <w:t xml:space="preserve">; </w:t>
      </w:r>
      <w:r>
        <w:rPr>
          <w:i/>
        </w:rPr>
        <w:t xml:space="preserve">see also </w:t>
      </w:r>
      <w:r w:rsidRPr="006A0E24">
        <w:t xml:space="preserve">The Commercial Mobile Alert System, PS Docket No. 07-287, </w:t>
      </w:r>
      <w:r>
        <w:rPr>
          <w:i/>
        </w:rPr>
        <w:t>First Report and Order</w:t>
      </w:r>
      <w:r w:rsidRPr="006A0E24">
        <w:t>, 2</w:t>
      </w:r>
      <w:r>
        <w:t>3</w:t>
      </w:r>
      <w:r w:rsidRPr="006A0E24">
        <w:t xml:space="preserve"> FCC Rcd </w:t>
      </w:r>
      <w:r>
        <w:t>6144</w:t>
      </w:r>
      <w:r w:rsidRPr="006A0E24">
        <w:t xml:space="preserve"> (200</w:t>
      </w:r>
      <w:r>
        <w:t>8</w:t>
      </w:r>
      <w:r w:rsidRPr="006A0E24">
        <w:t>)</w:t>
      </w:r>
      <w:r>
        <w:t>.</w:t>
      </w:r>
    </w:p>
    <w:p w:rsidR="00694BC2" w:rsidRDefault="00694BC2" w:rsidP="000B47F2">
      <w:pPr>
        <w:pStyle w:val="FootnoteText"/>
        <w:spacing w:after="0"/>
      </w:pPr>
    </w:p>
  </w:footnote>
  <w:footnote w:id="5">
    <w:p w:rsidR="00694BC2" w:rsidRPr="006A0E24" w:rsidRDefault="00694BC2" w:rsidP="000B47F2">
      <w:pPr>
        <w:pStyle w:val="FootnoteText"/>
        <w:spacing w:after="0"/>
      </w:pPr>
      <w:r w:rsidRPr="006A0E24">
        <w:rPr>
          <w:rStyle w:val="FootnoteReference"/>
          <w:sz w:val="20"/>
        </w:rPr>
        <w:footnoteRef/>
      </w:r>
      <w:r w:rsidRPr="006A0E24">
        <w:t xml:space="preserve"> 47 C.F.R. Part 10.</w:t>
      </w:r>
    </w:p>
    <w:p w:rsidR="00694BC2" w:rsidRDefault="00694BC2" w:rsidP="000B47F2">
      <w:pPr>
        <w:pStyle w:val="FootnoteText"/>
        <w:spacing w:after="0"/>
      </w:pPr>
    </w:p>
  </w:footnote>
  <w:footnote w:id="6">
    <w:p w:rsidR="00694BC2" w:rsidRDefault="00694BC2" w:rsidP="000B47F2">
      <w:pPr>
        <w:pStyle w:val="FootnoteText"/>
        <w:spacing w:after="0"/>
      </w:pPr>
      <w:r w:rsidRPr="006A0E24">
        <w:rPr>
          <w:rStyle w:val="FootnoteReference"/>
          <w:sz w:val="20"/>
        </w:rPr>
        <w:footnoteRef/>
      </w:r>
      <w:r w:rsidRPr="006A0E24">
        <w:t xml:space="preserve"> </w:t>
      </w:r>
      <w:r w:rsidRPr="006A0E24">
        <w:rPr>
          <w:i/>
        </w:rPr>
        <w:t xml:space="preserve">See, e.g. </w:t>
      </w:r>
      <w:r w:rsidRPr="006A0E24">
        <w:t xml:space="preserve">Verizon Wireless, “Wireless Emergency Alert FAQS,” </w:t>
      </w:r>
      <w:r w:rsidRPr="006A0E24">
        <w:rPr>
          <w:i/>
        </w:rPr>
        <w:t xml:space="preserve">available at </w:t>
      </w:r>
      <w:hyperlink r:id="rId1" w:history="1">
        <w:r w:rsidRPr="006A0E24">
          <w:rPr>
            <w:rStyle w:val="Hyperlink"/>
            <w:i/>
          </w:rPr>
          <w:t>http://support.verizonwireless.com/clc/faqs/Wireless%20Service/emergency_alerts_faq.html</w:t>
        </w:r>
      </w:hyperlink>
      <w:r w:rsidRPr="006A0E24">
        <w:t xml:space="preserve">; “Wireless Emergency Alerts – AT&amp;T Point of Sale Notification,” </w:t>
      </w:r>
      <w:r w:rsidRPr="006A0E24">
        <w:rPr>
          <w:i/>
        </w:rPr>
        <w:t xml:space="preserve">available at </w:t>
      </w:r>
      <w:hyperlink r:id="rId2" w:history="1">
        <w:r w:rsidRPr="006A0E24">
          <w:rPr>
            <w:rStyle w:val="Hyperlink"/>
            <w:i/>
          </w:rPr>
          <w:t>http://www.att.com/gen/public-affairs?pid=20107</w:t>
        </w:r>
      </w:hyperlink>
      <w:r w:rsidRPr="006A0E24">
        <w:t xml:space="preserve">;  T-Mobile, “Wireless Emergency Alerts,” </w:t>
      </w:r>
      <w:r w:rsidRPr="006A0E24">
        <w:rPr>
          <w:i/>
        </w:rPr>
        <w:t xml:space="preserve">available at </w:t>
      </w:r>
      <w:hyperlink r:id="rId3" w:history="1">
        <w:r w:rsidRPr="006A0E24">
          <w:rPr>
            <w:rStyle w:val="Hyperlink"/>
            <w:i/>
          </w:rPr>
          <w:t>http://www.t-mobile.com/Company/CompanyInfo.aspx?tp=Abt_Tab_CompanySafety&amp;tsp=Abt_Sub_WirelessEmergencyAlerts</w:t>
        </w:r>
      </w:hyperlink>
      <w:r w:rsidRPr="006A0E24">
        <w:t xml:space="preserve">; Sprint, “Wireless Emergency Alerts,” </w:t>
      </w:r>
      <w:r w:rsidRPr="006A0E24">
        <w:rPr>
          <w:i/>
        </w:rPr>
        <w:t xml:space="preserve">available at </w:t>
      </w:r>
      <w:hyperlink r:id="rId4" w:history="1">
        <w:r w:rsidRPr="006A0E24">
          <w:rPr>
            <w:rStyle w:val="Hyperlink"/>
            <w:i/>
          </w:rPr>
          <w:t>http://community.sprint.com/baw/community/buzzaboutwireless/services/messaging/wireless_emergency_alerts_-_cmas?view=overview</w:t>
        </w:r>
      </w:hyperlink>
      <w:r w:rsidRPr="006A0E24">
        <w:t xml:space="preserve">.   In addition, the industry has developed a trademarked symbol, which includes the words “Wireless Emergency Alerts Capable,” to indicate that a wireless handset complies with our Part 10 rules.  </w:t>
      </w:r>
      <w:r w:rsidRPr="006A0E24">
        <w:rPr>
          <w:i/>
        </w:rPr>
        <w:t xml:space="preserve">See </w:t>
      </w:r>
      <w:r w:rsidRPr="006A0E24">
        <w:t xml:space="preserve">CTIA, “Wireless Emergency Alerts on Your Mobile Device,” </w:t>
      </w:r>
      <w:r w:rsidRPr="006A0E24">
        <w:rPr>
          <w:i/>
        </w:rPr>
        <w:t>available at</w:t>
      </w:r>
      <w:r w:rsidRPr="006A0E24">
        <w:t xml:space="preserve"> </w:t>
      </w:r>
      <w:hyperlink r:id="rId5" w:history="1">
        <w:r w:rsidRPr="00266C17">
          <w:rPr>
            <w:rStyle w:val="Hyperlink"/>
            <w:i/>
          </w:rPr>
          <w:t>http://www.ctia.org/consumer_info/safety/index.cfm/AID/12082</w:t>
        </w:r>
      </w:hyperlink>
      <w:r w:rsidRPr="006A0E24">
        <w:t>.</w:t>
      </w:r>
      <w:r>
        <w:t xml:space="preserve">  This system has also been referred to as the “Personal Localized Alerting Network” or “PLAN.”</w:t>
      </w:r>
      <w:r>
        <w:rPr>
          <w:i/>
        </w:rPr>
        <w:t xml:space="preserve">  See, e.g. </w:t>
      </w:r>
      <w:r>
        <w:t xml:space="preserve">FCC, “Commercial Mobile Alert System,” </w:t>
      </w:r>
      <w:r>
        <w:rPr>
          <w:i/>
        </w:rPr>
        <w:t xml:space="preserve">available at </w:t>
      </w:r>
      <w:r w:rsidRPr="00E336F8">
        <w:rPr>
          <w:i/>
        </w:rPr>
        <w:t>http://www.fcc.gov/guides/commercial-mobile-alert-system-cmas</w:t>
      </w:r>
      <w:r>
        <w:t>.</w:t>
      </w:r>
    </w:p>
  </w:footnote>
  <w:footnote w:id="7">
    <w:p w:rsidR="00694BC2" w:rsidRPr="006A0E24" w:rsidRDefault="00694BC2" w:rsidP="006A0E24">
      <w:pPr>
        <w:ind w:right="-18"/>
        <w:rPr>
          <w:sz w:val="20"/>
        </w:rPr>
      </w:pPr>
      <w:r w:rsidRPr="006A0E24">
        <w:rPr>
          <w:rStyle w:val="FootnoteReference"/>
          <w:sz w:val="20"/>
        </w:rPr>
        <w:footnoteRef/>
      </w:r>
      <w:r w:rsidRPr="006A0E24">
        <w:rPr>
          <w:sz w:val="20"/>
        </w:rPr>
        <w:t xml:space="preserve"> </w:t>
      </w:r>
      <w:r w:rsidRPr="006A0E24">
        <w:rPr>
          <w:i/>
          <w:iCs/>
          <w:sz w:val="20"/>
        </w:rPr>
        <w:t>See</w:t>
      </w:r>
      <w:r w:rsidRPr="006A0E24">
        <w:rPr>
          <w:sz w:val="20"/>
        </w:rPr>
        <w:t xml:space="preserve"> 5 U.S.C. § 553(b)(3)(B) (stating that </w:t>
      </w:r>
      <w:bookmarkStart w:id="7" w:name="SR;2016"/>
      <w:bookmarkEnd w:id="7"/>
      <w:r w:rsidRPr="006A0E24">
        <w:rPr>
          <w:sz w:val="20"/>
        </w:rPr>
        <w:t xml:space="preserve">notice and </w:t>
      </w:r>
      <w:bookmarkStart w:id="8" w:name="SR;2018"/>
      <w:bookmarkEnd w:id="8"/>
      <w:r w:rsidRPr="006A0E24">
        <w:rPr>
          <w:sz w:val="20"/>
        </w:rPr>
        <w:t xml:space="preserve">comment </w:t>
      </w:r>
      <w:bookmarkStart w:id="9" w:name="SR;2019"/>
      <w:bookmarkStart w:id="10" w:name="SearchTerm"/>
      <w:bookmarkEnd w:id="9"/>
      <w:bookmarkEnd w:id="10"/>
      <w:r w:rsidRPr="006A0E24">
        <w:rPr>
          <w:sz w:val="20"/>
        </w:rPr>
        <w:t>procedures do not apply “when the agency for good cause finds (and incorporates the finding and a brief statement for reasons therefore in the rules issued) that notice and public procedures thereon are ... unnecessary</w:t>
      </w:r>
      <w:r>
        <w:rPr>
          <w:sz w:val="20"/>
        </w:rPr>
        <w:t>”</w:t>
      </w:r>
      <w:r w:rsidRPr="006A0E24">
        <w:rPr>
          <w:sz w:val="20"/>
        </w:rPr>
        <w:t xml:space="preserve">). </w:t>
      </w:r>
      <w:r>
        <w:rPr>
          <w:sz w:val="20"/>
        </w:rPr>
        <w:t xml:space="preserve"> </w:t>
      </w:r>
      <w:r w:rsidRPr="006A0E24">
        <w:rPr>
          <w:sz w:val="20"/>
        </w:rPr>
        <w:t xml:space="preserve">The “unnecessary” exception to the </w:t>
      </w:r>
      <w:r>
        <w:rPr>
          <w:sz w:val="20"/>
        </w:rPr>
        <w:t xml:space="preserve">APA’s </w:t>
      </w:r>
      <w:r w:rsidRPr="006A0E24">
        <w:rPr>
          <w:sz w:val="20"/>
        </w:rPr>
        <w:t xml:space="preserve">notice </w:t>
      </w:r>
      <w:r>
        <w:rPr>
          <w:sz w:val="20"/>
        </w:rPr>
        <w:t xml:space="preserve">and comment </w:t>
      </w:r>
      <w:r w:rsidRPr="006A0E24">
        <w:rPr>
          <w:sz w:val="20"/>
        </w:rPr>
        <w:t xml:space="preserve">requirement is </w:t>
      </w:r>
      <w:r>
        <w:rPr>
          <w:sz w:val="20"/>
        </w:rPr>
        <w:t>“‘</w:t>
      </w:r>
      <w:r w:rsidRPr="006A0E24">
        <w:rPr>
          <w:sz w:val="20"/>
        </w:rPr>
        <w:t>confined to those situations in which the administrative rule is a routine determination, insignificant in nature and impact, and inconsequential to the industry and to the public.</w:t>
      </w:r>
      <w:r>
        <w:rPr>
          <w:sz w:val="20"/>
        </w:rPr>
        <w:t>’</w:t>
      </w:r>
      <w:r w:rsidRPr="006A0E24">
        <w:rPr>
          <w:sz w:val="20"/>
        </w:rPr>
        <w:t xml:space="preserve">” </w:t>
      </w:r>
      <w:r w:rsidRPr="006A0E24">
        <w:rPr>
          <w:i/>
          <w:iCs/>
          <w:sz w:val="20"/>
        </w:rPr>
        <w:t>Utility Solid Waste Activities Group v. EPA</w:t>
      </w:r>
      <w:r w:rsidRPr="006A0E24">
        <w:rPr>
          <w:sz w:val="20"/>
        </w:rPr>
        <w:t xml:space="preserve">, 236 F.3d 749, 755 (D.C. Cir., 2001) </w:t>
      </w:r>
      <w:r>
        <w:rPr>
          <w:sz w:val="20"/>
        </w:rPr>
        <w:t xml:space="preserve">(quoting </w:t>
      </w:r>
      <w:r w:rsidRPr="00C53AA6">
        <w:rPr>
          <w:i/>
          <w:sz w:val="20"/>
        </w:rPr>
        <w:t>South Carolina v. Block</w:t>
      </w:r>
      <w:r w:rsidRPr="00C53AA6">
        <w:rPr>
          <w:sz w:val="20"/>
        </w:rPr>
        <w:t>, 558 F.Supp. 1004, 1016 (D.S.C.</w:t>
      </w:r>
      <w:r>
        <w:rPr>
          <w:sz w:val="20"/>
        </w:rPr>
        <w:t xml:space="preserve"> </w:t>
      </w:r>
      <w:r w:rsidRPr="00C53AA6">
        <w:rPr>
          <w:sz w:val="20"/>
        </w:rPr>
        <w:t>1983)</w:t>
      </w:r>
      <w:r>
        <w:rPr>
          <w:sz w:val="20"/>
        </w:rPr>
        <w:t>, and</w:t>
      </w:r>
      <w:r w:rsidRPr="00C53AA6">
        <w:rPr>
          <w:sz w:val="20"/>
        </w:rPr>
        <w:t xml:space="preserve"> </w:t>
      </w:r>
      <w:r w:rsidRPr="00631A44">
        <w:rPr>
          <w:iCs/>
          <w:sz w:val="20"/>
        </w:rPr>
        <w:t>citing</w:t>
      </w:r>
      <w:r w:rsidRPr="006A0E24">
        <w:rPr>
          <w:i/>
          <w:iCs/>
          <w:sz w:val="20"/>
        </w:rPr>
        <w:t xml:space="preserve"> Texaco v. FPC</w:t>
      </w:r>
      <w:r w:rsidRPr="006A0E24">
        <w:rPr>
          <w:sz w:val="20"/>
        </w:rPr>
        <w:t>, 412 F.2d 740, 743 (3d Cir., 1969)</w:t>
      </w:r>
      <w:r>
        <w:rPr>
          <w:sz w:val="20"/>
        </w:rPr>
        <w:t>);</w:t>
      </w:r>
      <w:r w:rsidRPr="006A0E24">
        <w:rPr>
          <w:sz w:val="20"/>
        </w:rPr>
        <w:t xml:space="preserve">  </w:t>
      </w:r>
      <w:r>
        <w:rPr>
          <w:i/>
          <w:sz w:val="20"/>
        </w:rPr>
        <w:t>s</w:t>
      </w:r>
      <w:r w:rsidRPr="006A0E24">
        <w:rPr>
          <w:i/>
          <w:sz w:val="20"/>
        </w:rPr>
        <w:t xml:space="preserve">ee also </w:t>
      </w:r>
      <w:r w:rsidRPr="006A0E24">
        <w:rPr>
          <w:sz w:val="20"/>
        </w:rPr>
        <w:t>Amendment of Parts 12 and 90 of the Commission’s Rules Regarding Redundancy of Communications Systems: Backup Power; Private Land Mobile Radio Services: Selection and assignment of frequencies, and transition of the Upper 200 channels in the 800 MHz Band to EA licensing</w:t>
      </w:r>
      <w:r>
        <w:rPr>
          <w:sz w:val="20"/>
        </w:rPr>
        <w:t>,</w:t>
      </w:r>
      <w:r w:rsidRPr="006A0E24">
        <w:rPr>
          <w:sz w:val="20"/>
        </w:rPr>
        <w:t xml:space="preserve"> </w:t>
      </w:r>
      <w:r w:rsidRPr="006A0E24">
        <w:rPr>
          <w:kern w:val="0"/>
          <w:sz w:val="20"/>
        </w:rPr>
        <w:t>26 FCC Rcd 15453, 15454 ¶ 6</w:t>
      </w:r>
      <w:r>
        <w:rPr>
          <w:kern w:val="0"/>
          <w:sz w:val="20"/>
        </w:rPr>
        <w:t xml:space="preserve"> (PSHSB, OMD 2011)</w:t>
      </w:r>
      <w:r w:rsidRPr="006A0E24">
        <w:rPr>
          <w:kern w:val="0"/>
          <w:sz w:val="20"/>
        </w:rPr>
        <w:t xml:space="preserve"> (“</w:t>
      </w:r>
      <w:r w:rsidRPr="006A0E24">
        <w:rPr>
          <w:sz w:val="20"/>
        </w:rPr>
        <w:t>The rule amendments adopted … are ministerial, nonsubstantive, editorial revisions … and we find good cause to conclude that notice and comment procedures are unnecessary and would not serve any useful purpose”</w:t>
      </w:r>
      <w:r>
        <w:rPr>
          <w:sz w:val="20"/>
        </w:rPr>
        <w:t xml:space="preserve"> (citing 5 U.S.C. § 553(b)(3)(B)</w:t>
      </w:r>
      <w:r w:rsidRPr="006A0E24">
        <w:rPr>
          <w:sz w:val="20"/>
        </w:rPr>
        <w:t>).</w:t>
      </w:r>
    </w:p>
    <w:p w:rsidR="00694BC2" w:rsidRDefault="00694BC2" w:rsidP="006A0E24">
      <w:pPr>
        <w:ind w:right="-18"/>
      </w:pPr>
    </w:p>
  </w:footnote>
  <w:footnote w:id="8">
    <w:p w:rsidR="00694BC2" w:rsidRDefault="00694BC2">
      <w:pPr>
        <w:pStyle w:val="FootnoteText"/>
      </w:pPr>
      <w:r w:rsidRPr="006A0E24">
        <w:rPr>
          <w:rStyle w:val="FootnoteReference"/>
          <w:sz w:val="20"/>
        </w:rPr>
        <w:footnoteRef/>
      </w:r>
      <w:r w:rsidRPr="006A0E24">
        <w:t xml:space="preserve"> </w:t>
      </w:r>
      <w:r w:rsidRPr="006A0E24">
        <w:rPr>
          <w:i/>
          <w:iCs/>
        </w:rPr>
        <w:t>See</w:t>
      </w:r>
      <w:r w:rsidRPr="006A0E24">
        <w:t xml:space="preserve"> 5 U.S.C. § 553(d)(3)</w:t>
      </w:r>
      <w:r>
        <w:t xml:space="preserve"> </w:t>
      </w:r>
      <w:r w:rsidRPr="006A0E24">
        <w:t>(“The required publication or service of a substantive rule shall be made not less than 30 days before its effective date, except ...</w:t>
      </w:r>
      <w:bookmarkStart w:id="11" w:name="SP;17df000040924"/>
      <w:bookmarkStart w:id="12" w:name="I86CA99C2E4AB11E0B67FDA9ED000ED38"/>
      <w:bookmarkStart w:id="13" w:name="I26E78230D40B11E0B7B48C75C8E9F273"/>
      <w:bookmarkEnd w:id="11"/>
      <w:bookmarkEnd w:id="12"/>
      <w:bookmarkEnd w:id="13"/>
      <w:r w:rsidRPr="006A0E24">
        <w:t xml:space="preserve"> </w:t>
      </w:r>
      <w:r w:rsidRPr="006A0E24">
        <w:rPr>
          <w:bCs/>
        </w:rPr>
        <w:t>(3)</w:t>
      </w:r>
      <w:r w:rsidRPr="006A0E24">
        <w:t xml:space="preserve"> as otherwise provided by the agency for good cause found and published with the rule.”).</w:t>
      </w:r>
    </w:p>
  </w:footnote>
  <w:footnote w:id="9">
    <w:p w:rsidR="00694BC2" w:rsidRDefault="00694BC2">
      <w:pPr>
        <w:pStyle w:val="FootnoteText"/>
      </w:pPr>
      <w:r>
        <w:rPr>
          <w:rStyle w:val="FootnoteReference"/>
        </w:rPr>
        <w:footnoteRef/>
      </w:r>
      <w:r>
        <w:t xml:space="preserve"> </w:t>
      </w:r>
      <w:r>
        <w:rPr>
          <w:i/>
        </w:rPr>
        <w:t>See, e.g.</w:t>
      </w:r>
      <w:r>
        <w:t xml:space="preserve">, 5 U.S.C. § 603(a) (stating that an initial regulatory flexibility analysis is required whenever an agency publishes a notice of proposed rulemaking for any proposed rule); </w:t>
      </w:r>
      <w:r>
        <w:rPr>
          <w:i/>
        </w:rPr>
        <w:t>see also</w:t>
      </w:r>
      <w:r>
        <w:t xml:space="preserve"> 5 U.S.C. § 604(a) (stating that an agency shall prepare a final regulatory flexibility analysis when it promulgates a final rule after being required to publish a general notice of proposed rulemaking); </w:t>
      </w:r>
      <w:r>
        <w:rPr>
          <w:i/>
        </w:rPr>
        <w:t xml:space="preserve">see also </w:t>
      </w:r>
      <w:r>
        <w:t>5 U.S.C. § 601(2) (defining “rule” as “</w:t>
      </w:r>
      <w:r w:rsidRPr="000673E1">
        <w:t>any rule for which the agency publishes a general notice of proposed rulemaking</w:t>
      </w:r>
      <w:r>
        <w:t>”).</w:t>
      </w:r>
    </w:p>
  </w:footnote>
  <w:footnote w:id="10">
    <w:p w:rsidR="00694BC2" w:rsidRPr="006A0E24" w:rsidRDefault="00694BC2" w:rsidP="00AE4E69">
      <w:pPr>
        <w:pStyle w:val="FootnoteText"/>
        <w:spacing w:after="0"/>
      </w:pPr>
      <w:r w:rsidRPr="006A0E24">
        <w:rPr>
          <w:rStyle w:val="FootnoteReference"/>
          <w:sz w:val="20"/>
        </w:rPr>
        <w:footnoteRef/>
      </w:r>
      <w:r w:rsidRPr="006A0E24">
        <w:t xml:space="preserve"> </w:t>
      </w:r>
      <w:r w:rsidRPr="006A0E24">
        <w:rPr>
          <w:i/>
        </w:rPr>
        <w:t xml:space="preserve">See </w:t>
      </w:r>
      <w:r w:rsidRPr="006A0E24">
        <w:t xml:space="preserve">47 C.F.R. § 0.191(e); </w:t>
      </w:r>
      <w:r w:rsidRPr="006A0E24">
        <w:rPr>
          <w:i/>
        </w:rPr>
        <w:t>see also id</w:t>
      </w:r>
      <w:r>
        <w:t>. § 0.191(a)</w:t>
      </w:r>
      <w:r w:rsidRPr="006A0E24">
        <w:t xml:space="preserve">. </w:t>
      </w:r>
    </w:p>
    <w:p w:rsidR="00694BC2" w:rsidRDefault="00694BC2" w:rsidP="00AE4E69">
      <w:pPr>
        <w:pStyle w:val="FootnoteText"/>
        <w:spacing w:after="0"/>
      </w:pPr>
    </w:p>
  </w:footnote>
  <w:footnote w:id="11">
    <w:p w:rsidR="00694BC2" w:rsidRDefault="00694BC2">
      <w:pPr>
        <w:pStyle w:val="FootnoteText"/>
      </w:pPr>
      <w:r>
        <w:rPr>
          <w:rStyle w:val="FootnoteReference"/>
        </w:rPr>
        <w:footnoteRef/>
      </w:r>
      <w:r>
        <w:t xml:space="preserve"> 47 C.F.R. § 0.392.  </w:t>
      </w:r>
    </w:p>
  </w:footnote>
  <w:footnote w:id="12">
    <w:p w:rsidR="00694BC2" w:rsidRDefault="00694BC2">
      <w:pPr>
        <w:pStyle w:val="FootnoteText"/>
      </w:pPr>
      <w:r>
        <w:rPr>
          <w:rStyle w:val="FootnoteReference"/>
        </w:rPr>
        <w:footnoteRef/>
      </w:r>
      <w:r>
        <w:t xml:space="preserve"> These exceptions prohibit the Bureau Chief from, </w:t>
      </w:r>
      <w:r w:rsidRPr="00E67C55">
        <w:rPr>
          <w:i/>
        </w:rPr>
        <w:t>inter alia</w:t>
      </w:r>
      <w:r>
        <w:t xml:space="preserve">, acting on applications or requests that present new or novel questions of law, 47 C.F.R. § 0.392(a), or issuing “notices of proposed rulemaking, notices of inquiry, or reports or orders arising from either of the foregoing” (except for orders involving, </w:t>
      </w:r>
      <w:r>
        <w:rPr>
          <w:i/>
        </w:rPr>
        <w:t>inter alia</w:t>
      </w:r>
      <w:r>
        <w:t xml:space="preserve">, ministerial conforming amendments to the rules).  </w:t>
      </w:r>
      <w:r>
        <w:rPr>
          <w:i/>
        </w:rPr>
        <w:t>See</w:t>
      </w:r>
      <w:r>
        <w:t xml:space="preserve"> 47 C.F.R. § 0.392(e).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74" w:rsidRDefault="00363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2" w:rsidRDefault="00694BC2">
    <w:pPr>
      <w:pStyle w:val="Header"/>
      <w:pBdr>
        <w:bottom w:val="single" w:sz="12" w:space="1" w:color="auto"/>
      </w:pBdr>
      <w:rPr>
        <w:b w:val="0"/>
      </w:rPr>
    </w:pPr>
    <w:r>
      <w:tab/>
      <w:t>Federal Communications Commission</w:t>
    </w:r>
    <w:r>
      <w:tab/>
      <w:t>DA 13-280</w:t>
    </w:r>
  </w:p>
  <w:p w:rsidR="00694BC2" w:rsidRDefault="00694BC2">
    <w:pPr>
      <w:tabs>
        <w:tab w:val="left" w:pos="-720"/>
      </w:tabs>
      <w:suppressAutoHyphens/>
      <w:spacing w:line="19" w:lineRule="exact"/>
      <w:rPr>
        <w:spacing w:val="-2"/>
      </w:rPr>
    </w:pPr>
  </w:p>
  <w:p w:rsidR="00694BC2" w:rsidRDefault="00694BC2">
    <w:pPr>
      <w:spacing w:after="389" w:line="100" w:lineRule="exact"/>
      <w:rPr>
        <w:sz w:val="10"/>
      </w:rPr>
    </w:pPr>
  </w:p>
  <w:p w:rsidR="00694BC2" w:rsidRDefault="00694B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C2" w:rsidRDefault="00694BC2">
    <w:pPr>
      <w:pStyle w:val="Header"/>
      <w:pBdr>
        <w:bottom w:val="single" w:sz="12" w:space="1" w:color="auto"/>
      </w:pBdr>
      <w:rPr>
        <w:b w:val="0"/>
      </w:rPr>
    </w:pPr>
    <w:r>
      <w:tab/>
      <w:t>Federal Communications Commission</w:t>
    </w:r>
    <w:r>
      <w:tab/>
    </w:r>
    <w:r>
      <w:rPr>
        <w:spacing w:val="-2"/>
      </w:rPr>
      <w:t>DA 13-280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3510"/>
        </w:tabs>
        <w:ind w:left="3510" w:firstLine="720"/>
      </w:pPr>
      <w:rPr>
        <w:rFonts w:cs="Times New Roman"/>
        <w:b w:val="0"/>
        <w:i w:val="0"/>
      </w:rPr>
    </w:lvl>
  </w:abstractNum>
  <w:abstractNum w:abstractNumId="1">
    <w:nsid w:val="00515D98"/>
    <w:multiLevelType w:val="hybridMultilevel"/>
    <w:tmpl w:val="E6886CB4"/>
    <w:lvl w:ilvl="0" w:tplc="A2BA4C2C">
      <w:start w:val="1"/>
      <w:numFmt w:val="decimal"/>
      <w:lvlText w:val="%1."/>
      <w:lvlJc w:val="left"/>
      <w:pPr>
        <w:tabs>
          <w:tab w:val="num" w:pos="360"/>
        </w:tabs>
        <w:ind w:left="3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1114C"/>
    <w:multiLevelType w:val="multilevel"/>
    <w:tmpl w:val="A9BCFB0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11916"/>
    <w:multiLevelType w:val="hybridMultilevel"/>
    <w:tmpl w:val="1CFAF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C3354"/>
    <w:multiLevelType w:val="hybridMultilevel"/>
    <w:tmpl w:val="C4021A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636C35"/>
    <w:multiLevelType w:val="hybridMultilevel"/>
    <w:tmpl w:val="D8721854"/>
    <w:lvl w:ilvl="0" w:tplc="393E62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2B7B1F"/>
    <w:multiLevelType w:val="hybridMultilevel"/>
    <w:tmpl w:val="52ECA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F1045"/>
    <w:multiLevelType w:val="hybridMultilevel"/>
    <w:tmpl w:val="CBCC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53212"/>
    <w:multiLevelType w:val="hybridMultilevel"/>
    <w:tmpl w:val="8696A62A"/>
    <w:lvl w:ilvl="0" w:tplc="6DBE95F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7E06CBB"/>
    <w:multiLevelType w:val="multilevel"/>
    <w:tmpl w:val="E3700236"/>
    <w:lvl w:ilvl="0">
      <w:start w:val="1"/>
      <w:numFmt w:val="upperRoman"/>
      <w:pStyle w:val="Heading1"/>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i w:val="0"/>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2">
    <w:nsid w:val="35B9331B"/>
    <w:multiLevelType w:val="hybridMultilevel"/>
    <w:tmpl w:val="F11C6A24"/>
    <w:lvl w:ilvl="0" w:tplc="A2BA4C2C">
      <w:start w:val="1"/>
      <w:numFmt w:val="decimal"/>
      <w:lvlText w:val="%1."/>
      <w:lvlJc w:val="left"/>
      <w:pPr>
        <w:tabs>
          <w:tab w:val="num" w:pos="360"/>
        </w:tabs>
        <w:ind w:left="36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38333CB5"/>
    <w:multiLevelType w:val="hybridMultilevel"/>
    <w:tmpl w:val="7B9A5D02"/>
    <w:lvl w:ilvl="0" w:tplc="04090001">
      <w:start w:val="1"/>
      <w:numFmt w:val="bullet"/>
      <w:lvlText w:val=""/>
      <w:lvlJc w:val="left"/>
      <w:pPr>
        <w:tabs>
          <w:tab w:val="num" w:pos="720"/>
        </w:tabs>
        <w:ind w:left="720" w:hanging="360"/>
      </w:pPr>
      <w:rPr>
        <w:rFonts w:ascii="Wingdings" w:hAnsi="Wingdings" w:hint="default"/>
      </w:rPr>
    </w:lvl>
    <w:lvl w:ilvl="1" w:tplc="1958AEE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7005A5"/>
    <w:multiLevelType w:val="hybridMultilevel"/>
    <w:tmpl w:val="96001A3C"/>
    <w:lvl w:ilvl="0" w:tplc="2EBE92A0">
      <w:start w:val="1"/>
      <w:numFmt w:val="bullet"/>
      <w:lvlText w:val=""/>
      <w:lvlJc w:val="left"/>
      <w:pPr>
        <w:tabs>
          <w:tab w:val="num" w:pos="1440"/>
        </w:tabs>
        <w:ind w:left="1440" w:hanging="360"/>
      </w:pPr>
      <w:rPr>
        <w:rFonts w:ascii="Symbol" w:hAnsi="Symbol" w:hint="default"/>
      </w:rPr>
    </w:lvl>
    <w:lvl w:ilvl="1" w:tplc="9D8CB164" w:tentative="1">
      <w:start w:val="1"/>
      <w:numFmt w:val="bullet"/>
      <w:lvlText w:val="o"/>
      <w:lvlJc w:val="left"/>
      <w:pPr>
        <w:tabs>
          <w:tab w:val="num" w:pos="2160"/>
        </w:tabs>
        <w:ind w:left="2160" w:hanging="360"/>
      </w:pPr>
      <w:rPr>
        <w:rFonts w:ascii="Courier New" w:hAnsi="Courier New" w:hint="default"/>
      </w:rPr>
    </w:lvl>
    <w:lvl w:ilvl="2" w:tplc="C076F07E" w:tentative="1">
      <w:start w:val="1"/>
      <w:numFmt w:val="bullet"/>
      <w:lvlText w:val=""/>
      <w:lvlJc w:val="left"/>
      <w:pPr>
        <w:tabs>
          <w:tab w:val="num" w:pos="2880"/>
        </w:tabs>
        <w:ind w:left="2880" w:hanging="360"/>
      </w:pPr>
      <w:rPr>
        <w:rFonts w:ascii="Wingdings" w:hAnsi="Wingdings" w:hint="default"/>
      </w:rPr>
    </w:lvl>
    <w:lvl w:ilvl="3" w:tplc="92F8985C" w:tentative="1">
      <w:start w:val="1"/>
      <w:numFmt w:val="bullet"/>
      <w:lvlText w:val=""/>
      <w:lvlJc w:val="left"/>
      <w:pPr>
        <w:tabs>
          <w:tab w:val="num" w:pos="3600"/>
        </w:tabs>
        <w:ind w:left="3600" w:hanging="360"/>
      </w:pPr>
      <w:rPr>
        <w:rFonts w:ascii="Symbol" w:hAnsi="Symbol" w:hint="default"/>
      </w:rPr>
    </w:lvl>
    <w:lvl w:ilvl="4" w:tplc="9BD6DFB6" w:tentative="1">
      <w:start w:val="1"/>
      <w:numFmt w:val="bullet"/>
      <w:lvlText w:val="o"/>
      <w:lvlJc w:val="left"/>
      <w:pPr>
        <w:tabs>
          <w:tab w:val="num" w:pos="4320"/>
        </w:tabs>
        <w:ind w:left="4320" w:hanging="360"/>
      </w:pPr>
      <w:rPr>
        <w:rFonts w:ascii="Courier New" w:hAnsi="Courier New" w:hint="default"/>
      </w:rPr>
    </w:lvl>
    <w:lvl w:ilvl="5" w:tplc="E46217F8" w:tentative="1">
      <w:start w:val="1"/>
      <w:numFmt w:val="bullet"/>
      <w:lvlText w:val=""/>
      <w:lvlJc w:val="left"/>
      <w:pPr>
        <w:tabs>
          <w:tab w:val="num" w:pos="5040"/>
        </w:tabs>
        <w:ind w:left="5040" w:hanging="360"/>
      </w:pPr>
      <w:rPr>
        <w:rFonts w:ascii="Wingdings" w:hAnsi="Wingdings" w:hint="default"/>
      </w:rPr>
    </w:lvl>
    <w:lvl w:ilvl="6" w:tplc="DE04BFFC" w:tentative="1">
      <w:start w:val="1"/>
      <w:numFmt w:val="bullet"/>
      <w:lvlText w:val=""/>
      <w:lvlJc w:val="left"/>
      <w:pPr>
        <w:tabs>
          <w:tab w:val="num" w:pos="5760"/>
        </w:tabs>
        <w:ind w:left="5760" w:hanging="360"/>
      </w:pPr>
      <w:rPr>
        <w:rFonts w:ascii="Symbol" w:hAnsi="Symbol" w:hint="default"/>
      </w:rPr>
    </w:lvl>
    <w:lvl w:ilvl="7" w:tplc="DD522B96" w:tentative="1">
      <w:start w:val="1"/>
      <w:numFmt w:val="bullet"/>
      <w:lvlText w:val="o"/>
      <w:lvlJc w:val="left"/>
      <w:pPr>
        <w:tabs>
          <w:tab w:val="num" w:pos="6480"/>
        </w:tabs>
        <w:ind w:left="6480" w:hanging="360"/>
      </w:pPr>
      <w:rPr>
        <w:rFonts w:ascii="Courier New" w:hAnsi="Courier New" w:hint="default"/>
      </w:rPr>
    </w:lvl>
    <w:lvl w:ilvl="8" w:tplc="62C0FA3C" w:tentative="1">
      <w:start w:val="1"/>
      <w:numFmt w:val="bullet"/>
      <w:lvlText w:val=""/>
      <w:lvlJc w:val="left"/>
      <w:pPr>
        <w:tabs>
          <w:tab w:val="num" w:pos="7200"/>
        </w:tabs>
        <w:ind w:left="7200" w:hanging="360"/>
      </w:pPr>
      <w:rPr>
        <w:rFonts w:ascii="Wingdings" w:hAnsi="Wingdings" w:hint="default"/>
      </w:rPr>
    </w:lvl>
  </w:abstractNum>
  <w:abstractNum w:abstractNumId="15">
    <w:nsid w:val="48C85A3B"/>
    <w:multiLevelType w:val="hybridMultilevel"/>
    <w:tmpl w:val="4FC6EA48"/>
    <w:lvl w:ilvl="0" w:tplc="04090001">
      <w:start w:val="3"/>
      <w:numFmt w:val="upperLetter"/>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70122E"/>
    <w:multiLevelType w:val="hybridMultilevel"/>
    <w:tmpl w:val="3F9C9D78"/>
    <w:lvl w:ilvl="0" w:tplc="89F4D90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B33788E"/>
    <w:multiLevelType w:val="hybridMultilevel"/>
    <w:tmpl w:val="76284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1182925"/>
    <w:multiLevelType w:val="singleLevel"/>
    <w:tmpl w:val="9894E0EC"/>
    <w:lvl w:ilvl="0">
      <w:start w:val="1"/>
      <w:numFmt w:val="decimal"/>
      <w:pStyle w:val="ParaNum"/>
      <w:lvlText w:val="%1."/>
      <w:lvlJc w:val="left"/>
      <w:pPr>
        <w:tabs>
          <w:tab w:val="num" w:pos="1260"/>
        </w:tabs>
        <w:ind w:firstLine="720"/>
      </w:pPr>
      <w:rPr>
        <w:rFonts w:cs="Times New Roman"/>
        <w:b w:val="0"/>
      </w:rPr>
    </w:lvl>
  </w:abstractNum>
  <w:abstractNum w:abstractNumId="20">
    <w:nsid w:val="654677A1"/>
    <w:multiLevelType w:val="hybridMultilevel"/>
    <w:tmpl w:val="CC6038A8"/>
    <w:lvl w:ilvl="0" w:tplc="E88CDE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C37334"/>
    <w:multiLevelType w:val="hybridMultilevel"/>
    <w:tmpl w:val="AED22AA0"/>
    <w:lvl w:ilvl="0" w:tplc="98940042">
      <w:start w:val="1"/>
      <w:numFmt w:val="decimal"/>
      <w:lvlText w:val="%1)"/>
      <w:lvlJc w:val="left"/>
      <w:pPr>
        <w:tabs>
          <w:tab w:val="num" w:pos="360"/>
        </w:tabs>
        <w:ind w:left="360" w:hanging="360"/>
      </w:pPr>
      <w:rPr>
        <w:rFonts w:cs="Times New Roman" w:hint="default"/>
      </w:rPr>
    </w:lvl>
    <w:lvl w:ilvl="1" w:tplc="2F8C687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C914D93"/>
    <w:multiLevelType w:val="hybridMultilevel"/>
    <w:tmpl w:val="56184224"/>
    <w:lvl w:ilvl="0" w:tplc="FFFFFFFF">
      <w:start w:val="4"/>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71812F91"/>
    <w:multiLevelType w:val="singleLevel"/>
    <w:tmpl w:val="2C32E72E"/>
    <w:lvl w:ilvl="0">
      <w:start w:val="5"/>
      <w:numFmt w:val="upperLetter"/>
      <w:lvlText w:val="%1."/>
      <w:lvlJc w:val="left"/>
      <w:pPr>
        <w:tabs>
          <w:tab w:val="num" w:pos="720"/>
        </w:tabs>
        <w:ind w:left="720" w:hanging="720"/>
      </w:pPr>
      <w:rPr>
        <w:rFonts w:cs="Times New Roman" w:hint="default"/>
      </w:rPr>
    </w:lvl>
  </w:abstractNum>
  <w:abstractNum w:abstractNumId="24">
    <w:nsid w:val="7F0406EE"/>
    <w:multiLevelType w:val="hybridMultilevel"/>
    <w:tmpl w:val="B85C498C"/>
    <w:lvl w:ilvl="0" w:tplc="0C022DCE">
      <w:start w:val="1"/>
      <w:numFmt w:val="decimal"/>
      <w:lvlText w:val="%1."/>
      <w:lvlJc w:val="left"/>
      <w:pPr>
        <w:tabs>
          <w:tab w:val="num" w:pos="1440"/>
        </w:tabs>
        <w:ind w:left="1440" w:hanging="360"/>
      </w:pPr>
      <w:rPr>
        <w:rFonts w:cs="Times New Roman" w:hint="default"/>
      </w:rPr>
    </w:lvl>
    <w:lvl w:ilvl="1" w:tplc="9140BC14">
      <w:start w:val="1"/>
      <w:numFmt w:val="decimal"/>
      <w:lvlText w:val="(%2)"/>
      <w:lvlJc w:val="left"/>
      <w:pPr>
        <w:tabs>
          <w:tab w:val="num" w:pos="2160"/>
        </w:tabs>
        <w:ind w:left="2160" w:hanging="360"/>
      </w:pPr>
      <w:rPr>
        <w:rFonts w:cs="Times New Roman" w:hint="default"/>
      </w:rPr>
    </w:lvl>
    <w:lvl w:ilvl="2" w:tplc="C54A3712">
      <w:start w:val="1"/>
      <w:numFmt w:val="lowerRoman"/>
      <w:lvlText w:val="%3."/>
      <w:lvlJc w:val="right"/>
      <w:pPr>
        <w:tabs>
          <w:tab w:val="num" w:pos="2880"/>
        </w:tabs>
        <w:ind w:left="2880" w:hanging="180"/>
      </w:pPr>
      <w:rPr>
        <w:rFonts w:cs="Times New Roman"/>
      </w:rPr>
    </w:lvl>
    <w:lvl w:ilvl="3" w:tplc="21701494">
      <w:numFmt w:val="bullet"/>
      <w:lvlText w:val="-"/>
      <w:lvlJc w:val="left"/>
      <w:pPr>
        <w:tabs>
          <w:tab w:val="num" w:pos="1440"/>
        </w:tabs>
        <w:ind w:left="1440" w:hanging="360"/>
      </w:pPr>
      <w:rPr>
        <w:rFonts w:ascii="Times New Roman" w:eastAsia="Times New Roman" w:hAnsi="Times New Roman" w:hint="default"/>
      </w:rPr>
    </w:lvl>
    <w:lvl w:ilvl="4" w:tplc="B5D8A934">
      <w:start w:val="1"/>
      <w:numFmt w:val="lowerLetter"/>
      <w:lvlText w:val="%5."/>
      <w:lvlJc w:val="left"/>
      <w:pPr>
        <w:tabs>
          <w:tab w:val="num" w:pos="4320"/>
        </w:tabs>
        <w:ind w:left="4320" w:hanging="360"/>
      </w:pPr>
      <w:rPr>
        <w:rFonts w:cs="Times New Roman"/>
      </w:rPr>
    </w:lvl>
    <w:lvl w:ilvl="5" w:tplc="D35E6620" w:tentative="1">
      <w:start w:val="1"/>
      <w:numFmt w:val="lowerRoman"/>
      <w:lvlText w:val="%6."/>
      <w:lvlJc w:val="right"/>
      <w:pPr>
        <w:tabs>
          <w:tab w:val="num" w:pos="5040"/>
        </w:tabs>
        <w:ind w:left="5040" w:hanging="180"/>
      </w:pPr>
      <w:rPr>
        <w:rFonts w:cs="Times New Roman"/>
      </w:rPr>
    </w:lvl>
    <w:lvl w:ilvl="6" w:tplc="76D8C97C" w:tentative="1">
      <w:start w:val="1"/>
      <w:numFmt w:val="decimal"/>
      <w:lvlText w:val="%7."/>
      <w:lvlJc w:val="left"/>
      <w:pPr>
        <w:tabs>
          <w:tab w:val="num" w:pos="5760"/>
        </w:tabs>
        <w:ind w:left="5760" w:hanging="360"/>
      </w:pPr>
      <w:rPr>
        <w:rFonts w:cs="Times New Roman"/>
      </w:rPr>
    </w:lvl>
    <w:lvl w:ilvl="7" w:tplc="2FB213BA" w:tentative="1">
      <w:start w:val="1"/>
      <w:numFmt w:val="lowerLetter"/>
      <w:lvlText w:val="%8."/>
      <w:lvlJc w:val="left"/>
      <w:pPr>
        <w:tabs>
          <w:tab w:val="num" w:pos="6480"/>
        </w:tabs>
        <w:ind w:left="6480" w:hanging="360"/>
      </w:pPr>
      <w:rPr>
        <w:rFonts w:cs="Times New Roman"/>
      </w:rPr>
    </w:lvl>
    <w:lvl w:ilvl="8" w:tplc="37726ADA" w:tentative="1">
      <w:start w:val="1"/>
      <w:numFmt w:val="lowerRoman"/>
      <w:lvlText w:val="%9."/>
      <w:lvlJc w:val="right"/>
      <w:pPr>
        <w:tabs>
          <w:tab w:val="num" w:pos="7200"/>
        </w:tabs>
        <w:ind w:left="7200" w:hanging="180"/>
      </w:pPr>
      <w:rPr>
        <w:rFonts w:cs="Times New Roman"/>
      </w:rPr>
    </w:lvl>
  </w:abstractNum>
  <w:num w:numId="1">
    <w:abstractNumId w:val="10"/>
  </w:num>
  <w:num w:numId="2">
    <w:abstractNumId w:val="19"/>
  </w:num>
  <w:num w:numId="3">
    <w:abstractNumId w:val="11"/>
  </w:num>
  <w:num w:numId="4">
    <w:abstractNumId w:val="16"/>
  </w:num>
  <w:num w:numId="5">
    <w:abstractNumId w:val="24"/>
  </w:num>
  <w:num w:numId="6">
    <w:abstractNumId w:val="18"/>
  </w:num>
  <w:num w:numId="7">
    <w:abstractNumId w:val="3"/>
  </w:num>
  <w:num w:numId="8">
    <w:abstractNumId w:val="13"/>
  </w:num>
  <w:num w:numId="9">
    <w:abstractNumId w:val="7"/>
  </w:num>
  <w:num w:numId="10">
    <w:abstractNumId w:val="19"/>
    <w:lvlOverride w:ilvl="0">
      <w:startOverride w:val="1"/>
    </w:lvlOverride>
  </w:num>
  <w:num w:numId="11">
    <w:abstractNumId w:val="14"/>
  </w:num>
  <w:num w:numId="12">
    <w:abstractNumId w:val="4"/>
  </w:num>
  <w:num w:numId="13">
    <w:abstractNumId w:val="8"/>
  </w:num>
  <w:num w:numId="14">
    <w:abstractNumId w:val="1"/>
  </w:num>
  <w:num w:numId="15">
    <w:abstractNumId w:val="22"/>
  </w:num>
  <w:num w:numId="16">
    <w:abstractNumId w:val="23"/>
  </w:num>
  <w:num w:numId="17">
    <w:abstractNumId w:val="21"/>
  </w:num>
  <w:num w:numId="18">
    <w:abstractNumId w:val="5"/>
  </w:num>
  <w:num w:numId="19">
    <w:abstractNumId w:val="2"/>
  </w:num>
  <w:num w:numId="20">
    <w:abstractNumId w:val="19"/>
    <w:lvlOverride w:ilvl="0">
      <w:startOverride w:val="4"/>
    </w:lvlOverride>
  </w:num>
  <w:num w:numId="21">
    <w:abstractNumId w:val="15"/>
  </w:num>
  <w:num w:numId="22">
    <w:abstractNumId w:val="12"/>
  </w:num>
  <w:num w:numId="23">
    <w:abstractNumId w:val="19"/>
  </w:num>
  <w:num w:numId="24">
    <w:abstractNumId w:val="17"/>
  </w:num>
  <w:num w:numId="25">
    <w:abstractNumId w:val="9"/>
  </w:num>
  <w:num w:numId="26">
    <w:abstractNumId w:val="6"/>
  </w:num>
  <w:num w:numId="27">
    <w:abstractNumId w:val="20"/>
  </w:num>
  <w:num w:numId="28">
    <w:abstractNumId w:val="19"/>
  </w:num>
  <w:num w:numId="29">
    <w:abstractNumId w:val="19"/>
  </w:num>
  <w:num w:numId="30">
    <w:abstractNumId w:val="19"/>
  </w:num>
  <w:num w:numId="31">
    <w:abstractNumId w:val="19"/>
  </w:num>
  <w:num w:numId="32">
    <w:abstractNumId w:val="19"/>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9F4"/>
    <w:rsid w:val="00005C89"/>
    <w:rsid w:val="0001193B"/>
    <w:rsid w:val="000163B5"/>
    <w:rsid w:val="00053F17"/>
    <w:rsid w:val="000673E1"/>
    <w:rsid w:val="000A5732"/>
    <w:rsid w:val="000A7F06"/>
    <w:rsid w:val="000B0EB9"/>
    <w:rsid w:val="000B47F2"/>
    <w:rsid w:val="000C36FF"/>
    <w:rsid w:val="000F762F"/>
    <w:rsid w:val="001024C6"/>
    <w:rsid w:val="00110F8C"/>
    <w:rsid w:val="001313D4"/>
    <w:rsid w:val="00131C4E"/>
    <w:rsid w:val="00170ADC"/>
    <w:rsid w:val="00186561"/>
    <w:rsid w:val="001A1498"/>
    <w:rsid w:val="001F6A08"/>
    <w:rsid w:val="002118DA"/>
    <w:rsid w:val="00266A46"/>
    <w:rsid w:val="00266C17"/>
    <w:rsid w:val="002E14C2"/>
    <w:rsid w:val="002F4AE0"/>
    <w:rsid w:val="0032118C"/>
    <w:rsid w:val="003349A3"/>
    <w:rsid w:val="00342847"/>
    <w:rsid w:val="00363674"/>
    <w:rsid w:val="003762BD"/>
    <w:rsid w:val="003A69D4"/>
    <w:rsid w:val="003A6DD0"/>
    <w:rsid w:val="003B5350"/>
    <w:rsid w:val="003D5A5E"/>
    <w:rsid w:val="003F7D6D"/>
    <w:rsid w:val="00422CFD"/>
    <w:rsid w:val="00443F93"/>
    <w:rsid w:val="00454957"/>
    <w:rsid w:val="00457ABA"/>
    <w:rsid w:val="00473DDE"/>
    <w:rsid w:val="0048755A"/>
    <w:rsid w:val="00494761"/>
    <w:rsid w:val="004A5285"/>
    <w:rsid w:val="004B1A98"/>
    <w:rsid w:val="004B4720"/>
    <w:rsid w:val="004C633D"/>
    <w:rsid w:val="005167BD"/>
    <w:rsid w:val="00547933"/>
    <w:rsid w:val="005B05C3"/>
    <w:rsid w:val="005C1A02"/>
    <w:rsid w:val="005F478D"/>
    <w:rsid w:val="006204D4"/>
    <w:rsid w:val="00631A44"/>
    <w:rsid w:val="00642539"/>
    <w:rsid w:val="006538A8"/>
    <w:rsid w:val="00653E80"/>
    <w:rsid w:val="00684A2A"/>
    <w:rsid w:val="00694BC2"/>
    <w:rsid w:val="006A0E24"/>
    <w:rsid w:val="006B586F"/>
    <w:rsid w:val="006C1511"/>
    <w:rsid w:val="006D7B4F"/>
    <w:rsid w:val="006F26CB"/>
    <w:rsid w:val="00701E00"/>
    <w:rsid w:val="00711340"/>
    <w:rsid w:val="007126DB"/>
    <w:rsid w:val="007614EE"/>
    <w:rsid w:val="00771F52"/>
    <w:rsid w:val="00775F4A"/>
    <w:rsid w:val="007E525E"/>
    <w:rsid w:val="0082048D"/>
    <w:rsid w:val="008671D8"/>
    <w:rsid w:val="0088189F"/>
    <w:rsid w:val="008A25F7"/>
    <w:rsid w:val="008D2706"/>
    <w:rsid w:val="008E0A07"/>
    <w:rsid w:val="008E2BB9"/>
    <w:rsid w:val="008E4A62"/>
    <w:rsid w:val="008F090A"/>
    <w:rsid w:val="008F144D"/>
    <w:rsid w:val="00900F2B"/>
    <w:rsid w:val="00911D68"/>
    <w:rsid w:val="00934191"/>
    <w:rsid w:val="0096057A"/>
    <w:rsid w:val="009674DD"/>
    <w:rsid w:val="00980CCB"/>
    <w:rsid w:val="009850E6"/>
    <w:rsid w:val="009A3D6C"/>
    <w:rsid w:val="009A7C09"/>
    <w:rsid w:val="00A348CB"/>
    <w:rsid w:val="00A53C83"/>
    <w:rsid w:val="00A638B4"/>
    <w:rsid w:val="00A848E9"/>
    <w:rsid w:val="00A9755A"/>
    <w:rsid w:val="00AB13C5"/>
    <w:rsid w:val="00AB17EB"/>
    <w:rsid w:val="00AC20F3"/>
    <w:rsid w:val="00AC6A1E"/>
    <w:rsid w:val="00AE4E69"/>
    <w:rsid w:val="00AF25E6"/>
    <w:rsid w:val="00B32843"/>
    <w:rsid w:val="00B37246"/>
    <w:rsid w:val="00B66311"/>
    <w:rsid w:val="00B82186"/>
    <w:rsid w:val="00BB6AF8"/>
    <w:rsid w:val="00BC76C2"/>
    <w:rsid w:val="00BE3202"/>
    <w:rsid w:val="00C05B4F"/>
    <w:rsid w:val="00C259B3"/>
    <w:rsid w:val="00C427E0"/>
    <w:rsid w:val="00C4369A"/>
    <w:rsid w:val="00C449FA"/>
    <w:rsid w:val="00C53AA6"/>
    <w:rsid w:val="00C65A23"/>
    <w:rsid w:val="00C75209"/>
    <w:rsid w:val="00C87A4E"/>
    <w:rsid w:val="00CB622A"/>
    <w:rsid w:val="00CD0E27"/>
    <w:rsid w:val="00CD7C01"/>
    <w:rsid w:val="00CE14BA"/>
    <w:rsid w:val="00D06F68"/>
    <w:rsid w:val="00D11C74"/>
    <w:rsid w:val="00D27275"/>
    <w:rsid w:val="00D60636"/>
    <w:rsid w:val="00D61EA1"/>
    <w:rsid w:val="00D72DEC"/>
    <w:rsid w:val="00D80FA5"/>
    <w:rsid w:val="00DD2F44"/>
    <w:rsid w:val="00DE6F76"/>
    <w:rsid w:val="00E31B7B"/>
    <w:rsid w:val="00E336F8"/>
    <w:rsid w:val="00E33C1A"/>
    <w:rsid w:val="00E67C55"/>
    <w:rsid w:val="00E753CE"/>
    <w:rsid w:val="00E86A82"/>
    <w:rsid w:val="00EB263C"/>
    <w:rsid w:val="00EB5687"/>
    <w:rsid w:val="00F00ACB"/>
    <w:rsid w:val="00F2346D"/>
    <w:rsid w:val="00F31324"/>
    <w:rsid w:val="00F439F4"/>
    <w:rsid w:val="00F51348"/>
    <w:rsid w:val="00F5394D"/>
    <w:rsid w:val="00F81349"/>
    <w:rsid w:val="00FB1B1C"/>
    <w:rsid w:val="00FC42F8"/>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D0"/>
    <w:pPr>
      <w:widowControl w:val="0"/>
    </w:pPr>
    <w:rPr>
      <w:kern w:val="28"/>
      <w:szCs w:val="20"/>
    </w:rPr>
  </w:style>
  <w:style w:type="paragraph" w:styleId="Heading1">
    <w:name w:val="heading 1"/>
    <w:basedOn w:val="Normal"/>
    <w:next w:val="ParaNum"/>
    <w:link w:val="Heading1Char"/>
    <w:uiPriority w:val="99"/>
    <w:qFormat/>
    <w:rsid w:val="003A6D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1"/>
    <w:autoRedefine/>
    <w:uiPriority w:val="99"/>
    <w:qFormat/>
    <w:rsid w:val="00BE3202"/>
    <w:pPr>
      <w:keepNext/>
      <w:spacing w:after="120"/>
      <w:ind w:left="1080" w:hanging="720"/>
      <w:outlineLvl w:val="1"/>
    </w:pPr>
    <w:rPr>
      <w:b/>
    </w:rPr>
  </w:style>
  <w:style w:type="paragraph" w:styleId="Heading3">
    <w:name w:val="heading 3"/>
    <w:aliases w:val="Heading 3 Char,3 Char,Titre 3 Char,1 Char,31 Char,Titre 31 Char,?? 3 Char,3,Titre 3,1,31,Titre 31,?? 3,Heading 3 Char1,Heading 3 Char Char"/>
    <w:basedOn w:val="Normal"/>
    <w:next w:val="ParaNum"/>
    <w:link w:val="Heading3Char2"/>
    <w:uiPriority w:val="99"/>
    <w:qFormat/>
    <w:rsid w:val="003A6DD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link w:val="Heading4Char3"/>
    <w:uiPriority w:val="99"/>
    <w:qFormat/>
    <w:rsid w:val="003A6DD0"/>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3A6DD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3A6DD0"/>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9"/>
    <w:qFormat/>
    <w:rsid w:val="003A6DD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3A6DD0"/>
    <w:pPr>
      <w:numPr>
        <w:ilvl w:val="7"/>
        <w:numId w:val="3"/>
      </w:numPr>
      <w:tabs>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uiPriority w:val="99"/>
    <w:qFormat/>
    <w:rsid w:val="003A6DD0"/>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D0"/>
    <w:rPr>
      <w:rFonts w:ascii="Times New Roman Bold" w:hAnsi="Times New Roman Bold"/>
      <w:b/>
      <w:caps/>
      <w:kern w:val="28"/>
      <w:sz w:val="22"/>
    </w:rPr>
  </w:style>
  <w:style w:type="character" w:customStyle="1" w:styleId="Heading2Char1">
    <w:name w:val="Heading 2 Char1"/>
    <w:aliases w:val="Heading 2 Char Char,h2 Char Char,UNDERRUBRIK 1-2 Char Char"/>
    <w:basedOn w:val="DefaultParagraphFont"/>
    <w:link w:val="Heading2"/>
    <w:uiPriority w:val="99"/>
    <w:locked/>
    <w:rsid w:val="00BE3202"/>
    <w:rPr>
      <w:b/>
      <w:kern w:val="28"/>
      <w:sz w:val="22"/>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basedOn w:val="DefaultParagraphFont"/>
    <w:link w:val="Heading3"/>
    <w:uiPriority w:val="99"/>
    <w:locked/>
    <w:rsid w:val="003A6DD0"/>
    <w:rPr>
      <w:b/>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
    <w:basedOn w:val="DefaultParagraphFont"/>
    <w:link w:val="Heading4"/>
    <w:uiPriority w:val="9"/>
    <w:semiHidden/>
    <w:rsid w:val="00105CBC"/>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9"/>
    <w:locked/>
    <w:rsid w:val="003A6DD0"/>
    <w:rPr>
      <w:b/>
      <w:kern w:val="28"/>
      <w:sz w:val="22"/>
    </w:rPr>
  </w:style>
  <w:style w:type="character" w:customStyle="1" w:styleId="Heading6Char">
    <w:name w:val="Heading 6 Char"/>
    <w:aliases w:val="h6 Char"/>
    <w:basedOn w:val="DefaultParagraphFont"/>
    <w:link w:val="Heading6"/>
    <w:uiPriority w:val="99"/>
    <w:locked/>
    <w:rsid w:val="003A6DD0"/>
    <w:rPr>
      <w:b/>
      <w:kern w:val="28"/>
      <w:sz w:val="22"/>
    </w:rPr>
  </w:style>
  <w:style w:type="character" w:customStyle="1" w:styleId="Heading7Char1">
    <w:name w:val="Heading 7 Char1"/>
    <w:aliases w:val="Heading 7 Char Char"/>
    <w:basedOn w:val="DefaultParagraphFont"/>
    <w:link w:val="Heading7"/>
    <w:uiPriority w:val="9"/>
    <w:semiHidden/>
    <w:rsid w:val="00105CBC"/>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9"/>
    <w:locked/>
    <w:rsid w:val="003A6DD0"/>
    <w:rPr>
      <w:b/>
      <w:kern w:val="28"/>
      <w:sz w:val="22"/>
    </w:rPr>
  </w:style>
  <w:style w:type="character" w:customStyle="1" w:styleId="Heading9Char">
    <w:name w:val="Heading 9 Char"/>
    <w:aliases w:val="Topic Char,table Char,t Char,9 Char,Heading 9.table Char,Titre 9 Char"/>
    <w:basedOn w:val="DefaultParagraphFont"/>
    <w:link w:val="Heading9"/>
    <w:uiPriority w:val="99"/>
    <w:locked/>
    <w:rsid w:val="003A6DD0"/>
    <w:rPr>
      <w:b/>
      <w:kern w:val="28"/>
      <w:sz w:val="22"/>
    </w:rPr>
  </w:style>
  <w:style w:type="paragraph" w:styleId="BalloonText">
    <w:name w:val="Balloon Text"/>
    <w:basedOn w:val="Normal"/>
    <w:link w:val="BalloonTextChar1"/>
    <w:uiPriority w:val="99"/>
    <w:semiHidden/>
    <w:rsid w:val="003A6DD0"/>
    <w:rPr>
      <w:rFonts w:ascii="Tahoma" w:hAnsi="Tahoma" w:cs="Tahoma"/>
      <w:sz w:val="16"/>
      <w:szCs w:val="16"/>
    </w:rPr>
  </w:style>
  <w:style w:type="character" w:customStyle="1" w:styleId="BalloonTextChar">
    <w:name w:val="Balloon Text Char"/>
    <w:basedOn w:val="DefaultParagraphFont"/>
    <w:uiPriority w:val="99"/>
    <w:semiHidden/>
    <w:locked/>
    <w:rsid w:val="003A6DD0"/>
    <w:rPr>
      <w:rFonts w:ascii="Tahoma" w:hAnsi="Tahoma"/>
      <w:snapToGrid w:val="0"/>
      <w:kern w:val="28"/>
      <w:sz w:val="16"/>
      <w:lang w:val="en-US" w:eastAsia="en-US"/>
    </w:rPr>
  </w:style>
  <w:style w:type="paragraph" w:customStyle="1" w:styleId="ParaNum">
    <w:name w:val="ParaNum"/>
    <w:basedOn w:val="Normal"/>
    <w:link w:val="ParaNumChar"/>
    <w:uiPriority w:val="99"/>
    <w:rsid w:val="003A6DD0"/>
    <w:pPr>
      <w:numPr>
        <w:numId w:val="2"/>
      </w:numPr>
      <w:spacing w:after="120"/>
    </w:pPr>
  </w:style>
  <w:style w:type="character" w:customStyle="1" w:styleId="ParaNumChar">
    <w:name w:val="ParaNum Char"/>
    <w:link w:val="ParaNum"/>
    <w:uiPriority w:val="99"/>
    <w:locked/>
    <w:rsid w:val="003A6DD0"/>
    <w:rPr>
      <w:kern w:val="28"/>
      <w:sz w:val="22"/>
    </w:rPr>
  </w:style>
  <w:style w:type="paragraph" w:styleId="EndnoteText">
    <w:name w:val="endnote text"/>
    <w:basedOn w:val="Normal"/>
    <w:link w:val="EndnoteTextChar"/>
    <w:uiPriority w:val="99"/>
    <w:semiHidden/>
    <w:rsid w:val="003A6DD0"/>
    <w:rPr>
      <w:sz w:val="20"/>
    </w:rPr>
  </w:style>
  <w:style w:type="character" w:customStyle="1" w:styleId="EndnoteTextChar">
    <w:name w:val="Endnote Text Char"/>
    <w:basedOn w:val="DefaultParagraphFont"/>
    <w:link w:val="EndnoteText"/>
    <w:uiPriority w:val="99"/>
    <w:semiHidden/>
    <w:locked/>
    <w:rsid w:val="003A6DD0"/>
    <w:rPr>
      <w:kern w:val="28"/>
    </w:rPr>
  </w:style>
  <w:style w:type="character" w:styleId="EndnoteReference">
    <w:name w:val="endnote reference"/>
    <w:basedOn w:val="DefaultParagraphFont"/>
    <w:uiPriority w:val="99"/>
    <w:semiHidden/>
    <w:rsid w:val="003A6DD0"/>
    <w:rPr>
      <w:rFonts w:cs="Times New Roman"/>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uiPriority w:val="99"/>
    <w:semiHidden/>
    <w:rsid w:val="003A6DD0"/>
    <w:pPr>
      <w:widowControl/>
      <w:spacing w:after="120"/>
    </w:pPr>
    <w:rPr>
      <w:kern w:val="0"/>
      <w:sz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semiHidden/>
    <w:locked/>
    <w:rsid w:val="003A6DD0"/>
    <w:rPr>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rsid w:val="003A6DD0"/>
    <w:rPr>
      <w:rFonts w:ascii="Times New Roman" w:hAnsi="Times New Roman" w:cs="Times New Roman"/>
      <w:color w:val="auto"/>
      <w:sz w:val="22"/>
      <w:vertAlign w:val="superscript"/>
    </w:rPr>
  </w:style>
  <w:style w:type="paragraph" w:styleId="TOC1">
    <w:name w:val="toc 1"/>
    <w:basedOn w:val="Normal"/>
    <w:next w:val="Normal"/>
    <w:uiPriority w:val="99"/>
    <w:semiHidden/>
    <w:rsid w:val="003A6DD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6DD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6DD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6DD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6DD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6DD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6DD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6DD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6DD0"/>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3A6DD0"/>
    <w:pPr>
      <w:tabs>
        <w:tab w:val="right" w:pos="9360"/>
      </w:tabs>
      <w:suppressAutoHyphens/>
    </w:pPr>
  </w:style>
  <w:style w:type="paragraph" w:styleId="Header">
    <w:name w:val="header"/>
    <w:basedOn w:val="Normal"/>
    <w:link w:val="HeaderChar"/>
    <w:autoRedefine/>
    <w:uiPriority w:val="99"/>
    <w:rsid w:val="003A6DD0"/>
    <w:pPr>
      <w:tabs>
        <w:tab w:val="center" w:pos="4680"/>
        <w:tab w:val="right" w:pos="9360"/>
      </w:tabs>
    </w:pPr>
    <w:rPr>
      <w:b/>
    </w:rPr>
  </w:style>
  <w:style w:type="character" w:customStyle="1" w:styleId="HeaderChar">
    <w:name w:val="Header Char"/>
    <w:basedOn w:val="DefaultParagraphFont"/>
    <w:link w:val="Header"/>
    <w:uiPriority w:val="99"/>
    <w:locked/>
    <w:rsid w:val="003A6DD0"/>
    <w:rPr>
      <w:b/>
      <w:kern w:val="28"/>
      <w:sz w:val="22"/>
    </w:rPr>
  </w:style>
  <w:style w:type="paragraph" w:styleId="Footer">
    <w:name w:val="footer"/>
    <w:basedOn w:val="Normal"/>
    <w:link w:val="FooterChar"/>
    <w:uiPriority w:val="99"/>
    <w:rsid w:val="003A6DD0"/>
    <w:pPr>
      <w:tabs>
        <w:tab w:val="center" w:pos="4320"/>
        <w:tab w:val="right" w:pos="8640"/>
      </w:tabs>
    </w:pPr>
  </w:style>
  <w:style w:type="character" w:customStyle="1" w:styleId="FooterChar">
    <w:name w:val="Footer Char"/>
    <w:basedOn w:val="DefaultParagraphFont"/>
    <w:link w:val="Footer"/>
    <w:uiPriority w:val="99"/>
    <w:locked/>
    <w:rsid w:val="003A6DD0"/>
    <w:rPr>
      <w:kern w:val="28"/>
      <w:sz w:val="22"/>
    </w:rPr>
  </w:style>
  <w:style w:type="character" w:styleId="PageNumber">
    <w:name w:val="page number"/>
    <w:basedOn w:val="DefaultParagraphFont"/>
    <w:uiPriority w:val="99"/>
    <w:rsid w:val="003A6DD0"/>
    <w:rPr>
      <w:rFonts w:cs="Times New Roman"/>
    </w:rPr>
  </w:style>
  <w:style w:type="paragraph" w:styleId="BlockText">
    <w:name w:val="Block Text"/>
    <w:basedOn w:val="Normal"/>
    <w:uiPriority w:val="99"/>
    <w:rsid w:val="003A6DD0"/>
    <w:pPr>
      <w:spacing w:after="240"/>
      <w:ind w:left="1440" w:right="1440"/>
    </w:pPr>
  </w:style>
  <w:style w:type="paragraph" w:customStyle="1" w:styleId="Paratitle">
    <w:name w:val="Para title"/>
    <w:basedOn w:val="Normal"/>
    <w:uiPriority w:val="99"/>
    <w:rsid w:val="003A6DD0"/>
    <w:pPr>
      <w:tabs>
        <w:tab w:val="center" w:pos="9270"/>
      </w:tabs>
      <w:spacing w:after="240"/>
    </w:pPr>
    <w:rPr>
      <w:spacing w:val="-2"/>
    </w:rPr>
  </w:style>
  <w:style w:type="paragraph" w:customStyle="1" w:styleId="Bullet">
    <w:name w:val="Bullet"/>
    <w:basedOn w:val="Normal"/>
    <w:uiPriority w:val="99"/>
    <w:rsid w:val="003A6DD0"/>
    <w:pPr>
      <w:numPr>
        <w:numId w:val="1"/>
      </w:numPr>
      <w:tabs>
        <w:tab w:val="clear" w:pos="360"/>
        <w:tab w:val="left" w:pos="2160"/>
      </w:tabs>
      <w:spacing w:after="220"/>
      <w:ind w:left="2160" w:hanging="720"/>
    </w:pPr>
  </w:style>
  <w:style w:type="paragraph" w:customStyle="1" w:styleId="TableFormat">
    <w:name w:val="TableFormat"/>
    <w:basedOn w:val="Bullet"/>
    <w:uiPriority w:val="99"/>
    <w:rsid w:val="003A6DD0"/>
    <w:pPr>
      <w:numPr>
        <w:numId w:val="0"/>
      </w:numPr>
      <w:tabs>
        <w:tab w:val="clear" w:pos="2160"/>
        <w:tab w:val="left" w:pos="5040"/>
      </w:tabs>
      <w:ind w:left="5040" w:hanging="3600"/>
    </w:pPr>
  </w:style>
  <w:style w:type="paragraph" w:customStyle="1" w:styleId="TOCTitle">
    <w:name w:val="TOC Title"/>
    <w:basedOn w:val="Normal"/>
    <w:uiPriority w:val="99"/>
    <w:rsid w:val="003A6DD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3A6DD0"/>
    <w:pPr>
      <w:jc w:val="center"/>
    </w:pPr>
    <w:rPr>
      <w:rFonts w:ascii="Times New Roman Bold" w:hAnsi="Times New Roman Bold"/>
      <w:b/>
      <w:bCs/>
      <w:caps/>
      <w:szCs w:val="22"/>
    </w:rPr>
  </w:style>
  <w:style w:type="character" w:styleId="Hyperlink">
    <w:name w:val="Hyperlink"/>
    <w:basedOn w:val="DefaultParagraphFont"/>
    <w:uiPriority w:val="99"/>
    <w:rsid w:val="003A6DD0"/>
    <w:rPr>
      <w:rFonts w:cs="Times New Roman"/>
      <w:color w:val="0000FF"/>
      <w:u w:val="single"/>
    </w:rPr>
  </w:style>
  <w:style w:type="character" w:customStyle="1" w:styleId="BalloonTextChar1">
    <w:name w:val="Balloon Text Char1"/>
    <w:link w:val="BalloonText"/>
    <w:uiPriority w:val="99"/>
    <w:semiHidden/>
    <w:locked/>
    <w:rsid w:val="003A6DD0"/>
    <w:rPr>
      <w:rFonts w:ascii="Tahoma" w:hAnsi="Tahoma"/>
      <w:snapToGrid w:val="0"/>
      <w:kern w:val="28"/>
      <w:sz w:val="16"/>
      <w:lang w:val="en-US" w:eastAsia="en-US"/>
    </w:rPr>
  </w:style>
  <w:style w:type="character" w:styleId="FollowedHyperlink">
    <w:name w:val="FollowedHyperlink"/>
    <w:basedOn w:val="DefaultParagraphFont"/>
    <w:uiPriority w:val="99"/>
    <w:rsid w:val="003A6DD0"/>
    <w:rPr>
      <w:rFonts w:cs="Times New Roman"/>
      <w:color w:val="800080"/>
      <w:u w:val="single"/>
    </w:rPr>
  </w:style>
  <w:style w:type="character" w:styleId="CommentReference">
    <w:name w:val="annotation reference"/>
    <w:basedOn w:val="DefaultParagraphFont"/>
    <w:uiPriority w:val="99"/>
    <w:semiHidden/>
    <w:rsid w:val="003A6DD0"/>
    <w:rPr>
      <w:rFonts w:cs="Times New Roman"/>
      <w:sz w:val="16"/>
    </w:rPr>
  </w:style>
  <w:style w:type="paragraph" w:customStyle="1" w:styleId="Default">
    <w:name w:val="Default"/>
    <w:uiPriority w:val="99"/>
    <w:rsid w:val="003A6DD0"/>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3A6DD0"/>
    <w:rPr>
      <w:color w:val="auto"/>
    </w:rPr>
  </w:style>
  <w:style w:type="character" w:customStyle="1" w:styleId="BodyTextChar">
    <w:name w:val="Body Text Char"/>
    <w:basedOn w:val="DefaultParagraphFont"/>
    <w:link w:val="BodyText"/>
    <w:uiPriority w:val="99"/>
    <w:semiHidden/>
    <w:rsid w:val="00105CBC"/>
    <w:rPr>
      <w:kern w:val="28"/>
      <w:szCs w:val="20"/>
    </w:rPr>
  </w:style>
  <w:style w:type="character" w:styleId="Emphasis">
    <w:name w:val="Emphasis"/>
    <w:basedOn w:val="DefaultParagraphFont"/>
    <w:uiPriority w:val="99"/>
    <w:qFormat/>
    <w:rsid w:val="003A6DD0"/>
    <w:rPr>
      <w:rFonts w:cs="Times New Roman"/>
      <w:i/>
    </w:rPr>
  </w:style>
  <w:style w:type="character" w:customStyle="1" w:styleId="searchterm1">
    <w:name w:val="searchterm1"/>
    <w:uiPriority w:val="99"/>
    <w:rsid w:val="003A6DD0"/>
    <w:rPr>
      <w:b/>
      <w:shd w:val="clear" w:color="auto" w:fill="FFFF00"/>
    </w:rPr>
  </w:style>
  <w:style w:type="character" w:styleId="Strong">
    <w:name w:val="Strong"/>
    <w:basedOn w:val="DefaultParagraphFont"/>
    <w:uiPriority w:val="99"/>
    <w:qFormat/>
    <w:rsid w:val="003A6DD0"/>
    <w:rPr>
      <w:rFonts w:cs="Times New Roman"/>
      <w:b/>
    </w:rPr>
  </w:style>
  <w:style w:type="paragraph" w:styleId="CommentText">
    <w:name w:val="annotation text"/>
    <w:basedOn w:val="Normal"/>
    <w:link w:val="CommentTextChar1"/>
    <w:uiPriority w:val="99"/>
    <w:semiHidden/>
    <w:rsid w:val="003A6DD0"/>
    <w:rPr>
      <w:sz w:val="20"/>
    </w:rPr>
  </w:style>
  <w:style w:type="character" w:customStyle="1" w:styleId="CommentTextChar">
    <w:name w:val="Comment Text Char"/>
    <w:basedOn w:val="DefaultParagraphFont"/>
    <w:uiPriority w:val="99"/>
    <w:semiHidden/>
    <w:locked/>
    <w:rsid w:val="003A6DD0"/>
    <w:rPr>
      <w:snapToGrid w:val="0"/>
      <w:kern w:val="28"/>
      <w:lang w:val="en-US" w:eastAsia="en-US"/>
    </w:rPr>
  </w:style>
  <w:style w:type="character" w:customStyle="1" w:styleId="CommentTextChar1">
    <w:name w:val="Comment Text Char1"/>
    <w:link w:val="CommentText"/>
    <w:uiPriority w:val="99"/>
    <w:semiHidden/>
    <w:locked/>
    <w:rsid w:val="003A6DD0"/>
    <w:rPr>
      <w:snapToGrid w:val="0"/>
      <w:kern w:val="28"/>
      <w:lang w:val="en-US" w:eastAsia="en-US"/>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3A6DD0"/>
    <w:rPr>
      <w:snapToGrid w:val="0"/>
      <w:kern w:val="28"/>
      <w:sz w:val="22"/>
      <w:lang w:val="en-US" w:eastAsia="en-US"/>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3A6DD0"/>
    <w:pPr>
      <w:widowControl/>
      <w:tabs>
        <w:tab w:val="num" w:pos="720"/>
        <w:tab w:val="left" w:pos="1080"/>
      </w:tabs>
      <w:spacing w:after="240"/>
      <w:ind w:firstLine="360"/>
    </w:pPr>
    <w:rPr>
      <w:szCs w:val="22"/>
    </w:rPr>
  </w:style>
  <w:style w:type="paragraph" w:styleId="Caption">
    <w:name w:val="caption"/>
    <w:basedOn w:val="Normal"/>
    <w:next w:val="Normal"/>
    <w:uiPriority w:val="99"/>
    <w:qFormat/>
    <w:rsid w:val="003A6DD0"/>
    <w:pPr>
      <w:spacing w:before="120" w:after="120"/>
    </w:pPr>
    <w:rPr>
      <w:b/>
    </w:rPr>
  </w:style>
  <w:style w:type="paragraph" w:styleId="ListContinue2">
    <w:name w:val="List Continue 2"/>
    <w:basedOn w:val="Normal"/>
    <w:uiPriority w:val="99"/>
    <w:rsid w:val="003A6DD0"/>
    <w:pPr>
      <w:widowControl/>
      <w:spacing w:after="120"/>
      <w:ind w:left="720"/>
    </w:pPr>
    <w:rPr>
      <w:rFonts w:eastAsia="Batang"/>
      <w:kern w:val="0"/>
      <w:sz w:val="24"/>
      <w:lang w:eastAsia="ko-KR"/>
    </w:rPr>
  </w:style>
  <w:style w:type="character" w:customStyle="1" w:styleId="ParaNumChar1">
    <w:name w:val="ParaNum Char1"/>
    <w:uiPriority w:val="99"/>
    <w:locked/>
    <w:rsid w:val="003A6DD0"/>
    <w:rPr>
      <w:snapToGrid w:val="0"/>
      <w:kern w:val="28"/>
      <w:sz w:val="22"/>
      <w:lang w:val="en-US" w:eastAsia="en-US"/>
    </w:rPr>
  </w:style>
  <w:style w:type="character" w:customStyle="1" w:styleId="documentbody">
    <w:name w:val="documentbody"/>
    <w:uiPriority w:val="99"/>
    <w:rsid w:val="003A6DD0"/>
  </w:style>
  <w:style w:type="paragraph" w:customStyle="1" w:styleId="NumberedList">
    <w:name w:val="Numbered List"/>
    <w:basedOn w:val="Normal"/>
    <w:uiPriority w:val="99"/>
    <w:rsid w:val="003A6DD0"/>
    <w:pPr>
      <w:numPr>
        <w:numId w:val="4"/>
      </w:numPr>
      <w:spacing w:after="220"/>
    </w:pPr>
  </w:style>
  <w:style w:type="paragraph" w:styleId="Title">
    <w:name w:val="Title"/>
    <w:basedOn w:val="Normal"/>
    <w:link w:val="TitleChar"/>
    <w:uiPriority w:val="99"/>
    <w:qFormat/>
    <w:rsid w:val="003A6DD0"/>
    <w:pPr>
      <w:jc w:val="center"/>
    </w:pPr>
    <w:rPr>
      <w:b/>
    </w:rPr>
  </w:style>
  <w:style w:type="character" w:customStyle="1" w:styleId="TitleChar">
    <w:name w:val="Title Char"/>
    <w:basedOn w:val="DefaultParagraphFont"/>
    <w:link w:val="Title"/>
    <w:uiPriority w:val="10"/>
    <w:rsid w:val="00105CBC"/>
    <w:rPr>
      <w:rFonts w:asciiTheme="majorHAnsi" w:eastAsiaTheme="majorEastAsia" w:hAnsiTheme="majorHAnsi" w:cstheme="majorBidi"/>
      <w:b/>
      <w:bCs/>
      <w:kern w:val="28"/>
      <w:sz w:val="32"/>
      <w:szCs w:val="32"/>
    </w:rPr>
  </w:style>
  <w:style w:type="character" w:customStyle="1" w:styleId="EquationCaption">
    <w:name w:val="_Equation Caption"/>
    <w:uiPriority w:val="99"/>
    <w:rsid w:val="003A6DD0"/>
  </w:style>
  <w:style w:type="paragraph" w:styleId="DocumentMap">
    <w:name w:val="Document Map"/>
    <w:basedOn w:val="Normal"/>
    <w:link w:val="DocumentMapChar"/>
    <w:uiPriority w:val="99"/>
    <w:semiHidden/>
    <w:rsid w:val="003A6DD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05CBC"/>
    <w:rPr>
      <w:kern w:val="28"/>
      <w:sz w:val="0"/>
      <w:szCs w:val="0"/>
    </w:rPr>
  </w:style>
  <w:style w:type="paragraph" w:customStyle="1" w:styleId="Style1">
    <w:name w:val="Style1"/>
    <w:basedOn w:val="Heading4"/>
    <w:uiPriority w:val="99"/>
    <w:rsid w:val="003A6DD0"/>
  </w:style>
  <w:style w:type="paragraph" w:customStyle="1" w:styleId="Style2">
    <w:name w:val="Style 2"/>
    <w:basedOn w:val="Heading4"/>
    <w:uiPriority w:val="99"/>
    <w:rsid w:val="003A6DD0"/>
  </w:style>
  <w:style w:type="paragraph" w:styleId="CommentSubject">
    <w:name w:val="annotation subject"/>
    <w:basedOn w:val="CommentText"/>
    <w:next w:val="CommentText"/>
    <w:link w:val="CommentSubjectChar"/>
    <w:uiPriority w:val="99"/>
    <w:semiHidden/>
    <w:rsid w:val="003A6DD0"/>
    <w:rPr>
      <w:b/>
      <w:bCs/>
    </w:rPr>
  </w:style>
  <w:style w:type="character" w:customStyle="1" w:styleId="CommentSubjectChar">
    <w:name w:val="Comment Subject Char"/>
    <w:basedOn w:val="CommentTextChar1"/>
    <w:link w:val="CommentSubject"/>
    <w:uiPriority w:val="99"/>
    <w:semiHidden/>
    <w:locked/>
    <w:rsid w:val="003A6DD0"/>
    <w:rPr>
      <w:b/>
      <w:snapToGrid w:val="0"/>
      <w:kern w:val="28"/>
      <w:lang w:val="en-US" w:eastAsia="en-US"/>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uiPriority w:val="99"/>
    <w:semiHidden/>
    <w:locked/>
    <w:rsid w:val="003A6DD0"/>
    <w:rPr>
      <w:rFonts w:eastAsia="Times New Roman"/>
      <w:lang w:val="en-US" w:eastAsia="en-US"/>
    </w:rPr>
  </w:style>
  <w:style w:type="paragraph" w:styleId="NormalWeb">
    <w:name w:val="Normal (Web)"/>
    <w:basedOn w:val="Normal"/>
    <w:uiPriority w:val="99"/>
    <w:rsid w:val="003A6DD0"/>
    <w:rPr>
      <w:sz w:val="24"/>
      <w:szCs w:val="24"/>
    </w:rPr>
  </w:style>
  <w:style w:type="character" w:customStyle="1" w:styleId="FootnoteCharacters">
    <w:name w:val="Footnote Characters"/>
    <w:uiPriority w:val="99"/>
    <w:rsid w:val="003A6DD0"/>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3A6DD0"/>
    <w:rPr>
      <w:lang w:val="en-US" w:eastAsia="ar-SA" w:bidi="ar-SA"/>
    </w:rPr>
  </w:style>
  <w:style w:type="character" w:customStyle="1" w:styleId="CharChar2">
    <w:name w:val="Char Char2"/>
    <w:uiPriority w:val="99"/>
    <w:rsid w:val="003A6DD0"/>
  </w:style>
  <w:style w:type="character" w:customStyle="1" w:styleId="CharChar">
    <w:name w:val="Char Char"/>
    <w:uiPriority w:val="99"/>
    <w:semiHidden/>
    <w:rsid w:val="003A6DD0"/>
    <w:rPr>
      <w:sz w:val="20"/>
    </w:rPr>
  </w:style>
  <w:style w:type="character" w:customStyle="1" w:styleId="EmailStyle841">
    <w:name w:val="EmailStyle841"/>
    <w:uiPriority w:val="99"/>
    <w:semiHidden/>
    <w:rsid w:val="003A6DD0"/>
    <w:rPr>
      <w:rFonts w:ascii="Arial" w:hAnsi="Arial"/>
      <w:color w:val="000080"/>
      <w:sz w:val="20"/>
    </w:rPr>
  </w:style>
  <w:style w:type="paragraph" w:customStyle="1" w:styleId="ColorfulList-Accent11">
    <w:name w:val="Colorful List - Accent 11"/>
    <w:basedOn w:val="Normal"/>
    <w:uiPriority w:val="99"/>
    <w:rsid w:val="003A6DD0"/>
    <w:pPr>
      <w:widowControl/>
      <w:ind w:left="720"/>
      <w:contextualSpacing/>
    </w:pPr>
    <w:rPr>
      <w:kern w:val="0"/>
    </w:rPr>
  </w:style>
  <w:style w:type="character" w:customStyle="1" w:styleId="normaltextfont">
    <w:name w:val="normaltextfont"/>
    <w:uiPriority w:val="99"/>
    <w:rsid w:val="003A6DD0"/>
    <w:rPr>
      <w:rFonts w:ascii="Verdana" w:hAnsi="Verdana"/>
      <w:sz w:val="19"/>
    </w:rPr>
  </w:style>
  <w:style w:type="table" w:styleId="ColorfulShading-Accent5">
    <w:name w:val="Colorful Shading Accent 5"/>
    <w:basedOn w:val="TableNormal"/>
    <w:uiPriority w:val="99"/>
    <w:rsid w:val="003A6DD0"/>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3A6DD0"/>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uiPriority w:val="99"/>
    <w:rsid w:val="003A6DD0"/>
    <w:pPr>
      <w:widowControl/>
      <w:ind w:left="720"/>
      <w:contextualSpacing/>
    </w:pPr>
    <w:rPr>
      <w:kern w:val="0"/>
    </w:rPr>
  </w:style>
  <w:style w:type="paragraph" w:customStyle="1" w:styleId="ColorfulList-Accent13">
    <w:name w:val="Colorful List - Accent 13"/>
    <w:basedOn w:val="Normal"/>
    <w:uiPriority w:val="99"/>
    <w:rsid w:val="003A6DD0"/>
    <w:pPr>
      <w:widowControl/>
      <w:ind w:left="720"/>
      <w:contextualSpacing/>
    </w:pPr>
    <w:rPr>
      <w:kern w:val="0"/>
    </w:rPr>
  </w:style>
  <w:style w:type="character" w:customStyle="1" w:styleId="EmailStyle92">
    <w:name w:val="EmailStyle92"/>
    <w:uiPriority w:val="99"/>
    <w:semiHidden/>
    <w:rsid w:val="003A6DD0"/>
    <w:rPr>
      <w:rFonts w:ascii="Arial" w:hAnsi="Arial"/>
      <w:color w:val="000080"/>
      <w:sz w:val="20"/>
    </w:rPr>
  </w:style>
  <w:style w:type="character" w:customStyle="1" w:styleId="EmailStyle931">
    <w:name w:val="EmailStyle931"/>
    <w:uiPriority w:val="99"/>
    <w:semiHidden/>
    <w:rsid w:val="003A6DD0"/>
    <w:rPr>
      <w:rFonts w:ascii="Arial" w:hAnsi="Arial"/>
      <w:color w:val="000080"/>
      <w:sz w:val="20"/>
    </w:rPr>
  </w:style>
  <w:style w:type="paragraph" w:customStyle="1" w:styleId="Style20">
    <w:name w:val="Style2"/>
    <w:basedOn w:val="Heading4"/>
    <w:uiPriority w:val="99"/>
    <w:rsid w:val="003A6DD0"/>
  </w:style>
  <w:style w:type="paragraph" w:styleId="HTMLPreformatted">
    <w:name w:val="HTML Preformatted"/>
    <w:basedOn w:val="Normal"/>
    <w:link w:val="HTMLPreformattedChar"/>
    <w:uiPriority w:val="99"/>
    <w:rsid w:val="003A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rsid w:val="00105CBC"/>
    <w:rPr>
      <w:rFonts w:ascii="Courier New" w:hAnsi="Courier New" w:cs="Courier New"/>
      <w:kern w:val="28"/>
      <w:sz w:val="20"/>
      <w:szCs w:val="20"/>
    </w:rPr>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semiHidden/>
    <w:locked/>
    <w:rsid w:val="003A6DD0"/>
    <w:rPr>
      <w:lang w:val="en-US" w:eastAsia="en-US"/>
    </w:rPr>
  </w:style>
  <w:style w:type="table" w:styleId="TableGrid">
    <w:name w:val="Table Grid"/>
    <w:basedOn w:val="TableNormal"/>
    <w:uiPriority w:val="99"/>
    <w:rsid w:val="003A6D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55692">
      <w:marLeft w:val="0"/>
      <w:marRight w:val="0"/>
      <w:marTop w:val="0"/>
      <w:marBottom w:val="0"/>
      <w:divBdr>
        <w:top w:val="none" w:sz="0" w:space="0" w:color="auto"/>
        <w:left w:val="none" w:sz="0" w:space="0" w:color="auto"/>
        <w:bottom w:val="none" w:sz="0" w:space="0" w:color="auto"/>
        <w:right w:val="none" w:sz="0" w:space="0" w:color="auto"/>
      </w:divBdr>
      <w:divsChild>
        <w:div w:id="1864855697">
          <w:marLeft w:val="0"/>
          <w:marRight w:val="0"/>
          <w:marTop w:val="0"/>
          <w:marBottom w:val="0"/>
          <w:divBdr>
            <w:top w:val="none" w:sz="0" w:space="0" w:color="auto"/>
            <w:left w:val="none" w:sz="0" w:space="0" w:color="auto"/>
            <w:bottom w:val="none" w:sz="0" w:space="0" w:color="auto"/>
            <w:right w:val="none" w:sz="0" w:space="0" w:color="auto"/>
          </w:divBdr>
          <w:divsChild>
            <w:div w:id="1864855694">
              <w:marLeft w:val="0"/>
              <w:marRight w:val="0"/>
              <w:marTop w:val="0"/>
              <w:marBottom w:val="0"/>
              <w:divBdr>
                <w:top w:val="none" w:sz="0" w:space="0" w:color="auto"/>
                <w:left w:val="none" w:sz="0" w:space="0" w:color="auto"/>
                <w:bottom w:val="none" w:sz="0" w:space="0" w:color="auto"/>
                <w:right w:val="none" w:sz="0" w:space="0" w:color="auto"/>
              </w:divBdr>
              <w:divsChild>
                <w:div w:id="1864855731">
                  <w:marLeft w:val="0"/>
                  <w:marRight w:val="0"/>
                  <w:marTop w:val="0"/>
                  <w:marBottom w:val="0"/>
                  <w:divBdr>
                    <w:top w:val="none" w:sz="0" w:space="0" w:color="auto"/>
                    <w:left w:val="none" w:sz="0" w:space="0" w:color="auto"/>
                    <w:bottom w:val="none" w:sz="0" w:space="0" w:color="auto"/>
                    <w:right w:val="none" w:sz="0" w:space="0" w:color="auto"/>
                  </w:divBdr>
                  <w:divsChild>
                    <w:div w:id="1864855723">
                      <w:marLeft w:val="0"/>
                      <w:marRight w:val="0"/>
                      <w:marTop w:val="0"/>
                      <w:marBottom w:val="0"/>
                      <w:divBdr>
                        <w:top w:val="none" w:sz="0" w:space="0" w:color="auto"/>
                        <w:left w:val="none" w:sz="0" w:space="0" w:color="auto"/>
                        <w:bottom w:val="none" w:sz="0" w:space="0" w:color="auto"/>
                        <w:right w:val="none" w:sz="0" w:space="0" w:color="auto"/>
                      </w:divBdr>
                      <w:divsChild>
                        <w:div w:id="186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693">
      <w:marLeft w:val="0"/>
      <w:marRight w:val="0"/>
      <w:marTop w:val="0"/>
      <w:marBottom w:val="0"/>
      <w:divBdr>
        <w:top w:val="none" w:sz="0" w:space="0" w:color="auto"/>
        <w:left w:val="none" w:sz="0" w:space="0" w:color="auto"/>
        <w:bottom w:val="none" w:sz="0" w:space="0" w:color="auto"/>
        <w:right w:val="none" w:sz="0" w:space="0" w:color="auto"/>
      </w:divBdr>
    </w:div>
    <w:div w:id="1864855696">
      <w:marLeft w:val="0"/>
      <w:marRight w:val="0"/>
      <w:marTop w:val="0"/>
      <w:marBottom w:val="0"/>
      <w:divBdr>
        <w:top w:val="none" w:sz="0" w:space="0" w:color="auto"/>
        <w:left w:val="none" w:sz="0" w:space="0" w:color="auto"/>
        <w:bottom w:val="none" w:sz="0" w:space="0" w:color="auto"/>
        <w:right w:val="none" w:sz="0" w:space="0" w:color="auto"/>
      </w:divBdr>
      <w:divsChild>
        <w:div w:id="1864855717">
          <w:marLeft w:val="0"/>
          <w:marRight w:val="0"/>
          <w:marTop w:val="0"/>
          <w:marBottom w:val="0"/>
          <w:divBdr>
            <w:top w:val="none" w:sz="0" w:space="0" w:color="auto"/>
            <w:left w:val="none" w:sz="0" w:space="0" w:color="auto"/>
            <w:bottom w:val="none" w:sz="0" w:space="0" w:color="auto"/>
            <w:right w:val="none" w:sz="0" w:space="0" w:color="auto"/>
          </w:divBdr>
        </w:div>
      </w:divsChild>
    </w:div>
    <w:div w:id="1864855698">
      <w:marLeft w:val="0"/>
      <w:marRight w:val="0"/>
      <w:marTop w:val="0"/>
      <w:marBottom w:val="0"/>
      <w:divBdr>
        <w:top w:val="none" w:sz="0" w:space="0" w:color="auto"/>
        <w:left w:val="none" w:sz="0" w:space="0" w:color="auto"/>
        <w:bottom w:val="none" w:sz="0" w:space="0" w:color="auto"/>
        <w:right w:val="none" w:sz="0" w:space="0" w:color="auto"/>
      </w:divBdr>
    </w:div>
    <w:div w:id="1864855700">
      <w:marLeft w:val="0"/>
      <w:marRight w:val="0"/>
      <w:marTop w:val="0"/>
      <w:marBottom w:val="0"/>
      <w:divBdr>
        <w:top w:val="none" w:sz="0" w:space="0" w:color="auto"/>
        <w:left w:val="none" w:sz="0" w:space="0" w:color="auto"/>
        <w:bottom w:val="none" w:sz="0" w:space="0" w:color="auto"/>
        <w:right w:val="none" w:sz="0" w:space="0" w:color="auto"/>
      </w:divBdr>
    </w:div>
    <w:div w:id="1864855703">
      <w:marLeft w:val="0"/>
      <w:marRight w:val="0"/>
      <w:marTop w:val="0"/>
      <w:marBottom w:val="0"/>
      <w:divBdr>
        <w:top w:val="none" w:sz="0" w:space="0" w:color="auto"/>
        <w:left w:val="none" w:sz="0" w:space="0" w:color="auto"/>
        <w:bottom w:val="none" w:sz="0" w:space="0" w:color="auto"/>
        <w:right w:val="none" w:sz="0" w:space="0" w:color="auto"/>
      </w:divBdr>
    </w:div>
    <w:div w:id="1864855705">
      <w:marLeft w:val="0"/>
      <w:marRight w:val="0"/>
      <w:marTop w:val="0"/>
      <w:marBottom w:val="0"/>
      <w:divBdr>
        <w:top w:val="none" w:sz="0" w:space="0" w:color="auto"/>
        <w:left w:val="none" w:sz="0" w:space="0" w:color="auto"/>
        <w:bottom w:val="none" w:sz="0" w:space="0" w:color="auto"/>
        <w:right w:val="none" w:sz="0" w:space="0" w:color="auto"/>
      </w:divBdr>
    </w:div>
    <w:div w:id="1864855707">
      <w:marLeft w:val="0"/>
      <w:marRight w:val="0"/>
      <w:marTop w:val="0"/>
      <w:marBottom w:val="0"/>
      <w:divBdr>
        <w:top w:val="none" w:sz="0" w:space="0" w:color="auto"/>
        <w:left w:val="none" w:sz="0" w:space="0" w:color="auto"/>
        <w:bottom w:val="none" w:sz="0" w:space="0" w:color="auto"/>
        <w:right w:val="none" w:sz="0" w:space="0" w:color="auto"/>
      </w:divBdr>
    </w:div>
    <w:div w:id="1864855708">
      <w:marLeft w:val="0"/>
      <w:marRight w:val="0"/>
      <w:marTop w:val="0"/>
      <w:marBottom w:val="0"/>
      <w:divBdr>
        <w:top w:val="none" w:sz="0" w:space="0" w:color="auto"/>
        <w:left w:val="none" w:sz="0" w:space="0" w:color="auto"/>
        <w:bottom w:val="none" w:sz="0" w:space="0" w:color="auto"/>
        <w:right w:val="none" w:sz="0" w:space="0" w:color="auto"/>
      </w:divBdr>
    </w:div>
    <w:div w:id="1864855712">
      <w:marLeft w:val="0"/>
      <w:marRight w:val="0"/>
      <w:marTop w:val="0"/>
      <w:marBottom w:val="0"/>
      <w:divBdr>
        <w:top w:val="none" w:sz="0" w:space="0" w:color="auto"/>
        <w:left w:val="none" w:sz="0" w:space="0" w:color="auto"/>
        <w:bottom w:val="none" w:sz="0" w:space="0" w:color="auto"/>
        <w:right w:val="none" w:sz="0" w:space="0" w:color="auto"/>
      </w:divBdr>
      <w:divsChild>
        <w:div w:id="1864855730">
          <w:marLeft w:val="0"/>
          <w:marRight w:val="0"/>
          <w:marTop w:val="0"/>
          <w:marBottom w:val="0"/>
          <w:divBdr>
            <w:top w:val="none" w:sz="0" w:space="0" w:color="auto"/>
            <w:left w:val="none" w:sz="0" w:space="0" w:color="auto"/>
            <w:bottom w:val="none" w:sz="0" w:space="0" w:color="auto"/>
            <w:right w:val="none" w:sz="0" w:space="0" w:color="auto"/>
          </w:divBdr>
          <w:divsChild>
            <w:div w:id="1864855710">
              <w:marLeft w:val="0"/>
              <w:marRight w:val="0"/>
              <w:marTop w:val="0"/>
              <w:marBottom w:val="0"/>
              <w:divBdr>
                <w:top w:val="none" w:sz="0" w:space="0" w:color="auto"/>
                <w:left w:val="none" w:sz="0" w:space="0" w:color="auto"/>
                <w:bottom w:val="none" w:sz="0" w:space="0" w:color="auto"/>
                <w:right w:val="none" w:sz="0" w:space="0" w:color="auto"/>
              </w:divBdr>
              <w:divsChild>
                <w:div w:id="1864855706">
                  <w:marLeft w:val="0"/>
                  <w:marRight w:val="0"/>
                  <w:marTop w:val="0"/>
                  <w:marBottom w:val="0"/>
                  <w:divBdr>
                    <w:top w:val="none" w:sz="0" w:space="0" w:color="auto"/>
                    <w:left w:val="none" w:sz="0" w:space="0" w:color="auto"/>
                    <w:bottom w:val="none" w:sz="0" w:space="0" w:color="auto"/>
                    <w:right w:val="none" w:sz="0" w:space="0" w:color="auto"/>
                  </w:divBdr>
                  <w:divsChild>
                    <w:div w:id="1864855721">
                      <w:marLeft w:val="0"/>
                      <w:marRight w:val="0"/>
                      <w:marTop w:val="0"/>
                      <w:marBottom w:val="0"/>
                      <w:divBdr>
                        <w:top w:val="none" w:sz="0" w:space="0" w:color="auto"/>
                        <w:left w:val="none" w:sz="0" w:space="0" w:color="auto"/>
                        <w:bottom w:val="none" w:sz="0" w:space="0" w:color="auto"/>
                        <w:right w:val="none" w:sz="0" w:space="0" w:color="auto"/>
                      </w:divBdr>
                      <w:divsChild>
                        <w:div w:id="1864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13">
      <w:marLeft w:val="0"/>
      <w:marRight w:val="0"/>
      <w:marTop w:val="0"/>
      <w:marBottom w:val="0"/>
      <w:divBdr>
        <w:top w:val="none" w:sz="0" w:space="0" w:color="auto"/>
        <w:left w:val="none" w:sz="0" w:space="0" w:color="auto"/>
        <w:bottom w:val="none" w:sz="0" w:space="0" w:color="auto"/>
        <w:right w:val="none" w:sz="0" w:space="0" w:color="auto"/>
      </w:divBdr>
    </w:div>
    <w:div w:id="1864855718">
      <w:marLeft w:val="0"/>
      <w:marRight w:val="0"/>
      <w:marTop w:val="0"/>
      <w:marBottom w:val="0"/>
      <w:divBdr>
        <w:top w:val="none" w:sz="0" w:space="0" w:color="auto"/>
        <w:left w:val="none" w:sz="0" w:space="0" w:color="auto"/>
        <w:bottom w:val="none" w:sz="0" w:space="0" w:color="auto"/>
        <w:right w:val="none" w:sz="0" w:space="0" w:color="auto"/>
      </w:divBdr>
    </w:div>
    <w:div w:id="1864855720">
      <w:marLeft w:val="0"/>
      <w:marRight w:val="0"/>
      <w:marTop w:val="0"/>
      <w:marBottom w:val="0"/>
      <w:divBdr>
        <w:top w:val="none" w:sz="0" w:space="0" w:color="auto"/>
        <w:left w:val="none" w:sz="0" w:space="0" w:color="auto"/>
        <w:bottom w:val="none" w:sz="0" w:space="0" w:color="auto"/>
        <w:right w:val="none" w:sz="0" w:space="0" w:color="auto"/>
      </w:divBdr>
      <w:divsChild>
        <w:div w:id="1864855709">
          <w:marLeft w:val="0"/>
          <w:marRight w:val="0"/>
          <w:marTop w:val="0"/>
          <w:marBottom w:val="0"/>
          <w:divBdr>
            <w:top w:val="none" w:sz="0" w:space="0" w:color="auto"/>
            <w:left w:val="none" w:sz="0" w:space="0" w:color="auto"/>
            <w:bottom w:val="none" w:sz="0" w:space="0" w:color="auto"/>
            <w:right w:val="none" w:sz="0" w:space="0" w:color="auto"/>
          </w:divBdr>
          <w:divsChild>
            <w:div w:id="1864855716">
              <w:marLeft w:val="0"/>
              <w:marRight w:val="0"/>
              <w:marTop w:val="0"/>
              <w:marBottom w:val="0"/>
              <w:divBdr>
                <w:top w:val="none" w:sz="0" w:space="0" w:color="auto"/>
                <w:left w:val="none" w:sz="0" w:space="0" w:color="auto"/>
                <w:bottom w:val="none" w:sz="0" w:space="0" w:color="auto"/>
                <w:right w:val="none" w:sz="0" w:space="0" w:color="auto"/>
              </w:divBdr>
              <w:divsChild>
                <w:div w:id="1864855701">
                  <w:marLeft w:val="0"/>
                  <w:marRight w:val="0"/>
                  <w:marTop w:val="0"/>
                  <w:marBottom w:val="0"/>
                  <w:divBdr>
                    <w:top w:val="none" w:sz="0" w:space="0" w:color="auto"/>
                    <w:left w:val="none" w:sz="0" w:space="0" w:color="auto"/>
                    <w:bottom w:val="none" w:sz="0" w:space="0" w:color="auto"/>
                    <w:right w:val="none" w:sz="0" w:space="0" w:color="auto"/>
                  </w:divBdr>
                  <w:divsChild>
                    <w:div w:id="1864855711">
                      <w:marLeft w:val="0"/>
                      <w:marRight w:val="0"/>
                      <w:marTop w:val="0"/>
                      <w:marBottom w:val="0"/>
                      <w:divBdr>
                        <w:top w:val="none" w:sz="0" w:space="0" w:color="auto"/>
                        <w:left w:val="none" w:sz="0" w:space="0" w:color="auto"/>
                        <w:bottom w:val="none" w:sz="0" w:space="0" w:color="auto"/>
                        <w:right w:val="none" w:sz="0" w:space="0" w:color="auto"/>
                      </w:divBdr>
                      <w:divsChild>
                        <w:div w:id="1864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22">
      <w:marLeft w:val="0"/>
      <w:marRight w:val="0"/>
      <w:marTop w:val="0"/>
      <w:marBottom w:val="0"/>
      <w:divBdr>
        <w:top w:val="none" w:sz="0" w:space="0" w:color="auto"/>
        <w:left w:val="none" w:sz="0" w:space="0" w:color="auto"/>
        <w:bottom w:val="none" w:sz="0" w:space="0" w:color="auto"/>
        <w:right w:val="none" w:sz="0" w:space="0" w:color="auto"/>
      </w:divBdr>
    </w:div>
    <w:div w:id="1864855724">
      <w:marLeft w:val="0"/>
      <w:marRight w:val="0"/>
      <w:marTop w:val="0"/>
      <w:marBottom w:val="0"/>
      <w:divBdr>
        <w:top w:val="none" w:sz="0" w:space="0" w:color="auto"/>
        <w:left w:val="none" w:sz="0" w:space="0" w:color="auto"/>
        <w:bottom w:val="none" w:sz="0" w:space="0" w:color="auto"/>
        <w:right w:val="none" w:sz="0" w:space="0" w:color="auto"/>
      </w:divBdr>
      <w:divsChild>
        <w:div w:id="1864855715">
          <w:marLeft w:val="0"/>
          <w:marRight w:val="0"/>
          <w:marTop w:val="0"/>
          <w:marBottom w:val="0"/>
          <w:divBdr>
            <w:top w:val="none" w:sz="0" w:space="0" w:color="auto"/>
            <w:left w:val="none" w:sz="0" w:space="0" w:color="auto"/>
            <w:bottom w:val="none" w:sz="0" w:space="0" w:color="auto"/>
            <w:right w:val="none" w:sz="0" w:space="0" w:color="auto"/>
          </w:divBdr>
          <w:divsChild>
            <w:div w:id="1864855714">
              <w:marLeft w:val="0"/>
              <w:marRight w:val="0"/>
              <w:marTop w:val="0"/>
              <w:marBottom w:val="0"/>
              <w:divBdr>
                <w:top w:val="none" w:sz="0" w:space="0" w:color="auto"/>
                <w:left w:val="none" w:sz="0" w:space="0" w:color="auto"/>
                <w:bottom w:val="none" w:sz="0" w:space="0" w:color="auto"/>
                <w:right w:val="none" w:sz="0" w:space="0" w:color="auto"/>
              </w:divBdr>
              <w:divsChild>
                <w:div w:id="1864855727">
                  <w:marLeft w:val="0"/>
                  <w:marRight w:val="0"/>
                  <w:marTop w:val="0"/>
                  <w:marBottom w:val="0"/>
                  <w:divBdr>
                    <w:top w:val="none" w:sz="0" w:space="0" w:color="auto"/>
                    <w:left w:val="none" w:sz="0" w:space="0" w:color="auto"/>
                    <w:bottom w:val="none" w:sz="0" w:space="0" w:color="auto"/>
                    <w:right w:val="none" w:sz="0" w:space="0" w:color="auto"/>
                  </w:divBdr>
                  <w:divsChild>
                    <w:div w:id="1864855719">
                      <w:marLeft w:val="0"/>
                      <w:marRight w:val="0"/>
                      <w:marTop w:val="0"/>
                      <w:marBottom w:val="0"/>
                      <w:divBdr>
                        <w:top w:val="none" w:sz="0" w:space="0" w:color="auto"/>
                        <w:left w:val="none" w:sz="0" w:space="0" w:color="auto"/>
                        <w:bottom w:val="none" w:sz="0" w:space="0" w:color="auto"/>
                        <w:right w:val="none" w:sz="0" w:space="0" w:color="auto"/>
                      </w:divBdr>
                      <w:divsChild>
                        <w:div w:id="18648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25">
      <w:marLeft w:val="0"/>
      <w:marRight w:val="0"/>
      <w:marTop w:val="0"/>
      <w:marBottom w:val="0"/>
      <w:divBdr>
        <w:top w:val="none" w:sz="0" w:space="0" w:color="auto"/>
        <w:left w:val="none" w:sz="0" w:space="0" w:color="auto"/>
        <w:bottom w:val="none" w:sz="0" w:space="0" w:color="auto"/>
        <w:right w:val="none" w:sz="0" w:space="0" w:color="auto"/>
      </w:divBdr>
    </w:div>
    <w:div w:id="1864855726">
      <w:marLeft w:val="0"/>
      <w:marRight w:val="0"/>
      <w:marTop w:val="0"/>
      <w:marBottom w:val="0"/>
      <w:divBdr>
        <w:top w:val="none" w:sz="0" w:space="0" w:color="auto"/>
        <w:left w:val="none" w:sz="0" w:space="0" w:color="auto"/>
        <w:bottom w:val="none" w:sz="0" w:space="0" w:color="auto"/>
        <w:right w:val="none" w:sz="0" w:space="0" w:color="auto"/>
      </w:divBdr>
    </w:div>
    <w:div w:id="1864855728">
      <w:marLeft w:val="0"/>
      <w:marRight w:val="0"/>
      <w:marTop w:val="0"/>
      <w:marBottom w:val="0"/>
      <w:divBdr>
        <w:top w:val="none" w:sz="0" w:space="0" w:color="auto"/>
        <w:left w:val="none" w:sz="0" w:space="0" w:color="auto"/>
        <w:bottom w:val="none" w:sz="0" w:space="0" w:color="auto"/>
        <w:right w:val="none" w:sz="0" w:space="0" w:color="auto"/>
      </w:divBdr>
    </w:div>
    <w:div w:id="1864855729">
      <w:marLeft w:val="0"/>
      <w:marRight w:val="0"/>
      <w:marTop w:val="0"/>
      <w:marBottom w:val="0"/>
      <w:divBdr>
        <w:top w:val="none" w:sz="0" w:space="0" w:color="auto"/>
        <w:left w:val="none" w:sz="0" w:space="0" w:color="auto"/>
        <w:bottom w:val="none" w:sz="0" w:space="0" w:color="auto"/>
        <w:right w:val="none" w:sz="0" w:space="0" w:color="auto"/>
      </w:divBdr>
    </w:div>
    <w:div w:id="1864855732">
      <w:marLeft w:val="0"/>
      <w:marRight w:val="0"/>
      <w:marTop w:val="0"/>
      <w:marBottom w:val="0"/>
      <w:divBdr>
        <w:top w:val="none" w:sz="0" w:space="0" w:color="auto"/>
        <w:left w:val="none" w:sz="0" w:space="0" w:color="auto"/>
        <w:bottom w:val="none" w:sz="0" w:space="0" w:color="auto"/>
        <w:right w:val="none" w:sz="0" w:space="0" w:color="auto"/>
      </w:divBdr>
    </w:div>
    <w:div w:id="1864855733">
      <w:marLeft w:val="0"/>
      <w:marRight w:val="0"/>
      <w:marTop w:val="30"/>
      <w:marBottom w:val="750"/>
      <w:divBdr>
        <w:top w:val="none" w:sz="0" w:space="0" w:color="auto"/>
        <w:left w:val="none" w:sz="0" w:space="0" w:color="auto"/>
        <w:bottom w:val="none" w:sz="0" w:space="0" w:color="auto"/>
        <w:right w:val="none" w:sz="0" w:space="0" w:color="auto"/>
      </w:divBdr>
      <w:divsChild>
        <w:div w:id="1864855765">
          <w:marLeft w:val="0"/>
          <w:marRight w:val="0"/>
          <w:marTop w:val="0"/>
          <w:marBottom w:val="0"/>
          <w:divBdr>
            <w:top w:val="none" w:sz="0" w:space="0" w:color="auto"/>
            <w:left w:val="none" w:sz="0" w:space="0" w:color="auto"/>
            <w:bottom w:val="none" w:sz="0" w:space="0" w:color="auto"/>
            <w:right w:val="none" w:sz="0" w:space="0" w:color="auto"/>
          </w:divBdr>
        </w:div>
      </w:divsChild>
    </w:div>
    <w:div w:id="1864855737">
      <w:marLeft w:val="0"/>
      <w:marRight w:val="0"/>
      <w:marTop w:val="30"/>
      <w:marBottom w:val="750"/>
      <w:divBdr>
        <w:top w:val="none" w:sz="0" w:space="0" w:color="auto"/>
        <w:left w:val="none" w:sz="0" w:space="0" w:color="auto"/>
        <w:bottom w:val="none" w:sz="0" w:space="0" w:color="auto"/>
        <w:right w:val="none" w:sz="0" w:space="0" w:color="auto"/>
      </w:divBdr>
      <w:divsChild>
        <w:div w:id="1864855748">
          <w:marLeft w:val="0"/>
          <w:marRight w:val="0"/>
          <w:marTop w:val="0"/>
          <w:marBottom w:val="0"/>
          <w:divBdr>
            <w:top w:val="none" w:sz="0" w:space="0" w:color="auto"/>
            <w:left w:val="none" w:sz="0" w:space="0" w:color="auto"/>
            <w:bottom w:val="none" w:sz="0" w:space="0" w:color="auto"/>
            <w:right w:val="none" w:sz="0" w:space="0" w:color="auto"/>
          </w:divBdr>
        </w:div>
      </w:divsChild>
    </w:div>
    <w:div w:id="1864855740">
      <w:marLeft w:val="0"/>
      <w:marRight w:val="0"/>
      <w:marTop w:val="30"/>
      <w:marBottom w:val="750"/>
      <w:divBdr>
        <w:top w:val="none" w:sz="0" w:space="0" w:color="auto"/>
        <w:left w:val="none" w:sz="0" w:space="0" w:color="auto"/>
        <w:bottom w:val="none" w:sz="0" w:space="0" w:color="auto"/>
        <w:right w:val="none" w:sz="0" w:space="0" w:color="auto"/>
      </w:divBdr>
      <w:divsChild>
        <w:div w:id="1864855738">
          <w:marLeft w:val="0"/>
          <w:marRight w:val="0"/>
          <w:marTop w:val="0"/>
          <w:marBottom w:val="0"/>
          <w:divBdr>
            <w:top w:val="none" w:sz="0" w:space="0" w:color="auto"/>
            <w:left w:val="none" w:sz="0" w:space="0" w:color="auto"/>
            <w:bottom w:val="none" w:sz="0" w:space="0" w:color="auto"/>
            <w:right w:val="none" w:sz="0" w:space="0" w:color="auto"/>
          </w:divBdr>
        </w:div>
      </w:divsChild>
    </w:div>
    <w:div w:id="1864855745">
      <w:marLeft w:val="0"/>
      <w:marRight w:val="0"/>
      <w:marTop w:val="30"/>
      <w:marBottom w:val="750"/>
      <w:divBdr>
        <w:top w:val="none" w:sz="0" w:space="0" w:color="auto"/>
        <w:left w:val="none" w:sz="0" w:space="0" w:color="auto"/>
        <w:bottom w:val="none" w:sz="0" w:space="0" w:color="auto"/>
        <w:right w:val="none" w:sz="0" w:space="0" w:color="auto"/>
      </w:divBdr>
      <w:divsChild>
        <w:div w:id="1864855769">
          <w:marLeft w:val="0"/>
          <w:marRight w:val="0"/>
          <w:marTop w:val="0"/>
          <w:marBottom w:val="0"/>
          <w:divBdr>
            <w:top w:val="none" w:sz="0" w:space="0" w:color="auto"/>
            <w:left w:val="none" w:sz="0" w:space="0" w:color="auto"/>
            <w:bottom w:val="none" w:sz="0" w:space="0" w:color="auto"/>
            <w:right w:val="none" w:sz="0" w:space="0" w:color="auto"/>
          </w:divBdr>
        </w:div>
      </w:divsChild>
    </w:div>
    <w:div w:id="1864855746">
      <w:marLeft w:val="0"/>
      <w:marRight w:val="0"/>
      <w:marTop w:val="30"/>
      <w:marBottom w:val="750"/>
      <w:divBdr>
        <w:top w:val="none" w:sz="0" w:space="0" w:color="auto"/>
        <w:left w:val="none" w:sz="0" w:space="0" w:color="auto"/>
        <w:bottom w:val="none" w:sz="0" w:space="0" w:color="auto"/>
        <w:right w:val="none" w:sz="0" w:space="0" w:color="auto"/>
      </w:divBdr>
      <w:divsChild>
        <w:div w:id="1864855755">
          <w:marLeft w:val="0"/>
          <w:marRight w:val="0"/>
          <w:marTop w:val="0"/>
          <w:marBottom w:val="0"/>
          <w:divBdr>
            <w:top w:val="none" w:sz="0" w:space="0" w:color="auto"/>
            <w:left w:val="none" w:sz="0" w:space="0" w:color="auto"/>
            <w:bottom w:val="none" w:sz="0" w:space="0" w:color="auto"/>
            <w:right w:val="none" w:sz="0" w:space="0" w:color="auto"/>
          </w:divBdr>
        </w:div>
      </w:divsChild>
    </w:div>
    <w:div w:id="1864855747">
      <w:marLeft w:val="0"/>
      <w:marRight w:val="0"/>
      <w:marTop w:val="30"/>
      <w:marBottom w:val="750"/>
      <w:divBdr>
        <w:top w:val="none" w:sz="0" w:space="0" w:color="auto"/>
        <w:left w:val="none" w:sz="0" w:space="0" w:color="auto"/>
        <w:bottom w:val="none" w:sz="0" w:space="0" w:color="auto"/>
        <w:right w:val="none" w:sz="0" w:space="0" w:color="auto"/>
      </w:divBdr>
      <w:divsChild>
        <w:div w:id="1864855744">
          <w:marLeft w:val="0"/>
          <w:marRight w:val="0"/>
          <w:marTop w:val="0"/>
          <w:marBottom w:val="0"/>
          <w:divBdr>
            <w:top w:val="none" w:sz="0" w:space="0" w:color="auto"/>
            <w:left w:val="none" w:sz="0" w:space="0" w:color="auto"/>
            <w:bottom w:val="none" w:sz="0" w:space="0" w:color="auto"/>
            <w:right w:val="none" w:sz="0" w:space="0" w:color="auto"/>
          </w:divBdr>
        </w:div>
      </w:divsChild>
    </w:div>
    <w:div w:id="1864855750">
      <w:marLeft w:val="0"/>
      <w:marRight w:val="0"/>
      <w:marTop w:val="30"/>
      <w:marBottom w:val="750"/>
      <w:divBdr>
        <w:top w:val="none" w:sz="0" w:space="0" w:color="auto"/>
        <w:left w:val="none" w:sz="0" w:space="0" w:color="auto"/>
        <w:bottom w:val="none" w:sz="0" w:space="0" w:color="auto"/>
        <w:right w:val="none" w:sz="0" w:space="0" w:color="auto"/>
      </w:divBdr>
      <w:divsChild>
        <w:div w:id="1864855780">
          <w:marLeft w:val="0"/>
          <w:marRight w:val="0"/>
          <w:marTop w:val="0"/>
          <w:marBottom w:val="0"/>
          <w:divBdr>
            <w:top w:val="none" w:sz="0" w:space="0" w:color="auto"/>
            <w:left w:val="none" w:sz="0" w:space="0" w:color="auto"/>
            <w:bottom w:val="none" w:sz="0" w:space="0" w:color="auto"/>
            <w:right w:val="none" w:sz="0" w:space="0" w:color="auto"/>
          </w:divBdr>
        </w:div>
      </w:divsChild>
    </w:div>
    <w:div w:id="1864855751">
      <w:marLeft w:val="0"/>
      <w:marRight w:val="0"/>
      <w:marTop w:val="30"/>
      <w:marBottom w:val="750"/>
      <w:divBdr>
        <w:top w:val="none" w:sz="0" w:space="0" w:color="auto"/>
        <w:left w:val="none" w:sz="0" w:space="0" w:color="auto"/>
        <w:bottom w:val="none" w:sz="0" w:space="0" w:color="auto"/>
        <w:right w:val="none" w:sz="0" w:space="0" w:color="auto"/>
      </w:divBdr>
      <w:divsChild>
        <w:div w:id="1864855779">
          <w:marLeft w:val="0"/>
          <w:marRight w:val="0"/>
          <w:marTop w:val="0"/>
          <w:marBottom w:val="0"/>
          <w:divBdr>
            <w:top w:val="none" w:sz="0" w:space="0" w:color="auto"/>
            <w:left w:val="none" w:sz="0" w:space="0" w:color="auto"/>
            <w:bottom w:val="none" w:sz="0" w:space="0" w:color="auto"/>
            <w:right w:val="none" w:sz="0" w:space="0" w:color="auto"/>
          </w:divBdr>
        </w:div>
      </w:divsChild>
    </w:div>
    <w:div w:id="1864855753">
      <w:marLeft w:val="0"/>
      <w:marRight w:val="0"/>
      <w:marTop w:val="0"/>
      <w:marBottom w:val="0"/>
      <w:divBdr>
        <w:top w:val="none" w:sz="0" w:space="0" w:color="auto"/>
        <w:left w:val="none" w:sz="0" w:space="0" w:color="auto"/>
        <w:bottom w:val="none" w:sz="0" w:space="0" w:color="auto"/>
        <w:right w:val="none" w:sz="0" w:space="0" w:color="auto"/>
      </w:divBdr>
      <w:divsChild>
        <w:div w:id="1864855761">
          <w:marLeft w:val="0"/>
          <w:marRight w:val="0"/>
          <w:marTop w:val="0"/>
          <w:marBottom w:val="0"/>
          <w:divBdr>
            <w:top w:val="none" w:sz="0" w:space="0" w:color="auto"/>
            <w:left w:val="none" w:sz="0" w:space="0" w:color="auto"/>
            <w:bottom w:val="none" w:sz="0" w:space="0" w:color="auto"/>
            <w:right w:val="none" w:sz="0" w:space="0" w:color="auto"/>
          </w:divBdr>
          <w:divsChild>
            <w:div w:id="1864855749">
              <w:marLeft w:val="0"/>
              <w:marRight w:val="0"/>
              <w:marTop w:val="0"/>
              <w:marBottom w:val="0"/>
              <w:divBdr>
                <w:top w:val="none" w:sz="0" w:space="0" w:color="auto"/>
                <w:left w:val="none" w:sz="0" w:space="0" w:color="auto"/>
                <w:bottom w:val="none" w:sz="0" w:space="0" w:color="auto"/>
                <w:right w:val="none" w:sz="0" w:space="0" w:color="auto"/>
              </w:divBdr>
              <w:divsChild>
                <w:div w:id="1864855785">
                  <w:marLeft w:val="0"/>
                  <w:marRight w:val="0"/>
                  <w:marTop w:val="0"/>
                  <w:marBottom w:val="0"/>
                  <w:divBdr>
                    <w:top w:val="none" w:sz="0" w:space="0" w:color="auto"/>
                    <w:left w:val="none" w:sz="0" w:space="0" w:color="auto"/>
                    <w:bottom w:val="none" w:sz="0" w:space="0" w:color="auto"/>
                    <w:right w:val="none" w:sz="0" w:space="0" w:color="auto"/>
                  </w:divBdr>
                  <w:divsChild>
                    <w:div w:id="1864855782">
                      <w:marLeft w:val="0"/>
                      <w:marRight w:val="0"/>
                      <w:marTop w:val="0"/>
                      <w:marBottom w:val="0"/>
                      <w:divBdr>
                        <w:top w:val="none" w:sz="0" w:space="0" w:color="auto"/>
                        <w:left w:val="none" w:sz="0" w:space="0" w:color="auto"/>
                        <w:bottom w:val="none" w:sz="0" w:space="0" w:color="auto"/>
                        <w:right w:val="none" w:sz="0" w:space="0" w:color="auto"/>
                      </w:divBdr>
                      <w:divsChild>
                        <w:div w:id="1864855760">
                          <w:marLeft w:val="0"/>
                          <w:marRight w:val="450"/>
                          <w:marTop w:val="0"/>
                          <w:marBottom w:val="0"/>
                          <w:divBdr>
                            <w:top w:val="none" w:sz="0" w:space="0" w:color="auto"/>
                            <w:left w:val="none" w:sz="0" w:space="0" w:color="auto"/>
                            <w:bottom w:val="none" w:sz="0" w:space="0" w:color="auto"/>
                            <w:right w:val="none" w:sz="0" w:space="0" w:color="auto"/>
                          </w:divBdr>
                          <w:divsChild>
                            <w:div w:id="1864855764">
                              <w:marLeft w:val="0"/>
                              <w:marRight w:val="0"/>
                              <w:marTop w:val="0"/>
                              <w:marBottom w:val="0"/>
                              <w:divBdr>
                                <w:top w:val="none" w:sz="0" w:space="0" w:color="auto"/>
                                <w:left w:val="none" w:sz="0" w:space="0" w:color="auto"/>
                                <w:bottom w:val="none" w:sz="0" w:space="0" w:color="auto"/>
                                <w:right w:val="none" w:sz="0" w:space="0" w:color="auto"/>
                              </w:divBdr>
                              <w:divsChild>
                                <w:div w:id="1864855743">
                                  <w:marLeft w:val="0"/>
                                  <w:marRight w:val="0"/>
                                  <w:marTop w:val="0"/>
                                  <w:marBottom w:val="75"/>
                                  <w:divBdr>
                                    <w:top w:val="none" w:sz="0" w:space="0" w:color="auto"/>
                                    <w:left w:val="none" w:sz="0" w:space="0" w:color="auto"/>
                                    <w:bottom w:val="none" w:sz="0" w:space="0" w:color="auto"/>
                                    <w:right w:val="none" w:sz="0" w:space="0" w:color="auto"/>
                                  </w:divBdr>
                                  <w:divsChild>
                                    <w:div w:id="18648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55754">
      <w:marLeft w:val="0"/>
      <w:marRight w:val="0"/>
      <w:marTop w:val="30"/>
      <w:marBottom w:val="750"/>
      <w:divBdr>
        <w:top w:val="none" w:sz="0" w:space="0" w:color="auto"/>
        <w:left w:val="none" w:sz="0" w:space="0" w:color="auto"/>
        <w:bottom w:val="none" w:sz="0" w:space="0" w:color="auto"/>
        <w:right w:val="none" w:sz="0" w:space="0" w:color="auto"/>
      </w:divBdr>
      <w:divsChild>
        <w:div w:id="1864855736">
          <w:marLeft w:val="0"/>
          <w:marRight w:val="0"/>
          <w:marTop w:val="0"/>
          <w:marBottom w:val="0"/>
          <w:divBdr>
            <w:top w:val="none" w:sz="0" w:space="0" w:color="auto"/>
            <w:left w:val="none" w:sz="0" w:space="0" w:color="auto"/>
            <w:bottom w:val="none" w:sz="0" w:space="0" w:color="auto"/>
            <w:right w:val="none" w:sz="0" w:space="0" w:color="auto"/>
          </w:divBdr>
        </w:div>
      </w:divsChild>
    </w:div>
    <w:div w:id="1864855756">
      <w:marLeft w:val="0"/>
      <w:marRight w:val="0"/>
      <w:marTop w:val="30"/>
      <w:marBottom w:val="750"/>
      <w:divBdr>
        <w:top w:val="none" w:sz="0" w:space="0" w:color="auto"/>
        <w:left w:val="none" w:sz="0" w:space="0" w:color="auto"/>
        <w:bottom w:val="none" w:sz="0" w:space="0" w:color="auto"/>
        <w:right w:val="none" w:sz="0" w:space="0" w:color="auto"/>
      </w:divBdr>
      <w:divsChild>
        <w:div w:id="1864855783">
          <w:marLeft w:val="0"/>
          <w:marRight w:val="0"/>
          <w:marTop w:val="0"/>
          <w:marBottom w:val="0"/>
          <w:divBdr>
            <w:top w:val="none" w:sz="0" w:space="0" w:color="auto"/>
            <w:left w:val="none" w:sz="0" w:space="0" w:color="auto"/>
            <w:bottom w:val="none" w:sz="0" w:space="0" w:color="auto"/>
            <w:right w:val="none" w:sz="0" w:space="0" w:color="auto"/>
          </w:divBdr>
        </w:div>
      </w:divsChild>
    </w:div>
    <w:div w:id="1864855757">
      <w:marLeft w:val="0"/>
      <w:marRight w:val="0"/>
      <w:marTop w:val="0"/>
      <w:marBottom w:val="0"/>
      <w:divBdr>
        <w:top w:val="none" w:sz="0" w:space="0" w:color="auto"/>
        <w:left w:val="none" w:sz="0" w:space="0" w:color="auto"/>
        <w:bottom w:val="none" w:sz="0" w:space="0" w:color="auto"/>
        <w:right w:val="none" w:sz="0" w:space="0" w:color="auto"/>
      </w:divBdr>
    </w:div>
    <w:div w:id="1864855759">
      <w:marLeft w:val="0"/>
      <w:marRight w:val="0"/>
      <w:marTop w:val="30"/>
      <w:marBottom w:val="750"/>
      <w:divBdr>
        <w:top w:val="none" w:sz="0" w:space="0" w:color="auto"/>
        <w:left w:val="none" w:sz="0" w:space="0" w:color="auto"/>
        <w:bottom w:val="none" w:sz="0" w:space="0" w:color="auto"/>
        <w:right w:val="none" w:sz="0" w:space="0" w:color="auto"/>
      </w:divBdr>
      <w:divsChild>
        <w:div w:id="1864855758">
          <w:marLeft w:val="0"/>
          <w:marRight w:val="0"/>
          <w:marTop w:val="0"/>
          <w:marBottom w:val="0"/>
          <w:divBdr>
            <w:top w:val="none" w:sz="0" w:space="0" w:color="auto"/>
            <w:left w:val="none" w:sz="0" w:space="0" w:color="auto"/>
            <w:bottom w:val="none" w:sz="0" w:space="0" w:color="auto"/>
            <w:right w:val="none" w:sz="0" w:space="0" w:color="auto"/>
          </w:divBdr>
        </w:div>
      </w:divsChild>
    </w:div>
    <w:div w:id="1864855766">
      <w:marLeft w:val="0"/>
      <w:marRight w:val="0"/>
      <w:marTop w:val="30"/>
      <w:marBottom w:val="750"/>
      <w:divBdr>
        <w:top w:val="none" w:sz="0" w:space="0" w:color="auto"/>
        <w:left w:val="none" w:sz="0" w:space="0" w:color="auto"/>
        <w:bottom w:val="none" w:sz="0" w:space="0" w:color="auto"/>
        <w:right w:val="none" w:sz="0" w:space="0" w:color="auto"/>
      </w:divBdr>
      <w:divsChild>
        <w:div w:id="1864855734">
          <w:marLeft w:val="0"/>
          <w:marRight w:val="0"/>
          <w:marTop w:val="0"/>
          <w:marBottom w:val="0"/>
          <w:divBdr>
            <w:top w:val="none" w:sz="0" w:space="0" w:color="auto"/>
            <w:left w:val="none" w:sz="0" w:space="0" w:color="auto"/>
            <w:bottom w:val="none" w:sz="0" w:space="0" w:color="auto"/>
            <w:right w:val="none" w:sz="0" w:space="0" w:color="auto"/>
          </w:divBdr>
        </w:div>
      </w:divsChild>
    </w:div>
    <w:div w:id="1864855768">
      <w:marLeft w:val="0"/>
      <w:marRight w:val="0"/>
      <w:marTop w:val="30"/>
      <w:marBottom w:val="750"/>
      <w:divBdr>
        <w:top w:val="none" w:sz="0" w:space="0" w:color="auto"/>
        <w:left w:val="none" w:sz="0" w:space="0" w:color="auto"/>
        <w:bottom w:val="none" w:sz="0" w:space="0" w:color="auto"/>
        <w:right w:val="none" w:sz="0" w:space="0" w:color="auto"/>
      </w:divBdr>
      <w:divsChild>
        <w:div w:id="1864855773">
          <w:marLeft w:val="0"/>
          <w:marRight w:val="0"/>
          <w:marTop w:val="0"/>
          <w:marBottom w:val="0"/>
          <w:divBdr>
            <w:top w:val="none" w:sz="0" w:space="0" w:color="auto"/>
            <w:left w:val="none" w:sz="0" w:space="0" w:color="auto"/>
            <w:bottom w:val="none" w:sz="0" w:space="0" w:color="auto"/>
            <w:right w:val="none" w:sz="0" w:space="0" w:color="auto"/>
          </w:divBdr>
        </w:div>
      </w:divsChild>
    </w:div>
    <w:div w:id="1864855770">
      <w:marLeft w:val="0"/>
      <w:marRight w:val="0"/>
      <w:marTop w:val="0"/>
      <w:marBottom w:val="0"/>
      <w:divBdr>
        <w:top w:val="none" w:sz="0" w:space="0" w:color="auto"/>
        <w:left w:val="none" w:sz="0" w:space="0" w:color="auto"/>
        <w:bottom w:val="none" w:sz="0" w:space="0" w:color="auto"/>
        <w:right w:val="none" w:sz="0" w:space="0" w:color="auto"/>
      </w:divBdr>
    </w:div>
    <w:div w:id="1864855771">
      <w:marLeft w:val="0"/>
      <w:marRight w:val="0"/>
      <w:marTop w:val="30"/>
      <w:marBottom w:val="750"/>
      <w:divBdr>
        <w:top w:val="none" w:sz="0" w:space="0" w:color="auto"/>
        <w:left w:val="none" w:sz="0" w:space="0" w:color="auto"/>
        <w:bottom w:val="none" w:sz="0" w:space="0" w:color="auto"/>
        <w:right w:val="none" w:sz="0" w:space="0" w:color="auto"/>
      </w:divBdr>
      <w:divsChild>
        <w:div w:id="1864855778">
          <w:marLeft w:val="0"/>
          <w:marRight w:val="0"/>
          <w:marTop w:val="0"/>
          <w:marBottom w:val="0"/>
          <w:divBdr>
            <w:top w:val="none" w:sz="0" w:space="0" w:color="auto"/>
            <w:left w:val="none" w:sz="0" w:space="0" w:color="auto"/>
            <w:bottom w:val="none" w:sz="0" w:space="0" w:color="auto"/>
            <w:right w:val="none" w:sz="0" w:space="0" w:color="auto"/>
          </w:divBdr>
        </w:div>
      </w:divsChild>
    </w:div>
    <w:div w:id="1864855774">
      <w:marLeft w:val="0"/>
      <w:marRight w:val="0"/>
      <w:marTop w:val="0"/>
      <w:marBottom w:val="0"/>
      <w:divBdr>
        <w:top w:val="none" w:sz="0" w:space="0" w:color="auto"/>
        <w:left w:val="none" w:sz="0" w:space="0" w:color="auto"/>
        <w:bottom w:val="none" w:sz="0" w:space="0" w:color="auto"/>
        <w:right w:val="none" w:sz="0" w:space="0" w:color="auto"/>
      </w:divBdr>
      <w:divsChild>
        <w:div w:id="1864855742">
          <w:marLeft w:val="0"/>
          <w:marRight w:val="0"/>
          <w:marTop w:val="0"/>
          <w:marBottom w:val="0"/>
          <w:divBdr>
            <w:top w:val="none" w:sz="0" w:space="0" w:color="auto"/>
            <w:left w:val="none" w:sz="0" w:space="0" w:color="auto"/>
            <w:bottom w:val="none" w:sz="0" w:space="0" w:color="auto"/>
            <w:right w:val="none" w:sz="0" w:space="0" w:color="auto"/>
          </w:divBdr>
          <w:divsChild>
            <w:div w:id="18648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75">
      <w:marLeft w:val="0"/>
      <w:marRight w:val="0"/>
      <w:marTop w:val="30"/>
      <w:marBottom w:val="750"/>
      <w:divBdr>
        <w:top w:val="none" w:sz="0" w:space="0" w:color="auto"/>
        <w:left w:val="none" w:sz="0" w:space="0" w:color="auto"/>
        <w:bottom w:val="none" w:sz="0" w:space="0" w:color="auto"/>
        <w:right w:val="none" w:sz="0" w:space="0" w:color="auto"/>
      </w:divBdr>
      <w:divsChild>
        <w:div w:id="1864855763">
          <w:marLeft w:val="0"/>
          <w:marRight w:val="0"/>
          <w:marTop w:val="0"/>
          <w:marBottom w:val="0"/>
          <w:divBdr>
            <w:top w:val="none" w:sz="0" w:space="0" w:color="auto"/>
            <w:left w:val="none" w:sz="0" w:space="0" w:color="auto"/>
            <w:bottom w:val="none" w:sz="0" w:space="0" w:color="auto"/>
            <w:right w:val="none" w:sz="0" w:space="0" w:color="auto"/>
          </w:divBdr>
        </w:div>
      </w:divsChild>
    </w:div>
    <w:div w:id="1864855777">
      <w:marLeft w:val="0"/>
      <w:marRight w:val="0"/>
      <w:marTop w:val="0"/>
      <w:marBottom w:val="0"/>
      <w:divBdr>
        <w:top w:val="none" w:sz="0" w:space="0" w:color="auto"/>
        <w:left w:val="none" w:sz="0" w:space="0" w:color="auto"/>
        <w:bottom w:val="none" w:sz="0" w:space="0" w:color="auto"/>
        <w:right w:val="none" w:sz="0" w:space="0" w:color="auto"/>
      </w:divBdr>
      <w:divsChild>
        <w:div w:id="1864855739">
          <w:marLeft w:val="0"/>
          <w:marRight w:val="0"/>
          <w:marTop w:val="0"/>
          <w:marBottom w:val="0"/>
          <w:divBdr>
            <w:top w:val="none" w:sz="0" w:space="0" w:color="auto"/>
            <w:left w:val="none" w:sz="0" w:space="0" w:color="auto"/>
            <w:bottom w:val="none" w:sz="0" w:space="0" w:color="auto"/>
            <w:right w:val="none" w:sz="0" w:space="0" w:color="auto"/>
          </w:divBdr>
          <w:divsChild>
            <w:div w:id="1864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81">
      <w:marLeft w:val="0"/>
      <w:marRight w:val="0"/>
      <w:marTop w:val="30"/>
      <w:marBottom w:val="750"/>
      <w:divBdr>
        <w:top w:val="none" w:sz="0" w:space="0" w:color="auto"/>
        <w:left w:val="none" w:sz="0" w:space="0" w:color="auto"/>
        <w:bottom w:val="none" w:sz="0" w:space="0" w:color="auto"/>
        <w:right w:val="none" w:sz="0" w:space="0" w:color="auto"/>
      </w:divBdr>
      <w:divsChild>
        <w:div w:id="1864855762">
          <w:marLeft w:val="0"/>
          <w:marRight w:val="0"/>
          <w:marTop w:val="0"/>
          <w:marBottom w:val="0"/>
          <w:divBdr>
            <w:top w:val="none" w:sz="0" w:space="0" w:color="auto"/>
            <w:left w:val="none" w:sz="0" w:space="0" w:color="auto"/>
            <w:bottom w:val="none" w:sz="0" w:space="0" w:color="auto"/>
            <w:right w:val="none" w:sz="0" w:space="0" w:color="auto"/>
          </w:divBdr>
          <w:divsChild>
            <w:div w:id="1864855735">
              <w:marLeft w:val="0"/>
              <w:marRight w:val="0"/>
              <w:marTop w:val="0"/>
              <w:marBottom w:val="0"/>
              <w:divBdr>
                <w:top w:val="none" w:sz="0" w:space="0" w:color="auto"/>
                <w:left w:val="none" w:sz="0" w:space="0" w:color="auto"/>
                <w:bottom w:val="none" w:sz="0" w:space="0" w:color="auto"/>
                <w:right w:val="none" w:sz="0" w:space="0" w:color="auto"/>
              </w:divBdr>
            </w:div>
            <w:div w:id="18648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84">
      <w:marLeft w:val="0"/>
      <w:marRight w:val="0"/>
      <w:marTop w:val="0"/>
      <w:marBottom w:val="0"/>
      <w:divBdr>
        <w:top w:val="none" w:sz="0" w:space="0" w:color="auto"/>
        <w:left w:val="none" w:sz="0" w:space="0" w:color="auto"/>
        <w:bottom w:val="none" w:sz="0" w:space="0" w:color="auto"/>
        <w:right w:val="none" w:sz="0" w:space="0" w:color="auto"/>
      </w:divBdr>
    </w:div>
    <w:div w:id="1864855786">
      <w:marLeft w:val="0"/>
      <w:marRight w:val="0"/>
      <w:marTop w:val="30"/>
      <w:marBottom w:val="750"/>
      <w:divBdr>
        <w:top w:val="none" w:sz="0" w:space="0" w:color="auto"/>
        <w:left w:val="none" w:sz="0" w:space="0" w:color="auto"/>
        <w:bottom w:val="none" w:sz="0" w:space="0" w:color="auto"/>
        <w:right w:val="none" w:sz="0" w:space="0" w:color="auto"/>
      </w:divBdr>
      <w:divsChild>
        <w:div w:id="186485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mobile.com/Company/CompanyInfo.aspx?tp=Abt_Tab_CompanySafety&amp;tsp=Abt_Sub_WirelessEmergencyAlerts" TargetMode="External"/><Relationship Id="rId2" Type="http://schemas.openxmlformats.org/officeDocument/2006/relationships/hyperlink" Target="http://www.att.com/gen/public-affairs?pid=20107" TargetMode="External"/><Relationship Id="rId1" Type="http://schemas.openxmlformats.org/officeDocument/2006/relationships/hyperlink" Target="http://support.verizonwireless.com/clc/faqs/Wireless%20Service/emergency_alerts_faq.html" TargetMode="External"/><Relationship Id="rId5" Type="http://schemas.openxmlformats.org/officeDocument/2006/relationships/hyperlink" Target="http://www.ctia.org/consumer_info/safety/index.cfm/AID/12082" TargetMode="External"/><Relationship Id="rId4" Type="http://schemas.openxmlformats.org/officeDocument/2006/relationships/hyperlink" Target="http://community.sprint.com/baw/community/buzzaboutwireless/services/messaging/wireless_emergency_alerts_-_cmas?view=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13485</Characters>
  <Application>Microsoft Office Word</Application>
  <DocSecurity>0</DocSecurity>
  <Lines>319</Lines>
  <Paragraphs>119</Paragraphs>
  <ScaleCrop>false</ScaleCrop>
  <Manager/>
  <Company/>
  <LinksUpToDate>false</LinksUpToDate>
  <CharactersWithSpaces>15977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2013-02-25T19:37:00Z</cp:lastPrinted>
  <dcterms:created xsi:type="dcterms:W3CDTF">2013-02-26T14:19:00Z</dcterms:created>
  <dcterms:modified xsi:type="dcterms:W3CDTF">2013-02-26T14:19:00Z</dcterms:modified>
  <cp:category> </cp:category>
  <cp:contentStatus> </cp:contentStatus>
</cp:coreProperties>
</file>