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BA" w:rsidRDefault="00151ABA" w:rsidP="00117F95">
      <w:pPr>
        <w:widowControl/>
        <w:jc w:val="right"/>
        <w:rPr>
          <w:sz w:val="24"/>
        </w:rPr>
      </w:pPr>
      <w:bookmarkStart w:id="0" w:name="_GoBack"/>
      <w:bookmarkEnd w:id="0"/>
      <w:r w:rsidRPr="00672743">
        <w:t xml:space="preserve">DA </w:t>
      </w:r>
      <w:r>
        <w:t>1</w:t>
      </w:r>
      <w:r w:rsidR="000D4967">
        <w:t>3</w:t>
      </w:r>
      <w:r w:rsidRPr="00672743">
        <w:t>-</w:t>
      </w:r>
      <w:r w:rsidR="00B00B79">
        <w:t>323</w:t>
      </w:r>
    </w:p>
    <w:p w:rsidR="00151ABA" w:rsidRDefault="0047398B" w:rsidP="00117F95">
      <w:pPr>
        <w:widowControl/>
        <w:spacing w:before="60"/>
        <w:jc w:val="right"/>
        <w:rPr>
          <w:sz w:val="24"/>
        </w:rPr>
      </w:pPr>
      <w:r>
        <w:t xml:space="preserve">March </w:t>
      </w:r>
      <w:r w:rsidR="009013A7">
        <w:t>29</w:t>
      </w:r>
      <w:r w:rsidR="00151ABA" w:rsidRPr="008170B4">
        <w:t>, 20</w:t>
      </w:r>
      <w:r w:rsidR="00151ABA">
        <w:t>1</w:t>
      </w:r>
      <w:r w:rsidR="000D4967">
        <w:t>3</w:t>
      </w:r>
    </w:p>
    <w:p w:rsidR="00151ABA" w:rsidRDefault="00151ABA" w:rsidP="00117F95">
      <w:pPr>
        <w:widowControl/>
        <w:jc w:val="right"/>
        <w:rPr>
          <w:sz w:val="24"/>
        </w:rPr>
      </w:pPr>
    </w:p>
    <w:p w:rsidR="007D7D50" w:rsidRDefault="000D4967" w:rsidP="007D7D50">
      <w:pPr>
        <w:widowControl/>
        <w:jc w:val="center"/>
        <w:rPr>
          <w:b/>
          <w:sz w:val="24"/>
        </w:rPr>
      </w:pPr>
      <w:r>
        <w:rPr>
          <w:b/>
          <w:sz w:val="24"/>
        </w:rPr>
        <w:t xml:space="preserve">TRIBAL </w:t>
      </w:r>
      <w:r w:rsidR="00151ABA">
        <w:rPr>
          <w:b/>
          <w:sz w:val="24"/>
        </w:rPr>
        <w:t xml:space="preserve">MOBILITY FUND </w:t>
      </w:r>
      <w:r w:rsidR="00042E10">
        <w:rPr>
          <w:b/>
          <w:sz w:val="24"/>
        </w:rPr>
        <w:t>PHASE I</w:t>
      </w:r>
      <w:r w:rsidR="00151ABA">
        <w:rPr>
          <w:b/>
          <w:sz w:val="24"/>
        </w:rPr>
        <w:t xml:space="preserve"> AUCTION</w:t>
      </w:r>
      <w:r w:rsidR="00151ABA" w:rsidRPr="00672743">
        <w:rPr>
          <w:b/>
          <w:sz w:val="24"/>
        </w:rPr>
        <w:t xml:space="preserve"> SCHEDULED </w:t>
      </w:r>
      <w:r w:rsidR="005C031A">
        <w:rPr>
          <w:b/>
          <w:sz w:val="24"/>
        </w:rPr>
        <w:t>FOR</w:t>
      </w:r>
      <w:r w:rsidR="00151ABA" w:rsidRPr="008170B4">
        <w:rPr>
          <w:b/>
          <w:sz w:val="24"/>
        </w:rPr>
        <w:t xml:space="preserve"> </w:t>
      </w:r>
    </w:p>
    <w:p w:rsidR="00151ABA" w:rsidRPr="00672743" w:rsidRDefault="00917E56" w:rsidP="009B58D6">
      <w:pPr>
        <w:widowControl/>
        <w:spacing w:after="120"/>
        <w:jc w:val="center"/>
        <w:rPr>
          <w:b/>
          <w:sz w:val="24"/>
        </w:rPr>
      </w:pPr>
      <w:r>
        <w:rPr>
          <w:b/>
          <w:sz w:val="24"/>
        </w:rPr>
        <w:t xml:space="preserve">OCTOBER </w:t>
      </w:r>
      <w:r w:rsidR="001A7A0D">
        <w:rPr>
          <w:b/>
          <w:sz w:val="24"/>
        </w:rPr>
        <w:t>24</w:t>
      </w:r>
      <w:r w:rsidR="00151ABA" w:rsidRPr="008170B4">
        <w:rPr>
          <w:b/>
          <w:sz w:val="24"/>
        </w:rPr>
        <w:t>, 20</w:t>
      </w:r>
      <w:r w:rsidR="00151ABA">
        <w:rPr>
          <w:b/>
          <w:sz w:val="24"/>
        </w:rPr>
        <w:t>1</w:t>
      </w:r>
      <w:r w:rsidR="000D4967">
        <w:rPr>
          <w:b/>
          <w:sz w:val="24"/>
        </w:rPr>
        <w:t>3</w:t>
      </w:r>
    </w:p>
    <w:p w:rsidR="00151ABA" w:rsidRPr="00672743" w:rsidRDefault="00151ABA" w:rsidP="00117F95">
      <w:pPr>
        <w:widowControl/>
        <w:jc w:val="center"/>
        <w:rPr>
          <w:b/>
          <w:sz w:val="24"/>
        </w:rPr>
      </w:pPr>
      <w:r w:rsidRPr="00672743">
        <w:rPr>
          <w:b/>
          <w:sz w:val="24"/>
        </w:rPr>
        <w:t xml:space="preserve">COMMENT SOUGHT ON COMPETITIVE BIDDING PROCEDURES FOR </w:t>
      </w:r>
    </w:p>
    <w:p w:rsidR="00151ABA" w:rsidRDefault="00151ABA" w:rsidP="00117F95">
      <w:pPr>
        <w:widowControl/>
        <w:spacing w:after="240"/>
        <w:jc w:val="center"/>
        <w:rPr>
          <w:b/>
          <w:sz w:val="24"/>
        </w:rPr>
      </w:pPr>
      <w:r w:rsidRPr="00672743">
        <w:rPr>
          <w:b/>
          <w:sz w:val="24"/>
        </w:rPr>
        <w:t xml:space="preserve">AUCTION </w:t>
      </w:r>
      <w:r>
        <w:rPr>
          <w:b/>
          <w:sz w:val="24"/>
        </w:rPr>
        <w:t>90</w:t>
      </w:r>
      <w:r w:rsidR="000D4967">
        <w:rPr>
          <w:b/>
          <w:sz w:val="24"/>
        </w:rPr>
        <w:t>2</w:t>
      </w:r>
      <w:r w:rsidR="00B21178">
        <w:rPr>
          <w:b/>
          <w:sz w:val="24"/>
        </w:rPr>
        <w:t xml:space="preserve"> AND CERTAIN PROGRAM REQUIREMENTS</w:t>
      </w:r>
    </w:p>
    <w:p w:rsidR="00151ABA" w:rsidRPr="00672743" w:rsidRDefault="00151ABA" w:rsidP="00117F95">
      <w:pPr>
        <w:widowControl/>
        <w:jc w:val="center"/>
      </w:pPr>
      <w:r w:rsidRPr="00672743">
        <w:t xml:space="preserve">AU Docket No. </w:t>
      </w:r>
      <w:r w:rsidR="008A2A10">
        <w:t>1</w:t>
      </w:r>
      <w:r w:rsidR="000D4967">
        <w:t>3</w:t>
      </w:r>
      <w:r w:rsidRPr="00672743">
        <w:t>-</w:t>
      </w:r>
      <w:r w:rsidR="0047398B">
        <w:t>53</w:t>
      </w:r>
    </w:p>
    <w:p w:rsidR="00151ABA" w:rsidRDefault="00151ABA" w:rsidP="00117F95">
      <w:pPr>
        <w:widowControl/>
        <w:jc w:val="center"/>
        <w:rPr>
          <w:sz w:val="24"/>
        </w:rPr>
      </w:pPr>
    </w:p>
    <w:p w:rsidR="00151ABA" w:rsidRPr="00672743" w:rsidRDefault="00151ABA" w:rsidP="00117F95">
      <w:pPr>
        <w:widowControl/>
        <w:tabs>
          <w:tab w:val="right" w:pos="9360"/>
        </w:tabs>
        <w:jc w:val="center"/>
        <w:rPr>
          <w:b/>
        </w:rPr>
      </w:pPr>
      <w:r w:rsidRPr="00672743">
        <w:t xml:space="preserve">Comments Due:  </w:t>
      </w:r>
      <w:r w:rsidR="002C1873">
        <w:t xml:space="preserve">May </w:t>
      </w:r>
      <w:r w:rsidR="009013A7">
        <w:t>10</w:t>
      </w:r>
      <w:r w:rsidRPr="008170B4">
        <w:t>,</w:t>
      </w:r>
      <w:r w:rsidRPr="00672743">
        <w:t xml:space="preserve"> 20</w:t>
      </w:r>
      <w:r>
        <w:t>1</w:t>
      </w:r>
      <w:r w:rsidR="000D4967">
        <w:t>3</w:t>
      </w:r>
      <w:r w:rsidR="00701E00">
        <w:tab/>
      </w:r>
      <w:r w:rsidRPr="00672743">
        <w:t xml:space="preserve">Reply Comments Due:  </w:t>
      </w:r>
      <w:r w:rsidR="002C1873">
        <w:t xml:space="preserve">May </w:t>
      </w:r>
      <w:r w:rsidR="009013A7">
        <w:t>24</w:t>
      </w:r>
      <w:r w:rsidRPr="008170B4">
        <w:t>, 20</w:t>
      </w:r>
      <w:r>
        <w:t>1</w:t>
      </w:r>
      <w:r w:rsidR="000D4967">
        <w:t>3</w:t>
      </w:r>
    </w:p>
    <w:p w:rsidR="00151ABA" w:rsidRDefault="00151ABA" w:rsidP="00117F95">
      <w:pPr>
        <w:widowControl/>
        <w:jc w:val="center"/>
        <w:rPr>
          <w:sz w:val="24"/>
        </w:rPr>
      </w:pPr>
    </w:p>
    <w:p w:rsidR="00E04BDD" w:rsidRDefault="00E04BDD" w:rsidP="00C80E5D">
      <w:pPr>
        <w:pStyle w:val="TOCTitle"/>
      </w:pPr>
      <w:bookmarkStart w:id="1" w:name="TOChere"/>
      <w:r>
        <w:t>Table of Contents</w:t>
      </w:r>
    </w:p>
    <w:p w:rsidR="00E04BDD" w:rsidRDefault="00E04BDD" w:rsidP="00C80E5D">
      <w:pPr>
        <w:pStyle w:val="Paratitle"/>
      </w:pPr>
      <w:r>
        <w:t>Heading</w:t>
      </w:r>
      <w:r>
        <w:tab/>
        <w:t>Paragraph #</w:t>
      </w:r>
      <w:bookmarkStart w:id="2" w:name="start_here"/>
      <w:bookmarkEnd w:id="2"/>
    </w:p>
    <w:p w:rsidR="00E04BDD" w:rsidRPr="005A798C" w:rsidRDefault="00E04BDD" w:rsidP="00C80E5D">
      <w:pPr>
        <w:pStyle w:val="TOC1"/>
        <w:rPr>
          <w:rFonts w:ascii="Calibri" w:hAnsi="Calibri"/>
          <w:caps w:val="0"/>
          <w:snapToGrid/>
          <w:kern w:val="0"/>
          <w:szCs w:val="22"/>
        </w:rPr>
      </w:pPr>
      <w:r>
        <w:t>I.</w:t>
      </w:r>
      <w:r w:rsidRPr="005A798C">
        <w:rPr>
          <w:rFonts w:ascii="Calibri" w:hAnsi="Calibri"/>
          <w:caps w:val="0"/>
          <w:snapToGrid/>
          <w:kern w:val="0"/>
          <w:szCs w:val="22"/>
        </w:rPr>
        <w:tab/>
      </w:r>
      <w:r>
        <w:t>introduction AND SUMMARY</w:t>
      </w:r>
      <w:r>
        <w:tab/>
        <w:t>1</w:t>
      </w:r>
    </w:p>
    <w:p w:rsidR="00E04BDD" w:rsidRPr="005A798C" w:rsidRDefault="00E04BDD" w:rsidP="00C80E5D">
      <w:pPr>
        <w:pStyle w:val="TOC1"/>
        <w:rPr>
          <w:rFonts w:ascii="Calibri" w:hAnsi="Calibri"/>
          <w:caps w:val="0"/>
          <w:snapToGrid/>
          <w:kern w:val="0"/>
          <w:szCs w:val="22"/>
        </w:rPr>
      </w:pPr>
      <w:r>
        <w:t>II.</w:t>
      </w:r>
      <w:r w:rsidRPr="005A798C">
        <w:rPr>
          <w:rFonts w:ascii="Calibri" w:hAnsi="Calibri"/>
          <w:caps w:val="0"/>
          <w:snapToGrid/>
          <w:kern w:val="0"/>
          <w:szCs w:val="22"/>
        </w:rPr>
        <w:tab/>
      </w:r>
      <w:r>
        <w:t>background</w:t>
      </w:r>
      <w:r>
        <w:tab/>
      </w:r>
      <w:r w:rsidR="00827A50">
        <w:t>5</w:t>
      </w:r>
    </w:p>
    <w:p w:rsidR="00E04BDD" w:rsidRPr="005A798C" w:rsidRDefault="00E04BDD" w:rsidP="00C80E5D">
      <w:pPr>
        <w:pStyle w:val="TOC1"/>
        <w:rPr>
          <w:rFonts w:ascii="Calibri" w:hAnsi="Calibri"/>
          <w:caps w:val="0"/>
          <w:snapToGrid/>
          <w:kern w:val="0"/>
          <w:szCs w:val="22"/>
        </w:rPr>
      </w:pPr>
      <w:r>
        <w:t>III.</w:t>
      </w:r>
      <w:r w:rsidRPr="005A798C">
        <w:rPr>
          <w:rFonts w:ascii="Calibri" w:hAnsi="Calibri"/>
          <w:caps w:val="0"/>
          <w:snapToGrid/>
          <w:kern w:val="0"/>
          <w:szCs w:val="22"/>
        </w:rPr>
        <w:tab/>
      </w:r>
      <w:r>
        <w:t>areas ELIGIBLE FOR Tribal mobility fund support</w:t>
      </w:r>
      <w:r>
        <w:tab/>
        <w:t>1</w:t>
      </w:r>
      <w:r w:rsidR="00827A50">
        <w:t>7</w:t>
      </w:r>
    </w:p>
    <w:p w:rsidR="00E04BDD" w:rsidRPr="005A798C" w:rsidRDefault="00E04BDD" w:rsidP="00C80E5D">
      <w:pPr>
        <w:pStyle w:val="TOC2"/>
        <w:tabs>
          <w:tab w:val="left" w:pos="360"/>
        </w:tabs>
        <w:rPr>
          <w:rFonts w:ascii="Calibri" w:hAnsi="Calibri"/>
          <w:snapToGrid/>
          <w:kern w:val="0"/>
          <w:szCs w:val="22"/>
        </w:rPr>
      </w:pPr>
      <w:r>
        <w:t>A.</w:t>
      </w:r>
      <w:r w:rsidRPr="005A798C">
        <w:rPr>
          <w:rFonts w:ascii="Calibri" w:hAnsi="Calibri"/>
          <w:snapToGrid/>
          <w:kern w:val="0"/>
          <w:szCs w:val="22"/>
        </w:rPr>
        <w:tab/>
      </w:r>
      <w:r>
        <w:t>Identifying Eligible Unserved Census Blocks</w:t>
      </w:r>
      <w:r>
        <w:tab/>
        <w:t>1</w:t>
      </w:r>
      <w:r w:rsidR="00827A50">
        <w:t>7</w:t>
      </w:r>
    </w:p>
    <w:p w:rsidR="00E04BDD" w:rsidRPr="005A798C" w:rsidRDefault="00E04BDD" w:rsidP="00C80E5D">
      <w:pPr>
        <w:pStyle w:val="TOC2"/>
        <w:tabs>
          <w:tab w:val="left" w:pos="360"/>
        </w:tabs>
        <w:rPr>
          <w:rFonts w:ascii="Calibri" w:hAnsi="Calibri"/>
          <w:snapToGrid/>
          <w:kern w:val="0"/>
          <w:szCs w:val="22"/>
        </w:rPr>
      </w:pPr>
      <w:r>
        <w:t>B.</w:t>
      </w:r>
      <w:r w:rsidRPr="005A798C">
        <w:rPr>
          <w:rFonts w:ascii="Calibri" w:hAnsi="Calibri"/>
          <w:snapToGrid/>
          <w:kern w:val="0"/>
          <w:szCs w:val="22"/>
        </w:rPr>
        <w:tab/>
      </w:r>
      <w:r>
        <w:t>Establishing Unserved Population-Based Units</w:t>
      </w:r>
      <w:r>
        <w:tab/>
        <w:t>2</w:t>
      </w:r>
      <w:r w:rsidR="00827A50">
        <w:t>3</w:t>
      </w:r>
    </w:p>
    <w:p w:rsidR="00E04BDD" w:rsidRPr="005A798C" w:rsidRDefault="00E04BDD" w:rsidP="00E04BDD">
      <w:pPr>
        <w:pStyle w:val="TOC1"/>
        <w:rPr>
          <w:rFonts w:ascii="Calibri" w:hAnsi="Calibri"/>
          <w:caps w:val="0"/>
          <w:snapToGrid/>
          <w:kern w:val="0"/>
          <w:szCs w:val="22"/>
        </w:rPr>
      </w:pPr>
      <w:r>
        <w:t>IV.</w:t>
      </w:r>
      <w:r w:rsidRPr="005A798C">
        <w:rPr>
          <w:rFonts w:ascii="Calibri" w:hAnsi="Calibri"/>
          <w:caps w:val="0"/>
          <w:snapToGrid/>
          <w:kern w:val="0"/>
          <w:szCs w:val="22"/>
        </w:rPr>
        <w:tab/>
      </w:r>
      <w:r>
        <w:t>ESTABLISHING auction procedures</w:t>
      </w:r>
      <w:r>
        <w:tab/>
        <w:t>2</w:t>
      </w:r>
      <w:r w:rsidR="00827A50">
        <w:t>5</w:t>
      </w:r>
    </w:p>
    <w:p w:rsidR="00E04BDD" w:rsidRPr="005A798C" w:rsidRDefault="00E04BDD" w:rsidP="00C80E5D">
      <w:pPr>
        <w:pStyle w:val="TOC2"/>
        <w:tabs>
          <w:tab w:val="left" w:pos="360"/>
        </w:tabs>
        <w:rPr>
          <w:rFonts w:ascii="Calibri" w:hAnsi="Calibri"/>
          <w:snapToGrid/>
          <w:kern w:val="0"/>
          <w:szCs w:val="22"/>
        </w:rPr>
      </w:pPr>
      <w:r>
        <w:t>A.</w:t>
      </w:r>
      <w:r w:rsidRPr="005A798C">
        <w:rPr>
          <w:rFonts w:ascii="Calibri" w:hAnsi="Calibri"/>
          <w:snapToGrid/>
          <w:kern w:val="0"/>
          <w:szCs w:val="22"/>
        </w:rPr>
        <w:tab/>
      </w:r>
      <w:r>
        <w:t>Auction Design</w:t>
      </w:r>
      <w:r>
        <w:tab/>
        <w:t>2</w:t>
      </w:r>
      <w:r w:rsidR="00827A50">
        <w:t>6</w:t>
      </w:r>
    </w:p>
    <w:p w:rsidR="00E04BDD" w:rsidRPr="005A798C" w:rsidRDefault="00E04BDD" w:rsidP="00C80E5D">
      <w:pPr>
        <w:pStyle w:val="TOC3"/>
        <w:tabs>
          <w:tab w:val="left" w:pos="360"/>
        </w:tabs>
        <w:rPr>
          <w:rFonts w:ascii="Calibri" w:hAnsi="Calibri"/>
          <w:snapToGrid/>
          <w:kern w:val="0"/>
          <w:szCs w:val="22"/>
        </w:rPr>
      </w:pPr>
      <w:r>
        <w:t>1.</w:t>
      </w:r>
      <w:r w:rsidRPr="005A798C">
        <w:rPr>
          <w:rFonts w:ascii="Calibri" w:hAnsi="Calibri"/>
          <w:snapToGrid/>
          <w:kern w:val="0"/>
          <w:szCs w:val="22"/>
        </w:rPr>
        <w:tab/>
      </w:r>
      <w:r>
        <w:t>Reverse Auction Design</w:t>
      </w:r>
      <w:r>
        <w:tab/>
        <w:t>2</w:t>
      </w:r>
      <w:r w:rsidR="00641487">
        <w:t>7</w:t>
      </w:r>
    </w:p>
    <w:p w:rsidR="00E04BDD" w:rsidRDefault="00E04BDD" w:rsidP="00C80E5D">
      <w:pPr>
        <w:pStyle w:val="TOC3"/>
        <w:tabs>
          <w:tab w:val="left" w:pos="360"/>
        </w:tabs>
      </w:pPr>
      <w:r>
        <w:t>2.</w:t>
      </w:r>
      <w:r w:rsidRPr="005A798C">
        <w:rPr>
          <w:rFonts w:ascii="Calibri" w:hAnsi="Calibri"/>
          <w:snapToGrid/>
          <w:kern w:val="0"/>
          <w:szCs w:val="22"/>
        </w:rPr>
        <w:tab/>
      </w:r>
      <w:r>
        <w:t>Census Blocks and Aggregations</w:t>
      </w:r>
      <w:r>
        <w:tab/>
      </w:r>
      <w:r w:rsidR="000A6E61">
        <w:t>30</w:t>
      </w:r>
    </w:p>
    <w:p w:rsidR="00770B18" w:rsidRPr="00770B18" w:rsidRDefault="00770B18" w:rsidP="00770B18">
      <w:pPr>
        <w:pStyle w:val="TOC3"/>
        <w:tabs>
          <w:tab w:val="left" w:pos="360"/>
        </w:tabs>
        <w:rPr>
          <w:rFonts w:ascii="Calibri" w:hAnsi="Calibri"/>
          <w:snapToGrid/>
          <w:kern w:val="0"/>
          <w:szCs w:val="22"/>
        </w:rPr>
      </w:pPr>
      <w:r>
        <w:t>3.</w:t>
      </w:r>
      <w:r>
        <w:tab/>
        <w:t>Determining Awardees</w:t>
      </w:r>
      <w:r>
        <w:tab/>
        <w:t>3</w:t>
      </w:r>
      <w:r w:rsidR="000A6E61">
        <w:t>7</w:t>
      </w:r>
    </w:p>
    <w:p w:rsidR="00E04BDD" w:rsidRPr="005A798C" w:rsidRDefault="00E04BDD" w:rsidP="00C80E5D">
      <w:pPr>
        <w:pStyle w:val="TOC2"/>
        <w:tabs>
          <w:tab w:val="left" w:pos="360"/>
        </w:tabs>
        <w:rPr>
          <w:rFonts w:ascii="Calibri" w:hAnsi="Calibri"/>
          <w:snapToGrid/>
          <w:kern w:val="0"/>
          <w:szCs w:val="22"/>
        </w:rPr>
      </w:pPr>
      <w:r>
        <w:t>B.</w:t>
      </w:r>
      <w:r w:rsidRPr="005A798C">
        <w:rPr>
          <w:rFonts w:ascii="Calibri" w:hAnsi="Calibri"/>
          <w:snapToGrid/>
          <w:kern w:val="0"/>
          <w:szCs w:val="22"/>
        </w:rPr>
        <w:tab/>
      </w:r>
      <w:r>
        <w:t>Auction Information Procedures</w:t>
      </w:r>
      <w:r>
        <w:tab/>
      </w:r>
      <w:r w:rsidR="000A6E61">
        <w:t>41</w:t>
      </w:r>
    </w:p>
    <w:p w:rsidR="00E04BDD" w:rsidRPr="005A798C" w:rsidRDefault="00E04BDD" w:rsidP="00C80E5D">
      <w:pPr>
        <w:pStyle w:val="TOC2"/>
        <w:tabs>
          <w:tab w:val="left" w:pos="360"/>
        </w:tabs>
        <w:rPr>
          <w:rFonts w:ascii="Calibri" w:hAnsi="Calibri"/>
          <w:snapToGrid/>
          <w:kern w:val="0"/>
          <w:szCs w:val="22"/>
        </w:rPr>
      </w:pPr>
      <w:r>
        <w:t>C.</w:t>
      </w:r>
      <w:r w:rsidRPr="005A798C">
        <w:rPr>
          <w:rFonts w:ascii="Calibri" w:hAnsi="Calibri"/>
          <w:snapToGrid/>
          <w:kern w:val="0"/>
          <w:szCs w:val="22"/>
        </w:rPr>
        <w:tab/>
      </w:r>
      <w:r>
        <w:t>Auction Structure</w:t>
      </w:r>
      <w:r>
        <w:tab/>
        <w:t>4</w:t>
      </w:r>
      <w:r w:rsidR="000A6E61">
        <w:t>2</w:t>
      </w:r>
    </w:p>
    <w:p w:rsidR="00E04BDD" w:rsidRPr="005A798C" w:rsidRDefault="00E04BDD" w:rsidP="00C80E5D">
      <w:pPr>
        <w:pStyle w:val="TOC3"/>
        <w:tabs>
          <w:tab w:val="left" w:pos="360"/>
        </w:tabs>
        <w:rPr>
          <w:rFonts w:ascii="Calibri" w:hAnsi="Calibri"/>
          <w:snapToGrid/>
          <w:kern w:val="0"/>
          <w:szCs w:val="22"/>
        </w:rPr>
      </w:pPr>
      <w:r>
        <w:t>1.</w:t>
      </w:r>
      <w:r w:rsidRPr="005A798C">
        <w:rPr>
          <w:rFonts w:ascii="Calibri" w:hAnsi="Calibri"/>
          <w:snapToGrid/>
          <w:kern w:val="0"/>
          <w:szCs w:val="22"/>
        </w:rPr>
        <w:tab/>
      </w:r>
      <w:r>
        <w:t>Bidding Period</w:t>
      </w:r>
      <w:r>
        <w:tab/>
        <w:t>4</w:t>
      </w:r>
      <w:r w:rsidR="000A6E61">
        <w:t>2</w:t>
      </w:r>
    </w:p>
    <w:p w:rsidR="00E04BDD" w:rsidRPr="005A798C" w:rsidRDefault="00E04BDD" w:rsidP="00C80E5D">
      <w:pPr>
        <w:pStyle w:val="TOC3"/>
        <w:tabs>
          <w:tab w:val="left" w:pos="360"/>
        </w:tabs>
        <w:rPr>
          <w:rFonts w:ascii="Calibri" w:hAnsi="Calibri"/>
          <w:snapToGrid/>
          <w:kern w:val="0"/>
          <w:szCs w:val="22"/>
        </w:rPr>
      </w:pPr>
      <w:r>
        <w:t>2.</w:t>
      </w:r>
      <w:r w:rsidRPr="005A798C">
        <w:rPr>
          <w:rFonts w:ascii="Calibri" w:hAnsi="Calibri"/>
          <w:snapToGrid/>
          <w:kern w:val="0"/>
          <w:szCs w:val="22"/>
        </w:rPr>
        <w:tab/>
      </w:r>
      <w:r>
        <w:t>Information Relating to Auction Delay, Suspension, or Cancellation</w:t>
      </w:r>
      <w:r>
        <w:tab/>
        <w:t>4</w:t>
      </w:r>
      <w:r w:rsidR="000A6E61">
        <w:t>4</w:t>
      </w:r>
    </w:p>
    <w:p w:rsidR="00E04BDD" w:rsidRPr="005A798C" w:rsidRDefault="00E04BDD" w:rsidP="00C80E5D">
      <w:pPr>
        <w:pStyle w:val="TOC2"/>
        <w:tabs>
          <w:tab w:val="left" w:pos="360"/>
        </w:tabs>
        <w:rPr>
          <w:rFonts w:ascii="Calibri" w:hAnsi="Calibri"/>
          <w:snapToGrid/>
          <w:kern w:val="0"/>
          <w:szCs w:val="22"/>
        </w:rPr>
      </w:pPr>
      <w:r>
        <w:t>D.</w:t>
      </w:r>
      <w:r w:rsidRPr="005A798C">
        <w:rPr>
          <w:rFonts w:ascii="Calibri" w:hAnsi="Calibri"/>
          <w:snapToGrid/>
          <w:kern w:val="0"/>
          <w:szCs w:val="22"/>
        </w:rPr>
        <w:tab/>
      </w:r>
      <w:r>
        <w:t>Bidding Procedures</w:t>
      </w:r>
      <w:r>
        <w:tab/>
        <w:t>4</w:t>
      </w:r>
      <w:r w:rsidR="000A6E61">
        <w:t>5</w:t>
      </w:r>
    </w:p>
    <w:p w:rsidR="00E04BDD" w:rsidRPr="005A798C" w:rsidRDefault="00E04BDD" w:rsidP="00C80E5D">
      <w:pPr>
        <w:pStyle w:val="TOC3"/>
        <w:tabs>
          <w:tab w:val="left" w:pos="360"/>
        </w:tabs>
        <w:rPr>
          <w:rFonts w:ascii="Calibri" w:hAnsi="Calibri"/>
          <w:snapToGrid/>
          <w:kern w:val="0"/>
          <w:szCs w:val="22"/>
        </w:rPr>
      </w:pPr>
      <w:r>
        <w:t>1.</w:t>
      </w:r>
      <w:r w:rsidRPr="005A798C">
        <w:rPr>
          <w:rFonts w:ascii="Calibri" w:hAnsi="Calibri"/>
          <w:snapToGrid/>
          <w:kern w:val="0"/>
          <w:szCs w:val="22"/>
        </w:rPr>
        <w:tab/>
      </w:r>
      <w:r>
        <w:t>Maximum Bids and Reserve Prices</w:t>
      </w:r>
      <w:r>
        <w:tab/>
        <w:t>4</w:t>
      </w:r>
      <w:r w:rsidR="000A6E61">
        <w:t>5</w:t>
      </w:r>
    </w:p>
    <w:p w:rsidR="00E04BDD" w:rsidRPr="005A798C" w:rsidRDefault="00E04BDD" w:rsidP="00C80E5D">
      <w:pPr>
        <w:pStyle w:val="TOC3"/>
        <w:tabs>
          <w:tab w:val="left" w:pos="360"/>
        </w:tabs>
        <w:rPr>
          <w:rFonts w:ascii="Calibri" w:hAnsi="Calibri"/>
          <w:snapToGrid/>
          <w:kern w:val="0"/>
          <w:szCs w:val="22"/>
        </w:rPr>
      </w:pPr>
      <w:r>
        <w:t>2.</w:t>
      </w:r>
      <w:r w:rsidRPr="005A798C">
        <w:rPr>
          <w:rFonts w:ascii="Calibri" w:hAnsi="Calibri"/>
          <w:snapToGrid/>
          <w:kern w:val="0"/>
          <w:szCs w:val="22"/>
        </w:rPr>
        <w:tab/>
      </w:r>
      <w:r>
        <w:t>Bid Removal</w:t>
      </w:r>
      <w:r>
        <w:tab/>
        <w:t>4</w:t>
      </w:r>
      <w:r w:rsidR="000A6E61">
        <w:t>7</w:t>
      </w:r>
    </w:p>
    <w:p w:rsidR="00E04BDD" w:rsidRPr="005A798C" w:rsidRDefault="00E04BDD" w:rsidP="00C80E5D">
      <w:pPr>
        <w:pStyle w:val="TOC2"/>
        <w:tabs>
          <w:tab w:val="left" w:pos="360"/>
        </w:tabs>
        <w:rPr>
          <w:rFonts w:ascii="Calibri" w:hAnsi="Calibri"/>
          <w:snapToGrid/>
          <w:kern w:val="0"/>
          <w:szCs w:val="22"/>
        </w:rPr>
      </w:pPr>
      <w:r>
        <w:t>E.</w:t>
      </w:r>
      <w:r w:rsidRPr="005A798C">
        <w:rPr>
          <w:rFonts w:ascii="Calibri" w:hAnsi="Calibri"/>
          <w:snapToGrid/>
          <w:kern w:val="0"/>
          <w:szCs w:val="22"/>
        </w:rPr>
        <w:tab/>
      </w:r>
      <w:r>
        <w:t>Default Payments</w:t>
      </w:r>
      <w:r>
        <w:tab/>
        <w:t>4</w:t>
      </w:r>
      <w:r w:rsidR="000A6E61">
        <w:t>8</w:t>
      </w:r>
    </w:p>
    <w:p w:rsidR="00E04BDD" w:rsidRPr="005A798C" w:rsidRDefault="00E04BDD" w:rsidP="00C80E5D">
      <w:pPr>
        <w:pStyle w:val="TOC3"/>
        <w:tabs>
          <w:tab w:val="left" w:pos="360"/>
        </w:tabs>
        <w:rPr>
          <w:rFonts w:ascii="Calibri" w:hAnsi="Calibri"/>
          <w:snapToGrid/>
          <w:kern w:val="0"/>
          <w:szCs w:val="22"/>
        </w:rPr>
      </w:pPr>
      <w:r>
        <w:t>1.</w:t>
      </w:r>
      <w:r w:rsidRPr="005A798C">
        <w:rPr>
          <w:rFonts w:ascii="Calibri" w:hAnsi="Calibri"/>
          <w:snapToGrid/>
          <w:kern w:val="0"/>
          <w:szCs w:val="22"/>
        </w:rPr>
        <w:tab/>
      </w:r>
      <w:r>
        <w:t>Auction Default Payment</w:t>
      </w:r>
      <w:r>
        <w:tab/>
      </w:r>
      <w:r w:rsidR="00827A50">
        <w:t>4</w:t>
      </w:r>
      <w:r w:rsidR="000A6E61">
        <w:t>9</w:t>
      </w:r>
    </w:p>
    <w:p w:rsidR="00E04BDD" w:rsidRPr="005A798C" w:rsidRDefault="00E04BDD" w:rsidP="00C80E5D">
      <w:pPr>
        <w:pStyle w:val="TOC3"/>
        <w:tabs>
          <w:tab w:val="left" w:pos="360"/>
        </w:tabs>
        <w:rPr>
          <w:rFonts w:ascii="Calibri" w:hAnsi="Calibri"/>
          <w:snapToGrid/>
          <w:kern w:val="0"/>
          <w:szCs w:val="22"/>
        </w:rPr>
      </w:pPr>
      <w:r>
        <w:t>2.</w:t>
      </w:r>
      <w:r w:rsidRPr="005A798C">
        <w:rPr>
          <w:rFonts w:ascii="Calibri" w:hAnsi="Calibri"/>
          <w:snapToGrid/>
          <w:kern w:val="0"/>
          <w:szCs w:val="22"/>
        </w:rPr>
        <w:tab/>
      </w:r>
      <w:r>
        <w:t>Performance Default Payment</w:t>
      </w:r>
      <w:r>
        <w:tab/>
      </w:r>
      <w:r w:rsidR="00827A50">
        <w:t>5</w:t>
      </w:r>
      <w:r w:rsidR="000A6E61">
        <w:t>2</w:t>
      </w:r>
    </w:p>
    <w:p w:rsidR="00E04BDD" w:rsidRPr="005A798C" w:rsidRDefault="00E04BDD" w:rsidP="00C80E5D">
      <w:pPr>
        <w:pStyle w:val="TOC2"/>
        <w:tabs>
          <w:tab w:val="left" w:pos="360"/>
        </w:tabs>
        <w:rPr>
          <w:rFonts w:ascii="Calibri" w:hAnsi="Calibri"/>
          <w:snapToGrid/>
          <w:kern w:val="0"/>
          <w:szCs w:val="22"/>
        </w:rPr>
      </w:pPr>
      <w:r>
        <w:t>F.</w:t>
      </w:r>
      <w:r w:rsidRPr="005A798C">
        <w:rPr>
          <w:rFonts w:ascii="Calibri" w:hAnsi="Calibri"/>
          <w:snapToGrid/>
          <w:kern w:val="0"/>
          <w:szCs w:val="22"/>
        </w:rPr>
        <w:tab/>
      </w:r>
      <w:r>
        <w:t>Reasonably Comparable Rates</w:t>
      </w:r>
      <w:r>
        <w:tab/>
        <w:t>5</w:t>
      </w:r>
      <w:r w:rsidR="000A6E61">
        <w:t>4</w:t>
      </w:r>
    </w:p>
    <w:p w:rsidR="00E04BDD" w:rsidRPr="005A798C" w:rsidRDefault="00E04BDD" w:rsidP="00E04BDD">
      <w:pPr>
        <w:pStyle w:val="TOC1"/>
        <w:rPr>
          <w:rFonts w:ascii="Calibri" w:hAnsi="Calibri"/>
          <w:caps w:val="0"/>
          <w:snapToGrid/>
          <w:kern w:val="0"/>
          <w:szCs w:val="22"/>
        </w:rPr>
      </w:pPr>
      <w:r>
        <w:t>V.</w:t>
      </w:r>
      <w:r w:rsidRPr="005A798C">
        <w:rPr>
          <w:rFonts w:ascii="Calibri" w:hAnsi="Calibri"/>
          <w:caps w:val="0"/>
          <w:snapToGrid/>
          <w:kern w:val="0"/>
          <w:szCs w:val="22"/>
        </w:rPr>
        <w:tab/>
      </w:r>
      <w:r>
        <w:t>deadlines and filing procedures</w:t>
      </w:r>
      <w:r>
        <w:tab/>
      </w:r>
      <w:r w:rsidR="000A6E61">
        <w:t>61</w:t>
      </w:r>
    </w:p>
    <w:p w:rsidR="00E04BDD" w:rsidRDefault="00E04BDD" w:rsidP="00E04BDD">
      <w:pPr>
        <w:pStyle w:val="TOC1"/>
      </w:pPr>
      <w:r>
        <w:t>VI.</w:t>
      </w:r>
      <w:r w:rsidRPr="005A798C">
        <w:rPr>
          <w:rFonts w:ascii="Calibri" w:hAnsi="Calibri"/>
          <w:caps w:val="0"/>
          <w:snapToGrid/>
          <w:kern w:val="0"/>
          <w:szCs w:val="22"/>
        </w:rPr>
        <w:tab/>
      </w:r>
      <w:r>
        <w:t>Contacts</w:t>
      </w:r>
      <w:r>
        <w:tab/>
        <w:t>6</w:t>
      </w:r>
      <w:r w:rsidR="000A6E61">
        <w:t>7</w:t>
      </w:r>
    </w:p>
    <w:p w:rsidR="00926297" w:rsidRPr="00926297" w:rsidRDefault="00926297" w:rsidP="00926297"/>
    <w:bookmarkEnd w:id="1"/>
    <w:p w:rsidR="00151ABA" w:rsidRDefault="00CD502B" w:rsidP="00117F95">
      <w:pPr>
        <w:widowControl/>
      </w:pPr>
      <w:r>
        <w:t>ATTACHMENT A</w:t>
      </w:r>
      <w:r w:rsidR="00D84395">
        <w:t>-</w:t>
      </w:r>
      <w:r w:rsidR="001531C6">
        <w:t>1</w:t>
      </w:r>
      <w:r>
        <w:t>:</w:t>
      </w:r>
      <w:r w:rsidR="00617346">
        <w:tab/>
      </w:r>
      <w:r>
        <w:t xml:space="preserve">Summary of </w:t>
      </w:r>
      <w:r w:rsidR="00825A3E">
        <w:t xml:space="preserve">Potentially </w:t>
      </w:r>
      <w:r>
        <w:t>Eligible Census Blocks</w:t>
      </w:r>
      <w:r w:rsidR="00796CDC">
        <w:t xml:space="preserve"> by State</w:t>
      </w:r>
    </w:p>
    <w:p w:rsidR="001531C6" w:rsidRDefault="001531C6" w:rsidP="00117F95">
      <w:pPr>
        <w:widowControl/>
      </w:pPr>
      <w:r>
        <w:t>ATTACHMENT A</w:t>
      </w:r>
      <w:r w:rsidR="00D84395">
        <w:t>-</w:t>
      </w:r>
      <w:r>
        <w:t>2:</w:t>
      </w:r>
      <w:r>
        <w:tab/>
        <w:t>Proposed Aggregated Bidding Areas</w:t>
      </w:r>
    </w:p>
    <w:p w:rsidR="00CD502B" w:rsidRDefault="00617346" w:rsidP="00117F95">
      <w:pPr>
        <w:widowControl/>
      </w:pPr>
      <w:r>
        <w:t xml:space="preserve">ATTACHMENT </w:t>
      </w:r>
      <w:r w:rsidR="00FD7DE7">
        <w:t>B</w:t>
      </w:r>
      <w:r>
        <w:t>:</w:t>
      </w:r>
      <w:r>
        <w:tab/>
      </w:r>
      <w:r w:rsidR="00CD502B">
        <w:t>Top 100 CMAs by Population</w:t>
      </w:r>
    </w:p>
    <w:p w:rsidR="00151ABA" w:rsidRDefault="00151ABA" w:rsidP="00117F95">
      <w:pPr>
        <w:pStyle w:val="Heading1"/>
        <w:widowControl/>
        <w:rPr>
          <w:szCs w:val="22"/>
        </w:rPr>
      </w:pPr>
      <w:bookmarkStart w:id="3" w:name="_Toc315868072"/>
      <w:bookmarkStart w:id="4" w:name="_Toc315956807"/>
      <w:bookmarkStart w:id="5" w:name="_Toc349805084"/>
      <w:bookmarkStart w:id="6" w:name="_Toc349921059"/>
      <w:bookmarkStart w:id="7" w:name="_Toc350158494"/>
      <w:bookmarkStart w:id="8" w:name="_Toc176237946"/>
      <w:bookmarkStart w:id="9" w:name="_Toc176772173"/>
      <w:bookmarkStart w:id="10" w:name="_Toc192661355"/>
      <w:bookmarkStart w:id="11" w:name="_Toc193271101"/>
      <w:bookmarkStart w:id="12" w:name="_Toc163027491"/>
      <w:bookmarkStart w:id="13" w:name="_Toc163548596"/>
      <w:bookmarkStart w:id="14" w:name="_Toc166556386"/>
      <w:bookmarkStart w:id="15" w:name="_Toc167269560"/>
      <w:bookmarkStart w:id="16" w:name="_Toc167855254"/>
      <w:bookmarkStart w:id="17" w:name="_Toc169598281"/>
      <w:bookmarkStart w:id="18" w:name="_Toc170887287"/>
      <w:bookmarkStart w:id="19" w:name="_Toc171936296"/>
      <w:bookmarkStart w:id="20" w:name="_Toc172347727"/>
      <w:bookmarkStart w:id="21" w:name="_Toc172347952"/>
      <w:bookmarkStart w:id="22" w:name="_Toc172359062"/>
      <w:bookmarkStart w:id="23" w:name="_Toc172535511"/>
      <w:bookmarkStart w:id="24" w:name="_Toc173215454"/>
      <w:bookmarkStart w:id="25" w:name="_Toc173230023"/>
      <w:bookmarkStart w:id="26" w:name="_Toc173236855"/>
      <w:bookmarkStart w:id="27" w:name="_Toc173652826"/>
      <w:bookmarkStart w:id="28" w:name="_Toc173745812"/>
      <w:bookmarkStart w:id="29" w:name="_Toc173746539"/>
      <w:bookmarkStart w:id="30" w:name="_Toc173811386"/>
      <w:bookmarkStart w:id="31" w:name="_Toc174161154"/>
      <w:bookmarkStart w:id="32" w:name="_Toc174270016"/>
      <w:bookmarkStart w:id="33" w:name="_Toc174507736"/>
      <w:bookmarkStart w:id="34" w:name="_Toc174952038"/>
      <w:bookmarkStart w:id="35" w:name="_Toc175121696"/>
      <w:bookmarkStart w:id="36" w:name="_Toc175125295"/>
      <w:r>
        <w:rPr>
          <w:szCs w:val="22"/>
        </w:rPr>
        <w:lastRenderedPageBreak/>
        <w:t>introduction AND SUMMARY</w:t>
      </w:r>
      <w:bookmarkEnd w:id="3"/>
      <w:bookmarkEnd w:id="4"/>
      <w:bookmarkEnd w:id="5"/>
      <w:bookmarkEnd w:id="6"/>
      <w:bookmarkEnd w:id="7"/>
    </w:p>
    <w:p w:rsidR="00151ABA" w:rsidRDefault="00151ABA" w:rsidP="00117F95">
      <w:pPr>
        <w:pStyle w:val="ParaNum"/>
        <w:widowControl/>
      </w:pPr>
      <w:r>
        <w:t xml:space="preserve">By this Public Notice, the Wireless </w:t>
      </w:r>
      <w:r w:rsidRPr="004B68B7">
        <w:t xml:space="preserve">Telecommunications and Wireline Competition Bureaus (the Bureaus) announce a reverse auction to award </w:t>
      </w:r>
      <w:r w:rsidR="007D7D50" w:rsidRPr="004B68B7">
        <w:t xml:space="preserve">up to </w:t>
      </w:r>
      <w:r w:rsidRPr="004B68B7">
        <w:t>$</w:t>
      </w:r>
      <w:r w:rsidR="00712C5E" w:rsidRPr="004B68B7">
        <w:t>50</w:t>
      </w:r>
      <w:r>
        <w:t xml:space="preserve"> million in one-time </w:t>
      </w:r>
      <w:r w:rsidR="000D4967">
        <w:t xml:space="preserve">Tribal </w:t>
      </w:r>
      <w:r>
        <w:t xml:space="preserve">Mobility Fund </w:t>
      </w:r>
      <w:r w:rsidR="00042E10">
        <w:t>Phase I</w:t>
      </w:r>
      <w:r>
        <w:t xml:space="preserve"> support and seek comment on auction procedures and certain related programmatic issues.  This auction is scheduled to begin on </w:t>
      </w:r>
      <w:r w:rsidR="00917E56">
        <w:t xml:space="preserve">October </w:t>
      </w:r>
      <w:r w:rsidR="001A7A0D">
        <w:t>24</w:t>
      </w:r>
      <w:r>
        <w:t>, 201</w:t>
      </w:r>
      <w:r w:rsidR="000D4967">
        <w:t>3</w:t>
      </w:r>
      <w:r>
        <w:t xml:space="preserve">, and is designated as </w:t>
      </w:r>
      <w:r w:rsidRPr="001D4850">
        <w:t xml:space="preserve">Auction </w:t>
      </w:r>
      <w:r>
        <w:t>90</w:t>
      </w:r>
      <w:r w:rsidR="000D4967">
        <w:t>2</w:t>
      </w:r>
      <w:r>
        <w:t>.</w:t>
      </w:r>
      <w:r w:rsidR="003F24B9">
        <w:t xml:space="preserve">  </w:t>
      </w:r>
    </w:p>
    <w:p w:rsidR="00151ABA" w:rsidRDefault="00944644" w:rsidP="00117F95">
      <w:pPr>
        <w:pStyle w:val="ParaNum"/>
        <w:widowControl/>
      </w:pPr>
      <w:r>
        <w:t>Tribal Mobility Fund Phase I will provide one-time support to deploy mobile</w:t>
      </w:r>
      <w:r w:rsidR="00AF7E5F">
        <w:t xml:space="preserve"> voice and</w:t>
      </w:r>
      <w:r>
        <w:t xml:space="preserve"> broadband </w:t>
      </w:r>
      <w:r w:rsidR="00AF7E5F">
        <w:t xml:space="preserve">services </w:t>
      </w:r>
      <w:r>
        <w:t>to unserved Tribal lands, which have significant telecommunications deployment and connectivity challenges.</w:t>
      </w:r>
      <w:r w:rsidR="00291D56">
        <w:rPr>
          <w:rStyle w:val="FootnoteReference"/>
        </w:rPr>
        <w:footnoteReference w:id="2"/>
      </w:r>
      <w:r>
        <w:t xml:space="preserve">  </w:t>
      </w:r>
      <w:r w:rsidR="00151ABA">
        <w:t>Auction 90</w:t>
      </w:r>
      <w:r w:rsidR="000D4967">
        <w:t>2</w:t>
      </w:r>
      <w:r w:rsidR="00151ABA">
        <w:t xml:space="preserve"> will award high-cost universal service support through reverse competitive bidding, as envisioned by the Commission in the </w:t>
      </w:r>
      <w:r w:rsidR="00151ABA">
        <w:rPr>
          <w:i/>
        </w:rPr>
        <w:t>USF/ICC Transformation Order</w:t>
      </w:r>
      <w:r w:rsidR="00151ABA">
        <w:t>.</w:t>
      </w:r>
      <w:r w:rsidR="00151ABA" w:rsidRPr="00142ABE">
        <w:rPr>
          <w:rStyle w:val="FootnoteReference"/>
        </w:rPr>
        <w:footnoteReference w:id="3"/>
      </w:r>
      <w:r w:rsidR="00151ABA">
        <w:t xml:space="preserve">  Auction 90</w:t>
      </w:r>
      <w:r w:rsidR="000D4967">
        <w:t>2</w:t>
      </w:r>
      <w:r w:rsidR="00151ABA">
        <w:t xml:space="preserve"> will award one-time support to carriers that commit to provide 3G or better mobile voice and broadband services </w:t>
      </w:r>
      <w:r w:rsidR="00721044">
        <w:t>o</w:t>
      </w:r>
      <w:r w:rsidR="00151ABA">
        <w:t xml:space="preserve">n </w:t>
      </w:r>
      <w:r w:rsidR="00B90C92">
        <w:t>Tribal</w:t>
      </w:r>
      <w:r w:rsidR="005038D0">
        <w:t xml:space="preserve"> land</w:t>
      </w:r>
      <w:r w:rsidR="00721044">
        <w:t>s</w:t>
      </w:r>
      <w:r w:rsidR="00B90C92">
        <w:t xml:space="preserve"> </w:t>
      </w:r>
      <w:r w:rsidR="00151ABA">
        <w:t>where such services are unavailable</w:t>
      </w:r>
      <w:r w:rsidR="00CA4276">
        <w:t>,</w:t>
      </w:r>
      <w:r w:rsidR="00796CDC">
        <w:rPr>
          <w:rStyle w:val="FootnoteReference"/>
        </w:rPr>
        <w:footnoteReference w:id="4"/>
      </w:r>
      <w:r w:rsidR="00151ABA">
        <w:t xml:space="preserve"> based on the </w:t>
      </w:r>
      <w:r w:rsidR="00151ABA" w:rsidRPr="004B68B7">
        <w:t xml:space="preserve">bids that will maximize </w:t>
      </w:r>
      <w:r w:rsidR="00B90C92">
        <w:t xml:space="preserve">the population </w:t>
      </w:r>
      <w:r w:rsidR="00151ABA" w:rsidRPr="00B90C92">
        <w:t>covered</w:t>
      </w:r>
      <w:r w:rsidR="00151ABA" w:rsidRPr="004B68B7">
        <w:t xml:space="preserve"> by new mobile services without exceeding the budget of $</w:t>
      </w:r>
      <w:r w:rsidR="00712C5E" w:rsidRPr="004B68B7">
        <w:t>5</w:t>
      </w:r>
      <w:r w:rsidR="00151ABA" w:rsidRPr="004B68B7">
        <w:t>0</w:t>
      </w:r>
      <w:r w:rsidR="00151ABA">
        <w:t xml:space="preserve"> million.</w:t>
      </w:r>
      <w:r w:rsidR="00151ABA">
        <w:rPr>
          <w:rStyle w:val="FootnoteReference"/>
        </w:rPr>
        <w:footnoteReference w:id="5"/>
      </w:r>
      <w:r w:rsidR="00151ABA">
        <w:t xml:space="preserve">  </w:t>
      </w:r>
      <w:r w:rsidR="00074136">
        <w:t xml:space="preserve">Because the objective of this auction is to maximize the expansion of advanced services with the available funds, winning bids will generally be those that would achieve the deployment of such services for relatively </w:t>
      </w:r>
      <w:r w:rsidR="00106260">
        <w:t xml:space="preserve">lower levels of </w:t>
      </w:r>
      <w:r w:rsidR="00074136">
        <w:t>support.</w:t>
      </w:r>
    </w:p>
    <w:p w:rsidR="00114E3B" w:rsidRDefault="00151ABA" w:rsidP="00117F95">
      <w:pPr>
        <w:pStyle w:val="ParaNum"/>
        <w:widowControl/>
      </w:pPr>
      <w:r>
        <w:t>Many of the pre-auction processes and bidding procedures for this auction will be similar to those</w:t>
      </w:r>
      <w:r w:rsidR="00944644">
        <w:t xml:space="preserve"> used in the Commission’s first auction of universal service support, Auction 901,</w:t>
      </w:r>
      <w:r w:rsidR="00944644">
        <w:rPr>
          <w:rStyle w:val="FootnoteReference"/>
        </w:rPr>
        <w:footnoteReference w:id="6"/>
      </w:r>
      <w:r w:rsidR="00944644">
        <w:t xml:space="preserve"> which were modeled on those</w:t>
      </w:r>
      <w:r>
        <w:t xml:space="preserve"> regularly used for the Commission’s spectrum </w:t>
      </w:r>
      <w:r w:rsidR="00C209A6">
        <w:t xml:space="preserve">license </w:t>
      </w:r>
      <w:r>
        <w:t xml:space="preserve">auctions.  </w:t>
      </w:r>
      <w:r w:rsidR="00EB5AE7">
        <w:t>In Auction 902, s</w:t>
      </w:r>
      <w:r w:rsidR="00B90C92">
        <w:t>upport for Tribal lands generally will be awarded on the same terms and subject to the same rules as general Mobility Fund Phase I support</w:t>
      </w:r>
      <w:r w:rsidR="00944644">
        <w:t xml:space="preserve"> with a few exceptions tailored to address the unique needs of communities on Tribal lands</w:t>
      </w:r>
      <w:r w:rsidR="00B90C92">
        <w:t>.</w:t>
      </w:r>
      <w:r w:rsidR="00B90C92">
        <w:rPr>
          <w:rStyle w:val="FootnoteReference"/>
        </w:rPr>
        <w:footnoteReference w:id="7"/>
      </w:r>
      <w:r w:rsidR="008372A6">
        <w:t xml:space="preserve">  </w:t>
      </w:r>
      <w:r w:rsidR="00022A34">
        <w:t>Sp</w:t>
      </w:r>
      <w:r w:rsidR="00CE73E1">
        <w:t xml:space="preserve">ecifically, unlike general Mobility Fund Phase I, </w:t>
      </w:r>
      <w:r w:rsidR="00051727">
        <w:t xml:space="preserve">for which </w:t>
      </w:r>
      <w:r w:rsidR="00CE73E1">
        <w:t xml:space="preserve">the number of “units” in a given </w:t>
      </w:r>
      <w:r w:rsidR="007144E1">
        <w:t xml:space="preserve">unserved </w:t>
      </w:r>
      <w:r w:rsidR="00CE73E1">
        <w:t xml:space="preserve">census block </w:t>
      </w:r>
      <w:r w:rsidR="00051727">
        <w:t xml:space="preserve">were calculated </w:t>
      </w:r>
      <w:r w:rsidR="00CE73E1">
        <w:t>according to the number of road miles in that block, for Tribal Mobility Fund Phase I, the number of units in a given census block will be the population of that block.</w:t>
      </w:r>
      <w:r w:rsidR="008E2DA5">
        <w:rPr>
          <w:rStyle w:val="FootnoteReference"/>
        </w:rPr>
        <w:footnoteReference w:id="8"/>
      </w:r>
      <w:r w:rsidR="00CE73E1">
        <w:t xml:space="preserve">  As described further below, the population-based coverage unit is the basic unit that will be used to determine the winners in Auction 902 and to measure compliance with the applicable performance requirements.  </w:t>
      </w:r>
    </w:p>
    <w:p w:rsidR="00151ABA" w:rsidRDefault="00151ABA" w:rsidP="00117F95">
      <w:pPr>
        <w:pStyle w:val="ParaNum"/>
        <w:widowControl/>
      </w:pPr>
      <w:r>
        <w:t>In this Public Notice, we propose and seek comment on:</w:t>
      </w:r>
    </w:p>
    <w:p w:rsidR="00151ABA" w:rsidRDefault="00151ABA" w:rsidP="00117F95">
      <w:pPr>
        <w:pStyle w:val="ParaNum"/>
        <w:widowControl/>
        <w:numPr>
          <w:ilvl w:val="0"/>
          <w:numId w:val="10"/>
        </w:numPr>
      </w:pPr>
      <w:r>
        <w:t xml:space="preserve">Identifying geographic areas eligible for support; </w:t>
      </w:r>
    </w:p>
    <w:p w:rsidR="00151ABA" w:rsidRDefault="00151ABA" w:rsidP="00117F95">
      <w:pPr>
        <w:pStyle w:val="ParaNum"/>
        <w:widowControl/>
        <w:numPr>
          <w:ilvl w:val="0"/>
          <w:numId w:val="10"/>
        </w:numPr>
      </w:pPr>
      <w:r>
        <w:t xml:space="preserve">Determining the basic auction design, </w:t>
      </w:r>
      <w:r w:rsidR="004D041A">
        <w:t xml:space="preserve">whether and </w:t>
      </w:r>
      <w:r>
        <w:t xml:space="preserve">how </w:t>
      </w:r>
      <w:r w:rsidR="00FE240D">
        <w:t xml:space="preserve">to aggregate </w:t>
      </w:r>
      <w:r>
        <w:t>eligible areas for bidding, and how awardees will be selected;</w:t>
      </w:r>
      <w:r w:rsidR="00FE240D">
        <w:t xml:space="preserve"> and</w:t>
      </w:r>
    </w:p>
    <w:p w:rsidR="007A137C" w:rsidRDefault="00151ABA" w:rsidP="00E7697A">
      <w:pPr>
        <w:pStyle w:val="ParaNum"/>
        <w:widowControl/>
        <w:numPr>
          <w:ilvl w:val="0"/>
          <w:numId w:val="10"/>
        </w:numPr>
      </w:pPr>
      <w:r>
        <w:t>Establishing certain other bidding procedures, including information disclosure</w:t>
      </w:r>
      <w:r w:rsidR="008E2DA5">
        <w:t xml:space="preserve"> procedures</w:t>
      </w:r>
      <w:r>
        <w:t xml:space="preserve"> and methodologies for calculating auction and performance default payments.</w:t>
      </w:r>
    </w:p>
    <w:p w:rsidR="00051727" w:rsidRDefault="00051727" w:rsidP="00E16708">
      <w:pPr>
        <w:pStyle w:val="ParaNum"/>
        <w:widowControl/>
        <w:numPr>
          <w:ilvl w:val="0"/>
          <w:numId w:val="0"/>
        </w:numPr>
      </w:pPr>
      <w:r>
        <w:t>The Bureaus will announce final procedures and other important information such as application deadlines and other dates related to Auction 902 after considering comments provided in response to this Public Notice,</w:t>
      </w:r>
      <w:r w:rsidRPr="00E36DA6">
        <w:t xml:space="preserve"> </w:t>
      </w:r>
      <w:r>
        <w:t xml:space="preserve">pursuant to governing statutes and Commission rules.  </w:t>
      </w:r>
    </w:p>
    <w:p w:rsidR="00151ABA" w:rsidRDefault="00151ABA" w:rsidP="00117F95">
      <w:pPr>
        <w:pStyle w:val="Heading1"/>
        <w:widowControl/>
        <w:rPr>
          <w:szCs w:val="22"/>
        </w:rPr>
      </w:pPr>
      <w:bookmarkStart w:id="37" w:name="_Toc315868073"/>
      <w:bookmarkStart w:id="38" w:name="_Toc315956808"/>
      <w:bookmarkStart w:id="39" w:name="_Toc349805085"/>
      <w:bookmarkStart w:id="40" w:name="_Toc349921060"/>
      <w:bookmarkStart w:id="41" w:name="_Toc350158495"/>
      <w:r>
        <w:rPr>
          <w:szCs w:val="22"/>
        </w:rPr>
        <w:t>background</w:t>
      </w:r>
      <w:bookmarkEnd w:id="37"/>
      <w:bookmarkEnd w:id="38"/>
      <w:bookmarkEnd w:id="39"/>
      <w:bookmarkEnd w:id="40"/>
      <w:bookmarkEnd w:id="41"/>
    </w:p>
    <w:p w:rsidR="00151ABA" w:rsidRPr="000C23C7" w:rsidRDefault="00151ABA" w:rsidP="00117F95">
      <w:pPr>
        <w:pStyle w:val="ParaNum"/>
        <w:widowControl/>
      </w:pPr>
      <w:r>
        <w:t xml:space="preserve">In the </w:t>
      </w:r>
      <w:r>
        <w:rPr>
          <w:i/>
        </w:rPr>
        <w:t>USF/ICC Transformation Order</w:t>
      </w:r>
      <w:r w:rsidRPr="00270795">
        <w:t>,</w:t>
      </w:r>
      <w:r>
        <w:t xml:space="preserve"> the Commission comprehensively reformed and modernized the universal service system to help ensure the universal availability of fixed and mobile communication networks capable of providing voice and broadband services where people live, work, and travel.  </w:t>
      </w:r>
      <w:r>
        <w:rPr>
          <w:color w:val="000000"/>
          <w:szCs w:val="22"/>
        </w:rPr>
        <w:t>The Commission’s universal service reforms include a commitment to fiscal responsibility, accountability, and the use of market-based mechanisms, such as competitive bidding, to provide more targeted and efficient support than in the past.</w:t>
      </w:r>
      <w:r>
        <w:rPr>
          <w:kern w:val="0"/>
        </w:rPr>
        <w:t xml:space="preserve">  </w:t>
      </w:r>
      <w:r>
        <w:t>For the first time, the Commission established a universal service support mechanism dedicated exclusively to mobile services</w:t>
      </w:r>
      <w:r w:rsidR="005038D0">
        <w:t>—</w:t>
      </w:r>
      <w:r>
        <w:t xml:space="preserve">the Mobility Fund.  </w:t>
      </w:r>
    </w:p>
    <w:p w:rsidR="00A15E68" w:rsidRDefault="00291D56" w:rsidP="00117F95">
      <w:pPr>
        <w:pStyle w:val="ParaNum"/>
        <w:widowControl/>
      </w:pPr>
      <w:r>
        <w:t xml:space="preserve">Pursuant to the </w:t>
      </w:r>
      <w:r>
        <w:rPr>
          <w:i/>
        </w:rPr>
        <w:t>USF/ICC Transformation Order</w:t>
      </w:r>
      <w:r>
        <w:t>, t</w:t>
      </w:r>
      <w:r w:rsidR="00A15E68">
        <w:t xml:space="preserve">he Commission </w:t>
      </w:r>
      <w:r>
        <w:t xml:space="preserve">conducted </w:t>
      </w:r>
      <w:r w:rsidR="00A15E68">
        <w:t xml:space="preserve">the first </w:t>
      </w:r>
      <w:r w:rsidR="0047279D">
        <w:t>Mobility Fund</w:t>
      </w:r>
      <w:r w:rsidR="007015F1">
        <w:t xml:space="preserve"> Phase I</w:t>
      </w:r>
      <w:r w:rsidR="0047279D">
        <w:t xml:space="preserve"> auction</w:t>
      </w:r>
      <w:r w:rsidR="00A15E68">
        <w:t>, Auction 901, on September 27, 2012</w:t>
      </w:r>
      <w:r w:rsidR="00A15E68" w:rsidRPr="00206D3E">
        <w:t xml:space="preserve">. </w:t>
      </w:r>
      <w:r w:rsidR="00A15E68">
        <w:t xml:space="preserve"> </w:t>
      </w:r>
      <w:r>
        <w:t>Auction 901 offered $300 million in one-time high-cost universal service support to carriers that commit</w:t>
      </w:r>
      <w:r w:rsidR="00F56148">
        <w:t>ted</w:t>
      </w:r>
      <w:r>
        <w:t xml:space="preserve"> to provide 3G or better mobile voice and broadband services in areas nationwide where such services </w:t>
      </w:r>
      <w:r w:rsidR="00F56148">
        <w:t xml:space="preserve">were </w:t>
      </w:r>
      <w:r>
        <w:t>unavailable.</w:t>
      </w:r>
      <w:r>
        <w:rPr>
          <w:rStyle w:val="FootnoteReference"/>
        </w:rPr>
        <w:footnoteReference w:id="9"/>
      </w:r>
      <w:r>
        <w:t xml:space="preserve">  </w:t>
      </w:r>
      <w:r w:rsidR="007015F1">
        <w:t>T</w:t>
      </w:r>
      <w:r w:rsidR="00A15E68" w:rsidRPr="00206D3E">
        <w:t>here were 33 winning bidders</w:t>
      </w:r>
      <w:r w:rsidR="007015F1">
        <w:t xml:space="preserve"> that submitted winning bids</w:t>
      </w:r>
      <w:r w:rsidR="00A15E68" w:rsidRPr="00206D3E">
        <w:t xml:space="preserve"> </w:t>
      </w:r>
      <w:r w:rsidR="005038D0">
        <w:t>for</w:t>
      </w:r>
      <w:r w:rsidR="00A15E68" w:rsidRPr="00206D3E">
        <w:t xml:space="preserve"> a total of $299,998,632</w:t>
      </w:r>
      <w:r w:rsidR="00A15E68">
        <w:t xml:space="preserve"> </w:t>
      </w:r>
      <w:r w:rsidR="00A15E68" w:rsidRPr="00206D3E">
        <w:t>in one-time Mobility Fund Phase</w:t>
      </w:r>
      <w:r w:rsidR="002827B9">
        <w:t> </w:t>
      </w:r>
      <w:r w:rsidR="00A15E68" w:rsidRPr="00206D3E">
        <w:t>I universal service support to provide 3G or better mobile voice</w:t>
      </w:r>
      <w:r w:rsidR="00A15E68">
        <w:t xml:space="preserve"> </w:t>
      </w:r>
      <w:r w:rsidR="00A15E68" w:rsidRPr="00206D3E">
        <w:t>and broadband services covering up to 83,494 road miles located in 31 states and 1 territory.</w:t>
      </w:r>
      <w:r w:rsidR="00D90004">
        <w:rPr>
          <w:rStyle w:val="FootnoteReference"/>
        </w:rPr>
        <w:footnoteReference w:id="10"/>
      </w:r>
    </w:p>
    <w:p w:rsidR="00151ABA" w:rsidRDefault="00712C5E" w:rsidP="00117F95">
      <w:pPr>
        <w:pStyle w:val="ParaNum"/>
        <w:widowControl/>
      </w:pPr>
      <w:r>
        <w:t xml:space="preserve">Tribal </w:t>
      </w:r>
      <w:r w:rsidR="00151ABA">
        <w:t xml:space="preserve">Mobility Fund </w:t>
      </w:r>
      <w:r w:rsidR="0047279D">
        <w:t xml:space="preserve">Phase I </w:t>
      </w:r>
      <w:r w:rsidR="00151ABA">
        <w:t xml:space="preserve">will provide up </w:t>
      </w:r>
      <w:r w:rsidR="00151ABA" w:rsidRPr="008372A6">
        <w:t>to $</w:t>
      </w:r>
      <w:r w:rsidRPr="008372A6">
        <w:t>5</w:t>
      </w:r>
      <w:r w:rsidR="00151ABA" w:rsidRPr="008372A6">
        <w:t>0</w:t>
      </w:r>
      <w:r w:rsidR="00151ABA">
        <w:t xml:space="preserve"> million in one-time support to address gaps in mobile services by supporting the build-out of current-</w:t>
      </w:r>
      <w:r w:rsidR="00D90004">
        <w:t xml:space="preserve"> </w:t>
      </w:r>
      <w:r w:rsidR="00151ABA">
        <w:t xml:space="preserve">and next-generation mobile networks </w:t>
      </w:r>
      <w:r w:rsidR="00721044">
        <w:t>o</w:t>
      </w:r>
      <w:r w:rsidR="00151ABA">
        <w:t>n</w:t>
      </w:r>
      <w:r w:rsidR="00D90004">
        <w:t xml:space="preserve"> Tribal land</w:t>
      </w:r>
      <w:r w:rsidR="00721044">
        <w:t>s</w:t>
      </w:r>
      <w:r w:rsidR="00151ABA">
        <w:t xml:space="preserve"> where these networks are unavailable.</w:t>
      </w:r>
      <w:r w:rsidR="00151ABA">
        <w:rPr>
          <w:rStyle w:val="FootnoteReference"/>
        </w:rPr>
        <w:footnoteReference w:id="11"/>
      </w:r>
      <w:r w:rsidR="00151ABA">
        <w:t xml:space="preserve">  This support will be awarded by reverse auction with the objective of maximizing the </w:t>
      </w:r>
      <w:r w:rsidR="006E5BD7">
        <w:t xml:space="preserve">population </w:t>
      </w:r>
      <w:r w:rsidR="00151ABA">
        <w:t>cover</w:t>
      </w:r>
      <w:r w:rsidR="006E5BD7">
        <w:t>ed</w:t>
      </w:r>
      <w:r w:rsidR="00151ABA">
        <w:t xml:space="preserve"> </w:t>
      </w:r>
      <w:r w:rsidR="00DE6A6B">
        <w:t xml:space="preserve">in eligible unserved </w:t>
      </w:r>
      <w:r w:rsidR="00291D56">
        <w:t xml:space="preserve">areas on </w:t>
      </w:r>
      <w:r w:rsidR="003D022B">
        <w:t>Tribal land</w:t>
      </w:r>
      <w:r w:rsidR="00291D56">
        <w:t>s</w:t>
      </w:r>
      <w:r w:rsidR="003D022B">
        <w:t xml:space="preserve"> </w:t>
      </w:r>
      <w:r w:rsidR="00151ABA">
        <w:t xml:space="preserve">within the </w:t>
      </w:r>
      <w:r w:rsidR="00DE6A6B">
        <w:t xml:space="preserve">established </w:t>
      </w:r>
      <w:r w:rsidR="00151ABA">
        <w:t>budget.</w:t>
      </w:r>
      <w:r w:rsidR="00450207">
        <w:rPr>
          <w:rStyle w:val="FootnoteReference"/>
        </w:rPr>
        <w:footnoteReference w:id="12"/>
      </w:r>
      <w:r w:rsidR="00151ABA">
        <w:t xml:space="preserve">  </w:t>
      </w:r>
      <w:r w:rsidR="00594D25">
        <w:t xml:space="preserve">The support offered under </w:t>
      </w:r>
      <w:r>
        <w:t xml:space="preserve">Tribal </w:t>
      </w:r>
      <w:r w:rsidR="00594D25">
        <w:t xml:space="preserve">Mobility Fund </w:t>
      </w:r>
      <w:r w:rsidR="000D22EA">
        <w:t xml:space="preserve">Phase I </w:t>
      </w:r>
      <w:r w:rsidR="00594D25">
        <w:t xml:space="preserve">is in addition to any ongoing support provided under existing high-cost </w:t>
      </w:r>
      <w:r w:rsidR="00607166">
        <w:t xml:space="preserve">universal service </w:t>
      </w:r>
      <w:r w:rsidR="00594D25">
        <w:t xml:space="preserve">program mechanisms. </w:t>
      </w:r>
      <w:r w:rsidR="00F74D9D">
        <w:t xml:space="preserve"> </w:t>
      </w:r>
      <w:r w:rsidR="00042E10">
        <w:t>Phase I</w:t>
      </w:r>
      <w:r w:rsidR="00151ABA">
        <w:t xml:space="preserve">I of the Mobility Fund will provide </w:t>
      </w:r>
      <w:r>
        <w:t xml:space="preserve">up to </w:t>
      </w:r>
      <w:r w:rsidR="00151ABA">
        <w:t>$</w:t>
      </w:r>
      <w:r w:rsidR="000D22EA">
        <w:t>5</w:t>
      </w:r>
      <w:r w:rsidR="00151ABA" w:rsidRPr="008372A6">
        <w:t>00</w:t>
      </w:r>
      <w:r w:rsidR="00151ABA">
        <w:t xml:space="preserve"> million annually for ongoing support of mobile services</w:t>
      </w:r>
      <w:r w:rsidR="00921B0D">
        <w:t xml:space="preserve">, including up to $100 million </w:t>
      </w:r>
      <w:r w:rsidR="00EB5AE7">
        <w:t xml:space="preserve">annually </w:t>
      </w:r>
      <w:r w:rsidR="00921B0D">
        <w:t>for a separate Tribal Mobility Fund Phase II</w:t>
      </w:r>
      <w:r w:rsidR="00151ABA">
        <w:t>.</w:t>
      </w:r>
      <w:r w:rsidR="00151ABA">
        <w:rPr>
          <w:rStyle w:val="FootnoteReference"/>
        </w:rPr>
        <w:footnoteReference w:id="13"/>
      </w:r>
      <w:r w:rsidR="00151ABA">
        <w:t xml:space="preserve">  The Commission sought comment on the details for Mobility Fund </w:t>
      </w:r>
      <w:r w:rsidR="00042E10">
        <w:t>Phase I</w:t>
      </w:r>
      <w:r w:rsidR="00151ABA">
        <w:t>I</w:t>
      </w:r>
      <w:r w:rsidR="000D22EA">
        <w:t>, including Tribal Mobility Fund Phase II,</w:t>
      </w:r>
      <w:r w:rsidR="00151ABA">
        <w:t xml:space="preserve"> in the Further Notice of Proposed Rulemaking </w:t>
      </w:r>
      <w:r w:rsidR="003651F3">
        <w:t xml:space="preserve">(FNPRM) </w:t>
      </w:r>
      <w:r w:rsidR="00151ABA">
        <w:t xml:space="preserve">adopted in the </w:t>
      </w:r>
      <w:r w:rsidR="00151ABA">
        <w:rPr>
          <w:i/>
        </w:rPr>
        <w:t>USF/ICC Transformation Order</w:t>
      </w:r>
      <w:r w:rsidR="00D90004">
        <w:t xml:space="preserve">, </w:t>
      </w:r>
      <w:r w:rsidR="00B764CF">
        <w:t>and the Bureaus sought further comment</w:t>
      </w:r>
      <w:r w:rsidR="00D90004">
        <w:t xml:space="preserve"> in a subsequent </w:t>
      </w:r>
      <w:r w:rsidR="000D22EA">
        <w:t>Public N</w:t>
      </w:r>
      <w:r w:rsidR="00D90004">
        <w:t>otice</w:t>
      </w:r>
      <w:r w:rsidR="00151ABA">
        <w:t>.</w:t>
      </w:r>
      <w:r w:rsidR="00151ABA">
        <w:rPr>
          <w:rStyle w:val="FootnoteReference"/>
        </w:rPr>
        <w:footnoteReference w:id="14"/>
      </w:r>
    </w:p>
    <w:p w:rsidR="009B118E" w:rsidRDefault="00907D3B" w:rsidP="00D15D47">
      <w:pPr>
        <w:pStyle w:val="ParaNum"/>
      </w:pPr>
      <w:r>
        <w:rPr>
          <w:i/>
        </w:rPr>
        <w:t xml:space="preserve">Applicant </w:t>
      </w:r>
      <w:r w:rsidRPr="00907D3B">
        <w:rPr>
          <w:i/>
        </w:rPr>
        <w:t>Eligibility</w:t>
      </w:r>
      <w:r>
        <w:t xml:space="preserve">.  </w:t>
      </w:r>
      <w:r w:rsidR="00CE1CED" w:rsidRPr="00907D3B">
        <w:t>The</w:t>
      </w:r>
      <w:r w:rsidR="00CE1CED">
        <w:t xml:space="preserve"> </w:t>
      </w:r>
      <w:r w:rsidR="00CE1CED">
        <w:rPr>
          <w:i/>
        </w:rPr>
        <w:t>USF/ICC Transformation Order</w:t>
      </w:r>
      <w:r w:rsidR="00CE1CED">
        <w:t xml:space="preserve"> established application, performance, and other requirements</w:t>
      </w:r>
      <w:r w:rsidR="00921B0D">
        <w:t xml:space="preserve"> for Mobility Fund Phase I, including Tribal Mobility Fund Phase I</w:t>
      </w:r>
      <w:r w:rsidR="00CE1CED">
        <w:t xml:space="preserve">.  </w:t>
      </w:r>
      <w:r w:rsidR="00151ABA">
        <w:t xml:space="preserve">In order to </w:t>
      </w:r>
      <w:r w:rsidR="00884683">
        <w:t xml:space="preserve">participate in an auction for </w:t>
      </w:r>
      <w:r w:rsidR="00712C5E">
        <w:t xml:space="preserve">Tribal </w:t>
      </w:r>
      <w:r w:rsidR="00151ABA">
        <w:t xml:space="preserve">Mobility Fund </w:t>
      </w:r>
      <w:r w:rsidR="00042E10">
        <w:t>Phase I</w:t>
      </w:r>
      <w:r w:rsidR="00151ABA">
        <w:t xml:space="preserve"> support, an applicant must </w:t>
      </w:r>
      <w:r w:rsidR="00293621">
        <w:t xml:space="preserve">be </w:t>
      </w:r>
      <w:r w:rsidR="00151ABA">
        <w:t>designated as an eligible telecommunications carrier (ETC)</w:t>
      </w:r>
      <w:r w:rsidR="00977575" w:rsidRPr="00977575">
        <w:t xml:space="preserve"> </w:t>
      </w:r>
      <w:r w:rsidR="00977575">
        <w:t>for the areas on which it wishes to bid or</w:t>
      </w:r>
      <w:r w:rsidR="00293621">
        <w:t>, if</w:t>
      </w:r>
      <w:r w:rsidR="00977575">
        <w:t xml:space="preserve"> it is a Tribal</w:t>
      </w:r>
      <w:r w:rsidR="005038D0">
        <w:t>ly-owned or -controlled</w:t>
      </w:r>
      <w:r w:rsidR="00977575">
        <w:t xml:space="preserve"> entity</w:t>
      </w:r>
      <w:r w:rsidR="00293621">
        <w:t>, have</w:t>
      </w:r>
      <w:r w:rsidR="00977575">
        <w:t xml:space="preserve"> a pending application for ETC designation for the relevant area</w:t>
      </w:r>
      <w:r w:rsidR="000A587D">
        <w:t>s</w:t>
      </w:r>
      <w:r w:rsidR="00293621">
        <w:t xml:space="preserve"> within the boundaries of the Tribal land associated with the Tribe that owns or controls the entity</w:t>
      </w:r>
      <w:r w:rsidR="00977575">
        <w:t>.</w:t>
      </w:r>
      <w:r w:rsidR="00977575">
        <w:rPr>
          <w:rStyle w:val="FootnoteReference"/>
        </w:rPr>
        <w:footnoteReference w:id="15"/>
      </w:r>
      <w:r w:rsidR="00977575">
        <w:t xml:space="preserve"> </w:t>
      </w:r>
      <w:r w:rsidR="002412B4">
        <w:t>The ETC designation must cover a sufficient portion of the bidding area to allow the applicant to satisfy the applicable performance requirements.</w:t>
      </w:r>
      <w:r w:rsidR="002412B4">
        <w:rPr>
          <w:rStyle w:val="FootnoteReference"/>
        </w:rPr>
        <w:footnoteReference w:id="16"/>
      </w:r>
      <w:r w:rsidR="002412B4">
        <w:t xml:space="preserve">  </w:t>
      </w:r>
      <w:r w:rsidR="009B118E" w:rsidRPr="009B118E">
        <w:t xml:space="preserve">A Tribal entity </w:t>
      </w:r>
      <w:r w:rsidR="00293621">
        <w:t xml:space="preserve">that wins support in Auction 902 while its ETC petition is pending </w:t>
      </w:r>
      <w:r w:rsidR="009B118E" w:rsidRPr="009B118E">
        <w:t xml:space="preserve">must receive </w:t>
      </w:r>
      <w:r w:rsidR="00293621">
        <w:t xml:space="preserve">an </w:t>
      </w:r>
      <w:r w:rsidR="009B118E" w:rsidRPr="009B118E">
        <w:t xml:space="preserve">ETC designation prior to support being </w:t>
      </w:r>
      <w:r w:rsidR="00293621">
        <w:t>authorized</w:t>
      </w:r>
      <w:r w:rsidR="009B118E" w:rsidRPr="009B118E">
        <w:t>.</w:t>
      </w:r>
      <w:r w:rsidR="009B118E">
        <w:rPr>
          <w:rStyle w:val="FootnoteReference"/>
        </w:rPr>
        <w:footnoteReference w:id="17"/>
      </w:r>
      <w:r w:rsidR="009B118E" w:rsidRPr="009B118E">
        <w:t xml:space="preserve">  </w:t>
      </w:r>
      <w:r w:rsidR="00977575">
        <w:t>An applicant for Auction 902 must also demonstrate that it</w:t>
      </w:r>
      <w:r w:rsidR="00151ABA">
        <w:t xml:space="preserve"> has access to the spectrum necessary to </w:t>
      </w:r>
      <w:r w:rsidR="008004EC">
        <w:t>satisfy the applicable performance requirements</w:t>
      </w:r>
      <w:r w:rsidR="00151ABA">
        <w:t>.</w:t>
      </w:r>
      <w:r w:rsidR="00151ABA">
        <w:rPr>
          <w:rStyle w:val="FootnoteReference"/>
        </w:rPr>
        <w:footnoteReference w:id="18"/>
      </w:r>
      <w:r w:rsidR="00151ABA">
        <w:t xml:space="preserve">  </w:t>
      </w:r>
      <w:r w:rsidR="009B118E" w:rsidRPr="009B118E">
        <w:t xml:space="preserve">Because of the lead time necessary to receive designation as an ETC and to acquire </w:t>
      </w:r>
      <w:r w:rsidR="00293621">
        <w:t xml:space="preserve">access to </w:t>
      </w:r>
      <w:r w:rsidR="009B118E" w:rsidRPr="009B118E">
        <w:t xml:space="preserve">spectrum, prospective applicants that need to do so are strongly encouraged to initiate both processes as soon as possible in order to increase the likelihood that they will be eligible to </w:t>
      </w:r>
      <w:r w:rsidR="00293621">
        <w:t>participate in Auction 902</w:t>
      </w:r>
      <w:r w:rsidR="009B118E" w:rsidRPr="009B118E">
        <w:t xml:space="preserve">.  </w:t>
      </w:r>
      <w:r w:rsidR="007144E1">
        <w:t>C</w:t>
      </w:r>
      <w:r w:rsidR="008E20BC">
        <w:t xml:space="preserve">arriers subject to the jurisdiction of a state in which they seek designation should petition that state’s commission for designation as an ETC to provide voice service.  </w:t>
      </w:r>
      <w:r w:rsidR="007144E1">
        <w:t>C</w:t>
      </w:r>
      <w:r w:rsidR="008E20BC">
        <w:t>arriers not subject to the jurisdiction of the relevant state commission should petition the Commission for designation as an ETC.</w:t>
      </w:r>
      <w:r w:rsidR="00FA3A86">
        <w:rPr>
          <w:rStyle w:val="FootnoteReference"/>
        </w:rPr>
        <w:footnoteReference w:id="19"/>
      </w:r>
      <w:r w:rsidR="008E20BC">
        <w:t xml:space="preserve">  </w:t>
      </w:r>
      <w:r w:rsidR="009B118E" w:rsidRPr="009B118E">
        <w:t>The Bureaus have provided guidance on existing requirements for filing an ETC application with the Commission in a separate public notice.</w:t>
      </w:r>
      <w:r w:rsidR="009B118E">
        <w:rPr>
          <w:rStyle w:val="FootnoteReference"/>
        </w:rPr>
        <w:footnoteReference w:id="20"/>
      </w:r>
      <w:r w:rsidR="00FA3A86">
        <w:t xml:space="preserve">  </w:t>
      </w:r>
    </w:p>
    <w:p w:rsidR="00151ABA" w:rsidRPr="00C80D06" w:rsidRDefault="00151ABA" w:rsidP="009B118E">
      <w:pPr>
        <w:pStyle w:val="ParaNum"/>
        <w:widowControl/>
      </w:pPr>
      <w:r>
        <w:t xml:space="preserve">In addition, an </w:t>
      </w:r>
      <w:r w:rsidR="00977575">
        <w:t xml:space="preserve">Auction 902 </w:t>
      </w:r>
      <w:r>
        <w:t xml:space="preserve">applicant must </w:t>
      </w:r>
      <w:r w:rsidR="0033000F">
        <w:t xml:space="preserve">certify </w:t>
      </w:r>
      <w:r>
        <w:t xml:space="preserve">that it is financially and technically capable of providing </w:t>
      </w:r>
      <w:r w:rsidR="008004EC">
        <w:t xml:space="preserve">3G or better </w:t>
      </w:r>
      <w:r>
        <w:t>service.</w:t>
      </w:r>
      <w:r>
        <w:rPr>
          <w:rStyle w:val="FootnoteReference"/>
        </w:rPr>
        <w:footnoteReference w:id="21"/>
      </w:r>
      <w:r>
        <w:t xml:space="preserve">  </w:t>
      </w:r>
      <w:r w:rsidR="0063144E">
        <w:t xml:space="preserve">An applicant seeking to use the 25 percent bidding credit preference for Tribally-owned or -controlled providers must </w:t>
      </w:r>
      <w:r w:rsidR="0063144E" w:rsidRPr="0063144E">
        <w:t>certify that it is a Tribally-owned or -controlled entity and identify the applicable Tribe and Tribal la</w:t>
      </w:r>
      <w:r w:rsidR="008F6E07">
        <w:t>nd in its application</w:t>
      </w:r>
      <w:r w:rsidR="0063144E" w:rsidRPr="0063144E">
        <w:t>.</w:t>
      </w:r>
      <w:r w:rsidR="0063144E">
        <w:rPr>
          <w:rStyle w:val="FootnoteReference"/>
        </w:rPr>
        <w:footnoteReference w:id="22"/>
      </w:r>
      <w:r w:rsidR="0063144E">
        <w:t xml:space="preserve">  </w:t>
      </w:r>
      <w:r>
        <w:t xml:space="preserve">To ensure that </w:t>
      </w:r>
      <w:r w:rsidR="00712C5E">
        <w:t xml:space="preserve">Tribal </w:t>
      </w:r>
      <w:r>
        <w:t xml:space="preserve">Mobility Fund </w:t>
      </w:r>
      <w:r w:rsidR="00042E10">
        <w:t>Phase I</w:t>
      </w:r>
      <w:r w:rsidR="00CE1CED">
        <w:t xml:space="preserve"> </w:t>
      </w:r>
      <w:r>
        <w:t>support meets the Commission’s public interest objectives, recipients will be subject to a variety of obligations, including performance, coverage, collocation, voice and data roaming requirements</w:t>
      </w:r>
      <w:r w:rsidR="005A5583">
        <w:t>, and Tribal engagement obligations</w:t>
      </w:r>
      <w:r>
        <w:t>.</w:t>
      </w:r>
      <w:r>
        <w:rPr>
          <w:rStyle w:val="FootnoteReference"/>
        </w:rPr>
        <w:footnoteReference w:id="23"/>
      </w:r>
      <w:r>
        <w:t xml:space="preserve">  Among other things, winning bidders will be required either to deploy 3G service within two years</w:t>
      </w:r>
      <w:r w:rsidR="008939DC">
        <w:t>,</w:t>
      </w:r>
      <w:r>
        <w:t xml:space="preserve"> or 4G service within three years</w:t>
      </w:r>
      <w:r w:rsidR="008939DC">
        <w:t>,</w:t>
      </w:r>
      <w:r w:rsidR="00DD11EC">
        <w:t xml:space="preserve"> after the date on which it </w:t>
      </w:r>
      <w:r w:rsidR="00C92C9D">
        <w:t>i</w:t>
      </w:r>
      <w:r w:rsidR="00DD11EC">
        <w:t>s authorized to receive support</w:t>
      </w:r>
      <w:r>
        <w:t>.</w:t>
      </w:r>
      <w:r>
        <w:rPr>
          <w:rStyle w:val="FootnoteReference"/>
        </w:rPr>
        <w:footnoteReference w:id="24"/>
      </w:r>
      <w:r>
        <w:t xml:space="preserve">  Those seeking to participate in the auction must file a short-form application by a deadline to be announced, providing information and certifications as to their qualifications to receive support.</w:t>
      </w:r>
      <w:r w:rsidR="008A28AB">
        <w:rPr>
          <w:rStyle w:val="FootnoteReference"/>
        </w:rPr>
        <w:footnoteReference w:id="25"/>
      </w:r>
      <w:r>
        <w:t xml:space="preserve">  After the close of the auction, winning bidders must submit a detailed long-form application and procure an irrevocable stand-by Letter </w:t>
      </w:r>
      <w:r w:rsidR="002325E6">
        <w:t xml:space="preserve">(or Letters) </w:t>
      </w:r>
      <w:r>
        <w:t xml:space="preserve">of Credit </w:t>
      </w:r>
      <w:r w:rsidR="002325E6">
        <w:t xml:space="preserve">(LOC) </w:t>
      </w:r>
      <w:r>
        <w:t>to secure the Commission’s financial commitment</w:t>
      </w:r>
      <w:r w:rsidR="008939DC">
        <w:t>,</w:t>
      </w:r>
      <w:r w:rsidR="00661944">
        <w:t xml:space="preserve"> along with an opinion letter from counsel</w:t>
      </w:r>
      <w:r>
        <w:t>.</w:t>
      </w:r>
      <w:r>
        <w:rPr>
          <w:rStyle w:val="FootnoteReference"/>
        </w:rPr>
        <w:footnoteReference w:id="26"/>
      </w:r>
      <w:r>
        <w:t xml:space="preserve"> </w:t>
      </w:r>
    </w:p>
    <w:p w:rsidR="00151ABA" w:rsidRPr="00180099" w:rsidRDefault="009B118E" w:rsidP="00117F95">
      <w:pPr>
        <w:pStyle w:val="ParaNum"/>
        <w:widowControl/>
      </w:pPr>
      <w:r w:rsidRPr="009B118E">
        <w:rPr>
          <w:i/>
        </w:rPr>
        <w:t xml:space="preserve">Auction </w:t>
      </w:r>
      <w:r w:rsidR="00BA6714">
        <w:rPr>
          <w:i/>
        </w:rPr>
        <w:t>Process Overview</w:t>
      </w:r>
      <w:r>
        <w:t xml:space="preserve">.  </w:t>
      </w:r>
      <w:r w:rsidR="00DA21C2">
        <w:t xml:space="preserve">In the </w:t>
      </w:r>
      <w:r w:rsidR="00DA21C2">
        <w:rPr>
          <w:i/>
        </w:rPr>
        <w:t>USF/ICC Transformation Order</w:t>
      </w:r>
      <w:r w:rsidR="00DA21C2">
        <w:t xml:space="preserve">, the Commission delegated authority to the Bureaus to implement </w:t>
      </w:r>
      <w:r w:rsidR="00712C5E">
        <w:t xml:space="preserve">Tribal </w:t>
      </w:r>
      <w:r w:rsidR="00DA21C2">
        <w:t xml:space="preserve">Mobility Fund </w:t>
      </w:r>
      <w:r w:rsidR="00042E10">
        <w:t>Phase I</w:t>
      </w:r>
      <w:r w:rsidR="00DA21C2">
        <w:t xml:space="preserve">, including </w:t>
      </w:r>
      <w:r w:rsidR="00190440">
        <w:t>the authority to prepare for and conduct an auction and administer program details.</w:t>
      </w:r>
      <w:r w:rsidR="00190440">
        <w:rPr>
          <w:rStyle w:val="FootnoteReference"/>
        </w:rPr>
        <w:footnoteReference w:id="27"/>
      </w:r>
      <w:r w:rsidR="00190440">
        <w:t xml:space="preserve">  </w:t>
      </w:r>
      <w:r w:rsidR="00151ABA">
        <w:t>This Public Notice focuses on establishing the procedures and processes needed to conduct Auction 90</w:t>
      </w:r>
      <w:r w:rsidR="00712C5E">
        <w:t>2</w:t>
      </w:r>
      <w:r w:rsidR="00151ABA">
        <w:t xml:space="preserve"> and administer </w:t>
      </w:r>
      <w:r w:rsidR="008F6E07">
        <w:t xml:space="preserve">Tribal Mobility Fund </w:t>
      </w:r>
      <w:r w:rsidR="00042E10">
        <w:t>Phase I</w:t>
      </w:r>
      <w:r w:rsidR="00151ABA">
        <w:t xml:space="preserve">.  Parties responding to this Public Notice should be familiar with the details of the </w:t>
      </w:r>
      <w:r w:rsidR="00151ABA">
        <w:rPr>
          <w:i/>
        </w:rPr>
        <w:t>USF/ICC Transformation Order</w:t>
      </w:r>
      <w:r w:rsidR="00151ABA">
        <w:t xml:space="preserve"> and the process </w:t>
      </w:r>
      <w:r w:rsidR="008939DC">
        <w:t xml:space="preserve">established </w:t>
      </w:r>
      <w:r w:rsidR="00151ABA">
        <w:t xml:space="preserve">for </w:t>
      </w:r>
      <w:r w:rsidR="006A1E96">
        <w:t>the Commission’s first auction of Mobility Fund Phase I support (Auction 901)</w:t>
      </w:r>
      <w:r w:rsidR="00151ABA">
        <w:t>, which serve as the foundation for the process we propose here.  After reviewing the comments requested by this Public Notice, the Bureaus will release a public notice detailing final procedures for Auction 90</w:t>
      </w:r>
      <w:r w:rsidR="00712C5E">
        <w:t>2</w:t>
      </w:r>
      <w:r w:rsidR="00151ABA">
        <w:t xml:space="preserve">.  That public notice will be released so that potential applicants will have adequate time to familiarize themselves with the specific procedures that will govern the auction </w:t>
      </w:r>
      <w:r w:rsidR="002827B9">
        <w:t>and</w:t>
      </w:r>
      <w:r w:rsidR="00151ABA">
        <w:t xml:space="preserve"> with the obligations of support, including rates and coverage requirements that </w:t>
      </w:r>
      <w:r w:rsidR="00BA6714">
        <w:t>we address later in this Public Notice</w:t>
      </w:r>
      <w:r w:rsidR="00151ABA">
        <w:t xml:space="preserve">. </w:t>
      </w:r>
      <w:r w:rsidR="00CD502B">
        <w:t xml:space="preserve"> </w:t>
      </w:r>
      <w:r w:rsidR="00151ABA">
        <w:t>Below we summarize the topics on which we seek comment in this Public Notice.</w:t>
      </w:r>
      <w:r w:rsidR="008776A6">
        <w:t xml:space="preserve">  We ask that commenters advocating for particular procedures provide input on the costs and benefits of those procedures.  </w:t>
      </w:r>
    </w:p>
    <w:p w:rsidR="00151ABA" w:rsidRPr="00C33419" w:rsidRDefault="00151ABA" w:rsidP="00117F95">
      <w:pPr>
        <w:pStyle w:val="ParaNum"/>
        <w:widowControl/>
        <w:rPr>
          <w:b/>
        </w:rPr>
      </w:pPr>
      <w:r>
        <w:rPr>
          <w:i/>
        </w:rPr>
        <w:t xml:space="preserve">Areas Eligible for Mobility Fund Support.  </w:t>
      </w:r>
      <w:r>
        <w:t xml:space="preserve">To assure that support is being used in areas that are not covered by current or next generation mobile networks, the </w:t>
      </w:r>
      <w:r>
        <w:rPr>
          <w:i/>
        </w:rPr>
        <w:t>USF/ICC Transformation Order</w:t>
      </w:r>
      <w:r>
        <w:t xml:space="preserve"> provides that the Bu</w:t>
      </w:r>
      <w:r w:rsidR="00EB5AE7">
        <w:t>reaus will identify areas curren</w:t>
      </w:r>
      <w:r>
        <w:t xml:space="preserve">tly without such services on a census block basis, and publish a list of census blocks deemed eligible for </w:t>
      </w:r>
      <w:r w:rsidR="00BC32CD">
        <w:t xml:space="preserve">Tribal Mobility Fund </w:t>
      </w:r>
      <w:r w:rsidR="00042E10">
        <w:t>Phase I</w:t>
      </w:r>
      <w:r>
        <w:t xml:space="preserve"> support.</w:t>
      </w:r>
      <w:r w:rsidR="00E27D43">
        <w:rPr>
          <w:rStyle w:val="FootnoteReference"/>
        </w:rPr>
        <w:footnoteReference w:id="28"/>
      </w:r>
      <w:r>
        <w:t xml:space="preserve">  </w:t>
      </w:r>
      <w:r w:rsidR="00E516D6">
        <w:t xml:space="preserve">A </w:t>
      </w:r>
      <w:r>
        <w:t xml:space="preserve">list of </w:t>
      </w:r>
      <w:r w:rsidR="00C92C9D">
        <w:t xml:space="preserve">potentially </w:t>
      </w:r>
      <w:r>
        <w:t>eligible census blocks</w:t>
      </w:r>
      <w:r w:rsidR="00C92C9D">
        <w:t>,</w:t>
      </w:r>
      <w:r>
        <w:t xml:space="preserve"> as well as the </w:t>
      </w:r>
      <w:r w:rsidR="006A1E96">
        <w:t xml:space="preserve">population </w:t>
      </w:r>
      <w:r>
        <w:t>associated with each</w:t>
      </w:r>
      <w:r w:rsidR="008C62E5">
        <w:t>,</w:t>
      </w:r>
      <w:r>
        <w:t xml:space="preserve"> can be found at:  </w:t>
      </w:r>
      <w:hyperlink r:id="rId8" w:history="1">
        <w:r w:rsidR="007A5456" w:rsidRPr="00D85D00">
          <w:rPr>
            <w:rStyle w:val="Hyperlink"/>
          </w:rPr>
          <w:t>http://wireless.fcc.gov/auctions/902/</w:t>
        </w:r>
      </w:hyperlink>
      <w:r>
        <w:t xml:space="preserve">. </w:t>
      </w:r>
      <w:r w:rsidR="00CE1CED">
        <w:t xml:space="preserve"> </w:t>
      </w:r>
      <w:r w:rsidR="00CA2C2C">
        <w:t xml:space="preserve">We </w:t>
      </w:r>
      <w:r>
        <w:t xml:space="preserve">seek comment on </w:t>
      </w:r>
      <w:r w:rsidR="003C67E4">
        <w:t xml:space="preserve">various issues regarding the census blocks identified as </w:t>
      </w:r>
      <w:r w:rsidR="00C92C9D">
        <w:t xml:space="preserve">potentially </w:t>
      </w:r>
      <w:r w:rsidR="003C67E4">
        <w:t>eligible</w:t>
      </w:r>
      <w:r>
        <w:t>.  We will finalize which areas are eligible for support in a public notice establishing final procedures for Auction 90</w:t>
      </w:r>
      <w:r w:rsidR="00D64140">
        <w:t>2</w:t>
      </w:r>
      <w:r>
        <w:t>.</w:t>
      </w:r>
    </w:p>
    <w:p w:rsidR="00151ABA" w:rsidRPr="003951FD" w:rsidRDefault="00151ABA" w:rsidP="00117F95">
      <w:pPr>
        <w:pStyle w:val="ParaNum"/>
        <w:widowControl/>
        <w:rPr>
          <w:b/>
        </w:rPr>
      </w:pPr>
      <w:r>
        <w:rPr>
          <w:i/>
        </w:rPr>
        <w:t xml:space="preserve">Auction Design and Bidding Procedures.  </w:t>
      </w:r>
      <w:r w:rsidR="00EB5990">
        <w:t xml:space="preserve">In the </w:t>
      </w:r>
      <w:r w:rsidR="00EB5990">
        <w:rPr>
          <w:i/>
        </w:rPr>
        <w:t>USF/ICC Transformation Order</w:t>
      </w:r>
      <w:r w:rsidR="00EB5990">
        <w:t xml:space="preserve">, the Commission concluded that distributing support through a reverse auction would be the best way to achieve its goal of maximizing consumer benefits with the funds available for </w:t>
      </w:r>
      <w:r w:rsidR="00042E10">
        <w:t>Phase I</w:t>
      </w:r>
      <w:r w:rsidR="00EB5990">
        <w:t xml:space="preserve"> of the Mobility Fund</w:t>
      </w:r>
      <w:r w:rsidR="00212D8C">
        <w:t xml:space="preserve"> and adopted general competitive bidding rules for that purpose</w:t>
      </w:r>
      <w:r w:rsidR="00EB5990">
        <w:t>.</w:t>
      </w:r>
      <w:r w:rsidR="00EB5990">
        <w:rPr>
          <w:rStyle w:val="FootnoteReference"/>
        </w:rPr>
        <w:footnoteReference w:id="29"/>
      </w:r>
      <w:r w:rsidR="00EB5990">
        <w:t xml:space="preserve">  </w:t>
      </w:r>
      <w:r w:rsidR="00190440">
        <w:t xml:space="preserve">As envisioned by the </w:t>
      </w:r>
      <w:r w:rsidR="00EB5990">
        <w:t>C</w:t>
      </w:r>
      <w:r w:rsidR="00190440">
        <w:t>ommission</w:t>
      </w:r>
      <w:r w:rsidR="00EB5990">
        <w:t>,</w:t>
      </w:r>
      <w:r w:rsidR="00190440">
        <w:t xml:space="preserve"> p</w:t>
      </w:r>
      <w:r>
        <w:t>arties seeking support will compete in Auction 90</w:t>
      </w:r>
      <w:r w:rsidR="00D64140">
        <w:t>2</w:t>
      </w:r>
      <w:r>
        <w:t xml:space="preserve"> by indicating the amount of support they need to meet the requirements of </w:t>
      </w:r>
      <w:r w:rsidR="00D64140">
        <w:t xml:space="preserve">Tribal </w:t>
      </w:r>
      <w:r>
        <w:t xml:space="preserve">Mobility Fund </w:t>
      </w:r>
      <w:r w:rsidR="00042E10">
        <w:t>Phase I</w:t>
      </w:r>
      <w:r>
        <w:t xml:space="preserve"> in the eligible </w:t>
      </w:r>
      <w:r w:rsidR="00567DC2">
        <w:t xml:space="preserve">areas </w:t>
      </w:r>
      <w:r>
        <w:t>on which they bid.</w:t>
      </w:r>
      <w:r w:rsidR="00190440">
        <w:rPr>
          <w:rStyle w:val="FootnoteReference"/>
        </w:rPr>
        <w:footnoteReference w:id="30"/>
      </w:r>
      <w:r>
        <w:t xml:space="preserve">  </w:t>
      </w:r>
      <w:r w:rsidR="00EB5990">
        <w:t>T</w:t>
      </w:r>
      <w:r w:rsidR="00953879">
        <w:t xml:space="preserve">he Commission indicated that a single-round sealed bid auction format would be most appropriate for </w:t>
      </w:r>
      <w:r w:rsidR="00D64140">
        <w:t xml:space="preserve">Tribal </w:t>
      </w:r>
      <w:r w:rsidR="00953879">
        <w:t xml:space="preserve">Mobility Fund </w:t>
      </w:r>
      <w:r w:rsidR="00042E10">
        <w:t>Phase I</w:t>
      </w:r>
      <w:r w:rsidR="00953879">
        <w:t xml:space="preserve">, but left the final determination </w:t>
      </w:r>
      <w:r w:rsidR="00F614DC">
        <w:t xml:space="preserve">to </w:t>
      </w:r>
      <w:r>
        <w:t>the Bureaus</w:t>
      </w:r>
      <w:r w:rsidR="00953879">
        <w:t>.</w:t>
      </w:r>
      <w:r w:rsidR="00953879">
        <w:rPr>
          <w:rStyle w:val="FootnoteReference"/>
        </w:rPr>
        <w:footnoteReference w:id="31"/>
      </w:r>
      <w:r w:rsidR="00953879">
        <w:t xml:space="preserve">  </w:t>
      </w:r>
      <w:r w:rsidR="00765818">
        <w:t xml:space="preserve">Based on our analysis of the Mobility Fund Phase I auction results and the opportunity for us to refine the auction format for the purposes of Auction 902, which will offer support for fewer eligible areas than Auction 901, we </w:t>
      </w:r>
      <w:r w:rsidR="00EB71D9">
        <w:t xml:space="preserve">now </w:t>
      </w:r>
      <w:r w:rsidR="00765818">
        <w:t xml:space="preserve">seek </w:t>
      </w:r>
      <w:r w:rsidR="00EB71D9">
        <w:t xml:space="preserve">further </w:t>
      </w:r>
      <w:r w:rsidR="00765818">
        <w:t>comment on the auction format for Tribal Mobility Fund Phase I.  As in the Mobility Fund Phase I auction, we propose to award support</w:t>
      </w:r>
      <w:r w:rsidRPr="00A57504">
        <w:t xml:space="preserve"> to maximize </w:t>
      </w:r>
      <w:r w:rsidR="001E6B3D" w:rsidRPr="00A57504">
        <w:t xml:space="preserve">advanced services to </w:t>
      </w:r>
      <w:r w:rsidR="00D76A5D" w:rsidRPr="00A57504">
        <w:t xml:space="preserve">eligible census blocks </w:t>
      </w:r>
      <w:r w:rsidRPr="00A57504">
        <w:t xml:space="preserve">that </w:t>
      </w:r>
      <w:r w:rsidR="00551E35" w:rsidRPr="00A57504">
        <w:t xml:space="preserve">can </w:t>
      </w:r>
      <w:r w:rsidR="00DD4FCF" w:rsidRPr="00A57504">
        <w:t xml:space="preserve">gain 3G or better mobile services </w:t>
      </w:r>
      <w:r w:rsidRPr="00A57504">
        <w:t xml:space="preserve">under the </w:t>
      </w:r>
      <w:r w:rsidR="00D64140" w:rsidRPr="00A57504">
        <w:t xml:space="preserve">Tribal </w:t>
      </w:r>
      <w:r w:rsidRPr="00A57504">
        <w:t xml:space="preserve">Mobility Fund </w:t>
      </w:r>
      <w:r w:rsidR="00042E10" w:rsidRPr="00A57504">
        <w:t>Phase I</w:t>
      </w:r>
      <w:r w:rsidRPr="00A57504">
        <w:t xml:space="preserve"> budget.  </w:t>
      </w:r>
      <w:r w:rsidR="00EB71D9">
        <w:t>In this case, however, we will measure coverage based on population rather than road miles.</w:t>
      </w:r>
      <w:r w:rsidR="00EB71D9">
        <w:rPr>
          <w:rStyle w:val="FootnoteReference"/>
        </w:rPr>
        <w:footnoteReference w:id="32"/>
      </w:r>
      <w:r w:rsidR="00EB71D9">
        <w:t xml:space="preserve">  </w:t>
      </w:r>
      <w:r w:rsidR="00EB71D9">
        <w:rPr>
          <w:color w:val="000000"/>
          <w:szCs w:val="22"/>
        </w:rPr>
        <w:t xml:space="preserve">Under </w:t>
      </w:r>
      <w:r w:rsidR="00F766C9">
        <w:rPr>
          <w:color w:val="000000"/>
          <w:szCs w:val="22"/>
        </w:rPr>
        <w:t>the</w:t>
      </w:r>
      <w:r w:rsidR="00EB71D9">
        <w:rPr>
          <w:color w:val="000000"/>
          <w:szCs w:val="22"/>
        </w:rPr>
        <w:t xml:space="preserve"> auction design options discussed below, b</w:t>
      </w:r>
      <w:r w:rsidRPr="00524AC0">
        <w:t>idders w</w:t>
      </w:r>
      <w:r w:rsidR="008A1ACB">
        <w:t>ould</w:t>
      </w:r>
      <w:r w:rsidRPr="00524AC0">
        <w:t xml:space="preserve"> compete not only against other carriers that may be bidding for </w:t>
      </w:r>
      <w:r w:rsidR="00DD4FCF">
        <w:t xml:space="preserve">support in </w:t>
      </w:r>
      <w:r w:rsidRPr="00524AC0">
        <w:t xml:space="preserve">the same areas, but </w:t>
      </w:r>
      <w:r w:rsidR="008E20BC">
        <w:t xml:space="preserve">also </w:t>
      </w:r>
      <w:r w:rsidRPr="00524AC0">
        <w:t xml:space="preserve">against carriers bidding for support </w:t>
      </w:r>
      <w:r w:rsidR="00DD4FCF">
        <w:t xml:space="preserve">in </w:t>
      </w:r>
      <w:r w:rsidRPr="00524AC0">
        <w:t>other areas nationwide.</w:t>
      </w:r>
    </w:p>
    <w:p w:rsidR="00151ABA" w:rsidRPr="00175426" w:rsidRDefault="00151ABA" w:rsidP="00117F95">
      <w:pPr>
        <w:pStyle w:val="ParaNum"/>
        <w:widowControl/>
        <w:rPr>
          <w:b/>
        </w:rPr>
      </w:pPr>
      <w:r>
        <w:t xml:space="preserve">The list of </w:t>
      </w:r>
      <w:r w:rsidR="00C92C9D">
        <w:t xml:space="preserve">potentially </w:t>
      </w:r>
      <w:r>
        <w:t xml:space="preserve">eligible areas we release in connection with this </w:t>
      </w:r>
      <w:r w:rsidR="00D2428E">
        <w:t>P</w:t>
      </w:r>
      <w:r>
        <w:t xml:space="preserve">ublic </w:t>
      </w:r>
      <w:r w:rsidR="00D2428E">
        <w:t>N</w:t>
      </w:r>
      <w:r>
        <w:t xml:space="preserve">otice contains </w:t>
      </w:r>
      <w:r w:rsidR="00761B89">
        <w:t>5,</w:t>
      </w:r>
      <w:r w:rsidR="001F5BD0">
        <w:t>5</w:t>
      </w:r>
      <w:r w:rsidR="00761B89">
        <w:t>54</w:t>
      </w:r>
      <w:r w:rsidR="00C80E5D">
        <w:t xml:space="preserve"> </w:t>
      </w:r>
      <w:r>
        <w:t xml:space="preserve">census blocks, which </w:t>
      </w:r>
      <w:r w:rsidR="00480641">
        <w:t>have an average area of approximately 2</w:t>
      </w:r>
      <w:r w:rsidR="002827B9">
        <w:t>.</w:t>
      </w:r>
      <w:r w:rsidR="0008034E">
        <w:t>1</w:t>
      </w:r>
      <w:r w:rsidR="00480641">
        <w:t xml:space="preserve"> square miles and may be smaller</w:t>
      </w:r>
      <w:r>
        <w:t xml:space="preserve"> than the minimum areas for which carriers seeking support are likely to want to extend service.  Thus, carriers bidding for support are likely to bid on groups of census blocks.  To address this need to aggregate census blocks for bidding while maintaining a manageable auction process, we propose </w:t>
      </w:r>
      <w:r w:rsidR="008E20BC">
        <w:t xml:space="preserve">an </w:t>
      </w:r>
      <w:r w:rsidR="00B410C6">
        <w:t xml:space="preserve">aggregation </w:t>
      </w:r>
      <w:r>
        <w:t xml:space="preserve">approach and seek comment on </w:t>
      </w:r>
      <w:r w:rsidR="00B410C6">
        <w:t>an</w:t>
      </w:r>
      <w:r w:rsidR="00087545">
        <w:t>y</w:t>
      </w:r>
      <w:r w:rsidR="00B410C6">
        <w:t xml:space="preserve"> </w:t>
      </w:r>
      <w:r>
        <w:t>alternative approach</w:t>
      </w:r>
      <w:r w:rsidR="00087545">
        <w:t>es</w:t>
      </w:r>
      <w:r>
        <w:t xml:space="preserve">.  </w:t>
      </w:r>
    </w:p>
    <w:p w:rsidR="00151ABA" w:rsidRPr="005612EE" w:rsidRDefault="00E439FA" w:rsidP="00117F95">
      <w:pPr>
        <w:pStyle w:val="ParaNum"/>
        <w:widowControl/>
        <w:rPr>
          <w:b/>
        </w:rPr>
      </w:pPr>
      <w:r>
        <w:t>We seek comment on whether</w:t>
      </w:r>
      <w:r w:rsidR="00151ABA">
        <w:t xml:space="preserve"> to establish any maximum acceptable bid amounts </w:t>
      </w:r>
      <w:r w:rsidR="008E20BC">
        <w:t xml:space="preserve">or </w:t>
      </w:r>
      <w:r w:rsidR="00151ABA">
        <w:t xml:space="preserve">reserve amounts.  In addition, consistent with recent </w:t>
      </w:r>
      <w:r w:rsidR="00087545">
        <w:t xml:space="preserve">practice in </w:t>
      </w:r>
      <w:r w:rsidR="00151ABA">
        <w:t xml:space="preserve">spectrum </w:t>
      </w:r>
      <w:r w:rsidR="00C209A6">
        <w:t xml:space="preserve">license </w:t>
      </w:r>
      <w:r w:rsidR="00151ABA">
        <w:t>auction</w:t>
      </w:r>
      <w:r w:rsidR="00087545">
        <w:t>s</w:t>
      </w:r>
      <w:r w:rsidR="00151ABA">
        <w:t xml:space="preserve"> </w:t>
      </w:r>
      <w:r w:rsidR="00087545">
        <w:t>and Auction 901</w:t>
      </w:r>
      <w:r w:rsidR="00151ABA">
        <w:t>, the Bureaus propose to withhold, until after the close of bidding, information</w:t>
      </w:r>
      <w:r w:rsidR="007737BC" w:rsidRPr="007737BC">
        <w:t xml:space="preserve"> </w:t>
      </w:r>
      <w:r w:rsidR="007737BC">
        <w:t xml:space="preserve">from </w:t>
      </w:r>
      <w:r w:rsidR="002403B0">
        <w:t xml:space="preserve">applicants’ </w:t>
      </w:r>
      <w:r w:rsidR="007737BC">
        <w:t>short-form</w:t>
      </w:r>
      <w:r w:rsidR="00F766C9">
        <w:t xml:space="preserve"> application</w:t>
      </w:r>
      <w:r w:rsidR="002403B0">
        <w:t>s</w:t>
      </w:r>
      <w:r w:rsidR="007737BC">
        <w:t xml:space="preserve"> regarding their interest in particular eligible census blocks</w:t>
      </w:r>
      <w:r w:rsidR="00151ABA">
        <w:t>.  As discussed in more detail below, the Bureaus seek comment on th</w:t>
      </w:r>
      <w:r w:rsidR="00F766C9">
        <w:t>is</w:t>
      </w:r>
      <w:r w:rsidR="00151ABA">
        <w:t xml:space="preserve"> proposal.</w:t>
      </w:r>
    </w:p>
    <w:p w:rsidR="00151ABA" w:rsidRPr="00E22C7B" w:rsidRDefault="00151ABA" w:rsidP="00CB17AF">
      <w:pPr>
        <w:pStyle w:val="ParaNum"/>
        <w:widowControl/>
      </w:pPr>
      <w:r>
        <w:rPr>
          <w:i/>
        </w:rPr>
        <w:t>Post</w:t>
      </w:r>
      <w:r w:rsidRPr="00D15D47">
        <w:rPr>
          <w:i/>
        </w:rPr>
        <w:t>-</w:t>
      </w:r>
      <w:r w:rsidRPr="004D3229">
        <w:rPr>
          <w:i/>
        </w:rPr>
        <w:t>Auction Procedures</w:t>
      </w:r>
      <w:r>
        <w:t xml:space="preserve">.  At the conclusion of the auction, </w:t>
      </w:r>
      <w:r w:rsidR="00087545">
        <w:t xml:space="preserve">each </w:t>
      </w:r>
      <w:r>
        <w:t>winning bidder will be required to file an in</w:t>
      </w:r>
      <w:r w:rsidR="000D3D00">
        <w:t>-</w:t>
      </w:r>
      <w:r>
        <w:t xml:space="preserve">depth long-form application to demonstrate that </w:t>
      </w:r>
      <w:r w:rsidR="00087545">
        <w:t xml:space="preserve">it </w:t>
      </w:r>
      <w:r>
        <w:t>qualif</w:t>
      </w:r>
      <w:r w:rsidR="00087545">
        <w:t>ies</w:t>
      </w:r>
      <w:r>
        <w:t xml:space="preserve"> for </w:t>
      </w:r>
      <w:r w:rsidR="00D64140">
        <w:t xml:space="preserve">Tribal </w:t>
      </w:r>
      <w:r>
        <w:t xml:space="preserve">Mobility Fund </w:t>
      </w:r>
      <w:r w:rsidR="00042E10">
        <w:t>Phase I</w:t>
      </w:r>
      <w:r w:rsidR="00C31D87">
        <w:t xml:space="preserve"> </w:t>
      </w:r>
      <w:r>
        <w:t>support.  The long-form application must include information regarding the winning bidder’s ownership, eligibility to receive support</w:t>
      </w:r>
      <w:r w:rsidR="000D3D00">
        <w:t>,</w:t>
      </w:r>
      <w:r>
        <w:t xml:space="preserve"> </w:t>
      </w:r>
      <w:r w:rsidR="00EB5AE7">
        <w:t xml:space="preserve">eligibility for a Tribal entity bidding credit, if relevant, </w:t>
      </w:r>
      <w:r>
        <w:t>and network construction details</w:t>
      </w:r>
      <w:r w:rsidR="00607087">
        <w:t>.</w:t>
      </w:r>
      <w:r w:rsidR="00EA6A76">
        <w:rPr>
          <w:rStyle w:val="FootnoteReference"/>
        </w:rPr>
        <w:footnoteReference w:id="33"/>
      </w:r>
      <w:r w:rsidR="00607087">
        <w:t xml:space="preserve">  </w:t>
      </w:r>
      <w:r w:rsidR="00C05697">
        <w:t xml:space="preserve">Winning bidders must also certify that they will offer service in supported areas at rates comparable to those for similar services in urban areas.  </w:t>
      </w:r>
      <w:r w:rsidR="00607087">
        <w:t xml:space="preserve">In this Public Notice, we describe and seek comment on a </w:t>
      </w:r>
      <w:r w:rsidR="003E78EE">
        <w:t xml:space="preserve">proposed </w:t>
      </w:r>
      <w:r w:rsidR="00607087">
        <w:t>standard for demonstrating compliance with this requirement</w:t>
      </w:r>
      <w:r>
        <w:t xml:space="preserve">.  A winning bidder will be liable for an auction default payment if the bidder fails to timely file the long-form application, is found ineligible, is disqualified, or otherwise defaults for any reason.  In addition, </w:t>
      </w:r>
      <w:r w:rsidR="00C31D87">
        <w:t xml:space="preserve">a winning bidder that fails to meet certain obligations will be liable for a performance default payment.  Accordingly, </w:t>
      </w:r>
      <w:r>
        <w:t xml:space="preserve">winning bidders will be required to provide an irrevocable stand-by </w:t>
      </w:r>
      <w:r w:rsidR="006E2585">
        <w:t xml:space="preserve">LOC </w:t>
      </w:r>
      <w:r>
        <w:t xml:space="preserve">in an amount equal to the amount of support, plus an additional amount which </w:t>
      </w:r>
      <w:r w:rsidR="00C31D87">
        <w:t xml:space="preserve">would </w:t>
      </w:r>
      <w:r>
        <w:t>serve as a performance default payment</w:t>
      </w:r>
      <w:r w:rsidR="00C31D87">
        <w:t xml:space="preserve"> if necessary</w:t>
      </w:r>
      <w:r>
        <w:t xml:space="preserve">.  As discussed below, the Bureaus seek comment on how to establish </w:t>
      </w:r>
      <w:r w:rsidR="00C31D87">
        <w:t xml:space="preserve">auction and performance </w:t>
      </w:r>
      <w:r>
        <w:t xml:space="preserve">default payments.  </w:t>
      </w:r>
      <w:bookmarkStart w:id="42" w:name="OLE_LINK31"/>
      <w:bookmarkStart w:id="43" w:name="OLE_LINK32"/>
    </w:p>
    <w:p w:rsidR="00E22C7B" w:rsidRPr="00C45BC9" w:rsidRDefault="00E22C7B" w:rsidP="00CB17AF">
      <w:pPr>
        <w:pStyle w:val="ParaNum"/>
        <w:widowControl/>
        <w:rPr>
          <w:b/>
        </w:rPr>
      </w:pPr>
      <w:r w:rsidRPr="00E22C7B">
        <w:rPr>
          <w:i/>
        </w:rPr>
        <w:t>Tribal Engagement</w:t>
      </w:r>
      <w:r>
        <w:t>.  A</w:t>
      </w:r>
      <w:r w:rsidRPr="00B96EF2">
        <w:t>ny bidder winning support for areas within Tribal lands</w:t>
      </w:r>
      <w:r>
        <w:t>—</w:t>
      </w:r>
      <w:r w:rsidRPr="00E22C7B">
        <w:rPr>
          <w:i/>
        </w:rPr>
        <w:t>i.e.</w:t>
      </w:r>
      <w:r>
        <w:t>, any bidder winning support in Auction 902—</w:t>
      </w:r>
      <w:r w:rsidRPr="00B96EF2">
        <w:t>must</w:t>
      </w:r>
      <w:r>
        <w:t xml:space="preserve"> </w:t>
      </w:r>
      <w:r w:rsidRPr="00B96EF2">
        <w:t>notify the appropriate Tribal governments of its winning bid no later than five business days after being identified by public notice as a winning bidder.</w:t>
      </w:r>
      <w:r>
        <w:rPr>
          <w:rStyle w:val="FootnoteReference"/>
        </w:rPr>
        <w:footnoteReference w:id="34"/>
      </w:r>
      <w:r w:rsidRPr="00B96EF2">
        <w:t xml:space="preserve">  Thereafter, at the long-form application stage</w:t>
      </w:r>
      <w:r>
        <w:t xml:space="preserve"> and</w:t>
      </w:r>
      <w:r w:rsidRPr="00B96EF2">
        <w:t xml:space="preserve"> in annual reports, a bidder winning </w:t>
      </w:r>
      <w:r>
        <w:t>support in Auction 902</w:t>
      </w:r>
      <w:r w:rsidRPr="00B96EF2">
        <w:t xml:space="preserve"> will be required to certify that it has substantively engaged appropriate Tribal officials regarding </w:t>
      </w:r>
      <w:r>
        <w:t xml:space="preserve">certain </w:t>
      </w:r>
      <w:r w:rsidRPr="00B96EF2">
        <w:t>minimum discussion topics and provide a summary of the results of such engagement.</w:t>
      </w:r>
      <w:r>
        <w:rPr>
          <w:rStyle w:val="FootnoteReference"/>
        </w:rPr>
        <w:footnoteReference w:id="35"/>
      </w:r>
      <w:r w:rsidRPr="00B96EF2">
        <w:t xml:space="preserve">  A copy of the certification and summary must be sent to the appropriate Tribal officials when it is sent to the Commission.</w:t>
      </w:r>
      <w:r>
        <w:rPr>
          <w:rStyle w:val="FootnoteReference"/>
        </w:rPr>
        <w:footnoteReference w:id="36"/>
      </w:r>
      <w:r w:rsidRPr="00B96EF2">
        <w:t xml:space="preserve">  A winning bidder’s engagement with the applicable Tribal governments must consist, at a minimum, of discussion regarding: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w:t>
      </w:r>
      <w:r>
        <w:t>.</w:t>
      </w:r>
      <w:r w:rsidR="00590BB2">
        <w:rPr>
          <w:rStyle w:val="FootnoteReference"/>
        </w:rPr>
        <w:footnoteReference w:id="37"/>
      </w:r>
      <w:r>
        <w:t xml:space="preserve"> </w:t>
      </w:r>
    </w:p>
    <w:p w:rsidR="00151ABA" w:rsidRDefault="00151ABA" w:rsidP="00117F95">
      <w:pPr>
        <w:pStyle w:val="Heading1"/>
        <w:widowControl/>
        <w:rPr>
          <w:szCs w:val="22"/>
        </w:rPr>
      </w:pPr>
      <w:bookmarkStart w:id="44" w:name="_Toc315868074"/>
      <w:bookmarkStart w:id="45" w:name="_Toc315956809"/>
      <w:bookmarkStart w:id="46" w:name="_Toc349805086"/>
      <w:bookmarkStart w:id="47" w:name="_Toc349921061"/>
      <w:bookmarkStart w:id="48" w:name="_Toc350158496"/>
      <w:bookmarkEnd w:id="42"/>
      <w:bookmarkEnd w:id="43"/>
      <w:r>
        <w:rPr>
          <w:szCs w:val="22"/>
        </w:rPr>
        <w:t xml:space="preserve">areas ELIGIBLE FOR </w:t>
      </w:r>
      <w:r w:rsidR="00D64140">
        <w:rPr>
          <w:szCs w:val="22"/>
        </w:rPr>
        <w:t xml:space="preserve">Tribal </w:t>
      </w:r>
      <w:r>
        <w:rPr>
          <w:szCs w:val="22"/>
        </w:rPr>
        <w:t>mobility fund support</w:t>
      </w:r>
      <w:bookmarkEnd w:id="44"/>
      <w:bookmarkEnd w:id="45"/>
      <w:bookmarkEnd w:id="46"/>
      <w:bookmarkEnd w:id="47"/>
      <w:bookmarkEnd w:id="48"/>
      <w:r>
        <w:rPr>
          <w:szCs w:val="22"/>
        </w:rPr>
        <w:t xml:space="preserve"> </w:t>
      </w:r>
      <w:bookmarkEnd w:id="8"/>
      <w:bookmarkEnd w:id="9"/>
      <w:bookmarkEnd w:id="10"/>
      <w:bookmarkEnd w:id="11"/>
    </w:p>
    <w:p w:rsidR="00151ABA" w:rsidRPr="00E23ECA" w:rsidRDefault="00151ABA" w:rsidP="00117F95">
      <w:pPr>
        <w:pStyle w:val="Heading2"/>
        <w:widowControl/>
      </w:pPr>
      <w:bookmarkStart w:id="49" w:name="_Toc315868075"/>
      <w:bookmarkStart w:id="50" w:name="_Toc315956810"/>
      <w:bookmarkStart w:id="51" w:name="_Toc349805087"/>
      <w:bookmarkStart w:id="52" w:name="_Toc349921062"/>
      <w:bookmarkStart w:id="53" w:name="_Toc350158497"/>
      <w:r>
        <w:t xml:space="preserve">Identifying </w:t>
      </w:r>
      <w:r w:rsidR="00880D51">
        <w:t xml:space="preserve">Eligible </w:t>
      </w:r>
      <w:r>
        <w:t>Unserved Census Blocks</w:t>
      </w:r>
      <w:bookmarkEnd w:id="49"/>
      <w:bookmarkEnd w:id="50"/>
      <w:bookmarkEnd w:id="51"/>
      <w:bookmarkEnd w:id="52"/>
      <w:bookmarkEnd w:id="53"/>
    </w:p>
    <w:p w:rsidR="005C4C86" w:rsidRPr="00172651" w:rsidRDefault="00AB607A" w:rsidP="00117F95">
      <w:pPr>
        <w:pStyle w:val="ParaNum"/>
        <w:widowControl/>
      </w:pPr>
      <w:bookmarkStart w:id="54" w:name="_Ref351533369"/>
      <w:r>
        <w:t xml:space="preserve">In </w:t>
      </w:r>
      <w:r w:rsidR="002E6911">
        <w:t xml:space="preserve">the </w:t>
      </w:r>
      <w:r w:rsidRPr="009D1FC7">
        <w:rPr>
          <w:rFonts w:ascii="Times New Roman Italic" w:hAnsi="Times New Roman Italic"/>
          <w:i/>
        </w:rPr>
        <w:t>USF/ICC Transformation Order</w:t>
      </w:r>
      <w:r>
        <w:t xml:space="preserve">, the Commission decided to target Mobility Fund </w:t>
      </w:r>
      <w:r w:rsidR="00042E10">
        <w:t>Phase I</w:t>
      </w:r>
      <w:r>
        <w:t xml:space="preserve"> support</w:t>
      </w:r>
      <w:r w:rsidR="00145C2C">
        <w:t>, including Tribal Mobility Fund Phase I support,</w:t>
      </w:r>
      <w:r>
        <w:t xml:space="preserve"> to census blocks without 3G or better service, and determined that </w:t>
      </w:r>
      <w:r w:rsidR="008372A6">
        <w:t>Mosaik Solutions (Mosaik)</w:t>
      </w:r>
      <w:r w:rsidRPr="00172651">
        <w:t xml:space="preserve"> data is the best available </w:t>
      </w:r>
      <w:r w:rsidR="005F62E2" w:rsidRPr="00172651">
        <w:t xml:space="preserve">data source </w:t>
      </w:r>
      <w:r w:rsidRPr="00172651">
        <w:t>for determining the availability of such service.</w:t>
      </w:r>
      <w:r w:rsidRPr="00172651">
        <w:rPr>
          <w:rStyle w:val="FootnoteReference"/>
        </w:rPr>
        <w:footnoteReference w:id="38"/>
      </w:r>
      <w:r w:rsidR="00CB17AF">
        <w:t xml:space="preserve">  Accordingly, we </w:t>
      </w:r>
      <w:r w:rsidR="00C05697">
        <w:t>have identified</w:t>
      </w:r>
      <w:r w:rsidR="00CB17AF">
        <w:t xml:space="preserve"> </w:t>
      </w:r>
      <w:r w:rsidR="00661944">
        <w:t xml:space="preserve">potentially </w:t>
      </w:r>
      <w:r w:rsidR="00CB17AF">
        <w:t>eligible blocks on Tribal lands using census blocks from the 2010 Census and the most recently available Mosaik data, from January 2013.</w:t>
      </w:r>
      <w:bookmarkEnd w:id="54"/>
      <w:r w:rsidR="00CB17AF">
        <w:t xml:space="preserve">  </w:t>
      </w:r>
      <w:r w:rsidRPr="00172651">
        <w:t xml:space="preserve"> </w:t>
      </w:r>
      <w:r w:rsidR="005C1A82" w:rsidRPr="00172651">
        <w:t xml:space="preserve">  </w:t>
      </w:r>
    </w:p>
    <w:p w:rsidR="00151ABA" w:rsidRDefault="009D1FC7" w:rsidP="001260EF">
      <w:pPr>
        <w:pStyle w:val="ParaNum"/>
        <w:widowControl/>
      </w:pPr>
      <w:bookmarkStart w:id="55" w:name="_Ref351533567"/>
      <w:r w:rsidRPr="00172651">
        <w:t xml:space="preserve">As the first step in our </w:t>
      </w:r>
      <w:r w:rsidR="00CB17AF">
        <w:t>analysis</w:t>
      </w:r>
      <w:r w:rsidRPr="00172651">
        <w:t xml:space="preserve">, </w:t>
      </w:r>
      <w:r w:rsidR="00824575">
        <w:t>the Bureaus identified census blocks within Tribal lands using 2010 Census</w:t>
      </w:r>
      <w:r w:rsidR="002F6820">
        <w:t xml:space="preserve"> </w:t>
      </w:r>
      <w:r w:rsidR="00661944">
        <w:t>d</w:t>
      </w:r>
      <w:r w:rsidR="002F6820">
        <w:t>ata</w:t>
      </w:r>
      <w:r w:rsidR="00824575">
        <w:t>.</w:t>
      </w:r>
      <w:r w:rsidR="00824575">
        <w:rPr>
          <w:rStyle w:val="FootnoteReference"/>
        </w:rPr>
        <w:footnoteReference w:id="39"/>
      </w:r>
      <w:r w:rsidR="00824575">
        <w:t xml:space="preserve">  T</w:t>
      </w:r>
      <w:r w:rsidR="00151ABA" w:rsidRPr="00172651">
        <w:t xml:space="preserve">he Bureaus </w:t>
      </w:r>
      <w:r w:rsidR="00824575">
        <w:t xml:space="preserve">then </w:t>
      </w:r>
      <w:r w:rsidR="00151ABA" w:rsidRPr="00172651">
        <w:t xml:space="preserve">used geographic information system (GIS) software to determine whether the </w:t>
      </w:r>
      <w:r w:rsidR="00172651">
        <w:t xml:space="preserve">Mosaik </w:t>
      </w:r>
      <w:r w:rsidR="00151ABA" w:rsidRPr="00172651">
        <w:t>data shows 3G or better wireless coverage at the centroid of each block.</w:t>
      </w:r>
      <w:r w:rsidR="00151ABA" w:rsidRPr="00172651">
        <w:rPr>
          <w:rStyle w:val="FootnoteReference"/>
          <w:szCs w:val="22"/>
        </w:rPr>
        <w:footnoteReference w:id="40"/>
      </w:r>
      <w:r w:rsidR="00151ABA" w:rsidRPr="00172651">
        <w:t xml:space="preserve">  If the </w:t>
      </w:r>
      <w:r w:rsidR="00172651">
        <w:t xml:space="preserve">Mosaik </w:t>
      </w:r>
      <w:r w:rsidR="00151ABA" w:rsidRPr="00172651">
        <w:t>d</w:t>
      </w:r>
      <w:r w:rsidR="00151ABA">
        <w:t>ata did not show such coverage, the block was determined to be</w:t>
      </w:r>
      <w:r w:rsidR="00A02536">
        <w:t xml:space="preserve"> potentially eligible for Tribal Mobility Phase I support</w:t>
      </w:r>
      <w:r w:rsidR="00151ABA">
        <w:t xml:space="preserve">. </w:t>
      </w:r>
      <w:r w:rsidR="00CB17AF">
        <w:t xml:space="preserve"> Because support will be awarded </w:t>
      </w:r>
      <w:r w:rsidR="00CB17AF" w:rsidRPr="00216EDD">
        <w:t>based on the bids that will maximize the population covered by new mobile services</w:t>
      </w:r>
      <w:r w:rsidR="00CB17AF">
        <w:t xml:space="preserve">, any of these census blocks without population </w:t>
      </w:r>
      <w:r w:rsidR="00FE6456">
        <w:t>were</w:t>
      </w:r>
      <w:r w:rsidR="00CB17AF">
        <w:t xml:space="preserve"> excluded.</w:t>
      </w:r>
      <w:r w:rsidR="00151ABA">
        <w:t xml:space="preserve"> </w:t>
      </w:r>
      <w:r w:rsidR="00FE6456">
        <w:t xml:space="preserve"> </w:t>
      </w:r>
      <w:r w:rsidR="009D4625">
        <w:t xml:space="preserve">The Bureaus </w:t>
      </w:r>
      <w:r w:rsidR="00A02536">
        <w:t>then excluded any</w:t>
      </w:r>
      <w:r w:rsidR="009D4625">
        <w:t xml:space="preserve"> blocks that, during the Auction 901 challenge process, were determined to be served</w:t>
      </w:r>
      <w:r w:rsidR="00753D21">
        <w:t xml:space="preserve"> or to be </w:t>
      </w:r>
      <w:r w:rsidR="00753D21">
        <w:rPr>
          <w:szCs w:val="22"/>
        </w:rPr>
        <w:t xml:space="preserve">ineligible for Mobility Fund Phase I support because a provider </w:t>
      </w:r>
      <w:r w:rsidR="00C05697">
        <w:rPr>
          <w:szCs w:val="22"/>
        </w:rPr>
        <w:t xml:space="preserve">had </w:t>
      </w:r>
      <w:r w:rsidR="00753D21">
        <w:rPr>
          <w:szCs w:val="22"/>
        </w:rPr>
        <w:t xml:space="preserve">made a regulatory commitment to provide 3G or better wireless service or </w:t>
      </w:r>
      <w:r w:rsidR="00C05697">
        <w:rPr>
          <w:szCs w:val="22"/>
        </w:rPr>
        <w:t xml:space="preserve">had </w:t>
      </w:r>
      <w:r w:rsidR="00753D21">
        <w:rPr>
          <w:szCs w:val="22"/>
        </w:rPr>
        <w:t xml:space="preserve">received a funding commitment from a federal executive department or agency in response to the </w:t>
      </w:r>
      <w:r w:rsidR="00C05697">
        <w:rPr>
          <w:szCs w:val="22"/>
        </w:rPr>
        <w:t xml:space="preserve">provider’s </w:t>
      </w:r>
      <w:r w:rsidR="00753D21">
        <w:rPr>
          <w:szCs w:val="22"/>
        </w:rPr>
        <w:t>commitment to provide 3G or better wireless service in that area</w:t>
      </w:r>
      <w:r w:rsidR="009D4625">
        <w:t>.</w:t>
      </w:r>
      <w:r w:rsidR="001260EF">
        <w:rPr>
          <w:rStyle w:val="FootnoteReference"/>
        </w:rPr>
        <w:footnoteReference w:id="41"/>
      </w:r>
      <w:r w:rsidR="00021EF8">
        <w:t xml:space="preserve">  In addition, the Bureaus </w:t>
      </w:r>
      <w:r w:rsidR="00F92796">
        <w:t>identified</w:t>
      </w:r>
      <w:r w:rsidR="00021EF8">
        <w:t xml:space="preserve"> those census blocks that were the subject of winning bids in Auction 901.</w:t>
      </w:r>
      <w:r w:rsidR="001260EF">
        <w:rPr>
          <w:rStyle w:val="FootnoteReference"/>
        </w:rPr>
        <w:footnoteReference w:id="42"/>
      </w:r>
      <w:r w:rsidR="00021EF8">
        <w:t xml:space="preserve">  Any census block that was the subject of a winning bid in Auction 901 and for which </w:t>
      </w:r>
      <w:r w:rsidR="00CD3ABC">
        <w:t xml:space="preserve">support is authorized at </w:t>
      </w:r>
      <w:r w:rsidR="00021EF8">
        <w:t xml:space="preserve">the conclusion of the </w:t>
      </w:r>
      <w:r w:rsidR="002D19B6">
        <w:t xml:space="preserve">Auction 901 </w:t>
      </w:r>
      <w:r w:rsidR="00021EF8">
        <w:t xml:space="preserve">long-form application review will </w:t>
      </w:r>
      <w:r w:rsidR="00391C68">
        <w:t xml:space="preserve">not be </w:t>
      </w:r>
      <w:r w:rsidR="00021EF8">
        <w:t>eligible</w:t>
      </w:r>
      <w:r w:rsidR="00391C68">
        <w:t xml:space="preserve"> for Tribal Mobility Fund Phase I support</w:t>
      </w:r>
      <w:r w:rsidR="00021EF8">
        <w:t>.</w:t>
      </w:r>
      <w:r w:rsidR="009D4625">
        <w:t xml:space="preserve"> </w:t>
      </w:r>
      <w:r w:rsidR="002412B4">
        <w:t xml:space="preserve"> I</w:t>
      </w:r>
      <w:r w:rsidR="00391C68">
        <w:t xml:space="preserve">f </w:t>
      </w:r>
      <w:r w:rsidR="00145C2C">
        <w:t xml:space="preserve">prior to the release of the list of eligible census blocks the Bureaus determine that </w:t>
      </w:r>
      <w:r w:rsidR="002412B4">
        <w:t>any of the identified winning bids from Auction 901 cannot be authorized,</w:t>
      </w:r>
      <w:r w:rsidR="00567DC2">
        <w:t xml:space="preserve"> but would otherwise be eligible for Auction 902,</w:t>
      </w:r>
      <w:r w:rsidR="002412B4">
        <w:t xml:space="preserve"> </w:t>
      </w:r>
      <w:r w:rsidR="00391C68">
        <w:t xml:space="preserve">then </w:t>
      </w:r>
      <w:r w:rsidR="002412B4">
        <w:t xml:space="preserve">such </w:t>
      </w:r>
      <w:r w:rsidR="00E46050">
        <w:t xml:space="preserve">eligible </w:t>
      </w:r>
      <w:r w:rsidR="00391C68">
        <w:t xml:space="preserve">blocks will </w:t>
      </w:r>
      <w:r w:rsidR="002412B4">
        <w:t>be made available.</w:t>
      </w:r>
      <w:bookmarkEnd w:id="55"/>
    </w:p>
    <w:p w:rsidR="00151ABA" w:rsidRPr="00FD4A35" w:rsidRDefault="00151ABA" w:rsidP="00117F95">
      <w:pPr>
        <w:pStyle w:val="ParaNum"/>
        <w:widowControl/>
      </w:pPr>
      <w:r>
        <w:t xml:space="preserve">Pursuant to </w:t>
      </w:r>
      <w:bookmarkStart w:id="56" w:name="OLE_LINK7"/>
      <w:bookmarkStart w:id="57" w:name="OLE_LINK8"/>
      <w:r>
        <w:t xml:space="preserve">the </w:t>
      </w:r>
      <w:r>
        <w:rPr>
          <w:i/>
        </w:rPr>
        <w:t>USF/ICC Transformation Order</w:t>
      </w:r>
      <w:bookmarkEnd w:id="56"/>
      <w:bookmarkEnd w:id="57"/>
      <w:r>
        <w:t xml:space="preserve">, we will also make ineligible for support </w:t>
      </w:r>
      <w:r w:rsidR="00824575">
        <w:t xml:space="preserve">any additional </w:t>
      </w:r>
      <w:r>
        <w:t xml:space="preserve">census blocks for which, notwithstanding the absence of 3G service, </w:t>
      </w:r>
      <w:r w:rsidRPr="00E16708">
        <w:rPr>
          <w:i/>
          <w:szCs w:val="22"/>
        </w:rPr>
        <w:t>any</w:t>
      </w:r>
      <w:r>
        <w:rPr>
          <w:szCs w:val="22"/>
        </w:rPr>
        <w:t xml:space="preserve"> provider has made a regulatory commitment to provide 3G or better wireless service, or has received a funding commitment from a federal executive department or agency in response to the carrier’s commitment to provide 3G or better wireless service</w:t>
      </w:r>
      <w:r>
        <w:t>.</w:t>
      </w:r>
      <w:r>
        <w:rPr>
          <w:szCs w:val="22"/>
          <w:vertAlign w:val="superscript"/>
        </w:rPr>
        <w:footnoteReference w:id="43"/>
      </w:r>
      <w:r>
        <w:t xml:space="preserve">  </w:t>
      </w:r>
      <w:r w:rsidRPr="00A530ED">
        <w:t xml:space="preserve">Such federal funding commitments may have been made under, but are not limited to, </w:t>
      </w:r>
      <w:r w:rsidR="002419DE" w:rsidRPr="00A530ED">
        <w:t>BTOP and BIP</w:t>
      </w:r>
      <w:r>
        <w:t xml:space="preserve">.  Furthermore, </w:t>
      </w:r>
      <w:r w:rsidR="008806E5">
        <w:t xml:space="preserve">the Commission established </w:t>
      </w:r>
      <w:r>
        <w:t>certain bidder-specific restrictions.</w:t>
      </w:r>
      <w:r>
        <w:rPr>
          <w:rStyle w:val="FootnoteReference"/>
          <w:szCs w:val="22"/>
        </w:rPr>
        <w:footnoteReference w:id="44"/>
      </w:r>
      <w:r>
        <w:rPr>
          <w:szCs w:val="22"/>
        </w:rPr>
        <w:t xml:space="preserve"> </w:t>
      </w:r>
      <w:r w:rsidR="00F74D9D">
        <w:rPr>
          <w:szCs w:val="22"/>
        </w:rPr>
        <w:t xml:space="preserve"> </w:t>
      </w:r>
      <w:r>
        <w:rPr>
          <w:szCs w:val="22"/>
        </w:rPr>
        <w:t>Specifically, e</w:t>
      </w:r>
      <w:r w:rsidRPr="006D4B64">
        <w:rPr>
          <w:szCs w:val="22"/>
        </w:rPr>
        <w:t xml:space="preserve">ach applicant for </w:t>
      </w:r>
      <w:r w:rsidR="00D64140">
        <w:rPr>
          <w:szCs w:val="22"/>
        </w:rPr>
        <w:t xml:space="preserve">Tribal </w:t>
      </w:r>
      <w:r w:rsidRPr="006D4B64">
        <w:rPr>
          <w:szCs w:val="22"/>
        </w:rPr>
        <w:t xml:space="preserve">Mobility Fund </w:t>
      </w:r>
      <w:r w:rsidR="00042E10">
        <w:rPr>
          <w:szCs w:val="22"/>
        </w:rPr>
        <w:t>Phase I</w:t>
      </w:r>
      <w:r w:rsidRPr="006D4B64">
        <w:rPr>
          <w:szCs w:val="22"/>
        </w:rPr>
        <w:t xml:space="preserve"> support is required to certify that it will not seek support for any areas in which it ha</w:t>
      </w:r>
      <w:r w:rsidR="009B118E">
        <w:rPr>
          <w:szCs w:val="22"/>
        </w:rPr>
        <w:t>d</w:t>
      </w:r>
      <w:r w:rsidRPr="006D4B64">
        <w:rPr>
          <w:szCs w:val="22"/>
        </w:rPr>
        <w:t xml:space="preserve"> made a public commitment to deploy 3G or better wireless service</w:t>
      </w:r>
      <w:r w:rsidR="009B118E">
        <w:rPr>
          <w:szCs w:val="22"/>
        </w:rPr>
        <w:t xml:space="preserve"> by December 31, 2012</w:t>
      </w:r>
      <w:r w:rsidRPr="006D4B64">
        <w:rPr>
          <w:szCs w:val="22"/>
        </w:rPr>
        <w:t>.</w:t>
      </w:r>
      <w:r>
        <w:rPr>
          <w:rStyle w:val="FootnoteReference"/>
          <w:szCs w:val="22"/>
        </w:rPr>
        <w:footnoteReference w:id="45"/>
      </w:r>
      <w:r w:rsidRPr="006D4B64">
        <w:rPr>
          <w:szCs w:val="22"/>
        </w:rPr>
        <w:t xml:space="preserve">  </w:t>
      </w:r>
      <w:r w:rsidR="00AD79B4">
        <w:rPr>
          <w:szCs w:val="22"/>
        </w:rPr>
        <w:t>In determining whether an applicant ha</w:t>
      </w:r>
      <w:r w:rsidR="00786F2D">
        <w:rPr>
          <w:szCs w:val="22"/>
        </w:rPr>
        <w:t>d</w:t>
      </w:r>
      <w:r w:rsidR="00AD79B4">
        <w:rPr>
          <w:szCs w:val="22"/>
        </w:rPr>
        <w:t xml:space="preserve"> made such a public commitment, we anticipate that we would consider any public statement made with </w:t>
      </w:r>
      <w:r w:rsidR="005012C8">
        <w:rPr>
          <w:szCs w:val="22"/>
        </w:rPr>
        <w:t xml:space="preserve">some </w:t>
      </w:r>
      <w:r w:rsidR="00AD79B4">
        <w:rPr>
          <w:szCs w:val="22"/>
        </w:rPr>
        <w:t xml:space="preserve">specificity as to both geographic area and time period.  </w:t>
      </w:r>
      <w:r w:rsidRPr="006D4B64">
        <w:rPr>
          <w:szCs w:val="22"/>
        </w:rPr>
        <w:t>This restriction will not prevent a bidder from seeking and receiving support for an unserved area for which another provider ha</w:t>
      </w:r>
      <w:r w:rsidR="00786F2D">
        <w:rPr>
          <w:szCs w:val="22"/>
        </w:rPr>
        <w:t>d</w:t>
      </w:r>
      <w:r w:rsidRPr="006D4B64">
        <w:rPr>
          <w:szCs w:val="22"/>
        </w:rPr>
        <w:t xml:space="preserve"> made such a public commitment.  </w:t>
      </w:r>
    </w:p>
    <w:p w:rsidR="002C106E" w:rsidRPr="002C106E" w:rsidRDefault="00151ABA" w:rsidP="00117F95">
      <w:pPr>
        <w:pStyle w:val="ParaNum"/>
        <w:widowControl/>
      </w:pPr>
      <w:r>
        <w:t>Attachment A</w:t>
      </w:r>
      <w:r w:rsidR="00D84395">
        <w:t>-</w:t>
      </w:r>
      <w:r w:rsidR="002827B9">
        <w:t>1</w:t>
      </w:r>
      <w:r>
        <w:t xml:space="preserve"> </w:t>
      </w:r>
      <w:r w:rsidR="00916C93">
        <w:t xml:space="preserve">released with </w:t>
      </w:r>
      <w:r w:rsidR="002C106E">
        <w:t xml:space="preserve">this </w:t>
      </w:r>
      <w:r>
        <w:t xml:space="preserve">Public Notice provides a summary of the list of </w:t>
      </w:r>
      <w:r w:rsidR="00E35FA3">
        <w:t xml:space="preserve">potentially </w:t>
      </w:r>
      <w:r>
        <w:t>eligible census blocks determined as described above</w:t>
      </w:r>
      <w:r w:rsidRPr="001D3FC3">
        <w:t xml:space="preserve">.  For each </w:t>
      </w:r>
      <w:r w:rsidR="002C106E" w:rsidRPr="001D3FC3">
        <w:t>state and territory, Attachment A</w:t>
      </w:r>
      <w:r w:rsidR="00D84395">
        <w:t>-</w:t>
      </w:r>
      <w:r w:rsidR="002827B9">
        <w:t>1</w:t>
      </w:r>
      <w:r w:rsidR="002C106E" w:rsidRPr="001D3FC3">
        <w:t xml:space="preserve"> provides the total number of potentially eligible census bloc</w:t>
      </w:r>
      <w:r w:rsidR="002C106E">
        <w:t xml:space="preserve">ks </w:t>
      </w:r>
      <w:r w:rsidR="00A861CE">
        <w:t xml:space="preserve">and </w:t>
      </w:r>
      <w:r w:rsidR="002C106E">
        <w:t>the total number of tracts</w:t>
      </w:r>
      <w:r w:rsidR="00A861CE">
        <w:t>,</w:t>
      </w:r>
      <w:r w:rsidR="002C106E">
        <w:t xml:space="preserve"> counties</w:t>
      </w:r>
      <w:r w:rsidR="00A861CE">
        <w:t>, Tribal lands</w:t>
      </w:r>
      <w:r w:rsidR="00D4076E">
        <w:t>, and proposed aggregated bidding areas</w:t>
      </w:r>
      <w:r w:rsidR="002C106E">
        <w:t>.  For each state and territory, Attachment A</w:t>
      </w:r>
      <w:r w:rsidR="00D84395">
        <w:t>-</w:t>
      </w:r>
      <w:r w:rsidR="002827B9">
        <w:t>1</w:t>
      </w:r>
      <w:r w:rsidR="002C106E">
        <w:t xml:space="preserve"> also provides the total population</w:t>
      </w:r>
      <w:r w:rsidR="00391C68">
        <w:t>,</w:t>
      </w:r>
      <w:r w:rsidR="002C106E">
        <w:t xml:space="preserve"> area</w:t>
      </w:r>
      <w:r w:rsidR="002D19B6">
        <w:t>,</w:t>
      </w:r>
      <w:r w:rsidR="002C106E">
        <w:t xml:space="preserve"> </w:t>
      </w:r>
      <w:r w:rsidR="00391C68">
        <w:t xml:space="preserve">and road miles </w:t>
      </w:r>
      <w:r w:rsidR="002C106E">
        <w:t xml:space="preserve">of the </w:t>
      </w:r>
      <w:r w:rsidR="00714419">
        <w:t xml:space="preserve">potentially eligible </w:t>
      </w:r>
      <w:r w:rsidR="002C106E">
        <w:t xml:space="preserve">blocks.  </w:t>
      </w:r>
      <w:r w:rsidR="001531C6">
        <w:t>Attachment A</w:t>
      </w:r>
      <w:r w:rsidR="00D84395">
        <w:t>-</w:t>
      </w:r>
      <w:r w:rsidR="001531C6">
        <w:t>2 released with this Public Notice provides a list of the proposed aggregated bidding areas.  For each area, Attachment A</w:t>
      </w:r>
      <w:r w:rsidR="00D84395">
        <w:t>-</w:t>
      </w:r>
      <w:r w:rsidR="001531C6">
        <w:t xml:space="preserve">2 provides the state, county, and Tribal land; the number of potentially eligible blocks; and the total population, area, and road miles of those blocks.  </w:t>
      </w:r>
      <w:r w:rsidR="002C106E">
        <w:t xml:space="preserve">Due to the large number of potentially eligible blocks, the complete list </w:t>
      </w:r>
      <w:r w:rsidR="00391C68">
        <w:t xml:space="preserve">of the individual blocks </w:t>
      </w:r>
      <w:r w:rsidR="002C106E">
        <w:t xml:space="preserve">will be provided in electronic format only, </w:t>
      </w:r>
      <w:r w:rsidR="002C106E" w:rsidRPr="00DD595F">
        <w:rPr>
          <w:color w:val="000000"/>
        </w:rPr>
        <w:t xml:space="preserve">available as </w:t>
      </w:r>
      <w:r w:rsidR="001531C6">
        <w:rPr>
          <w:color w:val="000000"/>
        </w:rPr>
        <w:t xml:space="preserve">a </w:t>
      </w:r>
      <w:r w:rsidR="002C106E">
        <w:rPr>
          <w:color w:val="000000"/>
        </w:rPr>
        <w:t xml:space="preserve">separate </w:t>
      </w:r>
      <w:r w:rsidR="002C106E" w:rsidRPr="00DD595F">
        <w:rPr>
          <w:color w:val="000000"/>
        </w:rPr>
        <w:t xml:space="preserve">“Attachment A” </w:t>
      </w:r>
      <w:r w:rsidR="002C106E">
        <w:rPr>
          <w:color w:val="000000"/>
        </w:rPr>
        <w:t xml:space="preserve">file </w:t>
      </w:r>
      <w:r w:rsidR="002C106E" w:rsidRPr="00DD595F">
        <w:rPr>
          <w:color w:val="000000"/>
        </w:rPr>
        <w:t>at</w:t>
      </w:r>
      <w:r w:rsidR="002C106E">
        <w:rPr>
          <w:color w:val="000000"/>
        </w:rPr>
        <w:t xml:space="preserve"> </w:t>
      </w:r>
      <w:hyperlink r:id="rId9" w:history="1">
        <w:r w:rsidR="00D64140" w:rsidRPr="00D85D00">
          <w:rPr>
            <w:rStyle w:val="Hyperlink"/>
          </w:rPr>
          <w:t>http://wireless.fcc.gov/auctions/902/</w:t>
        </w:r>
      </w:hyperlink>
      <w:r w:rsidR="002C106E" w:rsidRPr="00EE4204">
        <w:rPr>
          <w:color w:val="0000FF"/>
        </w:rPr>
        <w:t>.</w:t>
      </w:r>
      <w:r w:rsidR="002C106E">
        <w:rPr>
          <w:rStyle w:val="FootnoteReference"/>
        </w:rPr>
        <w:footnoteReference w:id="46"/>
      </w:r>
      <w:r w:rsidR="002C106E">
        <w:rPr>
          <w:color w:val="0000FF"/>
        </w:rPr>
        <w:t xml:space="preserve">  </w:t>
      </w:r>
      <w:r w:rsidR="002C106E">
        <w:t>F</w:t>
      </w:r>
      <w:r w:rsidR="002C106E" w:rsidRPr="00FB73E4">
        <w:t xml:space="preserve">or each potentially eligible block, </w:t>
      </w:r>
      <w:r w:rsidR="00554576">
        <w:t xml:space="preserve">individually </w:t>
      </w:r>
      <w:r w:rsidR="002C106E">
        <w:t xml:space="preserve">identified by its </w:t>
      </w:r>
      <w:r w:rsidR="002C106E" w:rsidRPr="005C534A">
        <w:t>Federal Information Processing Series (FIPS) code</w:t>
      </w:r>
      <w:r w:rsidR="002C106E">
        <w:t xml:space="preserve">, the </w:t>
      </w:r>
      <w:r w:rsidR="00080128">
        <w:t xml:space="preserve">“Attachment A” </w:t>
      </w:r>
      <w:r w:rsidR="002C106E">
        <w:t>file provide</w:t>
      </w:r>
      <w:r w:rsidR="00080128">
        <w:t>s</w:t>
      </w:r>
      <w:r w:rsidR="002C106E">
        <w:t xml:space="preserve"> </w:t>
      </w:r>
      <w:r w:rsidR="00391C68">
        <w:t xml:space="preserve">the population, </w:t>
      </w:r>
      <w:r>
        <w:t>area</w:t>
      </w:r>
      <w:r w:rsidR="00E46050">
        <w:t>,</w:t>
      </w:r>
      <w:r>
        <w:t xml:space="preserve"> </w:t>
      </w:r>
      <w:r w:rsidR="00391C68">
        <w:t xml:space="preserve">and road miles </w:t>
      </w:r>
      <w:r>
        <w:t>of the block</w:t>
      </w:r>
      <w:r w:rsidR="001531C6">
        <w:t>;</w:t>
      </w:r>
      <w:r w:rsidR="00663FF7">
        <w:t xml:space="preserve"> and</w:t>
      </w:r>
      <w:r>
        <w:t xml:space="preserve"> the associated </w:t>
      </w:r>
      <w:r w:rsidR="002C106E">
        <w:t xml:space="preserve">state, </w:t>
      </w:r>
      <w:r>
        <w:t xml:space="preserve">county, </w:t>
      </w:r>
      <w:r w:rsidR="002C106E">
        <w:t xml:space="preserve">tract, </w:t>
      </w:r>
      <w:r>
        <w:t>Tribe</w:t>
      </w:r>
      <w:r w:rsidR="00D4076E">
        <w:t>,</w:t>
      </w:r>
      <w:r w:rsidR="002C106E">
        <w:t xml:space="preserve"> Tribal land</w:t>
      </w:r>
      <w:r w:rsidR="00D4076E">
        <w:t>, and proposed aggregated bidding area</w:t>
      </w:r>
      <w:r>
        <w:t xml:space="preserve">.  </w:t>
      </w:r>
    </w:p>
    <w:p w:rsidR="00151ABA" w:rsidRPr="00093293" w:rsidRDefault="00151ABA" w:rsidP="00117F95">
      <w:pPr>
        <w:pStyle w:val="ParaNum"/>
        <w:widowControl/>
      </w:pPr>
      <w:r>
        <w:t>If commenters think certain blocks included in the list should not be eligible for support, they should indicate which blocks and provide supporting evidence.  Similarly, if commenters think certain blocks not included in the list should be eligible for support, they should indicate which blocks and provide supporting evidence.  In particular, we note that</w:t>
      </w:r>
      <w:r w:rsidR="00002AF7">
        <w:t>, in</w:t>
      </w:r>
      <w:r w:rsidR="00002AF7" w:rsidRPr="00002AF7">
        <w:t xml:space="preserve"> </w:t>
      </w:r>
      <w:r w:rsidR="00002AF7">
        <w:t xml:space="preserve">the </w:t>
      </w:r>
      <w:r w:rsidR="00002AF7">
        <w:rPr>
          <w:i/>
        </w:rPr>
        <w:t>USF/ICC Transformation Order</w:t>
      </w:r>
      <w:r w:rsidR="00002AF7">
        <w:t>,</w:t>
      </w:r>
      <w:r>
        <w:t xml:space="preserve"> the Commission required all wireless competitive ETCs in the high</w:t>
      </w:r>
      <w:r w:rsidR="00721044">
        <w:t>-</w:t>
      </w:r>
      <w:r>
        <w:t>cost program to review the list of eligible census blocks for the purpose of identifying any areas for which they have made a regulatory commitment to provide 3G or better service or received a federal executive department or agency funding commitment in exchange for their commitment to provide 3G or better service.</w:t>
      </w:r>
      <w:r>
        <w:rPr>
          <w:rStyle w:val="FootnoteReference"/>
        </w:rPr>
        <w:footnoteReference w:id="47"/>
      </w:r>
      <w:r>
        <w:t xml:space="preserve">  The Bureaus will entertain challenges to the list of </w:t>
      </w:r>
      <w:r w:rsidR="00E250FA">
        <w:t xml:space="preserve">potentially </w:t>
      </w:r>
      <w:r>
        <w:t>eligible census blocks only in the form of comments to this Public Notice.</w:t>
      </w:r>
      <w:r w:rsidR="00D33F10">
        <w:rPr>
          <w:rStyle w:val="FootnoteReference"/>
        </w:rPr>
        <w:footnoteReference w:id="48"/>
      </w:r>
      <w:r>
        <w:t xml:space="preserve">  The Commission concluded in the </w:t>
      </w:r>
      <w:r>
        <w:rPr>
          <w:i/>
        </w:rPr>
        <w:t>USF/ICC Transformation Order</w:t>
      </w:r>
      <w:r>
        <w:t xml:space="preserve"> that more extended pre-auction review could cause undue delay in making one-time </w:t>
      </w:r>
      <w:r w:rsidR="00042E10">
        <w:t>Phase I</w:t>
      </w:r>
      <w:r>
        <w:t xml:space="preserve"> support available.  Further, the Commission decided that providing for post-auction challenges would inject uncertainty and delay into the process.</w:t>
      </w:r>
      <w:r>
        <w:rPr>
          <w:rStyle w:val="FootnoteReference"/>
        </w:rPr>
        <w:footnoteReference w:id="49"/>
      </w:r>
      <w:r>
        <w:t xml:space="preserve"> </w:t>
      </w:r>
      <w:r w:rsidR="00F37E46">
        <w:t xml:space="preserve"> </w:t>
      </w:r>
      <w:r w:rsidR="00C46F76">
        <w:t>Commenters identifying census blocks for removal and/or addition to our list of potentially eligible census blocks are encouraged to provide detailed information in support of their views.</w:t>
      </w:r>
      <w:r w:rsidR="002419DE">
        <w:rPr>
          <w:rStyle w:val="FootnoteReference"/>
        </w:rPr>
        <w:footnoteReference w:id="50"/>
      </w:r>
      <w:r w:rsidR="00C46F76">
        <w:t xml:space="preserve">  In making such determinations for Auction 901, the Bureaus found demonstrations of coverage to be more credible and convincing where they were supported by maps, discussions of drive tests, explanation of methodologies for determining coverage</w:t>
      </w:r>
      <w:r w:rsidR="00F37E46">
        <w:t>,</w:t>
      </w:r>
      <w:r w:rsidR="00C46F76">
        <w:t xml:space="preserve"> and certifications by one or more individuals as to the veracity of the material provided.</w:t>
      </w:r>
      <w:r w:rsidR="00C46F76">
        <w:rPr>
          <w:rStyle w:val="FootnoteReference"/>
        </w:rPr>
        <w:footnoteReference w:id="51"/>
      </w:r>
      <w:r w:rsidR="00947453">
        <w:t xml:space="preserve">  </w:t>
      </w:r>
      <w:r w:rsidR="006C03DC">
        <w:t>For Auction 901, t</w:t>
      </w:r>
      <w:r w:rsidR="00A823E5">
        <w:t>he Burea</w:t>
      </w:r>
      <w:r w:rsidR="00BB4608">
        <w:t>u</w:t>
      </w:r>
      <w:r w:rsidR="00A823E5">
        <w:t>s did not</w:t>
      </w:r>
      <w:r w:rsidR="008F37D2">
        <w:t xml:space="preserve"> make changes to potentially eligible areas based on</w:t>
      </w:r>
      <w:r w:rsidR="00A823E5">
        <w:t xml:space="preserve"> s</w:t>
      </w:r>
      <w:r w:rsidR="00947453">
        <w:t>ubmissions making assertions of coverage without any supporting evidence.</w:t>
      </w:r>
      <w:r w:rsidR="00947453">
        <w:rPr>
          <w:rStyle w:val="FootnoteReference"/>
        </w:rPr>
        <w:footnoteReference w:id="52"/>
      </w:r>
      <w:r w:rsidR="00947453">
        <w:t xml:space="preserve"> </w:t>
      </w:r>
    </w:p>
    <w:p w:rsidR="00151ABA" w:rsidRDefault="00151ABA" w:rsidP="00117F95">
      <w:pPr>
        <w:pStyle w:val="ParaNum"/>
        <w:widowControl/>
      </w:pPr>
      <w:r>
        <w:rPr>
          <w:szCs w:val="22"/>
        </w:rPr>
        <w:t xml:space="preserve">Based on a review of the comments and any related information, </w:t>
      </w:r>
      <w:r w:rsidRPr="007D7A89">
        <w:rPr>
          <w:szCs w:val="22"/>
        </w:rPr>
        <w:t xml:space="preserve">the Bureaus </w:t>
      </w:r>
      <w:r>
        <w:rPr>
          <w:szCs w:val="22"/>
        </w:rPr>
        <w:t>will</w:t>
      </w:r>
      <w:r w:rsidRPr="007D7A89">
        <w:rPr>
          <w:szCs w:val="22"/>
        </w:rPr>
        <w:t xml:space="preserve"> provide </w:t>
      </w:r>
      <w:r>
        <w:rPr>
          <w:szCs w:val="22"/>
        </w:rPr>
        <w:t xml:space="preserve">a list of </w:t>
      </w:r>
      <w:r w:rsidRPr="007D7A89">
        <w:rPr>
          <w:szCs w:val="22"/>
        </w:rPr>
        <w:t>the specific census blocks</w:t>
      </w:r>
      <w:r>
        <w:rPr>
          <w:szCs w:val="22"/>
        </w:rPr>
        <w:t xml:space="preserve"> eligible for support in Auction 90</w:t>
      </w:r>
      <w:r w:rsidR="00D64140">
        <w:rPr>
          <w:szCs w:val="22"/>
        </w:rPr>
        <w:t>2</w:t>
      </w:r>
      <w:r w:rsidR="006F66B1">
        <w:rPr>
          <w:szCs w:val="22"/>
        </w:rPr>
        <w:t xml:space="preserve"> when it releases the public notice announcing procedures for Auction 90</w:t>
      </w:r>
      <w:r w:rsidR="00D64140">
        <w:rPr>
          <w:szCs w:val="22"/>
        </w:rPr>
        <w:t>2</w:t>
      </w:r>
      <w:r>
        <w:rPr>
          <w:szCs w:val="22"/>
        </w:rPr>
        <w:t xml:space="preserve">.  In addition to providing files containing this final list of census blocks and related data, the Bureaus anticipate providing an interactive mapping interface for this information </w:t>
      </w:r>
      <w:r w:rsidRPr="007D7A89">
        <w:rPr>
          <w:szCs w:val="22"/>
        </w:rPr>
        <w:t xml:space="preserve">on the Commission website.  </w:t>
      </w:r>
      <w:r>
        <w:rPr>
          <w:szCs w:val="22"/>
        </w:rPr>
        <w:t>This interface</w:t>
      </w:r>
      <w:r w:rsidRPr="007D7A89">
        <w:rPr>
          <w:szCs w:val="22"/>
        </w:rPr>
        <w:t xml:space="preserve"> could </w:t>
      </w:r>
      <w:r w:rsidR="00663FF7">
        <w:rPr>
          <w:szCs w:val="22"/>
        </w:rPr>
        <w:t xml:space="preserve">aid </w:t>
      </w:r>
      <w:r w:rsidRPr="007D7A89">
        <w:rPr>
          <w:szCs w:val="22"/>
        </w:rPr>
        <w:t xml:space="preserve">bidders </w:t>
      </w:r>
      <w:r w:rsidR="00663FF7">
        <w:rPr>
          <w:szCs w:val="22"/>
        </w:rPr>
        <w:t>in</w:t>
      </w:r>
      <w:r w:rsidRPr="007D7A89">
        <w:rPr>
          <w:szCs w:val="22"/>
        </w:rPr>
        <w:t xml:space="preserve"> match</w:t>
      </w:r>
      <w:r w:rsidR="00663FF7">
        <w:rPr>
          <w:szCs w:val="22"/>
        </w:rPr>
        <w:t>ing</w:t>
      </w:r>
      <w:r w:rsidRPr="007D7A89">
        <w:rPr>
          <w:szCs w:val="22"/>
        </w:rPr>
        <w:t xml:space="preserve"> up their own information on the geographic areas in which they are interested with the blocks available in the auction.  </w:t>
      </w:r>
      <w:r>
        <w:rPr>
          <w:szCs w:val="22"/>
        </w:rPr>
        <w:t xml:space="preserve">The files and/or the interactive mapping interface </w:t>
      </w:r>
      <w:r w:rsidR="00663FF7">
        <w:rPr>
          <w:szCs w:val="22"/>
        </w:rPr>
        <w:t xml:space="preserve">will also provide data </w:t>
      </w:r>
      <w:r w:rsidRPr="007D7A89">
        <w:rPr>
          <w:szCs w:val="22"/>
        </w:rPr>
        <w:t>such as associated population</w:t>
      </w:r>
      <w:r w:rsidR="00663FF7">
        <w:rPr>
          <w:szCs w:val="22"/>
        </w:rPr>
        <w:t xml:space="preserve"> and </w:t>
      </w:r>
      <w:r w:rsidRPr="007D7A89">
        <w:rPr>
          <w:szCs w:val="22"/>
        </w:rPr>
        <w:t xml:space="preserve">area.  </w:t>
      </w:r>
      <w:r w:rsidR="00663FF7">
        <w:rPr>
          <w:szCs w:val="22"/>
        </w:rPr>
        <w:t>We anticipate that the file formats and the interactive mapping interface will be very similar to those provided for Auction 901.</w:t>
      </w:r>
      <w:r w:rsidR="00F37E46">
        <w:rPr>
          <w:szCs w:val="22"/>
        </w:rPr>
        <w:t xml:space="preserve">  </w:t>
      </w:r>
      <w:r w:rsidR="00663FF7">
        <w:rPr>
          <w:szCs w:val="22"/>
        </w:rPr>
        <w:t>If potential bidder</w:t>
      </w:r>
      <w:r w:rsidR="00555842">
        <w:rPr>
          <w:szCs w:val="22"/>
        </w:rPr>
        <w:t>s</w:t>
      </w:r>
      <w:r w:rsidR="00663FF7">
        <w:rPr>
          <w:szCs w:val="22"/>
        </w:rPr>
        <w:t xml:space="preserve"> believe</w:t>
      </w:r>
      <w:r w:rsidR="000209F5">
        <w:rPr>
          <w:szCs w:val="22"/>
        </w:rPr>
        <w:t xml:space="preserve"> that</w:t>
      </w:r>
      <w:r w:rsidR="00663FF7">
        <w:rPr>
          <w:szCs w:val="22"/>
        </w:rPr>
        <w:t xml:space="preserve"> </w:t>
      </w:r>
      <w:r w:rsidR="00F37E46">
        <w:rPr>
          <w:szCs w:val="22"/>
        </w:rPr>
        <w:t xml:space="preserve">the Bureaus should not provide the same types of files and interactive mapping interface as </w:t>
      </w:r>
      <w:r w:rsidR="0023177A">
        <w:rPr>
          <w:szCs w:val="22"/>
        </w:rPr>
        <w:t xml:space="preserve">those </w:t>
      </w:r>
      <w:r w:rsidR="00F37E46">
        <w:rPr>
          <w:szCs w:val="22"/>
        </w:rPr>
        <w:t xml:space="preserve">provided </w:t>
      </w:r>
      <w:r w:rsidR="0023177A">
        <w:rPr>
          <w:szCs w:val="22"/>
        </w:rPr>
        <w:t>for Auction 901</w:t>
      </w:r>
      <w:r w:rsidR="00663FF7">
        <w:rPr>
          <w:szCs w:val="22"/>
        </w:rPr>
        <w:t xml:space="preserve">, or </w:t>
      </w:r>
      <w:r w:rsidR="000209F5">
        <w:rPr>
          <w:szCs w:val="22"/>
        </w:rPr>
        <w:t xml:space="preserve">that </w:t>
      </w:r>
      <w:r w:rsidR="00663FF7">
        <w:rPr>
          <w:szCs w:val="22"/>
        </w:rPr>
        <w:t>the Bureaus should provide</w:t>
      </w:r>
      <w:r w:rsidR="0023177A">
        <w:rPr>
          <w:szCs w:val="22"/>
        </w:rPr>
        <w:t xml:space="preserve"> additional information or other tools, </w:t>
      </w:r>
      <w:r w:rsidR="00494A4B">
        <w:rPr>
          <w:szCs w:val="22"/>
        </w:rPr>
        <w:t xml:space="preserve">they should submit </w:t>
      </w:r>
      <w:r w:rsidR="00484AD1">
        <w:rPr>
          <w:szCs w:val="22"/>
        </w:rPr>
        <w:t xml:space="preserve">detailed </w:t>
      </w:r>
      <w:r w:rsidR="00494A4B">
        <w:rPr>
          <w:szCs w:val="22"/>
        </w:rPr>
        <w:t xml:space="preserve">comments </w:t>
      </w:r>
      <w:r w:rsidR="00484AD1">
        <w:rPr>
          <w:szCs w:val="22"/>
        </w:rPr>
        <w:t>describing the types of files, information, or tools requested and explaining the reasons for the request</w:t>
      </w:r>
      <w:r w:rsidR="00494A4B">
        <w:rPr>
          <w:szCs w:val="22"/>
        </w:rPr>
        <w:t>.</w:t>
      </w:r>
      <w:r w:rsidR="00D33F10">
        <w:rPr>
          <w:rStyle w:val="FootnoteReference"/>
          <w:szCs w:val="22"/>
        </w:rPr>
        <w:footnoteReference w:id="53"/>
      </w:r>
    </w:p>
    <w:p w:rsidR="00151ABA" w:rsidRPr="00C56850" w:rsidRDefault="00151ABA" w:rsidP="00117F95">
      <w:pPr>
        <w:pStyle w:val="Heading2"/>
        <w:widowControl/>
      </w:pPr>
      <w:bookmarkStart w:id="60" w:name="_Toc315868076"/>
      <w:bookmarkStart w:id="61" w:name="_Toc315956811"/>
      <w:bookmarkStart w:id="62" w:name="_Toc349805088"/>
      <w:bookmarkStart w:id="63" w:name="_Toc349921063"/>
      <w:bookmarkStart w:id="64" w:name="_Toc350158498"/>
      <w:r>
        <w:t xml:space="preserve">Establishing Unserved </w:t>
      </w:r>
      <w:r w:rsidR="00C46F76">
        <w:t>Population-</w:t>
      </w:r>
      <w:r w:rsidR="006B52D1" w:rsidRPr="006B52D1">
        <w:t>B</w:t>
      </w:r>
      <w:r w:rsidR="00C46F76" w:rsidRPr="00F37E46">
        <w:t xml:space="preserve">ased </w:t>
      </w:r>
      <w:r w:rsidRPr="00E7697A">
        <w:t>Units</w:t>
      </w:r>
      <w:bookmarkEnd w:id="60"/>
      <w:bookmarkEnd w:id="61"/>
      <w:bookmarkEnd w:id="62"/>
      <w:bookmarkEnd w:id="63"/>
      <w:bookmarkEnd w:id="64"/>
      <w:r w:rsidR="001D3FC3" w:rsidRPr="006B52D1">
        <w:t xml:space="preserve"> </w:t>
      </w:r>
    </w:p>
    <w:p w:rsidR="00151ABA" w:rsidRPr="00372F80" w:rsidRDefault="00151ABA" w:rsidP="00117F95">
      <w:pPr>
        <w:pStyle w:val="ParaNum"/>
        <w:widowControl/>
      </w:pPr>
      <w:r>
        <w:t>In Auction 90</w:t>
      </w:r>
      <w:r w:rsidR="00D64140">
        <w:t>2</w:t>
      </w:r>
      <w:r w:rsidR="002419DE">
        <w:t>, the Bureaus will use population</w:t>
      </w:r>
      <w:r w:rsidR="00C46F76">
        <w:t xml:space="preserve"> </w:t>
      </w:r>
      <w:r>
        <w:t xml:space="preserve">as the basis for calculating the number of units in each eligible census block for purposes of comparing bids and measuring the performance of </w:t>
      </w:r>
      <w:r w:rsidR="00D64140">
        <w:t xml:space="preserve">Tribal </w:t>
      </w:r>
      <w:r>
        <w:t xml:space="preserve">Mobility Fund </w:t>
      </w:r>
      <w:r w:rsidR="00042E10">
        <w:t>Phase I</w:t>
      </w:r>
      <w:r>
        <w:t xml:space="preserve"> support recipients.</w:t>
      </w:r>
      <w:r>
        <w:rPr>
          <w:rStyle w:val="FootnoteReference"/>
        </w:rPr>
        <w:footnoteReference w:id="54"/>
      </w:r>
      <w:r>
        <w:t xml:space="preserve">  </w:t>
      </w:r>
      <w:r>
        <w:rPr>
          <w:szCs w:val="22"/>
        </w:rPr>
        <w:t xml:space="preserve">To establish the </w:t>
      </w:r>
      <w:r w:rsidR="0023177A">
        <w:rPr>
          <w:szCs w:val="22"/>
        </w:rPr>
        <w:t>population</w:t>
      </w:r>
      <w:r>
        <w:rPr>
          <w:szCs w:val="22"/>
        </w:rPr>
        <w:t xml:space="preserve"> associated with each census block eligible for </w:t>
      </w:r>
      <w:r w:rsidR="00262480">
        <w:rPr>
          <w:szCs w:val="22"/>
        </w:rPr>
        <w:t xml:space="preserve">Tribal </w:t>
      </w:r>
      <w:r>
        <w:rPr>
          <w:szCs w:val="22"/>
        </w:rPr>
        <w:t xml:space="preserve">Mobility Fund </w:t>
      </w:r>
      <w:r w:rsidR="00042E10">
        <w:rPr>
          <w:szCs w:val="22"/>
        </w:rPr>
        <w:t>Phase I</w:t>
      </w:r>
      <w:r>
        <w:rPr>
          <w:szCs w:val="22"/>
        </w:rPr>
        <w:t xml:space="preserve"> support, we </w:t>
      </w:r>
      <w:r w:rsidR="00C20DB1">
        <w:rPr>
          <w:szCs w:val="22"/>
        </w:rPr>
        <w:t xml:space="preserve">will </w:t>
      </w:r>
      <w:r>
        <w:rPr>
          <w:szCs w:val="22"/>
        </w:rPr>
        <w:t xml:space="preserve">use the </w:t>
      </w:r>
      <w:r w:rsidR="0023177A">
        <w:rPr>
          <w:szCs w:val="22"/>
        </w:rPr>
        <w:t>2010 Census</w:t>
      </w:r>
      <w:r>
        <w:rPr>
          <w:szCs w:val="22"/>
        </w:rPr>
        <w:t xml:space="preserve"> </w:t>
      </w:r>
      <w:r w:rsidR="00144A79">
        <w:rPr>
          <w:szCs w:val="22"/>
        </w:rPr>
        <w:t>d</w:t>
      </w:r>
      <w:r>
        <w:rPr>
          <w:szCs w:val="22"/>
        </w:rPr>
        <w:t xml:space="preserve">ata made available by the Census Bureau.  The </w:t>
      </w:r>
      <w:r w:rsidRPr="00DD595F">
        <w:rPr>
          <w:color w:val="000000"/>
        </w:rPr>
        <w:t xml:space="preserve">“Attachment A” </w:t>
      </w:r>
      <w:r>
        <w:rPr>
          <w:color w:val="000000"/>
        </w:rPr>
        <w:t xml:space="preserve">file </w:t>
      </w:r>
      <w:r w:rsidRPr="00DD595F">
        <w:rPr>
          <w:color w:val="000000"/>
        </w:rPr>
        <w:t>at</w:t>
      </w:r>
      <w:r>
        <w:rPr>
          <w:color w:val="000000"/>
        </w:rPr>
        <w:t xml:space="preserve"> </w:t>
      </w:r>
      <w:hyperlink r:id="rId10" w:history="1">
        <w:r w:rsidR="007A5456" w:rsidRPr="00D85D00">
          <w:rPr>
            <w:rStyle w:val="Hyperlink"/>
          </w:rPr>
          <w:t>http://wireless.fcc.gov/auctions/902/</w:t>
        </w:r>
      </w:hyperlink>
      <w:r w:rsidRPr="00372F80">
        <w:t xml:space="preserve"> include</w:t>
      </w:r>
      <w:r w:rsidR="00D84395">
        <w:t>s</w:t>
      </w:r>
      <w:r w:rsidR="00494A4B">
        <w:t xml:space="preserve"> the population</w:t>
      </w:r>
      <w:r>
        <w:t xml:space="preserve"> for each </w:t>
      </w:r>
      <w:r w:rsidR="00E250FA">
        <w:t xml:space="preserve">potentially eligible </w:t>
      </w:r>
      <w:r>
        <w:t xml:space="preserve">census block.  </w:t>
      </w:r>
    </w:p>
    <w:p w:rsidR="00151ABA" w:rsidRPr="00DB0478" w:rsidRDefault="00151ABA" w:rsidP="00117F95">
      <w:pPr>
        <w:pStyle w:val="ParaNum"/>
        <w:widowControl/>
      </w:pPr>
      <w:r>
        <w:rPr>
          <w:szCs w:val="22"/>
        </w:rPr>
        <w:t xml:space="preserve">We propose to include as eligible only those unserved census blocks </w:t>
      </w:r>
      <w:r w:rsidR="00F517EE">
        <w:rPr>
          <w:szCs w:val="22"/>
        </w:rPr>
        <w:t>where there is a population greater than zero</w:t>
      </w:r>
      <w:r w:rsidR="00674FC7">
        <w:rPr>
          <w:szCs w:val="22"/>
        </w:rPr>
        <w:t xml:space="preserve">.  </w:t>
      </w:r>
      <w:r>
        <w:rPr>
          <w:szCs w:val="22"/>
        </w:rPr>
        <w:t>We seek comment on th</w:t>
      </w:r>
      <w:r w:rsidR="00F517EE">
        <w:rPr>
          <w:szCs w:val="22"/>
        </w:rPr>
        <w:t>is</w:t>
      </w:r>
      <w:r>
        <w:rPr>
          <w:szCs w:val="22"/>
        </w:rPr>
        <w:t xml:space="preserve"> proposal.</w:t>
      </w:r>
    </w:p>
    <w:p w:rsidR="00151ABA" w:rsidRDefault="006F66B1" w:rsidP="00117F95">
      <w:pPr>
        <w:pStyle w:val="Heading1"/>
        <w:widowControl/>
      </w:pPr>
      <w:bookmarkStart w:id="65" w:name="_Toc176237947"/>
      <w:bookmarkStart w:id="66" w:name="_Toc176772174"/>
      <w:bookmarkStart w:id="67" w:name="_Toc192661356"/>
      <w:bookmarkStart w:id="68" w:name="_Toc193271102"/>
      <w:bookmarkStart w:id="69" w:name="_Toc315868077"/>
      <w:bookmarkStart w:id="70" w:name="_Toc315956812"/>
      <w:bookmarkStart w:id="71" w:name="_Toc349805089"/>
      <w:bookmarkStart w:id="72" w:name="_Toc349921064"/>
      <w:bookmarkStart w:id="73" w:name="_Toc350158499"/>
      <w:r>
        <w:t xml:space="preserve">ESTABLISHING </w:t>
      </w:r>
      <w:r w:rsidR="00151ABA">
        <w:t>auction procedures</w:t>
      </w:r>
      <w:bookmarkEnd w:id="65"/>
      <w:bookmarkEnd w:id="66"/>
      <w:bookmarkEnd w:id="67"/>
      <w:bookmarkEnd w:id="68"/>
      <w:bookmarkEnd w:id="69"/>
      <w:bookmarkEnd w:id="70"/>
      <w:bookmarkEnd w:id="71"/>
      <w:bookmarkEnd w:id="72"/>
      <w:bookmarkEnd w:id="73"/>
    </w:p>
    <w:p w:rsidR="00151ABA" w:rsidRPr="00672743" w:rsidRDefault="00590B67" w:rsidP="00117F95">
      <w:pPr>
        <w:pStyle w:val="ParaNum"/>
        <w:widowControl/>
      </w:pPr>
      <w:r>
        <w:t xml:space="preserve">In this section, </w:t>
      </w:r>
      <w:r w:rsidR="00151ABA" w:rsidRPr="007756EB">
        <w:t xml:space="preserve">the Bureaus seek comment on </w:t>
      </w:r>
      <w:r w:rsidR="00151ABA">
        <w:t>establish</w:t>
      </w:r>
      <w:r>
        <w:t>ing</w:t>
      </w:r>
      <w:r w:rsidR="00151ABA" w:rsidRPr="007756EB">
        <w:t xml:space="preserve"> specific </w:t>
      </w:r>
      <w:r w:rsidR="00151ABA">
        <w:t xml:space="preserve">auction </w:t>
      </w:r>
      <w:r w:rsidR="00151ABA" w:rsidRPr="007756EB">
        <w:t>procedures</w:t>
      </w:r>
      <w:r>
        <w:t xml:space="preserve"> that will govern the conduct of Auction 90</w:t>
      </w:r>
      <w:r w:rsidR="00262480">
        <w:t>2</w:t>
      </w:r>
      <w:r w:rsidR="00151ABA">
        <w:t>.</w:t>
      </w:r>
      <w:r w:rsidR="00151ABA">
        <w:rPr>
          <w:rStyle w:val="FootnoteReference"/>
        </w:rPr>
        <w:footnoteReference w:id="55"/>
      </w:r>
    </w:p>
    <w:p w:rsidR="00151ABA" w:rsidRDefault="00151ABA" w:rsidP="00117F95">
      <w:pPr>
        <w:pStyle w:val="Heading2"/>
        <w:widowControl/>
      </w:pPr>
      <w:bookmarkStart w:id="74" w:name="_Toc176237948"/>
      <w:bookmarkStart w:id="75" w:name="_Toc176772175"/>
      <w:bookmarkStart w:id="76" w:name="_Toc192661357"/>
      <w:bookmarkStart w:id="77" w:name="_Toc193271103"/>
      <w:bookmarkStart w:id="78" w:name="_Toc315868078"/>
      <w:bookmarkStart w:id="79" w:name="_Toc315956813"/>
      <w:bookmarkStart w:id="80" w:name="_Toc349805090"/>
      <w:bookmarkStart w:id="81" w:name="_Toc349921065"/>
      <w:bookmarkStart w:id="82" w:name="_Toc350158500"/>
      <w:r w:rsidRPr="0033148C">
        <w:t>Auction Design</w:t>
      </w:r>
      <w:bookmarkEnd w:id="74"/>
      <w:bookmarkEnd w:id="75"/>
      <w:bookmarkEnd w:id="76"/>
      <w:bookmarkEnd w:id="77"/>
      <w:bookmarkEnd w:id="78"/>
      <w:bookmarkEnd w:id="79"/>
      <w:bookmarkEnd w:id="80"/>
      <w:bookmarkEnd w:id="81"/>
      <w:bookmarkEnd w:id="82"/>
    </w:p>
    <w:p w:rsidR="00B96B10" w:rsidRPr="00B96B10" w:rsidRDefault="00B96B10" w:rsidP="001A7A0D">
      <w:pPr>
        <w:pStyle w:val="ParaNum"/>
        <w:widowControl/>
      </w:pPr>
      <w:r>
        <w:t xml:space="preserve">Below we discuss and </w:t>
      </w:r>
      <w:r w:rsidRPr="00DA4961">
        <w:t xml:space="preserve">seek comment on </w:t>
      </w:r>
      <w:r w:rsidR="008A1ACB">
        <w:t>which auction design is most appropriate</w:t>
      </w:r>
      <w:r>
        <w:t>.  We also discuss related auction design options, including aggregation approach</w:t>
      </w:r>
      <w:r w:rsidR="00721E2E">
        <w:t>es</w:t>
      </w:r>
      <w:r>
        <w:t>, the coverage requirement, and awardee determination.  We ask for input on these approaches and options, and request that commenters explain how their suggestions will promote the Commission’s objective in Tribal Mobility Fund Phase I of maximizing, within the $</w:t>
      </w:r>
      <w:r w:rsidRPr="001D3FC3">
        <w:t>50</w:t>
      </w:r>
      <w:r>
        <w:t xml:space="preserve"> million budget, the population with newly available 3G or better service.  </w:t>
      </w:r>
    </w:p>
    <w:p w:rsidR="00151ABA" w:rsidRDefault="00151ABA" w:rsidP="00117F95">
      <w:pPr>
        <w:pStyle w:val="Heading3"/>
        <w:widowControl/>
      </w:pPr>
      <w:bookmarkStart w:id="83" w:name="_Toc176237949"/>
      <w:bookmarkStart w:id="84" w:name="_Toc176772176"/>
      <w:bookmarkStart w:id="85" w:name="_Toc192661358"/>
      <w:bookmarkStart w:id="86" w:name="_Toc193271104"/>
      <w:bookmarkStart w:id="87" w:name="_Toc315868079"/>
      <w:bookmarkStart w:id="88" w:name="_Toc315956814"/>
      <w:bookmarkStart w:id="89" w:name="_Toc349805091"/>
      <w:bookmarkStart w:id="90" w:name="_Toc349921066"/>
      <w:bookmarkStart w:id="91" w:name="_Toc350158501"/>
      <w:r>
        <w:t>Reverse Auction Design</w:t>
      </w:r>
      <w:bookmarkEnd w:id="83"/>
      <w:bookmarkEnd w:id="84"/>
      <w:bookmarkEnd w:id="85"/>
      <w:bookmarkEnd w:id="86"/>
      <w:bookmarkEnd w:id="87"/>
      <w:bookmarkEnd w:id="88"/>
      <w:bookmarkEnd w:id="89"/>
      <w:bookmarkEnd w:id="90"/>
      <w:bookmarkEnd w:id="91"/>
    </w:p>
    <w:p w:rsidR="00FE0CBB" w:rsidRDefault="00151ABA" w:rsidP="00117F95">
      <w:pPr>
        <w:pStyle w:val="ParaNum"/>
        <w:widowControl/>
      </w:pPr>
      <w:r>
        <w:t xml:space="preserve">The Bureaus </w:t>
      </w:r>
      <w:r w:rsidR="00721E2E">
        <w:t xml:space="preserve">seek comment on which reverse auction design would be the most appropriate for </w:t>
      </w:r>
      <w:r w:rsidR="0014404E">
        <w:t>the Tribal Mobility Fund Phase I auction</w:t>
      </w:r>
      <w:r w:rsidR="00721E2E">
        <w:t>.  In the Notice of Proposed Rulemaking for Mobility Fund Phase I, the Commission proposed a single-round auction format to disburse funds.</w:t>
      </w:r>
      <w:r w:rsidR="0014404E">
        <w:rPr>
          <w:rStyle w:val="FootnoteReference"/>
        </w:rPr>
        <w:footnoteReference w:id="56"/>
      </w:r>
      <w:r w:rsidR="00721E2E">
        <w:t xml:space="preserve">  </w:t>
      </w:r>
      <w:r w:rsidR="00721E2E" w:rsidRPr="00EA3CA0">
        <w:t>A variety of commenters supported a format with more than one round of bidding</w:t>
      </w:r>
      <w:r w:rsidR="00721E2E">
        <w:t xml:space="preserve">, arguing that multiple rounds would maximize the benefits of the program through </w:t>
      </w:r>
      <w:r w:rsidR="00B604D1">
        <w:t>more informed bi</w:t>
      </w:r>
      <w:r w:rsidR="00251890">
        <w:t>d</w:t>
      </w:r>
      <w:r w:rsidR="00B604D1">
        <w:t>ding</w:t>
      </w:r>
      <w:r w:rsidR="00721E2E">
        <w:t xml:space="preserve"> and more competitive bidding.</w:t>
      </w:r>
      <w:r w:rsidR="0014404E">
        <w:rPr>
          <w:rStyle w:val="FootnoteReference"/>
        </w:rPr>
        <w:footnoteReference w:id="57"/>
      </w:r>
      <w:r w:rsidR="00721E2E">
        <w:t xml:space="preserve">  </w:t>
      </w:r>
      <w:r w:rsidR="0014404E">
        <w:t xml:space="preserve">In the </w:t>
      </w:r>
      <w:r w:rsidR="0014404E" w:rsidRPr="0014404E">
        <w:rPr>
          <w:i/>
        </w:rPr>
        <w:t>USF/ICC Transformation Order</w:t>
      </w:r>
      <w:r w:rsidR="0014404E">
        <w:t>, the Commission indicated that a single-round sealed bid auction format would be most appropriate for Mobility Fund Phase I, but left the final determination to the Bureaus.</w:t>
      </w:r>
      <w:r w:rsidR="0014404E">
        <w:rPr>
          <w:rStyle w:val="FootnoteReference"/>
        </w:rPr>
        <w:footnoteReference w:id="58"/>
      </w:r>
      <w:r w:rsidR="0014404E">
        <w:t xml:space="preserve">  </w:t>
      </w:r>
      <w:r w:rsidR="00721E2E">
        <w:t xml:space="preserve">For </w:t>
      </w:r>
      <w:r w:rsidR="0014404E">
        <w:t xml:space="preserve">the general </w:t>
      </w:r>
      <w:r w:rsidR="00721E2E">
        <w:t>Mobility Fund Phase I</w:t>
      </w:r>
      <w:r w:rsidR="0014404E">
        <w:t xml:space="preserve"> auction</w:t>
      </w:r>
      <w:r w:rsidR="00721E2E">
        <w:t xml:space="preserve">, we decided to implement a single-round auction format because we believed that </w:t>
      </w:r>
      <w:r w:rsidR="00FC1FBC">
        <w:t>the circumstances favoring a multiple-round auction—</w:t>
      </w:r>
      <w:r w:rsidR="00FC1FBC" w:rsidRPr="00FC1FBC">
        <w:rPr>
          <w:i/>
        </w:rPr>
        <w:t>i.e.</w:t>
      </w:r>
      <w:r w:rsidR="00FC1FBC">
        <w:t>, when there are strong interactions among items and when bidders are unsure as to the market value of the item—were</w:t>
      </w:r>
      <w:r w:rsidR="00BE4972">
        <w:t xml:space="preserve"> not</w:t>
      </w:r>
      <w:r w:rsidR="00FC1FBC">
        <w:t xml:space="preserve"> significant enough </w:t>
      </w:r>
      <w:r w:rsidR="00525AFC">
        <w:t xml:space="preserve">in Auction 901 </w:t>
      </w:r>
      <w:r w:rsidR="00FC1FBC">
        <w:t>to outweigh our concerns about the complexity it would add to the auction</w:t>
      </w:r>
      <w:r w:rsidR="00721E2E">
        <w:t>.</w:t>
      </w:r>
      <w:r w:rsidR="0014404E">
        <w:rPr>
          <w:rStyle w:val="FootnoteReference"/>
        </w:rPr>
        <w:footnoteReference w:id="59"/>
      </w:r>
      <w:r w:rsidR="00721E2E">
        <w:t xml:space="preserve">  For the purposes of Auction 902, we seek comment on whether we should adopt a single-round or a multiple-round </w:t>
      </w:r>
      <w:r w:rsidR="0014404E">
        <w:t xml:space="preserve">reverse </w:t>
      </w:r>
      <w:r w:rsidR="00721E2E">
        <w:t xml:space="preserve">auction design. </w:t>
      </w:r>
      <w:r w:rsidR="00CE5924">
        <w:t xml:space="preserve">  </w:t>
      </w:r>
    </w:p>
    <w:p w:rsidR="00151ABA" w:rsidRDefault="00B604D1" w:rsidP="00117F95">
      <w:pPr>
        <w:pStyle w:val="ParaNum"/>
        <w:widowControl/>
      </w:pPr>
      <w:r w:rsidRPr="00B604D1">
        <w:rPr>
          <w:i/>
        </w:rPr>
        <w:t>Single-Round Auction</w:t>
      </w:r>
      <w:r>
        <w:t xml:space="preserve">.  </w:t>
      </w:r>
      <w:r w:rsidR="00721E2E">
        <w:t xml:space="preserve">Under a single-round approach, during the single bidding round, each bid submitted by a bidder would indicate a per-pop support price at which the bidder is willing to meet our requirements to cover the population in eligible blocks covered by the bid.  </w:t>
      </w:r>
      <w:r w:rsidR="0014404E">
        <w:t>One advantage of the</w:t>
      </w:r>
      <w:r w:rsidR="00151ABA">
        <w:t xml:space="preserve"> single-round format </w:t>
      </w:r>
      <w:r w:rsidR="0014404E">
        <w:t>is that it would be</w:t>
      </w:r>
      <w:r w:rsidR="00151ABA">
        <w:t xml:space="preserve"> simple and quick</w:t>
      </w:r>
      <w:r w:rsidR="0014404E">
        <w:t>.  We seek comment on whether</w:t>
      </w:r>
      <w:r w:rsidR="00AF59AC">
        <w:t xml:space="preserve"> a single-round approach would allow bidders</w:t>
      </w:r>
      <w:r w:rsidR="00151ABA">
        <w:t xml:space="preserve"> to make informed bid decisions </w:t>
      </w:r>
      <w:r w:rsidR="00FE0CBB">
        <w:t>and to</w:t>
      </w:r>
      <w:r w:rsidR="00151ABA">
        <w:t xml:space="preserve"> submit competitive bids</w:t>
      </w:r>
      <w:r w:rsidR="00151ABA" w:rsidRPr="00EB32C7">
        <w:t xml:space="preserve">.  </w:t>
      </w:r>
      <w:r w:rsidR="00151ABA">
        <w:t xml:space="preserve">The purpose of the </w:t>
      </w:r>
      <w:r w:rsidR="00262480">
        <w:t xml:space="preserve">Tribal </w:t>
      </w:r>
      <w:r w:rsidR="00151ABA">
        <w:t xml:space="preserve">Mobility Fund </w:t>
      </w:r>
      <w:r w:rsidR="00042E10">
        <w:t>Phase I</w:t>
      </w:r>
      <w:r w:rsidR="00151ABA">
        <w:t xml:space="preserve"> auction mechanism is to identify whether and, if so, at what price providers are willing to extend advanced </w:t>
      </w:r>
      <w:r w:rsidR="00271F4D">
        <w:t xml:space="preserve">mobile </w:t>
      </w:r>
      <w:r w:rsidR="00151ABA">
        <w:t xml:space="preserve">coverage over unserved areas in exchange for a one-time support payment.  </w:t>
      </w:r>
      <w:r w:rsidR="009A1ACA">
        <w:t>Absent strategic</w:t>
      </w:r>
      <w:r w:rsidR="00C67237">
        <w:t xml:space="preserve"> behavior, t</w:t>
      </w:r>
      <w:r w:rsidR="00151ABA">
        <w:t>hese bid decisions largely depend upon internal cost structures, private assessments of risk, and other factors related to the providers’ specific circumstances.  Th</w:t>
      </w:r>
      <w:r w:rsidR="00AF59AC">
        <w:t>us, we seek comment on whether th</w:t>
      </w:r>
      <w:r w:rsidR="00151ABA">
        <w:t>e bid amounts of other auction participants are likely to contain information that will significantly affect an individual bidder’s own cost assessments</w:t>
      </w:r>
      <w:r w:rsidR="00AF59AC">
        <w:t>, and whether bidders would prefer to have the opportunity to react to the bids of others</w:t>
      </w:r>
      <w:r w:rsidR="00151ABA">
        <w:t>.</w:t>
      </w:r>
      <w:r w:rsidR="00151ABA" w:rsidRPr="0033148C">
        <w:t xml:space="preserve">  </w:t>
      </w:r>
    </w:p>
    <w:p w:rsidR="00AF59AC" w:rsidRDefault="00B604D1" w:rsidP="00117F95">
      <w:pPr>
        <w:pStyle w:val="ParaNum"/>
        <w:widowControl/>
      </w:pPr>
      <w:r w:rsidRPr="00B604D1">
        <w:rPr>
          <w:i/>
        </w:rPr>
        <w:t>Multiple-Round Auction</w:t>
      </w:r>
      <w:r>
        <w:t xml:space="preserve">.  </w:t>
      </w:r>
      <w:r w:rsidR="00AF59AC">
        <w:t xml:space="preserve">In the particular context of the Tribal Mobility Fund Phase I, we seek further comment on whether an alternative auction design might be appropriate for Auction 902.  In particular, we seek comment on whether we should use a multiple-round auction given the knowledge gained from the Mobility Fund Phase I auction and the smaller number of eligible areas, the likely fewer participants, and the smaller budget.  </w:t>
      </w:r>
      <w:r w:rsidR="008E2FD6" w:rsidRPr="008E2FD6">
        <w:t>Observing th</w:t>
      </w:r>
      <w:r w:rsidR="006F2FC7">
        <w:t>e</w:t>
      </w:r>
      <w:r w:rsidR="008E2FD6" w:rsidRPr="008E2FD6">
        <w:t xml:space="preserve"> variation</w:t>
      </w:r>
      <w:r w:rsidR="006F2FC7">
        <w:t xml:space="preserve"> in Auction 901 winning bids</w:t>
      </w:r>
      <w:r w:rsidR="008E2FD6" w:rsidRPr="008E2FD6">
        <w:t>, potential bidders in Auction 902 are likely to realize the potential gain from strategically shading up their bids to be just low enough to be accepted, but no lower.</w:t>
      </w:r>
      <w:r w:rsidR="006F2FC7">
        <w:rPr>
          <w:rStyle w:val="FootnoteReference"/>
        </w:rPr>
        <w:footnoteReference w:id="60"/>
      </w:r>
      <w:r w:rsidR="008E2FD6" w:rsidRPr="008E2FD6">
        <w:t xml:space="preserve"> </w:t>
      </w:r>
      <w:r w:rsidR="003C561C">
        <w:t xml:space="preserve"> </w:t>
      </w:r>
      <w:r w:rsidR="008E2FD6" w:rsidRPr="008E2FD6">
        <w:t xml:space="preserve">Calculating the optimal bid in this situation can be difficult, imposing a burden on bidders, and may result in relatively low-cost providers losing because they miscalculated.  This difficulty can be mitigated in a multiple-round auction, such </w:t>
      </w:r>
      <w:r w:rsidR="00BA1290">
        <w:t xml:space="preserve">as </w:t>
      </w:r>
      <w:r w:rsidR="008E2FD6" w:rsidRPr="008E2FD6">
        <w:t>a descending clock auction, because it does not provide the same opportunity for strategic behavior.</w:t>
      </w:r>
      <w:r w:rsidR="00AF59AC">
        <w:t xml:space="preserve"> </w:t>
      </w:r>
      <w:r w:rsidR="00F34A71">
        <w:t xml:space="preserve"> </w:t>
      </w:r>
      <w:r w:rsidR="00AF59AC">
        <w:t>We seek comment on whether it would be easier for bidders to formulate a successful bid strategy in a multiple-round auction such as a descending clock auction.  I</w:t>
      </w:r>
      <w:r w:rsidR="00370954">
        <w:t>f commenters support a multiple-</w:t>
      </w:r>
      <w:r w:rsidR="00AF59AC">
        <w:t>round design, we seek comment on which design would be most appropriate for Auction 902.</w:t>
      </w:r>
      <w:r w:rsidR="00370954">
        <w:t xml:space="preserve"> </w:t>
      </w:r>
      <w:r w:rsidR="00AF59AC">
        <w:t xml:space="preserve"> Possibilities could include a descending clock auction </w:t>
      </w:r>
      <w:r w:rsidR="004F0F20">
        <w:t xml:space="preserve">(in which winning bidders </w:t>
      </w:r>
      <w:r w:rsidR="00273335">
        <w:t>c</w:t>
      </w:r>
      <w:r w:rsidR="004F0F20">
        <w:t xml:space="preserve">ould all be paid the same amount per-pop) </w:t>
      </w:r>
      <w:r w:rsidR="00AF59AC">
        <w:t>and a descending simultaneous multiple round format.  Because the Tribal Mobility Fund Phase I auction is smaller in scale, with fewer eligible areas, than the Mobility Fund Phase I auction, th</w:t>
      </w:r>
      <w:r w:rsidR="00370954">
        <w:t>e relative benefits of a single-</w:t>
      </w:r>
      <w:r w:rsidR="00AF59AC">
        <w:t>round auction design in terms of simplicity of implementation and time to completion are likely</w:t>
      </w:r>
      <w:r w:rsidR="00370954">
        <w:t xml:space="preserve"> reduced relative to a multiple-</w:t>
      </w:r>
      <w:r w:rsidR="00AF59AC">
        <w:t>round format.</w:t>
      </w:r>
    </w:p>
    <w:p w:rsidR="00151ABA" w:rsidRDefault="00151ABA" w:rsidP="00117F95">
      <w:pPr>
        <w:pStyle w:val="Heading3"/>
        <w:widowControl/>
      </w:pPr>
      <w:bookmarkStart w:id="92" w:name="_Toc315868080"/>
      <w:bookmarkStart w:id="93" w:name="_Toc315956815"/>
      <w:bookmarkStart w:id="94" w:name="_Toc349805092"/>
      <w:bookmarkStart w:id="95" w:name="_Toc349921067"/>
      <w:bookmarkStart w:id="96" w:name="_Toc350158502"/>
      <w:r>
        <w:t>Census Blocks and Aggregations</w:t>
      </w:r>
      <w:bookmarkEnd w:id="92"/>
      <w:bookmarkEnd w:id="93"/>
      <w:bookmarkEnd w:id="94"/>
      <w:bookmarkEnd w:id="95"/>
      <w:bookmarkEnd w:id="96"/>
    </w:p>
    <w:p w:rsidR="00B96B10" w:rsidRDefault="00151ABA" w:rsidP="00117F95">
      <w:pPr>
        <w:pStyle w:val="ParaNum"/>
        <w:widowControl/>
      </w:pPr>
      <w:r>
        <w:t xml:space="preserve">The Commission determined that </w:t>
      </w:r>
      <w:r w:rsidRPr="002F445F">
        <w:t>the census block should be the minimum geographic building block for which support is provided</w:t>
      </w:r>
      <w:r>
        <w:t xml:space="preserve">, but left to the </w:t>
      </w:r>
      <w:r w:rsidRPr="002F445F">
        <w:t xml:space="preserve">Bureaus the task of deciding </w:t>
      </w:r>
      <w:r>
        <w:t>how to facilitate bidding on aggregations of eligible census blocks.</w:t>
      </w:r>
      <w:r>
        <w:rPr>
          <w:rStyle w:val="FootnoteReference"/>
        </w:rPr>
        <w:footnoteReference w:id="61"/>
      </w:r>
      <w:r>
        <w:t xml:space="preserve">  </w:t>
      </w:r>
      <w:r w:rsidRPr="00451F6B">
        <w:rPr>
          <w:szCs w:val="22"/>
        </w:rPr>
        <w:t xml:space="preserve">Some aggregation of census blocks </w:t>
      </w:r>
      <w:r w:rsidR="00FF3C02" w:rsidRPr="00451F6B">
        <w:rPr>
          <w:szCs w:val="22"/>
        </w:rPr>
        <w:t xml:space="preserve">may </w:t>
      </w:r>
      <w:r w:rsidRPr="00451F6B">
        <w:rPr>
          <w:szCs w:val="22"/>
        </w:rPr>
        <w:t>be necessary</w:t>
      </w:r>
      <w:r w:rsidR="004C4AE1" w:rsidRPr="00451F6B">
        <w:rPr>
          <w:szCs w:val="22"/>
        </w:rPr>
        <w:t xml:space="preserve"> because census blocks are numerous and can be quite small</w:t>
      </w:r>
      <w:r w:rsidRPr="00451F6B">
        <w:rPr>
          <w:szCs w:val="22"/>
        </w:rPr>
        <w:t>.</w:t>
      </w:r>
      <w:r>
        <w:rPr>
          <w:rStyle w:val="FootnoteReference"/>
          <w:szCs w:val="22"/>
        </w:rPr>
        <w:footnoteReference w:id="62"/>
      </w:r>
      <w:r w:rsidRPr="00451F6B">
        <w:rPr>
          <w:szCs w:val="22"/>
        </w:rPr>
        <w:t xml:space="preserve">  </w:t>
      </w:r>
      <w:r w:rsidR="004C4AE1" w:rsidRPr="00451F6B">
        <w:rPr>
          <w:szCs w:val="22"/>
        </w:rPr>
        <w:t>T</w:t>
      </w:r>
      <w:r w:rsidR="0061036E" w:rsidRPr="00451F6B">
        <w:rPr>
          <w:szCs w:val="22"/>
        </w:rPr>
        <w:t xml:space="preserve">he </w:t>
      </w:r>
      <w:r w:rsidR="00761B89" w:rsidRPr="00451F6B">
        <w:rPr>
          <w:szCs w:val="22"/>
        </w:rPr>
        <w:t>5,</w:t>
      </w:r>
      <w:r w:rsidR="001F5BD0">
        <w:rPr>
          <w:szCs w:val="22"/>
        </w:rPr>
        <w:t>5</w:t>
      </w:r>
      <w:r w:rsidR="00761B89" w:rsidRPr="00451F6B">
        <w:rPr>
          <w:szCs w:val="22"/>
        </w:rPr>
        <w:t>54</w:t>
      </w:r>
      <w:r w:rsidR="004C4AE1" w:rsidRPr="00451F6B">
        <w:rPr>
          <w:szCs w:val="22"/>
        </w:rPr>
        <w:t xml:space="preserve"> </w:t>
      </w:r>
      <w:r w:rsidRPr="002A4DA4">
        <w:rPr>
          <w:szCs w:val="22"/>
        </w:rPr>
        <w:t xml:space="preserve">census blocks </w:t>
      </w:r>
      <w:r w:rsidR="004C4AE1" w:rsidRPr="002A4DA4">
        <w:rPr>
          <w:szCs w:val="22"/>
        </w:rPr>
        <w:t xml:space="preserve">potentially </w:t>
      </w:r>
      <w:r w:rsidRPr="002A4DA4">
        <w:rPr>
          <w:szCs w:val="22"/>
        </w:rPr>
        <w:t xml:space="preserve">eligible for support under </w:t>
      </w:r>
      <w:r w:rsidR="00262480" w:rsidRPr="002A4DA4">
        <w:rPr>
          <w:szCs w:val="22"/>
        </w:rPr>
        <w:t xml:space="preserve">Tribal </w:t>
      </w:r>
      <w:r w:rsidRPr="002A4DA4">
        <w:rPr>
          <w:szCs w:val="22"/>
        </w:rPr>
        <w:t xml:space="preserve">Mobility Fund Phase I </w:t>
      </w:r>
      <w:r w:rsidR="004C4AE1" w:rsidRPr="002A4DA4">
        <w:rPr>
          <w:szCs w:val="22"/>
        </w:rPr>
        <w:t xml:space="preserve">have an </w:t>
      </w:r>
      <w:r w:rsidRPr="002A4DA4">
        <w:rPr>
          <w:szCs w:val="22"/>
        </w:rPr>
        <w:t xml:space="preserve">average area of </w:t>
      </w:r>
      <w:r w:rsidR="00A9512C" w:rsidRPr="002A4DA4">
        <w:rPr>
          <w:szCs w:val="22"/>
        </w:rPr>
        <w:t xml:space="preserve">approximately </w:t>
      </w:r>
      <w:r w:rsidR="00AB4896" w:rsidRPr="002A4DA4">
        <w:rPr>
          <w:szCs w:val="22"/>
        </w:rPr>
        <w:t>2</w:t>
      </w:r>
      <w:r w:rsidR="001531C6" w:rsidRPr="002A4DA4">
        <w:rPr>
          <w:szCs w:val="22"/>
        </w:rPr>
        <w:t>.</w:t>
      </w:r>
      <w:r w:rsidR="001F5BD0">
        <w:rPr>
          <w:szCs w:val="22"/>
        </w:rPr>
        <w:t>1</w:t>
      </w:r>
      <w:r w:rsidR="00A9512C" w:rsidRPr="002A4DA4">
        <w:rPr>
          <w:szCs w:val="22"/>
        </w:rPr>
        <w:t xml:space="preserve"> </w:t>
      </w:r>
      <w:r w:rsidRPr="002A4DA4">
        <w:rPr>
          <w:szCs w:val="22"/>
        </w:rPr>
        <w:t xml:space="preserve">square miles.  </w:t>
      </w:r>
      <w:r w:rsidR="00A82061" w:rsidRPr="002A4DA4">
        <w:rPr>
          <w:szCs w:val="22"/>
        </w:rPr>
        <w:t xml:space="preserve">We believe that on average these blocks are much smaller than the average area covered by a single cell </w:t>
      </w:r>
      <w:r w:rsidR="005B5D8D" w:rsidRPr="002A4DA4">
        <w:rPr>
          <w:szCs w:val="22"/>
        </w:rPr>
        <w:t>site</w:t>
      </w:r>
      <w:r w:rsidR="00A82061" w:rsidRPr="002A4DA4">
        <w:rPr>
          <w:szCs w:val="22"/>
        </w:rPr>
        <w:t xml:space="preserve">, which is likely to be the minimum incremental geographic area of expanded coverage with Tribal Mobility Fund Phase I support.  </w:t>
      </w:r>
      <w:r>
        <w:t xml:space="preserve">We propose </w:t>
      </w:r>
      <w:r w:rsidR="00391C68">
        <w:t xml:space="preserve">bidding procedures that will </w:t>
      </w:r>
      <w:r>
        <w:t>defin</w:t>
      </w:r>
      <w:r w:rsidR="00510080">
        <w:t>e</w:t>
      </w:r>
      <w:r>
        <w:t xml:space="preserve"> </w:t>
      </w:r>
      <w:r w:rsidR="00391C68">
        <w:t>biddable items consisting of certain aggregations of eligible census</w:t>
      </w:r>
      <w:r>
        <w:t xml:space="preserve"> block</w:t>
      </w:r>
      <w:r w:rsidR="00391C68">
        <w:t>s</w:t>
      </w:r>
      <w:r w:rsidR="00FF3C02">
        <w:t>—</w:t>
      </w:r>
      <w:r>
        <w:t xml:space="preserve">and for this purpose suggest using </w:t>
      </w:r>
      <w:r w:rsidR="00AB4896">
        <w:t xml:space="preserve">census tracts and </w:t>
      </w:r>
      <w:r w:rsidR="00335842">
        <w:t>Tribal land boundaries</w:t>
      </w:r>
      <w:r w:rsidR="007E6187">
        <w:t>, as further described below</w:t>
      </w:r>
      <w:r w:rsidRPr="00A36908">
        <w:t>.</w:t>
      </w:r>
      <w:r>
        <w:t xml:space="preserve">  </w:t>
      </w:r>
    </w:p>
    <w:p w:rsidR="00151ABA" w:rsidRDefault="00D27EBD" w:rsidP="00117F95">
      <w:pPr>
        <w:pStyle w:val="ParaNum"/>
        <w:widowControl/>
        <w:rPr>
          <w:szCs w:val="22"/>
        </w:rPr>
      </w:pPr>
      <w:r>
        <w:rPr>
          <w:i/>
          <w:szCs w:val="22"/>
        </w:rPr>
        <w:t>Aggregation of census blocks by tracts and Tribal l</w:t>
      </w:r>
      <w:r w:rsidRPr="00D27EBD">
        <w:rPr>
          <w:i/>
          <w:szCs w:val="22"/>
        </w:rPr>
        <w:t>ands</w:t>
      </w:r>
      <w:r>
        <w:rPr>
          <w:szCs w:val="22"/>
        </w:rPr>
        <w:t xml:space="preserve">.  </w:t>
      </w:r>
      <w:r w:rsidR="00151ABA">
        <w:rPr>
          <w:szCs w:val="22"/>
        </w:rPr>
        <w:t xml:space="preserve">We seek comment on an approach that would require bidding on </w:t>
      </w:r>
      <w:r w:rsidR="00391C68">
        <w:rPr>
          <w:szCs w:val="22"/>
        </w:rPr>
        <w:t xml:space="preserve">biddable items consisting of </w:t>
      </w:r>
      <w:r w:rsidR="00151ABA">
        <w:rPr>
          <w:szCs w:val="22"/>
        </w:rPr>
        <w:t xml:space="preserve">predefined aggregations of </w:t>
      </w:r>
      <w:r w:rsidR="004F5DE5">
        <w:rPr>
          <w:szCs w:val="22"/>
        </w:rPr>
        <w:t xml:space="preserve">eligible </w:t>
      </w:r>
      <w:r w:rsidR="00151ABA">
        <w:rPr>
          <w:szCs w:val="22"/>
        </w:rPr>
        <w:t>census blocks</w:t>
      </w:r>
      <w:r w:rsidR="00D4076E">
        <w:rPr>
          <w:szCs w:val="22"/>
        </w:rPr>
        <w:t xml:space="preserve">.  </w:t>
      </w:r>
      <w:r w:rsidR="00151ABA">
        <w:rPr>
          <w:szCs w:val="22"/>
        </w:rPr>
        <w:t xml:space="preserve">For purposes of bidding, all eligible census blocks would be grouped by the </w:t>
      </w:r>
      <w:r w:rsidR="00EC54AB">
        <w:rPr>
          <w:szCs w:val="22"/>
        </w:rPr>
        <w:t>tract</w:t>
      </w:r>
      <w:r w:rsidR="00373582">
        <w:rPr>
          <w:szCs w:val="22"/>
        </w:rPr>
        <w:t>s</w:t>
      </w:r>
      <w:r w:rsidR="00EC54AB">
        <w:rPr>
          <w:szCs w:val="22"/>
        </w:rPr>
        <w:t xml:space="preserve"> </w:t>
      </w:r>
      <w:r w:rsidR="007705E3">
        <w:rPr>
          <w:szCs w:val="22"/>
        </w:rPr>
        <w:t>in which they are located</w:t>
      </w:r>
      <w:r w:rsidR="00EC54AB">
        <w:rPr>
          <w:szCs w:val="22"/>
        </w:rPr>
        <w:t>.  I</w:t>
      </w:r>
      <w:r w:rsidR="007705E3">
        <w:rPr>
          <w:szCs w:val="22"/>
        </w:rPr>
        <w:t xml:space="preserve">n the </w:t>
      </w:r>
      <w:r w:rsidR="00EC54AB">
        <w:rPr>
          <w:szCs w:val="22"/>
        </w:rPr>
        <w:t>case of tracts with more than one Tribal land, the blocks in that tract would be grouped by Tribal land.  B</w:t>
      </w:r>
      <w:r w:rsidR="00151ABA">
        <w:rPr>
          <w:szCs w:val="22"/>
        </w:rPr>
        <w:t xml:space="preserve">idders would bid by </w:t>
      </w:r>
      <w:r w:rsidR="00EC54AB">
        <w:rPr>
          <w:szCs w:val="22"/>
        </w:rPr>
        <w:t xml:space="preserve">these </w:t>
      </w:r>
      <w:r w:rsidR="007705E3">
        <w:rPr>
          <w:szCs w:val="22"/>
        </w:rPr>
        <w:t>aggregated areas</w:t>
      </w:r>
      <w:r w:rsidR="00151ABA">
        <w:rPr>
          <w:szCs w:val="22"/>
        </w:rPr>
        <w:t xml:space="preserve">, not on individual blocks. </w:t>
      </w:r>
    </w:p>
    <w:p w:rsidR="00151ABA" w:rsidRPr="00E0197D" w:rsidRDefault="00151ABA" w:rsidP="00117F95">
      <w:pPr>
        <w:pStyle w:val="ParaNum"/>
        <w:widowControl/>
        <w:rPr>
          <w:szCs w:val="22"/>
        </w:rPr>
      </w:pPr>
      <w:r>
        <w:t xml:space="preserve">Under this approach, for each </w:t>
      </w:r>
      <w:r w:rsidR="007705E3">
        <w:t xml:space="preserve">aggregated area that </w:t>
      </w:r>
      <w:r>
        <w:t xml:space="preserve">a bidder bids on, the bidder would </w:t>
      </w:r>
      <w:r w:rsidRPr="00587CBE">
        <w:t xml:space="preserve">indicate a </w:t>
      </w:r>
      <w:r>
        <w:t>per-unit price</w:t>
      </w:r>
      <w:r w:rsidRPr="00587CBE">
        <w:t xml:space="preserve"> to </w:t>
      </w:r>
      <w:r>
        <w:t xml:space="preserve">cover the </w:t>
      </w:r>
      <w:r w:rsidR="007705E3">
        <w:t>population</w:t>
      </w:r>
      <w:r>
        <w:t xml:space="preserve"> in the eligible census blocks</w:t>
      </w:r>
      <w:r w:rsidRPr="00587CBE">
        <w:t xml:space="preserve"> </w:t>
      </w:r>
      <w:r>
        <w:t xml:space="preserve">within that </w:t>
      </w:r>
      <w:r w:rsidR="00201A9F">
        <w:t>area</w:t>
      </w:r>
      <w:r>
        <w:t xml:space="preserve">.  The auction would assign support to awardees </w:t>
      </w:r>
      <w:r w:rsidRPr="00587CBE">
        <w:t>equ</w:t>
      </w:r>
      <w:r>
        <w:t>al to the per-</w:t>
      </w:r>
      <w:r w:rsidR="00201A9F">
        <w:t>pop</w:t>
      </w:r>
      <w:r>
        <w:t xml:space="preserve"> rate of their </w:t>
      </w:r>
      <w:r w:rsidRPr="00587CBE">
        <w:t xml:space="preserve">bid </w:t>
      </w:r>
      <w:r w:rsidR="00A54AC5">
        <w:t xml:space="preserve">multiplied by </w:t>
      </w:r>
      <w:r w:rsidRPr="00587CBE">
        <w:t xml:space="preserve">the </w:t>
      </w:r>
      <w:r w:rsidR="00201A9F">
        <w:t>population</w:t>
      </w:r>
      <w:r>
        <w:t xml:space="preserve"> associated with the eligible census blocks within the </w:t>
      </w:r>
      <w:r w:rsidR="00201A9F">
        <w:t xml:space="preserve">aggregated area </w:t>
      </w:r>
      <w:r>
        <w:t xml:space="preserve">as shown in the information that </w:t>
      </w:r>
      <w:r w:rsidR="00185C06">
        <w:t xml:space="preserve">will </w:t>
      </w:r>
      <w:r>
        <w:t>be provided by the Bureaus prior to the auction.</w:t>
      </w:r>
      <w:r w:rsidRPr="00650239">
        <w:rPr>
          <w:szCs w:val="22"/>
        </w:rPr>
        <w:t xml:space="preserve"> </w:t>
      </w:r>
      <w:r w:rsidR="008A1EFD">
        <w:rPr>
          <w:szCs w:val="22"/>
        </w:rPr>
        <w:t xml:space="preserve"> </w:t>
      </w:r>
      <w:r>
        <w:rPr>
          <w:szCs w:val="22"/>
        </w:rPr>
        <w:t xml:space="preserve">Under this approach, bidders would be able to bid on multiple </w:t>
      </w:r>
      <w:r w:rsidR="00201A9F">
        <w:rPr>
          <w:szCs w:val="22"/>
        </w:rPr>
        <w:t xml:space="preserve">aggregated areas </w:t>
      </w:r>
      <w:r>
        <w:rPr>
          <w:szCs w:val="22"/>
        </w:rPr>
        <w:t>and win support for any or all of them.</w:t>
      </w:r>
    </w:p>
    <w:p w:rsidR="00151ABA" w:rsidRDefault="00530D1F" w:rsidP="00117F95">
      <w:pPr>
        <w:pStyle w:val="ParaNum"/>
        <w:widowControl/>
        <w:rPr>
          <w:szCs w:val="22"/>
        </w:rPr>
      </w:pPr>
      <w:r>
        <w:rPr>
          <w:szCs w:val="22"/>
        </w:rPr>
        <w:t>As noted above</w:t>
      </w:r>
      <w:r w:rsidR="00B03EBD">
        <w:rPr>
          <w:szCs w:val="22"/>
        </w:rPr>
        <w:t>,</w:t>
      </w:r>
      <w:r w:rsidR="00151ABA">
        <w:rPr>
          <w:szCs w:val="22"/>
        </w:rPr>
        <w:t xml:space="preserve"> </w:t>
      </w:r>
      <w:r w:rsidR="00062C1C">
        <w:rPr>
          <w:szCs w:val="22"/>
        </w:rPr>
        <w:t xml:space="preserve">we release with this Public Notice </w:t>
      </w:r>
      <w:r w:rsidR="00391C68">
        <w:rPr>
          <w:szCs w:val="22"/>
        </w:rPr>
        <w:t xml:space="preserve">a list of </w:t>
      </w:r>
      <w:r w:rsidR="00761B89">
        <w:t>5,</w:t>
      </w:r>
      <w:r w:rsidR="001F5BD0">
        <w:t>5</w:t>
      </w:r>
      <w:r w:rsidR="00761B89">
        <w:t>54</w:t>
      </w:r>
      <w:r w:rsidR="00151ABA">
        <w:rPr>
          <w:szCs w:val="22"/>
        </w:rPr>
        <w:t xml:space="preserve"> census blocks that would be considered </w:t>
      </w:r>
      <w:r w:rsidR="00DF1E0A">
        <w:rPr>
          <w:szCs w:val="22"/>
        </w:rPr>
        <w:t xml:space="preserve">potentially </w:t>
      </w:r>
      <w:r w:rsidR="00151ABA">
        <w:rPr>
          <w:szCs w:val="22"/>
        </w:rPr>
        <w:t xml:space="preserve">eligible under our criteria.  </w:t>
      </w:r>
      <w:r w:rsidR="00074FD1">
        <w:rPr>
          <w:szCs w:val="22"/>
        </w:rPr>
        <w:t xml:space="preserve">These blocks are </w:t>
      </w:r>
      <w:r w:rsidR="008F37D2">
        <w:rPr>
          <w:szCs w:val="22"/>
        </w:rPr>
        <w:t xml:space="preserve">located </w:t>
      </w:r>
      <w:r w:rsidR="000209F5">
        <w:rPr>
          <w:szCs w:val="22"/>
        </w:rPr>
        <w:t>within</w:t>
      </w:r>
      <w:r w:rsidR="00074FD1">
        <w:rPr>
          <w:szCs w:val="22"/>
        </w:rPr>
        <w:t xml:space="preserve"> 2</w:t>
      </w:r>
      <w:r w:rsidR="001F5BD0">
        <w:rPr>
          <w:szCs w:val="22"/>
        </w:rPr>
        <w:t>58</w:t>
      </w:r>
      <w:r w:rsidR="00074FD1">
        <w:rPr>
          <w:szCs w:val="22"/>
        </w:rPr>
        <w:t xml:space="preserve"> Census tracts and 292 Tribal lands.  </w:t>
      </w:r>
      <w:r w:rsidR="00151ABA">
        <w:rPr>
          <w:szCs w:val="22"/>
        </w:rPr>
        <w:t xml:space="preserve">If we bundled these unserved blocks into </w:t>
      </w:r>
      <w:r w:rsidR="001F5265">
        <w:rPr>
          <w:szCs w:val="22"/>
        </w:rPr>
        <w:t xml:space="preserve">tracts and </w:t>
      </w:r>
      <w:r w:rsidR="00391C68">
        <w:rPr>
          <w:szCs w:val="22"/>
        </w:rPr>
        <w:t>parts of tracts with</w:t>
      </w:r>
      <w:r w:rsidR="008F37D2">
        <w:rPr>
          <w:szCs w:val="22"/>
        </w:rPr>
        <w:t>in</w:t>
      </w:r>
      <w:r w:rsidR="00391C68">
        <w:rPr>
          <w:szCs w:val="22"/>
        </w:rPr>
        <w:t xml:space="preserve"> different </w:t>
      </w:r>
      <w:r w:rsidR="00201A9F">
        <w:rPr>
          <w:szCs w:val="22"/>
        </w:rPr>
        <w:t>Tribal land</w:t>
      </w:r>
      <w:r w:rsidR="001F5265">
        <w:rPr>
          <w:szCs w:val="22"/>
        </w:rPr>
        <w:t>s</w:t>
      </w:r>
      <w:r w:rsidR="00201A9F">
        <w:rPr>
          <w:szCs w:val="22"/>
        </w:rPr>
        <w:t xml:space="preserve"> </w:t>
      </w:r>
      <w:r w:rsidR="00151ABA">
        <w:rPr>
          <w:szCs w:val="22"/>
        </w:rPr>
        <w:t xml:space="preserve">for bidding, there would be </w:t>
      </w:r>
      <w:r w:rsidR="000E1B3C">
        <w:rPr>
          <w:szCs w:val="22"/>
        </w:rPr>
        <w:t>41</w:t>
      </w:r>
      <w:r w:rsidR="001F5BD0">
        <w:rPr>
          <w:szCs w:val="22"/>
        </w:rPr>
        <w:t>7</w:t>
      </w:r>
      <w:r w:rsidR="001F5265">
        <w:rPr>
          <w:szCs w:val="22"/>
        </w:rPr>
        <w:t xml:space="preserve"> </w:t>
      </w:r>
      <w:r w:rsidR="00201A9F">
        <w:rPr>
          <w:szCs w:val="22"/>
        </w:rPr>
        <w:t>aggregated areas</w:t>
      </w:r>
      <w:r w:rsidR="00151ABA">
        <w:rPr>
          <w:szCs w:val="22"/>
        </w:rPr>
        <w:t xml:space="preserve">. </w:t>
      </w:r>
      <w:r w:rsidR="00CD502B">
        <w:rPr>
          <w:szCs w:val="22"/>
        </w:rPr>
        <w:t xml:space="preserve"> </w:t>
      </w:r>
      <w:r w:rsidR="00BF1E75">
        <w:rPr>
          <w:szCs w:val="22"/>
        </w:rPr>
        <w:t xml:space="preserve">One </w:t>
      </w:r>
      <w:r w:rsidR="006400AA">
        <w:rPr>
          <w:szCs w:val="22"/>
        </w:rPr>
        <w:t xml:space="preserve">goal in </w:t>
      </w:r>
      <w:r w:rsidR="00A042AA">
        <w:rPr>
          <w:szCs w:val="22"/>
        </w:rPr>
        <w:t xml:space="preserve">suggesting </w:t>
      </w:r>
      <w:r w:rsidR="00BF1E75">
        <w:rPr>
          <w:szCs w:val="22"/>
        </w:rPr>
        <w:t>aggregated areas</w:t>
      </w:r>
      <w:r w:rsidR="00151ABA">
        <w:rPr>
          <w:szCs w:val="22"/>
        </w:rPr>
        <w:t xml:space="preserve"> </w:t>
      </w:r>
      <w:r w:rsidR="006400AA">
        <w:rPr>
          <w:szCs w:val="22"/>
        </w:rPr>
        <w:t xml:space="preserve">for this purpose is to </w:t>
      </w:r>
      <w:r w:rsidR="00151ABA">
        <w:rPr>
          <w:szCs w:val="22"/>
        </w:rPr>
        <w:t xml:space="preserve">create </w:t>
      </w:r>
      <w:r w:rsidR="00912CF9">
        <w:rPr>
          <w:szCs w:val="22"/>
        </w:rPr>
        <w:t xml:space="preserve">biddable </w:t>
      </w:r>
      <w:r w:rsidR="00151ABA">
        <w:rPr>
          <w:szCs w:val="22"/>
        </w:rPr>
        <w:t>geographic areas closer in scale to minimum buildout areas than census blocks</w:t>
      </w:r>
      <w:r w:rsidR="002610BD">
        <w:rPr>
          <w:szCs w:val="22"/>
        </w:rPr>
        <w:t xml:space="preserve"> would be.</w:t>
      </w:r>
      <w:r w:rsidR="00151ABA">
        <w:rPr>
          <w:szCs w:val="22"/>
        </w:rPr>
        <w:t xml:space="preserve"> </w:t>
      </w:r>
      <w:r w:rsidR="002610BD">
        <w:rPr>
          <w:szCs w:val="22"/>
        </w:rPr>
        <w:t xml:space="preserve"> This approach would </w:t>
      </w:r>
      <w:r w:rsidR="006400AA">
        <w:rPr>
          <w:szCs w:val="22"/>
        </w:rPr>
        <w:t>mak</w:t>
      </w:r>
      <w:r w:rsidR="002610BD">
        <w:rPr>
          <w:szCs w:val="22"/>
        </w:rPr>
        <w:t>e</w:t>
      </w:r>
      <w:r w:rsidR="006400AA">
        <w:rPr>
          <w:szCs w:val="22"/>
        </w:rPr>
        <w:t xml:space="preserve"> it less </w:t>
      </w:r>
      <w:r w:rsidR="002610BD">
        <w:rPr>
          <w:szCs w:val="22"/>
        </w:rPr>
        <w:t xml:space="preserve">important </w:t>
      </w:r>
      <w:r w:rsidR="006400AA">
        <w:rPr>
          <w:szCs w:val="22"/>
        </w:rPr>
        <w:t xml:space="preserve">that bidders have the ability to place </w:t>
      </w:r>
      <w:r w:rsidR="00151ABA">
        <w:rPr>
          <w:szCs w:val="22"/>
        </w:rPr>
        <w:t xml:space="preserve">all-or-nothing package bids than </w:t>
      </w:r>
      <w:r w:rsidR="002610BD">
        <w:rPr>
          <w:szCs w:val="22"/>
        </w:rPr>
        <w:t>would be the case if</w:t>
      </w:r>
      <w:r w:rsidR="00151ABA">
        <w:rPr>
          <w:szCs w:val="22"/>
        </w:rPr>
        <w:t xml:space="preserve"> the basic bidding unit</w:t>
      </w:r>
      <w:r w:rsidR="002610BD">
        <w:rPr>
          <w:szCs w:val="22"/>
        </w:rPr>
        <w:t>s</w:t>
      </w:r>
      <w:r w:rsidR="00151ABA">
        <w:rPr>
          <w:szCs w:val="22"/>
        </w:rPr>
        <w:t xml:space="preserve"> </w:t>
      </w:r>
      <w:r w:rsidR="002610BD">
        <w:rPr>
          <w:szCs w:val="22"/>
        </w:rPr>
        <w:t>were</w:t>
      </w:r>
      <w:r w:rsidR="00151ABA">
        <w:rPr>
          <w:szCs w:val="22"/>
        </w:rPr>
        <w:t xml:space="preserve"> </w:t>
      </w:r>
      <w:r w:rsidR="00912CF9">
        <w:rPr>
          <w:szCs w:val="22"/>
        </w:rPr>
        <w:t xml:space="preserve">individual </w:t>
      </w:r>
      <w:r w:rsidR="00151ABA">
        <w:rPr>
          <w:szCs w:val="22"/>
        </w:rPr>
        <w:t>census block</w:t>
      </w:r>
      <w:r w:rsidR="00912CF9">
        <w:rPr>
          <w:szCs w:val="22"/>
        </w:rPr>
        <w:t>s</w:t>
      </w:r>
      <w:r w:rsidR="00151ABA">
        <w:rPr>
          <w:szCs w:val="22"/>
        </w:rPr>
        <w:t xml:space="preserve">. </w:t>
      </w:r>
      <w:r w:rsidR="00CD502B">
        <w:rPr>
          <w:szCs w:val="22"/>
        </w:rPr>
        <w:t xml:space="preserve"> </w:t>
      </w:r>
      <w:r w:rsidR="00151ABA">
        <w:rPr>
          <w:szCs w:val="22"/>
        </w:rPr>
        <w:t>Further, this approach would lend itself to a simple</w:t>
      </w:r>
      <w:r w:rsidR="002F6837">
        <w:rPr>
          <w:szCs w:val="22"/>
        </w:rPr>
        <w:t>r</w:t>
      </w:r>
      <w:r w:rsidR="00151ABA">
        <w:rPr>
          <w:szCs w:val="22"/>
        </w:rPr>
        <w:t xml:space="preserve"> method of determining winning bids, </w:t>
      </w:r>
      <w:r w:rsidR="00A042AA">
        <w:rPr>
          <w:szCs w:val="22"/>
        </w:rPr>
        <w:t xml:space="preserve">as </w:t>
      </w:r>
      <w:r w:rsidR="00151ABA">
        <w:rPr>
          <w:szCs w:val="22"/>
        </w:rPr>
        <w:t xml:space="preserve">discussed below. </w:t>
      </w:r>
    </w:p>
    <w:p w:rsidR="00151ABA" w:rsidRPr="00770B18" w:rsidRDefault="0011415E" w:rsidP="00117F95">
      <w:pPr>
        <w:pStyle w:val="ParaNum"/>
        <w:widowControl/>
        <w:rPr>
          <w:szCs w:val="22"/>
        </w:rPr>
      </w:pPr>
      <w:r w:rsidRPr="00BD4FCC">
        <w:t xml:space="preserve">In the </w:t>
      </w:r>
      <w:r w:rsidRPr="00BD4FCC">
        <w:rPr>
          <w:i/>
        </w:rPr>
        <w:t>USF/ICC Transformation Order</w:t>
      </w:r>
      <w:r w:rsidRPr="00BD4FCC">
        <w:t xml:space="preserve">, the Commission noted that </w:t>
      </w:r>
      <w:r w:rsidR="002A4DA4" w:rsidRPr="001A7A0D">
        <w:t>because census blocks in Alaska are so much larger on average than census blocks elsewhere, we should consider permitting bidding on individual census blocks in Alaska, a suggestion we adopted for Mobility Fund Phase I.</w:t>
      </w:r>
      <w:r w:rsidRPr="00BD4FCC">
        <w:rPr>
          <w:rStyle w:val="FootnoteReference"/>
        </w:rPr>
        <w:footnoteReference w:id="63"/>
      </w:r>
      <w:r w:rsidRPr="00BD4FCC">
        <w:t xml:space="preserve">  </w:t>
      </w:r>
      <w:r w:rsidR="002F6837" w:rsidRPr="00770B18">
        <w:t>Under the tract</w:t>
      </w:r>
      <w:r w:rsidR="002A0973" w:rsidRPr="00770B18">
        <w:t xml:space="preserve"> and </w:t>
      </w:r>
      <w:r w:rsidR="002F6837" w:rsidRPr="00770B18">
        <w:t xml:space="preserve">Tribal land aggregation </w:t>
      </w:r>
      <w:r w:rsidR="002A0973" w:rsidRPr="00770B18">
        <w:t xml:space="preserve">method </w:t>
      </w:r>
      <w:r w:rsidR="002F6837" w:rsidRPr="00770B18">
        <w:t xml:space="preserve">proposed above, however, </w:t>
      </w:r>
      <w:r w:rsidR="007328B0" w:rsidRPr="00770B18">
        <w:t xml:space="preserve">the size of the biddable items in Alaska would </w:t>
      </w:r>
      <w:r w:rsidR="002A4DA4" w:rsidRPr="00770B18">
        <w:t>be similar to</w:t>
      </w:r>
      <w:r w:rsidR="007328B0" w:rsidRPr="00770B18">
        <w:t xml:space="preserve"> those in other states.  </w:t>
      </w:r>
      <w:r w:rsidR="00450743" w:rsidRPr="00770B18">
        <w:rPr>
          <w:szCs w:val="22"/>
        </w:rPr>
        <w:t xml:space="preserve">Therefore, we propose and seek comment on </w:t>
      </w:r>
      <w:r w:rsidR="002A4DA4" w:rsidRPr="001A7A0D">
        <w:t>using the same</w:t>
      </w:r>
      <w:r w:rsidR="002A4DA4" w:rsidRPr="00BD4FCC">
        <w:t xml:space="preserve"> </w:t>
      </w:r>
      <w:r w:rsidR="002A4DA4" w:rsidRPr="001A7A0D">
        <w:t xml:space="preserve">aggregation of blocks into biddable items </w:t>
      </w:r>
      <w:r w:rsidR="00450743" w:rsidRPr="00770B18">
        <w:rPr>
          <w:szCs w:val="22"/>
        </w:rPr>
        <w:t>in Alaska</w:t>
      </w:r>
      <w:r w:rsidR="002A4DA4" w:rsidRPr="00770B18">
        <w:rPr>
          <w:szCs w:val="22"/>
        </w:rPr>
        <w:t xml:space="preserve"> as we do</w:t>
      </w:r>
      <w:r w:rsidR="00450743" w:rsidRPr="00770B18">
        <w:rPr>
          <w:szCs w:val="22"/>
        </w:rPr>
        <w:t xml:space="preserve"> elsewhere.  </w:t>
      </w:r>
    </w:p>
    <w:p w:rsidR="00EF3832" w:rsidRDefault="00EF3832" w:rsidP="00117F95">
      <w:pPr>
        <w:pStyle w:val="ParaNum"/>
        <w:widowControl/>
        <w:rPr>
          <w:szCs w:val="22"/>
        </w:rPr>
      </w:pPr>
      <w:r>
        <w:rPr>
          <w:szCs w:val="22"/>
        </w:rPr>
        <w:t xml:space="preserve">We ask whether commenters believe that </w:t>
      </w:r>
      <w:r w:rsidR="005644F7">
        <w:rPr>
          <w:szCs w:val="22"/>
        </w:rPr>
        <w:t xml:space="preserve">further </w:t>
      </w:r>
      <w:r>
        <w:rPr>
          <w:szCs w:val="22"/>
        </w:rPr>
        <w:t>packag</w:t>
      </w:r>
      <w:r w:rsidR="005644F7">
        <w:rPr>
          <w:szCs w:val="22"/>
        </w:rPr>
        <w:t>ing</w:t>
      </w:r>
      <w:r>
        <w:rPr>
          <w:szCs w:val="22"/>
        </w:rPr>
        <w:t xml:space="preserve"> of </w:t>
      </w:r>
      <w:r w:rsidR="00E46050">
        <w:rPr>
          <w:szCs w:val="22"/>
        </w:rPr>
        <w:t xml:space="preserve">the </w:t>
      </w:r>
      <w:r>
        <w:rPr>
          <w:szCs w:val="22"/>
        </w:rPr>
        <w:t>predefined aggregations would be helpful</w:t>
      </w:r>
      <w:r w:rsidR="000F79CD">
        <w:rPr>
          <w:szCs w:val="22"/>
        </w:rPr>
        <w:t>.  I</w:t>
      </w:r>
      <w:r>
        <w:rPr>
          <w:szCs w:val="22"/>
        </w:rPr>
        <w:t xml:space="preserve">f </w:t>
      </w:r>
      <w:r w:rsidR="005644F7">
        <w:rPr>
          <w:szCs w:val="22"/>
        </w:rPr>
        <w:t>so</w:t>
      </w:r>
      <w:r w:rsidR="000F79CD">
        <w:rPr>
          <w:szCs w:val="22"/>
        </w:rPr>
        <w:t xml:space="preserve">, they should explain </w:t>
      </w:r>
      <w:r>
        <w:rPr>
          <w:szCs w:val="22"/>
        </w:rPr>
        <w:t xml:space="preserve">the specific need for package bidding and </w:t>
      </w:r>
      <w:r w:rsidR="000F79CD">
        <w:rPr>
          <w:szCs w:val="22"/>
        </w:rPr>
        <w:t xml:space="preserve">their proposed approach.  For example, could </w:t>
      </w:r>
      <w:r w:rsidR="002A0973">
        <w:rPr>
          <w:szCs w:val="22"/>
        </w:rPr>
        <w:t xml:space="preserve">such a </w:t>
      </w:r>
      <w:r w:rsidR="000F79CD">
        <w:rPr>
          <w:szCs w:val="22"/>
        </w:rPr>
        <w:t xml:space="preserve">need be met by allowing </w:t>
      </w:r>
      <w:r w:rsidR="005644F7">
        <w:rPr>
          <w:szCs w:val="22"/>
        </w:rPr>
        <w:t>bid</w:t>
      </w:r>
      <w:r w:rsidR="000901F8">
        <w:rPr>
          <w:szCs w:val="22"/>
        </w:rPr>
        <w:t>d</w:t>
      </w:r>
      <w:r w:rsidR="005644F7">
        <w:rPr>
          <w:szCs w:val="22"/>
        </w:rPr>
        <w:t xml:space="preserve">ing on a </w:t>
      </w:r>
      <w:r w:rsidR="000F79CD">
        <w:rPr>
          <w:szCs w:val="22"/>
        </w:rPr>
        <w:t xml:space="preserve">package of all of the tracts </w:t>
      </w:r>
      <w:r w:rsidR="008F37D2">
        <w:rPr>
          <w:szCs w:val="22"/>
        </w:rPr>
        <w:t xml:space="preserve">and parts of tracts </w:t>
      </w:r>
      <w:r w:rsidR="002A0973">
        <w:rPr>
          <w:szCs w:val="22"/>
        </w:rPr>
        <w:t xml:space="preserve">within </w:t>
      </w:r>
      <w:r w:rsidR="000F79CD">
        <w:rPr>
          <w:szCs w:val="22"/>
        </w:rPr>
        <w:t xml:space="preserve">a Tribal land?  </w:t>
      </w:r>
      <w:r w:rsidR="008578A5">
        <w:rPr>
          <w:szCs w:val="22"/>
        </w:rPr>
        <w:t>We also seek comment on whether a multiple round format, such as a descending clock auction</w:t>
      </w:r>
      <w:r w:rsidR="00A81715">
        <w:rPr>
          <w:szCs w:val="22"/>
        </w:rPr>
        <w:t>,</w:t>
      </w:r>
      <w:r w:rsidR="008578A5">
        <w:rPr>
          <w:szCs w:val="22"/>
        </w:rPr>
        <w:t xml:space="preserve"> could facilitate aggregation by allowing bidders to shift bids if outbid on a piece of a group of areas they were seeking to serve. </w:t>
      </w:r>
    </w:p>
    <w:p w:rsidR="00B96B10" w:rsidRPr="00B96B10" w:rsidRDefault="00B96B10" w:rsidP="00B96B10">
      <w:pPr>
        <w:pStyle w:val="ParaNum"/>
        <w:widowControl/>
        <w:rPr>
          <w:szCs w:val="22"/>
        </w:rPr>
      </w:pPr>
      <w:r w:rsidRPr="006A1131">
        <w:rPr>
          <w:i/>
          <w:szCs w:val="22"/>
        </w:rPr>
        <w:t>Coverage requirement</w:t>
      </w:r>
      <w:r>
        <w:rPr>
          <w:szCs w:val="22"/>
        </w:rPr>
        <w:t>.  Under this approach</w:t>
      </w:r>
      <w:r w:rsidRPr="004E7CEA">
        <w:rPr>
          <w:szCs w:val="22"/>
        </w:rPr>
        <w:t xml:space="preserve">, </w:t>
      </w:r>
      <w:r>
        <w:rPr>
          <w:szCs w:val="22"/>
        </w:rPr>
        <w:t xml:space="preserve">awardees would be required </w:t>
      </w:r>
      <w:r w:rsidRPr="004E7CEA">
        <w:rPr>
          <w:szCs w:val="22"/>
        </w:rPr>
        <w:t xml:space="preserve">to </w:t>
      </w:r>
      <w:r>
        <w:rPr>
          <w:szCs w:val="22"/>
        </w:rPr>
        <w:t>provide voice and broadband service meeting the established minimum standards over</w:t>
      </w:r>
      <w:r w:rsidRPr="004E7CEA">
        <w:rPr>
          <w:szCs w:val="22"/>
        </w:rPr>
        <w:t xml:space="preserve"> </w:t>
      </w:r>
      <w:r>
        <w:rPr>
          <w:szCs w:val="22"/>
        </w:rPr>
        <w:t xml:space="preserve">at least </w:t>
      </w:r>
      <w:r w:rsidRPr="004E7CEA">
        <w:rPr>
          <w:szCs w:val="22"/>
        </w:rPr>
        <w:t xml:space="preserve">75 percent of </w:t>
      </w:r>
      <w:r>
        <w:rPr>
          <w:szCs w:val="22"/>
        </w:rPr>
        <w:t>the population</w:t>
      </w:r>
      <w:r w:rsidRPr="004E7CEA">
        <w:rPr>
          <w:szCs w:val="22"/>
        </w:rPr>
        <w:t xml:space="preserve"> </w:t>
      </w:r>
      <w:r>
        <w:rPr>
          <w:szCs w:val="22"/>
        </w:rPr>
        <w:t xml:space="preserve">associated with </w:t>
      </w:r>
      <w:r w:rsidRPr="004E7CEA">
        <w:rPr>
          <w:szCs w:val="22"/>
        </w:rPr>
        <w:t xml:space="preserve">the </w:t>
      </w:r>
      <w:r>
        <w:rPr>
          <w:szCs w:val="22"/>
        </w:rPr>
        <w:t xml:space="preserve">eligible </w:t>
      </w:r>
      <w:r w:rsidRPr="004E7CEA">
        <w:rPr>
          <w:szCs w:val="22"/>
        </w:rPr>
        <w:t xml:space="preserve">blocks in </w:t>
      </w:r>
      <w:r>
        <w:rPr>
          <w:szCs w:val="22"/>
        </w:rPr>
        <w:t>each</w:t>
      </w:r>
      <w:r w:rsidRPr="004E7CEA">
        <w:rPr>
          <w:szCs w:val="22"/>
        </w:rPr>
        <w:t xml:space="preserve"> </w:t>
      </w:r>
      <w:r>
        <w:rPr>
          <w:szCs w:val="22"/>
        </w:rPr>
        <w:t>aggregated area</w:t>
      </w:r>
      <w:r w:rsidRPr="004E7CEA">
        <w:rPr>
          <w:szCs w:val="22"/>
        </w:rPr>
        <w:t xml:space="preserve"> for which they receive support.</w:t>
      </w:r>
      <w:r>
        <w:rPr>
          <w:rStyle w:val="FootnoteReference"/>
          <w:szCs w:val="22"/>
        </w:rPr>
        <w:footnoteReference w:id="64"/>
      </w:r>
      <w:r w:rsidRPr="004E7CEA">
        <w:rPr>
          <w:szCs w:val="22"/>
        </w:rPr>
        <w:t xml:space="preserve">  </w:t>
      </w:r>
      <w:r>
        <w:rPr>
          <w:szCs w:val="22"/>
        </w:rPr>
        <w:t xml:space="preserve">Because Census data does not specify how population is distributed within a census block, we seek comment on how to determine whether this coverage requirement is met.  If a provider demonstrates new coverage over the entirety of an eligible census block, we can assume coverage of the entire population of that census block.  However, we seek input on how to evaluate the population served by new coverage where a provider demonstrates new coverage over part of an eligible census block.  Should we use the area covered and assume that the population is evenly distributed?  For example, if an awardee covered 75% of the area, we would conclude that the awardee was covering 75% of the population.  We seek comment on this and other methods.  </w:t>
      </w:r>
    </w:p>
    <w:p w:rsidR="00476D29" w:rsidRPr="00476D29" w:rsidRDefault="00151ABA" w:rsidP="002C1873">
      <w:pPr>
        <w:pStyle w:val="Heading3"/>
        <w:widowControl/>
        <w:rPr>
          <w:szCs w:val="22"/>
        </w:rPr>
      </w:pPr>
      <w:r w:rsidRPr="001A7A0D">
        <w:rPr>
          <w:szCs w:val="22"/>
        </w:rPr>
        <w:t xml:space="preserve">Determining </w:t>
      </w:r>
      <w:r w:rsidR="00476D29" w:rsidRPr="001A7A0D">
        <w:rPr>
          <w:szCs w:val="22"/>
        </w:rPr>
        <w:t>A</w:t>
      </w:r>
      <w:r w:rsidRPr="001A7A0D">
        <w:rPr>
          <w:szCs w:val="22"/>
        </w:rPr>
        <w:t>wardees</w:t>
      </w:r>
      <w:r w:rsidRPr="00476D29">
        <w:rPr>
          <w:szCs w:val="22"/>
        </w:rPr>
        <w:t xml:space="preserve">  </w:t>
      </w:r>
    </w:p>
    <w:p w:rsidR="00151ABA" w:rsidRDefault="003B5054" w:rsidP="00117F95">
      <w:pPr>
        <w:pStyle w:val="ParaNum"/>
        <w:widowControl/>
        <w:rPr>
          <w:szCs w:val="22"/>
        </w:rPr>
      </w:pPr>
      <w:r w:rsidRPr="003B5054">
        <w:rPr>
          <w:i/>
          <w:szCs w:val="22"/>
        </w:rPr>
        <w:t>Single-Round</w:t>
      </w:r>
      <w:r>
        <w:rPr>
          <w:i/>
          <w:szCs w:val="22"/>
        </w:rPr>
        <w:t xml:space="preserve"> Auction</w:t>
      </w:r>
      <w:r>
        <w:rPr>
          <w:szCs w:val="22"/>
        </w:rPr>
        <w:t xml:space="preserve">.  </w:t>
      </w:r>
      <w:r w:rsidR="00476D29">
        <w:rPr>
          <w:szCs w:val="22"/>
        </w:rPr>
        <w:t xml:space="preserve">To </w:t>
      </w:r>
      <w:r w:rsidR="00151ABA">
        <w:rPr>
          <w:szCs w:val="22"/>
        </w:rPr>
        <w:t>determine awardees</w:t>
      </w:r>
      <w:r w:rsidR="00476D29">
        <w:rPr>
          <w:szCs w:val="22"/>
        </w:rPr>
        <w:t xml:space="preserve"> </w:t>
      </w:r>
      <w:r w:rsidR="00370954">
        <w:rPr>
          <w:szCs w:val="22"/>
        </w:rPr>
        <w:t xml:space="preserve">in a single-round auction </w:t>
      </w:r>
      <w:r w:rsidR="00476D29">
        <w:rPr>
          <w:szCs w:val="22"/>
        </w:rPr>
        <w:t>under our proposed aggregation approach</w:t>
      </w:r>
      <w:r w:rsidR="00151ABA">
        <w:rPr>
          <w:szCs w:val="22"/>
        </w:rPr>
        <w:t xml:space="preserve">, the auction system would rank </w:t>
      </w:r>
      <w:r w:rsidR="00151ABA" w:rsidRPr="00587CBE">
        <w:t>all bids</w:t>
      </w:r>
      <w:r w:rsidR="00151ABA">
        <w:t xml:space="preserve"> from</w:t>
      </w:r>
      <w:r w:rsidR="00151ABA" w:rsidRPr="00587CBE">
        <w:t xml:space="preserve"> lowest to highest based on </w:t>
      </w:r>
      <w:r w:rsidR="00151ABA">
        <w:t xml:space="preserve">the </w:t>
      </w:r>
      <w:r w:rsidR="00BF1E75">
        <w:t>per-pop</w:t>
      </w:r>
      <w:r w:rsidR="00151ABA">
        <w:t xml:space="preserve"> </w:t>
      </w:r>
      <w:r w:rsidR="00151ABA" w:rsidRPr="00587CBE">
        <w:t>bid amount</w:t>
      </w:r>
      <w:r w:rsidR="00151ABA">
        <w:t xml:space="preserve">, and </w:t>
      </w:r>
      <w:r w:rsidR="00151ABA" w:rsidRPr="00587CBE">
        <w:t xml:space="preserve">assign support </w:t>
      </w:r>
      <w:r w:rsidR="00151ABA">
        <w:t xml:space="preserve">first </w:t>
      </w:r>
      <w:r w:rsidR="00151ABA" w:rsidRPr="00587CBE">
        <w:t xml:space="preserve">to the lowest </w:t>
      </w:r>
      <w:r w:rsidR="00BF1E75">
        <w:t>per-pop</w:t>
      </w:r>
      <w:r w:rsidR="00151ABA">
        <w:t xml:space="preserve"> </w:t>
      </w:r>
      <w:r w:rsidR="00151ABA" w:rsidRPr="00587CBE">
        <w:t xml:space="preserve">bid.  </w:t>
      </w:r>
      <w:r w:rsidR="00151ABA" w:rsidRPr="00587CBE">
        <w:rPr>
          <w:szCs w:val="22"/>
        </w:rPr>
        <w:t xml:space="preserve">The </w:t>
      </w:r>
      <w:r w:rsidR="00151ABA">
        <w:rPr>
          <w:szCs w:val="22"/>
        </w:rPr>
        <w:t xml:space="preserve">auction system would </w:t>
      </w:r>
      <w:r w:rsidR="00151ABA" w:rsidRPr="00587CBE">
        <w:rPr>
          <w:szCs w:val="22"/>
        </w:rPr>
        <w:t>continue to assign support to the next lowest per-</w:t>
      </w:r>
      <w:r w:rsidR="00BF1E75">
        <w:rPr>
          <w:szCs w:val="22"/>
        </w:rPr>
        <w:t xml:space="preserve">pop </w:t>
      </w:r>
      <w:r w:rsidR="00151ABA" w:rsidRPr="00587CBE">
        <w:rPr>
          <w:szCs w:val="22"/>
        </w:rPr>
        <w:t xml:space="preserve">bids in turn, </w:t>
      </w:r>
      <w:r w:rsidR="00151ABA">
        <w:rPr>
          <w:szCs w:val="22"/>
        </w:rPr>
        <w:t xml:space="preserve">as long as support had not already been assigned for that geographic area, and would continue </w:t>
      </w:r>
      <w:r w:rsidR="00151ABA" w:rsidRPr="00587CBE">
        <w:rPr>
          <w:szCs w:val="22"/>
        </w:rPr>
        <w:t xml:space="preserve">until the sum of support funds </w:t>
      </w:r>
      <w:r w:rsidR="00151ABA">
        <w:rPr>
          <w:szCs w:val="22"/>
        </w:rPr>
        <w:t>of the winning bids was</w:t>
      </w:r>
      <w:r w:rsidR="00151ABA" w:rsidRPr="00587CBE">
        <w:rPr>
          <w:szCs w:val="22"/>
        </w:rPr>
        <w:t xml:space="preserve"> such </w:t>
      </w:r>
      <w:r w:rsidR="00151ABA">
        <w:rPr>
          <w:szCs w:val="22"/>
        </w:rPr>
        <w:t>that no further winning bids could be supported given the funds</w:t>
      </w:r>
      <w:r w:rsidR="00151ABA" w:rsidRPr="00587CBE">
        <w:rPr>
          <w:szCs w:val="22"/>
        </w:rPr>
        <w:t xml:space="preserve"> available.</w:t>
      </w:r>
      <w:r w:rsidR="00151ABA">
        <w:rPr>
          <w:rStyle w:val="FootnoteReference"/>
          <w:szCs w:val="22"/>
        </w:rPr>
        <w:footnoteReference w:id="65"/>
      </w:r>
      <w:r w:rsidR="00151ABA" w:rsidRPr="00587CBE">
        <w:rPr>
          <w:szCs w:val="22"/>
        </w:rPr>
        <w:t xml:space="preserve"> </w:t>
      </w:r>
      <w:r w:rsidR="00151ABA">
        <w:rPr>
          <w:szCs w:val="22"/>
        </w:rPr>
        <w:t xml:space="preserve"> Ties among identical bids</w:t>
      </w:r>
      <w:r w:rsidR="00BF1E75">
        <w:rPr>
          <w:szCs w:val="22"/>
        </w:rPr>
        <w:t>—</w:t>
      </w:r>
      <w:r w:rsidR="00151ABA">
        <w:rPr>
          <w:szCs w:val="22"/>
        </w:rPr>
        <w:t xml:space="preserve">in the same amount for covering the same </w:t>
      </w:r>
      <w:r w:rsidR="00BF1E75">
        <w:rPr>
          <w:szCs w:val="22"/>
        </w:rPr>
        <w:t>aggregated area—</w:t>
      </w:r>
      <w:r w:rsidR="00151ABA">
        <w:rPr>
          <w:szCs w:val="22"/>
        </w:rPr>
        <w:t xml:space="preserve">would be resolved by assigning a random number to each bid and then assigning support to the tied bid with the highest random number.  </w:t>
      </w:r>
      <w:r w:rsidR="00151ABA">
        <w:t xml:space="preserve">A </w:t>
      </w:r>
      <w:r w:rsidR="00151ABA" w:rsidRPr="00587CBE">
        <w:t xml:space="preserve">bidder </w:t>
      </w:r>
      <w:r w:rsidR="00151ABA">
        <w:t xml:space="preserve">would be eligible to </w:t>
      </w:r>
      <w:r w:rsidR="00151ABA" w:rsidRPr="00587CBE">
        <w:t xml:space="preserve">receive support </w:t>
      </w:r>
      <w:r w:rsidR="00151ABA">
        <w:t xml:space="preserve">for each of its winning bids </w:t>
      </w:r>
      <w:r w:rsidR="00151ABA" w:rsidRPr="00587CBE">
        <w:t>equal to the per-</w:t>
      </w:r>
      <w:r w:rsidR="00BF1E75">
        <w:t>pop</w:t>
      </w:r>
      <w:r w:rsidR="00BF1E75" w:rsidRPr="00587CBE">
        <w:t xml:space="preserve"> </w:t>
      </w:r>
      <w:r w:rsidR="00151ABA" w:rsidRPr="00587CBE">
        <w:t xml:space="preserve">rate </w:t>
      </w:r>
      <w:r w:rsidR="00151ABA">
        <w:t xml:space="preserve">of a winning </w:t>
      </w:r>
      <w:r w:rsidR="00151ABA" w:rsidRPr="00587CBE">
        <w:t xml:space="preserve">bid </w:t>
      </w:r>
      <w:r w:rsidR="00A54AC5">
        <w:t xml:space="preserve">multiplied by </w:t>
      </w:r>
      <w:r w:rsidR="00151ABA" w:rsidRPr="00587CBE">
        <w:t xml:space="preserve">the </w:t>
      </w:r>
      <w:r w:rsidR="00BF1E75">
        <w:t>population</w:t>
      </w:r>
      <w:r w:rsidR="00151ABA">
        <w:t xml:space="preserve"> in the eligible census blocks </w:t>
      </w:r>
      <w:r w:rsidR="00151ABA" w:rsidRPr="00587CBE">
        <w:t>covered</w:t>
      </w:r>
      <w:r w:rsidR="00151ABA">
        <w:t xml:space="preserve"> by the bid, subject to meeting the obligations associated with receiving support</w:t>
      </w:r>
      <w:r w:rsidR="00151ABA" w:rsidRPr="00587CBE">
        <w:t>.</w:t>
      </w:r>
      <w:r w:rsidR="00193658">
        <w:t xml:space="preserve">  For bidders claiming eligibility for the bidding credit available to Tribally-owned or -controlled providers, the auction system w</w:t>
      </w:r>
      <w:r w:rsidR="00476D29">
        <w:t>ould</w:t>
      </w:r>
      <w:r w:rsidR="00193658">
        <w:t xml:space="preserve"> reduce the Tribal entity’s bid amount by 25 percent for the purpose of comparing it to other bids, thus increasing the likelihood that Tribally-owned and -controlled entities w</w:t>
      </w:r>
      <w:r w:rsidR="00476D29">
        <w:t>ould</w:t>
      </w:r>
      <w:r w:rsidR="00193658">
        <w:t xml:space="preserve"> receive funding.</w:t>
      </w:r>
      <w:r w:rsidR="00753AB1">
        <w:t xml:space="preserve"> </w:t>
      </w:r>
    </w:p>
    <w:p w:rsidR="00451F6B" w:rsidRDefault="00151ABA" w:rsidP="00370954">
      <w:pPr>
        <w:pStyle w:val="ParaNum"/>
        <w:widowControl/>
        <w:rPr>
          <w:szCs w:val="22"/>
        </w:rPr>
      </w:pPr>
      <w:r>
        <w:rPr>
          <w:szCs w:val="22"/>
        </w:rPr>
        <w:t>Because using the ranking method would likely result in monies remaining available from the budget after identifying the last lowest per-</w:t>
      </w:r>
      <w:r w:rsidR="00BF1E75">
        <w:rPr>
          <w:szCs w:val="22"/>
        </w:rPr>
        <w:t xml:space="preserve">pop </w:t>
      </w:r>
      <w:r>
        <w:rPr>
          <w:szCs w:val="22"/>
        </w:rPr>
        <w:t xml:space="preserve">bid that does not exceed the funds available, we </w:t>
      </w:r>
      <w:r w:rsidR="00882E6D">
        <w:rPr>
          <w:szCs w:val="22"/>
        </w:rPr>
        <w:t xml:space="preserve">seek comment on what to do in these circumstances.  </w:t>
      </w:r>
      <w:r w:rsidR="00131BCF">
        <w:rPr>
          <w:szCs w:val="22"/>
        </w:rPr>
        <w:t xml:space="preserve">If we use </w:t>
      </w:r>
      <w:r w:rsidR="00882E6D">
        <w:rPr>
          <w:szCs w:val="22"/>
        </w:rPr>
        <w:t xml:space="preserve">an approach similar </w:t>
      </w:r>
      <w:r w:rsidR="00131BCF">
        <w:rPr>
          <w:szCs w:val="22"/>
        </w:rPr>
        <w:t xml:space="preserve">to that used for Auction 901, we would </w:t>
      </w:r>
      <w:r>
        <w:rPr>
          <w:szCs w:val="22"/>
        </w:rPr>
        <w:t>continue to consider bids in order of per-</w:t>
      </w:r>
      <w:r w:rsidR="00BF1E75">
        <w:rPr>
          <w:szCs w:val="22"/>
        </w:rPr>
        <w:t xml:space="preserve">pop </w:t>
      </w:r>
      <w:r>
        <w:rPr>
          <w:szCs w:val="22"/>
        </w:rPr>
        <w:t xml:space="preserve">bid amount while skipping bids that would require more support than is available.  We would award such bids as long as </w:t>
      </w:r>
      <w:r w:rsidR="00B249CF">
        <w:rPr>
          <w:szCs w:val="22"/>
        </w:rPr>
        <w:t>funds are</w:t>
      </w:r>
      <w:r>
        <w:rPr>
          <w:szCs w:val="22"/>
        </w:rPr>
        <w:t xml:space="preserve"> available.  </w:t>
      </w:r>
      <w:r w:rsidR="00A62EAE" w:rsidRPr="00370954">
        <w:rPr>
          <w:szCs w:val="22"/>
        </w:rPr>
        <w:t xml:space="preserve">We seek comment on </w:t>
      </w:r>
      <w:r w:rsidR="00370954">
        <w:rPr>
          <w:szCs w:val="22"/>
        </w:rPr>
        <w:t>this</w:t>
      </w:r>
      <w:r w:rsidR="00A62EAE" w:rsidRPr="00370954">
        <w:rPr>
          <w:szCs w:val="22"/>
        </w:rPr>
        <w:t xml:space="preserve"> approach and others.  </w:t>
      </w:r>
      <w:r w:rsidR="00B249CF" w:rsidRPr="00370954">
        <w:rPr>
          <w:szCs w:val="22"/>
        </w:rPr>
        <w:t>Alternatives could include, for example, not awarding any further support; awarding support as long as the per-pop bid amount does not exceed the last bid by more than twenty percent; or, if there is a set of tied bids all of which cannot be supported, awarding support to that combination of bids that will most nearly exhaust the remaining funds.</w:t>
      </w:r>
      <w:r w:rsidR="00753AB1" w:rsidRPr="00370954">
        <w:rPr>
          <w:szCs w:val="22"/>
        </w:rPr>
        <w:t xml:space="preserve">  </w:t>
      </w:r>
    </w:p>
    <w:p w:rsidR="00370954" w:rsidRDefault="003B5054" w:rsidP="00370954">
      <w:pPr>
        <w:pStyle w:val="ParaNum"/>
        <w:widowControl/>
        <w:rPr>
          <w:szCs w:val="22"/>
        </w:rPr>
      </w:pPr>
      <w:r w:rsidRPr="003B5054">
        <w:rPr>
          <w:i/>
          <w:szCs w:val="22"/>
        </w:rPr>
        <w:t>Multiple-Round Auction</w:t>
      </w:r>
      <w:r>
        <w:rPr>
          <w:szCs w:val="22"/>
        </w:rPr>
        <w:t xml:space="preserve">.  </w:t>
      </w:r>
      <w:r w:rsidR="00370954" w:rsidRPr="00370954">
        <w:rPr>
          <w:szCs w:val="22"/>
        </w:rPr>
        <w:t>I</w:t>
      </w:r>
      <w:r w:rsidR="00370954">
        <w:rPr>
          <w:szCs w:val="22"/>
        </w:rPr>
        <w:t>f commenters support a multiple-</w:t>
      </w:r>
      <w:r w:rsidR="00370954" w:rsidRPr="00370954">
        <w:rPr>
          <w:szCs w:val="22"/>
        </w:rPr>
        <w:t xml:space="preserve">round design, we seek comment on appropriate methods for determining awardees under proposed auction design alternatives. </w:t>
      </w:r>
      <w:r w:rsidR="00370954">
        <w:rPr>
          <w:szCs w:val="22"/>
        </w:rPr>
        <w:t xml:space="preserve"> </w:t>
      </w:r>
      <w:r w:rsidR="00370954" w:rsidRPr="00370954">
        <w:rPr>
          <w:szCs w:val="22"/>
        </w:rPr>
        <w:t>In a descending clock auct</w:t>
      </w:r>
      <w:r>
        <w:rPr>
          <w:szCs w:val="22"/>
        </w:rPr>
        <w:t>ion format, for example, the auction system</w:t>
      </w:r>
      <w:r w:rsidR="00370954" w:rsidRPr="00370954">
        <w:rPr>
          <w:szCs w:val="22"/>
        </w:rPr>
        <w:t xml:space="preserve"> would announce a </w:t>
      </w:r>
      <w:r w:rsidR="009013A7">
        <w:rPr>
          <w:szCs w:val="22"/>
        </w:rPr>
        <w:t xml:space="preserve">per-pop </w:t>
      </w:r>
      <w:r w:rsidR="00370954" w:rsidRPr="00370954">
        <w:rPr>
          <w:szCs w:val="22"/>
        </w:rPr>
        <w:t>price</w:t>
      </w:r>
      <w:r w:rsidR="002663CA">
        <w:rPr>
          <w:szCs w:val="22"/>
        </w:rPr>
        <w:t>,</w:t>
      </w:r>
      <w:r w:rsidR="00370954" w:rsidRPr="00370954">
        <w:rPr>
          <w:szCs w:val="22"/>
        </w:rPr>
        <w:t xml:space="preserve"> and bidders would submit bids for the eligible areas they would cover. </w:t>
      </w:r>
      <w:r w:rsidR="00370954">
        <w:rPr>
          <w:szCs w:val="22"/>
        </w:rPr>
        <w:t xml:space="preserve"> </w:t>
      </w:r>
      <w:r w:rsidR="00370954" w:rsidRPr="00370954">
        <w:rPr>
          <w:szCs w:val="22"/>
        </w:rPr>
        <w:t>If the cost of accepting those bids (pop</w:t>
      </w:r>
      <w:r w:rsidR="002663CA">
        <w:rPr>
          <w:szCs w:val="22"/>
        </w:rPr>
        <w:t>ulation</w:t>
      </w:r>
      <w:r w:rsidR="00370954" w:rsidRPr="00370954">
        <w:rPr>
          <w:szCs w:val="22"/>
        </w:rPr>
        <w:t xml:space="preserve"> in the areas bid on times </w:t>
      </w:r>
      <w:r w:rsidR="009013A7">
        <w:rPr>
          <w:szCs w:val="22"/>
        </w:rPr>
        <w:t xml:space="preserve">the per-pop </w:t>
      </w:r>
      <w:r w:rsidR="00370954" w:rsidRPr="00370954">
        <w:rPr>
          <w:szCs w:val="22"/>
        </w:rPr>
        <w:t>price) exceeds the budget</w:t>
      </w:r>
      <w:r w:rsidR="00370954">
        <w:rPr>
          <w:szCs w:val="22"/>
        </w:rPr>
        <w:t>,</w:t>
      </w:r>
      <w:r w:rsidR="00370954" w:rsidRPr="00370954">
        <w:rPr>
          <w:szCs w:val="22"/>
        </w:rPr>
        <w:t xml:space="preserve"> the price would be lowered. </w:t>
      </w:r>
      <w:r w:rsidR="00370954">
        <w:rPr>
          <w:szCs w:val="22"/>
        </w:rPr>
        <w:t xml:space="preserve"> </w:t>
      </w:r>
      <w:r w:rsidR="00370954" w:rsidRPr="00370954">
        <w:rPr>
          <w:szCs w:val="22"/>
        </w:rPr>
        <w:t xml:space="preserve">In each round bidders would be required to satisfy an activity requirement, providing an incentive for consistent bidding throughout the auction. </w:t>
      </w:r>
      <w:r w:rsidR="00370954">
        <w:rPr>
          <w:szCs w:val="22"/>
        </w:rPr>
        <w:t xml:space="preserve"> </w:t>
      </w:r>
      <w:r w:rsidR="00370954" w:rsidRPr="00370954">
        <w:rPr>
          <w:szCs w:val="22"/>
        </w:rPr>
        <w:t>Rounds would continue until the cost of accepting all current bids was below the budget.</w:t>
      </w:r>
    </w:p>
    <w:p w:rsidR="00370954" w:rsidRPr="00370954" w:rsidRDefault="00370954" w:rsidP="00370954">
      <w:pPr>
        <w:pStyle w:val="ParaNum"/>
        <w:widowControl/>
        <w:rPr>
          <w:szCs w:val="22"/>
        </w:rPr>
      </w:pPr>
      <w:r w:rsidRPr="00370954">
        <w:rPr>
          <w:szCs w:val="22"/>
        </w:rPr>
        <w:t>One issue that must be addressed is the case of more than one bid for the same area</w:t>
      </w:r>
      <w:r>
        <w:rPr>
          <w:szCs w:val="22"/>
        </w:rPr>
        <w:t>,</w:t>
      </w:r>
      <w:r w:rsidRPr="00370954">
        <w:rPr>
          <w:szCs w:val="22"/>
        </w:rPr>
        <w:t xml:space="preserve"> since we propose to award only one subsidy per area.  A possible solution would be to continue running the clock in those areas where there are multiple bids until only one bid remains. </w:t>
      </w:r>
      <w:r>
        <w:rPr>
          <w:szCs w:val="22"/>
        </w:rPr>
        <w:t xml:space="preserve"> </w:t>
      </w:r>
      <w:r w:rsidRPr="00370954">
        <w:rPr>
          <w:szCs w:val="22"/>
        </w:rPr>
        <w:t>If the clock were initially stopped when the budget requirement was just met, continuing to run the clock in the areas with multiple bids would result in not spending all the funds.  We seek comment on how to address this “overshooting.”  Possible solutions may include permitting intra-</w:t>
      </w:r>
      <w:r>
        <w:rPr>
          <w:szCs w:val="22"/>
        </w:rPr>
        <w:t xml:space="preserve">round </w:t>
      </w:r>
      <w:r w:rsidRPr="00370954">
        <w:rPr>
          <w:szCs w:val="22"/>
        </w:rPr>
        <w:t>bids that allow bidders to indicate their change in supply at specified prices between the opening and closing prices in each round.</w:t>
      </w:r>
    </w:p>
    <w:p w:rsidR="00151ABA" w:rsidRDefault="00151ABA" w:rsidP="00117F95">
      <w:pPr>
        <w:pStyle w:val="Heading2"/>
        <w:widowControl/>
      </w:pPr>
      <w:bookmarkStart w:id="97" w:name="_Toc315868085"/>
      <w:bookmarkStart w:id="98" w:name="_Toc315956820"/>
      <w:bookmarkStart w:id="99" w:name="_Toc349805093"/>
      <w:bookmarkStart w:id="100" w:name="_Toc349921068"/>
      <w:bookmarkStart w:id="101" w:name="_Toc350158503"/>
      <w:bookmarkStart w:id="102" w:name="_Toc176237950"/>
      <w:bookmarkStart w:id="103" w:name="_Toc176772177"/>
      <w:bookmarkStart w:id="104" w:name="_Toc192661359"/>
      <w:bookmarkStart w:id="105" w:name="_Toc193271105"/>
      <w:r>
        <w:t>Auction Information Procedures</w:t>
      </w:r>
      <w:bookmarkEnd w:id="97"/>
      <w:bookmarkEnd w:id="98"/>
      <w:bookmarkEnd w:id="99"/>
      <w:bookmarkEnd w:id="100"/>
      <w:bookmarkEnd w:id="101"/>
      <w:r>
        <w:t xml:space="preserve"> </w:t>
      </w:r>
    </w:p>
    <w:p w:rsidR="00151ABA" w:rsidRPr="00BB51DC" w:rsidRDefault="00151ABA" w:rsidP="00CB7306">
      <w:pPr>
        <w:pStyle w:val="ParaNum"/>
        <w:widowControl/>
      </w:pPr>
      <w:r>
        <w:t>Under the Commission’s rules on competitive bidding for high-cost universal service support adopted i</w:t>
      </w:r>
      <w:r w:rsidRPr="00D7639C">
        <w:t xml:space="preserve">n the </w:t>
      </w:r>
      <w:bookmarkStart w:id="106" w:name="OLE_LINK9"/>
      <w:r>
        <w:rPr>
          <w:i/>
        </w:rPr>
        <w:t xml:space="preserve">USF/ICC Transformation </w:t>
      </w:r>
      <w:r w:rsidRPr="00D7639C">
        <w:rPr>
          <w:i/>
        </w:rPr>
        <w:t>Order</w:t>
      </w:r>
      <w:bookmarkEnd w:id="106"/>
      <w:r w:rsidRPr="008C4854">
        <w:t xml:space="preserve">, </w:t>
      </w:r>
      <w:r w:rsidRPr="00D7639C">
        <w:t xml:space="preserve">the </w:t>
      </w:r>
      <w:r>
        <w:t xml:space="preserve">Bureaus have </w:t>
      </w:r>
      <w:r>
        <w:rPr>
          <w:snapToGrid/>
          <w:szCs w:val="22"/>
        </w:rPr>
        <w:t xml:space="preserve">discretion to limit public disclosure of </w:t>
      </w:r>
      <w:r>
        <w:t xml:space="preserve">certain bidder-specific application and bidding information until after the auction, as </w:t>
      </w:r>
      <w:r w:rsidR="002725D9">
        <w:t>we do</w:t>
      </w:r>
      <w:r>
        <w:t xml:space="preserve"> in the case of spectrum </w:t>
      </w:r>
      <w:r w:rsidR="00C209A6">
        <w:t xml:space="preserve">license </w:t>
      </w:r>
      <w:r>
        <w:t>auctions.</w:t>
      </w:r>
      <w:r>
        <w:rPr>
          <w:rStyle w:val="FootnoteReference"/>
        </w:rPr>
        <w:footnoteReference w:id="66"/>
      </w:r>
      <w:r>
        <w:t xml:space="preserve">  Consistent with </w:t>
      </w:r>
      <w:r w:rsidR="0017281A">
        <w:t xml:space="preserve">practice in </w:t>
      </w:r>
      <w:r>
        <w:t xml:space="preserve">recent spectrum </w:t>
      </w:r>
      <w:r w:rsidR="00C209A6">
        <w:t xml:space="preserve">license </w:t>
      </w:r>
      <w:r>
        <w:t>auction</w:t>
      </w:r>
      <w:r w:rsidR="0017281A">
        <w:t>s</w:t>
      </w:r>
      <w:r>
        <w:t xml:space="preserve"> </w:t>
      </w:r>
      <w:r w:rsidR="0017281A">
        <w:t xml:space="preserve">and </w:t>
      </w:r>
      <w:r w:rsidR="002725D9">
        <w:t xml:space="preserve">in </w:t>
      </w:r>
      <w:r w:rsidR="0017281A">
        <w:t>Auction 901</w:t>
      </w:r>
      <w:r>
        <w:t>, the Bureaus propose to conduct Auction 90</w:t>
      </w:r>
      <w:r w:rsidR="00FB1DDC">
        <w:t>2</w:t>
      </w:r>
      <w:r>
        <w:t xml:space="preserve"> using procedures for limited information disclosure.</w:t>
      </w:r>
      <w:r w:rsidR="00BD244F">
        <w:rPr>
          <w:rStyle w:val="FootnoteReference"/>
        </w:rPr>
        <w:footnoteReference w:id="67"/>
      </w:r>
      <w:r>
        <w:t xml:space="preserve">  </w:t>
      </w:r>
      <w:r w:rsidR="002725D9">
        <w:t>T</w:t>
      </w:r>
      <w:r>
        <w:t>he Bureaus propose to withhold, until after the close of bidding and announcement of auction results, the public release of information from bidders’ short-form applications regarding their interest in particular eligible census blocks</w:t>
      </w:r>
      <w:r w:rsidR="00181F7E">
        <w:t>.  If a single-round auction is used, we also propose not to reveal any</w:t>
      </w:r>
      <w:r>
        <w:t xml:space="preserve"> information that may reveal the identities of bidders placing bids and taking other bidding-related actions.  </w:t>
      </w:r>
      <w:r w:rsidR="00181F7E">
        <w:t xml:space="preserve">If we decide to implement a descending simultaneous multiple round or descending clock auction, we may wish to release additional information about bidding-related actions during the auction, and we seek comment on what information should be released under alternative auction design proposals.  </w:t>
      </w:r>
      <w:r>
        <w:t>After the close of bidding, bidders’ area selections, bids, and any other bidding-related actions and information would be made publicly available.</w:t>
      </w:r>
      <w:r w:rsidR="00CB7306">
        <w:t xml:space="preserve">  </w:t>
      </w:r>
      <w:r>
        <w:t>The Bureaus seek comment on their proposal to implement limited informat</w:t>
      </w:r>
      <w:r w:rsidR="00871225">
        <w:t>ion procedures in Auction 90</w:t>
      </w:r>
      <w:r w:rsidR="00FB1DDC">
        <w:t>2</w:t>
      </w:r>
      <w:r w:rsidR="00871225">
        <w:t xml:space="preserve">. </w:t>
      </w:r>
    </w:p>
    <w:p w:rsidR="00151ABA" w:rsidRPr="0033148C" w:rsidRDefault="00151ABA" w:rsidP="00117F95">
      <w:pPr>
        <w:pStyle w:val="Heading2"/>
        <w:widowControl/>
      </w:pPr>
      <w:bookmarkStart w:id="107" w:name="_Toc315868086"/>
      <w:bookmarkStart w:id="108" w:name="_Toc315956821"/>
      <w:bookmarkStart w:id="109" w:name="_Toc349805094"/>
      <w:bookmarkStart w:id="110" w:name="_Toc349921069"/>
      <w:bookmarkStart w:id="111" w:name="_Toc350158504"/>
      <w:r w:rsidRPr="0033148C">
        <w:t>Auction Structure</w:t>
      </w:r>
      <w:bookmarkEnd w:id="102"/>
      <w:bookmarkEnd w:id="103"/>
      <w:bookmarkEnd w:id="104"/>
      <w:bookmarkEnd w:id="105"/>
      <w:bookmarkEnd w:id="107"/>
      <w:bookmarkEnd w:id="108"/>
      <w:bookmarkEnd w:id="109"/>
      <w:bookmarkEnd w:id="110"/>
      <w:bookmarkEnd w:id="111"/>
    </w:p>
    <w:p w:rsidR="00151ABA" w:rsidRPr="00466B6F" w:rsidRDefault="00151ABA" w:rsidP="00117F95">
      <w:pPr>
        <w:pStyle w:val="Heading3"/>
        <w:widowControl/>
      </w:pPr>
      <w:bookmarkStart w:id="112" w:name="_Toc176237951"/>
      <w:bookmarkStart w:id="113" w:name="_Toc176772178"/>
      <w:bookmarkStart w:id="114" w:name="_Toc192661360"/>
      <w:bookmarkStart w:id="115" w:name="_Toc193271106"/>
      <w:bookmarkStart w:id="116" w:name="_Toc315868087"/>
      <w:bookmarkStart w:id="117" w:name="_Toc315956822"/>
      <w:bookmarkStart w:id="118" w:name="_Toc349805095"/>
      <w:bookmarkStart w:id="119" w:name="_Toc349921070"/>
      <w:bookmarkStart w:id="120" w:name="_Toc350158505"/>
      <w:r>
        <w:t>Bidding Period</w:t>
      </w:r>
      <w:bookmarkEnd w:id="112"/>
      <w:bookmarkEnd w:id="113"/>
      <w:bookmarkEnd w:id="114"/>
      <w:bookmarkEnd w:id="115"/>
      <w:bookmarkEnd w:id="116"/>
      <w:bookmarkEnd w:id="117"/>
      <w:bookmarkEnd w:id="118"/>
      <w:bookmarkEnd w:id="119"/>
      <w:bookmarkEnd w:id="120"/>
    </w:p>
    <w:p w:rsidR="00151ABA" w:rsidRDefault="00151ABA" w:rsidP="00117F95">
      <w:pPr>
        <w:pStyle w:val="ParaNum"/>
        <w:widowControl/>
      </w:pPr>
      <w:r>
        <w:t xml:space="preserve">The </w:t>
      </w:r>
      <w:r w:rsidR="0083499C">
        <w:t xml:space="preserve">Bureaus </w:t>
      </w:r>
      <w:r>
        <w:t>will conduct Auction 90</w:t>
      </w:r>
      <w:r w:rsidR="00FB1DDC">
        <w:t>2</w:t>
      </w:r>
      <w:r>
        <w:t xml:space="preserve"> over the Internet</w:t>
      </w:r>
      <w:r w:rsidRPr="005B3223">
        <w:t xml:space="preserve">.  </w:t>
      </w:r>
      <w:r w:rsidR="003B5054">
        <w:t xml:space="preserve">For the single round of bidding in Auction 901, we did not provide a telephonic bidding option.  </w:t>
      </w:r>
      <w:r w:rsidR="000E196D">
        <w:t xml:space="preserve">In Commission spectrum license auctions, telephonic bidding has served as a backup to on-line bidding.  </w:t>
      </w:r>
      <w:r w:rsidR="00181F7E">
        <w:t xml:space="preserve">We seek comment on whether telephonic bidding </w:t>
      </w:r>
      <w:r w:rsidR="003B5054">
        <w:t>should be available in Auction 902, particularly if we use a multiple-round format</w:t>
      </w:r>
      <w:r w:rsidR="00181F7E">
        <w:t>.</w:t>
      </w:r>
      <w:r>
        <w:t xml:space="preserve">  </w:t>
      </w:r>
    </w:p>
    <w:p w:rsidR="00151ABA" w:rsidRDefault="00151ABA" w:rsidP="00117F95">
      <w:pPr>
        <w:pStyle w:val="ParaNum"/>
        <w:widowControl/>
      </w:pPr>
      <w:r>
        <w:t xml:space="preserve">The start time </w:t>
      </w:r>
      <w:r w:rsidR="00181F7E">
        <w:t>for</w:t>
      </w:r>
      <w:r>
        <w:t xml:space="preserve"> bidding will be announced in a public notice to be released at least one week before the start of the auction.  We seek comment on th</w:t>
      </w:r>
      <w:r w:rsidR="003C0E0B">
        <w:t>i</w:t>
      </w:r>
      <w:r>
        <w:t>s proposal.</w:t>
      </w:r>
    </w:p>
    <w:p w:rsidR="00151ABA" w:rsidRDefault="00151ABA" w:rsidP="00117F95">
      <w:pPr>
        <w:pStyle w:val="Heading3"/>
        <w:widowControl/>
      </w:pPr>
      <w:bookmarkStart w:id="121" w:name="_Toc176237952"/>
      <w:bookmarkStart w:id="122" w:name="_Toc176772179"/>
      <w:bookmarkStart w:id="123" w:name="_Toc192661361"/>
      <w:bookmarkStart w:id="124" w:name="_Toc193271107"/>
      <w:bookmarkStart w:id="125" w:name="_Toc315868088"/>
      <w:bookmarkStart w:id="126" w:name="_Toc315956823"/>
      <w:bookmarkStart w:id="127" w:name="_Toc349805096"/>
      <w:bookmarkStart w:id="128" w:name="_Toc349921071"/>
      <w:bookmarkStart w:id="129" w:name="_Toc350158506"/>
      <w:r>
        <w:t>Information Relating to Auction Delay, Suspension, or Cancellation</w:t>
      </w:r>
      <w:bookmarkEnd w:id="121"/>
      <w:bookmarkEnd w:id="122"/>
      <w:bookmarkEnd w:id="123"/>
      <w:bookmarkEnd w:id="124"/>
      <w:bookmarkEnd w:id="125"/>
      <w:bookmarkEnd w:id="126"/>
      <w:bookmarkEnd w:id="127"/>
      <w:bookmarkEnd w:id="128"/>
      <w:bookmarkEnd w:id="129"/>
      <w:r>
        <w:t xml:space="preserve"> </w:t>
      </w:r>
    </w:p>
    <w:p w:rsidR="00151ABA" w:rsidRPr="0033148C" w:rsidRDefault="00151ABA" w:rsidP="00117F95">
      <w:pPr>
        <w:pStyle w:val="ParaNum"/>
        <w:widowControl/>
      </w:pPr>
      <w:r w:rsidRPr="00672743">
        <w:t xml:space="preserve">For Auction </w:t>
      </w:r>
      <w:r>
        <w:t>90</w:t>
      </w:r>
      <w:r w:rsidR="00FB1DDC">
        <w:t>2</w:t>
      </w:r>
      <w:r w:rsidRPr="00672743">
        <w:t>, the Bureau</w:t>
      </w:r>
      <w:r>
        <w:t>s</w:t>
      </w:r>
      <w:r w:rsidRPr="00672743">
        <w:t xml:space="preserve"> propose that, by public notice or by announcement during the auction, the Bureau</w:t>
      </w:r>
      <w:r>
        <w:t>s</w:t>
      </w:r>
      <w:r w:rsidRPr="00672743">
        <w:t xml:space="preserve"> may delay, suspend, or cancel the auction in the event of natural disaster, technical </w:t>
      </w:r>
      <w:r>
        <w:t>failures</w:t>
      </w:r>
      <w:r w:rsidRPr="00672743">
        <w:t>, administrative or weather necessity, evidence of an auction security breach or unlawful bidding activity, or for any other reason that affects the fair and efficient conduct of competitive bidding</w:t>
      </w:r>
      <w:r w:rsidRPr="00683536">
        <w:t>.</w:t>
      </w:r>
      <w:r w:rsidRPr="00683536">
        <w:rPr>
          <w:rStyle w:val="FootnoteReference"/>
        </w:rPr>
        <w:footnoteReference w:id="68"/>
      </w:r>
      <w:r w:rsidRPr="00683536">
        <w:t xml:space="preserve">  In such cases, the Bureau</w:t>
      </w:r>
      <w:r>
        <w:t>s</w:t>
      </w:r>
      <w:r w:rsidRPr="00683536">
        <w:t xml:space="preserve">, in </w:t>
      </w:r>
      <w:r>
        <w:t>their</w:t>
      </w:r>
      <w:r w:rsidRPr="00683536">
        <w:t xml:space="preserve"> sole discretion, may elect to resume the auction or cancel the auction in its entirety.  Network interruption may cause the Bureau</w:t>
      </w:r>
      <w:r>
        <w:t>s</w:t>
      </w:r>
      <w:r w:rsidRPr="00683536">
        <w:t xml:space="preserve"> to delay or suspend the auction.  The Bureau</w:t>
      </w:r>
      <w:r>
        <w:t>s</w:t>
      </w:r>
      <w:r w:rsidRPr="00683536">
        <w:t xml:space="preserve"> emphasize that </w:t>
      </w:r>
      <w:r w:rsidRPr="0033148C">
        <w:t xml:space="preserve">exercise of this authority </w:t>
      </w:r>
      <w:r w:rsidR="00EC5F34">
        <w:t xml:space="preserve">would be </w:t>
      </w:r>
      <w:r w:rsidRPr="0033148C">
        <w:t>solely within the discretion of the Bureau</w:t>
      </w:r>
      <w:r>
        <w:t>s</w:t>
      </w:r>
      <w:r w:rsidRPr="0033148C">
        <w:t>.  The Bureau</w:t>
      </w:r>
      <w:r>
        <w:t>s</w:t>
      </w:r>
      <w:r w:rsidRPr="0033148C">
        <w:t xml:space="preserve"> seek comment on this proposal.</w:t>
      </w:r>
    </w:p>
    <w:p w:rsidR="00151ABA" w:rsidRPr="0033148C" w:rsidRDefault="00151ABA" w:rsidP="00117F95">
      <w:pPr>
        <w:pStyle w:val="Heading2"/>
        <w:widowControl/>
      </w:pPr>
      <w:bookmarkStart w:id="130" w:name="_Toc176237953"/>
      <w:bookmarkStart w:id="131" w:name="_Toc176772180"/>
      <w:bookmarkStart w:id="132" w:name="_Toc192661362"/>
      <w:bookmarkStart w:id="133" w:name="_Toc193271108"/>
      <w:bookmarkStart w:id="134" w:name="_Toc315868089"/>
      <w:bookmarkStart w:id="135" w:name="_Toc315956824"/>
      <w:bookmarkStart w:id="136" w:name="_Toc349805097"/>
      <w:bookmarkStart w:id="137" w:name="_Toc349921072"/>
      <w:bookmarkStart w:id="138" w:name="_Toc350158507"/>
      <w:r w:rsidRPr="0033148C">
        <w:t>Bidding Procedures</w:t>
      </w:r>
      <w:bookmarkEnd w:id="130"/>
      <w:bookmarkEnd w:id="131"/>
      <w:bookmarkEnd w:id="132"/>
      <w:bookmarkEnd w:id="133"/>
      <w:bookmarkEnd w:id="134"/>
      <w:bookmarkEnd w:id="135"/>
      <w:bookmarkEnd w:id="136"/>
      <w:bookmarkEnd w:id="137"/>
      <w:bookmarkEnd w:id="138"/>
    </w:p>
    <w:p w:rsidR="00151ABA" w:rsidRPr="005032D3" w:rsidRDefault="00151ABA" w:rsidP="00117F95">
      <w:pPr>
        <w:pStyle w:val="Heading3"/>
        <w:widowControl/>
      </w:pPr>
      <w:bookmarkStart w:id="139" w:name="_Toc315868090"/>
      <w:bookmarkStart w:id="140" w:name="_Toc315956825"/>
      <w:bookmarkStart w:id="141" w:name="_Toc349805098"/>
      <w:bookmarkStart w:id="142" w:name="_Toc349921073"/>
      <w:bookmarkStart w:id="143" w:name="_Toc350158508"/>
      <w:r>
        <w:t xml:space="preserve">Maximum </w:t>
      </w:r>
      <w:bookmarkStart w:id="144" w:name="_Toc176237955"/>
      <w:bookmarkStart w:id="145" w:name="_Toc176772182"/>
      <w:bookmarkStart w:id="146" w:name="_Toc192661364"/>
      <w:bookmarkStart w:id="147" w:name="_Toc193271110"/>
      <w:r w:rsidRPr="005032D3">
        <w:t>Bid</w:t>
      </w:r>
      <w:bookmarkEnd w:id="144"/>
      <w:bookmarkEnd w:id="145"/>
      <w:bookmarkEnd w:id="146"/>
      <w:bookmarkEnd w:id="147"/>
      <w:r>
        <w:t>s and Reserve Prices</w:t>
      </w:r>
      <w:bookmarkEnd w:id="139"/>
      <w:bookmarkEnd w:id="140"/>
      <w:bookmarkEnd w:id="141"/>
      <w:bookmarkEnd w:id="142"/>
      <w:bookmarkEnd w:id="143"/>
    </w:p>
    <w:p w:rsidR="00151ABA" w:rsidRDefault="00151ABA" w:rsidP="00117F95">
      <w:pPr>
        <w:pStyle w:val="ParaNum"/>
        <w:widowControl/>
      </w:pPr>
      <w:r>
        <w:t>Under the Commission’s rules on competitive bidding for high-cost universal service support adopted i</w:t>
      </w:r>
      <w:r w:rsidRPr="00D7639C">
        <w:t xml:space="preserve">n the </w:t>
      </w:r>
      <w:r>
        <w:rPr>
          <w:i/>
        </w:rPr>
        <w:t>USF/ICC Transformation Order</w:t>
      </w:r>
      <w:r w:rsidRPr="008C4854">
        <w:t xml:space="preserve">, </w:t>
      </w:r>
      <w:r>
        <w:t>the Bureaus have discretion to establish maximum acceptable per-unit bid amounts and reserve amounts, separate and apart from any maximum opening bids.</w:t>
      </w:r>
      <w:r>
        <w:rPr>
          <w:rStyle w:val="FootnoteReference"/>
        </w:rPr>
        <w:footnoteReference w:id="69"/>
      </w:r>
    </w:p>
    <w:p w:rsidR="00151ABA" w:rsidRDefault="00934EAD" w:rsidP="00117F95">
      <w:pPr>
        <w:pStyle w:val="ParaNum"/>
        <w:widowControl/>
      </w:pPr>
      <w:r>
        <w:t>The Bureaus concluded that for Auction 901</w:t>
      </w:r>
      <w:r w:rsidR="001B67B2">
        <w:t>, a reserve price was not needed to guard against unreasonably high winning bids because cross-area competition for support from a budget that was not likely to cover support for all of the areas receiving bids would constrain the bid amounts.</w:t>
      </w:r>
      <w:r w:rsidR="00860E24">
        <w:rPr>
          <w:rStyle w:val="FootnoteReference"/>
        </w:rPr>
        <w:footnoteReference w:id="70"/>
      </w:r>
      <w:r w:rsidR="001B67B2">
        <w:t xml:space="preserve">  We seek comment on whether</w:t>
      </w:r>
      <w:r w:rsidR="00151ABA" w:rsidRPr="00A048AB">
        <w:t xml:space="preserve"> any maximum acceptable per-unit bid amounts, reserve amounts, or maximum opening bid amounts</w:t>
      </w:r>
      <w:r w:rsidR="001B67B2">
        <w:t xml:space="preserve"> would be appropriate for Auction 902</w:t>
      </w:r>
      <w:r w:rsidR="00151ABA" w:rsidRPr="00A048AB">
        <w:t xml:space="preserve">.  </w:t>
      </w:r>
      <w:r w:rsidR="001B67B2">
        <w:t xml:space="preserve">Although the $50 million budget available for Auction 902 is less than the $300 million budget available for Auction 901, the number of eligible census blocks is also significantly lower in this auction.  Will cross-area competition for support adequately constrain bid amounts?  </w:t>
      </w:r>
      <w:r w:rsidR="00E565CC">
        <w:t xml:space="preserve">We </w:t>
      </w:r>
      <w:r w:rsidR="00151ABA">
        <w:t xml:space="preserve">further seek comment on what methods should be used to calculate reserve prices and/or maximum or minimum bids if they are adopted.  </w:t>
      </w:r>
      <w:r w:rsidR="00151ABA" w:rsidRPr="007A54EE">
        <w:t>Commenters are advised to support their claims with valuation analyses and suggested amounts or formulas.</w:t>
      </w:r>
      <w:r w:rsidR="00151ABA" w:rsidRPr="00672743">
        <w:t xml:space="preserve">  </w:t>
      </w:r>
      <w:r w:rsidR="00181F7E">
        <w:t>We also seek comment on the appropriate policy if, at the reserve price, less than the full budget is exhausted.</w:t>
      </w:r>
    </w:p>
    <w:p w:rsidR="00151ABA" w:rsidRDefault="00151ABA" w:rsidP="00117F95">
      <w:pPr>
        <w:pStyle w:val="Heading3"/>
        <w:widowControl/>
      </w:pPr>
      <w:bookmarkStart w:id="148" w:name="_Toc315868091"/>
      <w:bookmarkStart w:id="149" w:name="_Toc315956826"/>
      <w:bookmarkStart w:id="150" w:name="_Toc349805099"/>
      <w:bookmarkStart w:id="151" w:name="_Toc349921074"/>
      <w:bookmarkStart w:id="152" w:name="_Toc350158509"/>
      <w:bookmarkStart w:id="153" w:name="_Toc176237959"/>
      <w:bookmarkStart w:id="154" w:name="_Toc176772186"/>
      <w:bookmarkStart w:id="155" w:name="_Toc192661367"/>
      <w:bookmarkStart w:id="156" w:name="_Toc193271113"/>
      <w:r>
        <w:t>Bid Removal</w:t>
      </w:r>
      <w:bookmarkEnd w:id="148"/>
      <w:bookmarkEnd w:id="149"/>
      <w:bookmarkEnd w:id="150"/>
      <w:bookmarkEnd w:id="151"/>
      <w:bookmarkEnd w:id="152"/>
    </w:p>
    <w:p w:rsidR="00151ABA" w:rsidRDefault="00151ABA" w:rsidP="00117F95">
      <w:pPr>
        <w:pStyle w:val="ParaNum"/>
        <w:widowControl/>
      </w:pPr>
      <w:r>
        <w:t>For Auction 90</w:t>
      </w:r>
      <w:r w:rsidR="00FB1DDC">
        <w:t>2</w:t>
      </w:r>
      <w:r>
        <w:t xml:space="preserve">, the Bureaus propose and seek comment on bid removal procedures.  </w:t>
      </w:r>
      <w:r w:rsidR="00181F7E">
        <w:t xml:space="preserve">In the case of a single-round auction, we propose that before </w:t>
      </w:r>
      <w:r>
        <w:t xml:space="preserve">the end of the single round of bidding, a bidder would have the option of removing any bid it has placed.  By removing selected bids, a bidder may effectively “undo” any of its bids placed within the single round of bidding.  Once the single round of bidding ends, a bidder may no longer remove any of its bids.  </w:t>
      </w:r>
      <w:r w:rsidR="00DC27D1">
        <w:t>For multiple-round auction designs, w</w:t>
      </w:r>
      <w:r w:rsidR="00181F7E">
        <w:t xml:space="preserve">e seek comment on </w:t>
      </w:r>
      <w:r w:rsidR="00DC27D1">
        <w:t>potential bid removal mechanisms and whether bidders should be permitted to withdraw bids from previous rounds and, if so, subject to what limitations</w:t>
      </w:r>
      <w:r w:rsidR="00181F7E">
        <w:t>.</w:t>
      </w:r>
      <w:r>
        <w:t xml:space="preserve"> </w:t>
      </w:r>
    </w:p>
    <w:p w:rsidR="00151ABA" w:rsidRDefault="00151ABA" w:rsidP="00117F95">
      <w:pPr>
        <w:pStyle w:val="Heading2"/>
        <w:widowControl/>
      </w:pPr>
      <w:bookmarkStart w:id="157" w:name="_Toc315868092"/>
      <w:bookmarkStart w:id="158" w:name="_Toc315956827"/>
      <w:bookmarkStart w:id="159" w:name="_Toc349805100"/>
      <w:bookmarkStart w:id="160" w:name="_Toc349921075"/>
      <w:bookmarkStart w:id="161" w:name="_Toc350158510"/>
      <w:r>
        <w:t>Default Payments</w:t>
      </w:r>
      <w:bookmarkEnd w:id="157"/>
      <w:bookmarkEnd w:id="158"/>
      <w:bookmarkEnd w:id="159"/>
      <w:bookmarkEnd w:id="160"/>
      <w:bookmarkEnd w:id="161"/>
      <w:r>
        <w:t xml:space="preserve"> </w:t>
      </w:r>
    </w:p>
    <w:bookmarkEnd w:id="153"/>
    <w:bookmarkEnd w:id="154"/>
    <w:bookmarkEnd w:id="155"/>
    <w:bookmarkEnd w:id="156"/>
    <w:p w:rsidR="00151ABA" w:rsidRDefault="00151ABA" w:rsidP="00117F95">
      <w:pPr>
        <w:pStyle w:val="ParaNum"/>
        <w:widowControl/>
      </w:pPr>
      <w:r>
        <w:t xml:space="preserve">In the </w:t>
      </w:r>
      <w:r>
        <w:rPr>
          <w:i/>
        </w:rPr>
        <w:t>USF/ICC Transformation Order</w:t>
      </w:r>
      <w:r w:rsidRPr="008C4854">
        <w:t>,</w:t>
      </w:r>
      <w:r w:rsidRPr="00860E24">
        <w:t xml:space="preserve"> </w:t>
      </w:r>
      <w:r>
        <w:t xml:space="preserve">the Commission determined that a winning bidder in a reverse auction for </w:t>
      </w:r>
      <w:r w:rsidR="00A45EA7">
        <w:t xml:space="preserve">high-cost universal service </w:t>
      </w:r>
      <w:r>
        <w:t>support</w:t>
      </w:r>
      <w:r w:rsidRPr="004152C9">
        <w:t xml:space="preserve"> </w:t>
      </w:r>
      <w:r>
        <w:t>that defaults on its bid or on its performance obligations will be liable for a default payment.</w:t>
      </w:r>
      <w:r>
        <w:rPr>
          <w:rStyle w:val="FootnoteReference"/>
        </w:rPr>
        <w:footnoteReference w:id="71"/>
      </w:r>
      <w:r>
        <w:t xml:space="preserve">  </w:t>
      </w:r>
      <w:r w:rsidR="002725D9">
        <w:rPr>
          <w:szCs w:val="22"/>
        </w:rPr>
        <w:t>B</w:t>
      </w:r>
      <w:r>
        <w:t>idders selected by the auction process to receive support have a binding obligation to file a post-auction long-form application</w:t>
      </w:r>
      <w:r w:rsidR="00860E24">
        <w:t>—</w:t>
      </w:r>
      <w:r>
        <w:t>by the applicable deadline and consistent with other requirements of the long-form application process</w:t>
      </w:r>
      <w:r w:rsidR="00860E24">
        <w:t>—</w:t>
      </w:r>
      <w:r>
        <w:t>and failure to do so will constitute an auction default.</w:t>
      </w:r>
      <w:r w:rsidR="00511B7B">
        <w:rPr>
          <w:rStyle w:val="FootnoteReference"/>
        </w:rPr>
        <w:footnoteReference w:id="72"/>
      </w:r>
      <w:r w:rsidR="00AB13D4">
        <w:t xml:space="preserve">  Likewise</w:t>
      </w:r>
      <w:r w:rsidR="00A5472B">
        <w:t>,</w:t>
      </w:r>
      <w:r w:rsidR="00AB13D4">
        <w:t xml:space="preserve"> </w:t>
      </w:r>
      <w:r w:rsidR="00A5472B">
        <w:t xml:space="preserve">an auction default occurs when a </w:t>
      </w:r>
      <w:r w:rsidR="00AB13D4">
        <w:t>winning bidder is found ineligible</w:t>
      </w:r>
      <w:r w:rsidR="00021BAB">
        <w:t xml:space="preserve"> to be a recipient of support or is disqualified</w:t>
      </w:r>
      <w:r w:rsidR="00A5472B">
        <w:t xml:space="preserve"> or</w:t>
      </w:r>
      <w:r w:rsidR="00AB13D4">
        <w:t xml:space="preserve"> has its long-form application dismissed for any reason</w:t>
      </w:r>
      <w:r w:rsidR="00A710D5">
        <w:t>.</w:t>
      </w:r>
      <w:r>
        <w:rPr>
          <w:rStyle w:val="FootnoteReference"/>
        </w:rPr>
        <w:footnoteReference w:id="73"/>
      </w:r>
      <w:r>
        <w:t xml:space="preserve">  In addition, the Mobility Fund </w:t>
      </w:r>
      <w:r w:rsidR="00042E10">
        <w:t>Phase I</w:t>
      </w:r>
      <w:r>
        <w:t xml:space="preserve"> rules provide that the failure, by any winning bidder authorized to receive support, </w:t>
      </w:r>
      <w:r>
        <w:rPr>
          <w:szCs w:val="22"/>
        </w:rPr>
        <w:t>to meet its minimum coverage requirement or adequately comply with quality of service or any other requirements will constitute a performance default.</w:t>
      </w:r>
      <w:r>
        <w:rPr>
          <w:rStyle w:val="FootnoteReference"/>
          <w:szCs w:val="22"/>
        </w:rPr>
        <w:footnoteReference w:id="74"/>
      </w:r>
      <w:r>
        <w:rPr>
          <w:szCs w:val="22"/>
        </w:rPr>
        <w:t xml:space="preserve">  </w:t>
      </w:r>
      <w:r>
        <w:t>The Bureaus have delegated authority to determine in advance of Auction 90</w:t>
      </w:r>
      <w:r w:rsidR="00FB1DDC">
        <w:t>2</w:t>
      </w:r>
      <w:r>
        <w:t xml:space="preserve"> the methodologies for determining the auction and performance default payments.</w:t>
      </w:r>
      <w:r w:rsidR="00144006">
        <w:rPr>
          <w:rStyle w:val="FootnoteReference"/>
        </w:rPr>
        <w:footnoteReference w:id="75"/>
      </w:r>
      <w:r>
        <w:t xml:space="preserve">  Here we seek comment on how to calculate the auction default payments that will be applicable for Auction 90</w:t>
      </w:r>
      <w:r w:rsidR="00FB1DDC">
        <w:t>2</w:t>
      </w:r>
      <w:r>
        <w:t>.</w:t>
      </w:r>
      <w:r w:rsidR="002725D9">
        <w:rPr>
          <w:rStyle w:val="FootnoteReference"/>
        </w:rPr>
        <w:footnoteReference w:id="76"/>
      </w:r>
    </w:p>
    <w:p w:rsidR="00151ABA" w:rsidRDefault="00151ABA" w:rsidP="00117F95">
      <w:pPr>
        <w:pStyle w:val="Heading3"/>
        <w:widowControl/>
      </w:pPr>
      <w:bookmarkStart w:id="162" w:name="_Toc315868093"/>
      <w:bookmarkStart w:id="163" w:name="_Toc315956828"/>
      <w:bookmarkStart w:id="164" w:name="_Toc349805101"/>
      <w:bookmarkStart w:id="165" w:name="_Toc349921076"/>
      <w:bookmarkStart w:id="166" w:name="_Toc350158511"/>
      <w:r>
        <w:t>Auction Default Payment</w:t>
      </w:r>
      <w:bookmarkEnd w:id="162"/>
      <w:bookmarkEnd w:id="163"/>
      <w:bookmarkEnd w:id="164"/>
      <w:bookmarkEnd w:id="165"/>
      <w:bookmarkEnd w:id="166"/>
    </w:p>
    <w:p w:rsidR="00151ABA" w:rsidRDefault="00151ABA" w:rsidP="00117F95">
      <w:pPr>
        <w:pStyle w:val="ParaNum"/>
        <w:widowControl/>
      </w:pPr>
      <w:r>
        <w:t xml:space="preserve">As noted in the </w:t>
      </w:r>
      <w:r>
        <w:rPr>
          <w:i/>
        </w:rPr>
        <w:t>USF/ICC Transformation Order</w:t>
      </w:r>
      <w:r>
        <w:t xml:space="preserve">, failure to fulfill auction obligations, including those undertaken prior to the award of any support funds, may undermine the stability and predictability of the auction process and impose costs on the Commission and the </w:t>
      </w:r>
      <w:r w:rsidR="00073967">
        <w:t>Universal Service Fund (</w:t>
      </w:r>
      <w:r>
        <w:t>USF</w:t>
      </w:r>
      <w:r w:rsidR="00073967">
        <w:t>)</w:t>
      </w:r>
      <w:r>
        <w:t>.</w:t>
      </w:r>
      <w:r w:rsidR="004F1133">
        <w:rPr>
          <w:rStyle w:val="FootnoteReference"/>
        </w:rPr>
        <w:footnoteReference w:id="77"/>
      </w:r>
      <w:r>
        <w:t xml:space="preserve">  To safeguard the integrity of the </w:t>
      </w:r>
      <w:r w:rsidR="00FB1DDC">
        <w:t xml:space="preserve">Tribal </w:t>
      </w:r>
      <w:r>
        <w:t xml:space="preserve">Mobility Fund </w:t>
      </w:r>
      <w:r w:rsidR="00042E10">
        <w:t>Phase I</w:t>
      </w:r>
      <w:r>
        <w:t xml:space="preserve"> auction, we seek comment on an appropriate payment for auction defaults, which occur if a bidder selected by the auction mechanism </w:t>
      </w:r>
      <w:r w:rsidR="004F1133">
        <w:t xml:space="preserve">does not become authorized to receive support </w:t>
      </w:r>
      <w:r>
        <w:t xml:space="preserve">after the close of the bidding, </w:t>
      </w:r>
      <w:r w:rsidRPr="008C4854">
        <w:rPr>
          <w:i/>
        </w:rPr>
        <w:t>e.g.</w:t>
      </w:r>
      <w:r>
        <w:t>, fails</w:t>
      </w:r>
      <w:r w:rsidRPr="00672743">
        <w:t xml:space="preserve"> to</w:t>
      </w:r>
      <w:r>
        <w:t xml:space="preserve"> timely file a long</w:t>
      </w:r>
      <w:r w:rsidR="00860E24">
        <w:t>-</w:t>
      </w:r>
      <w:r>
        <w:t>form application, is found ineligible</w:t>
      </w:r>
      <w:r w:rsidR="00021BAB">
        <w:t xml:space="preserve"> to be a recipient of support or is disqualified</w:t>
      </w:r>
      <w:r>
        <w:t xml:space="preserve">, </w:t>
      </w:r>
      <w:r w:rsidR="00021BAB">
        <w:t xml:space="preserve">or </w:t>
      </w:r>
      <w:r>
        <w:t>has its long-form application dismissed for any reason</w:t>
      </w:r>
      <w:r w:rsidR="00A16E0D">
        <w:t>.</w:t>
      </w:r>
      <w:r w:rsidR="00A16E0D">
        <w:rPr>
          <w:rStyle w:val="FootnoteReference"/>
        </w:rPr>
        <w:footnoteReference w:id="78"/>
      </w:r>
      <w:r>
        <w:t xml:space="preserve">  </w:t>
      </w:r>
      <w:r w:rsidR="00752BD9">
        <w:t xml:space="preserve">An auction default could occur </w:t>
      </w:r>
      <w:r w:rsidR="00206323">
        <w:t xml:space="preserve">at any time between the close of the bidding and the authorization of support for each of the winning bidders.  </w:t>
      </w:r>
      <w:r w:rsidR="00AB13D4">
        <w:t xml:space="preserve">For example, an auction default would occur </w:t>
      </w:r>
      <w:r w:rsidR="002725D9">
        <w:t xml:space="preserve">if </w:t>
      </w:r>
      <w:r w:rsidR="00AB13D4">
        <w:t>a winning bidder fail</w:t>
      </w:r>
      <w:r w:rsidR="002725D9">
        <w:t>ed</w:t>
      </w:r>
      <w:r w:rsidR="00AB13D4">
        <w:t xml:space="preserve"> to file its long-form application by the announced deadline.  Similarly, an auction default </w:t>
      </w:r>
      <w:r w:rsidR="002725D9">
        <w:t xml:space="preserve">could </w:t>
      </w:r>
      <w:r w:rsidR="00AB13D4">
        <w:t xml:space="preserve">occur later in the long-form application review process </w:t>
      </w:r>
      <w:r w:rsidR="002725D9">
        <w:t xml:space="preserve">if </w:t>
      </w:r>
      <w:r w:rsidR="00AB13D4">
        <w:t xml:space="preserve">a winning bidder that timely filed its long-form application is determined to be ineligible </w:t>
      </w:r>
      <w:r w:rsidR="008E1330">
        <w:t>to be a recipient of support or is disqualified</w:t>
      </w:r>
      <w:r w:rsidR="00AB13D4">
        <w:t xml:space="preserve">.  </w:t>
      </w:r>
    </w:p>
    <w:p w:rsidR="00151ABA" w:rsidRDefault="000F06AD" w:rsidP="00117F95">
      <w:pPr>
        <w:pStyle w:val="ParaNum"/>
        <w:widowControl/>
      </w:pPr>
      <w:r>
        <w:t>In determining what size payment would be appropriate for a bidder that defaults in the auction, our goals are to ensure the stability and predictability of the auction process by deterring insincere or uninformed bidding without establishing such a high amount as to unduly deter participation in the auction.  Such a decision must be made in light of the procedures established for the auction, including auction design.</w:t>
      </w:r>
      <w:r w:rsidR="00CD42B9">
        <w:rPr>
          <w:rStyle w:val="FootnoteReference"/>
        </w:rPr>
        <w:footnoteReference w:id="79"/>
      </w:r>
      <w:r w:rsidR="00CD42B9">
        <w:t xml:space="preserve"> </w:t>
      </w:r>
      <w:r>
        <w:t xml:space="preserve"> </w:t>
      </w:r>
      <w:r w:rsidR="00112AC8">
        <w:t xml:space="preserve">According to </w:t>
      </w:r>
      <w:r>
        <w:t xml:space="preserve">the Commission’s </w:t>
      </w:r>
      <w:r w:rsidR="00112AC8">
        <w:t>rules,</w:t>
      </w:r>
      <w:r w:rsidR="00151ABA">
        <w:t xml:space="preserve"> </w:t>
      </w:r>
      <w:r w:rsidR="00112AC8">
        <w:t xml:space="preserve">if </w:t>
      </w:r>
      <w:r w:rsidR="00151ABA">
        <w:t xml:space="preserve">the auction default payment </w:t>
      </w:r>
      <w:r w:rsidR="00112AC8">
        <w:t>is determined as a percentage of the defaulted bid amount, the default payment will not</w:t>
      </w:r>
      <w:r w:rsidR="00151ABA">
        <w:t xml:space="preserve"> exceed 20 percent of the total defaulted bid.</w:t>
      </w:r>
      <w:r w:rsidR="00151ABA">
        <w:rPr>
          <w:rStyle w:val="FootnoteReference"/>
        </w:rPr>
        <w:footnoteReference w:id="80"/>
      </w:r>
      <w:r w:rsidR="00151ABA">
        <w:t xml:space="preserve">  </w:t>
      </w:r>
      <w:r w:rsidR="00112AC8">
        <w:t>We propose to</w:t>
      </w:r>
      <w:r w:rsidR="004D64AE">
        <w:t xml:space="preserve"> use a rate of five percent of the total defaulted bid.  </w:t>
      </w:r>
      <w:r w:rsidR="00151ABA">
        <w:t xml:space="preserve">We would apply the percentage to the total amount of support based on the bid amount for the geographic area covered by the defaulted bid(s).  We believe that this amount, below our maximum percentage, will protect against the costs to the Commission and the USF of auction defaults and provide bidders sufficient incentive to fully inform themselves of the obligations associated with participation in the </w:t>
      </w:r>
      <w:r w:rsidR="00FB1DDC">
        <w:t xml:space="preserve">Tribal </w:t>
      </w:r>
      <w:r w:rsidR="00151ABA">
        <w:t xml:space="preserve">Mobility Fund </w:t>
      </w:r>
      <w:r w:rsidR="00042E10">
        <w:t>Phase I</w:t>
      </w:r>
      <w:r w:rsidR="00DB6818">
        <w:t xml:space="preserve"> program</w:t>
      </w:r>
      <w:r w:rsidR="00151ABA">
        <w:t xml:space="preserve"> and to commit to fulfilling those obligations.  Under this method of calculating the default payment, bidders would be aware ahead of time of the exact amount of their potential liability based on their bids.</w:t>
      </w:r>
      <w:r w:rsidR="00871225">
        <w:t xml:space="preserve"> </w:t>
      </w:r>
      <w:r w:rsidR="00280960">
        <w:t xml:space="preserve"> We note that this proposal is the same percentage instituted for Auction 901.</w:t>
      </w:r>
      <w:r w:rsidR="00BD244F">
        <w:rPr>
          <w:rStyle w:val="FootnoteReference"/>
        </w:rPr>
        <w:footnoteReference w:id="81"/>
      </w:r>
      <w:r w:rsidR="00280960">
        <w:t xml:space="preserve">  </w:t>
      </w:r>
    </w:p>
    <w:p w:rsidR="00151ABA" w:rsidRPr="00672743" w:rsidRDefault="00151ABA" w:rsidP="00117F95">
      <w:pPr>
        <w:pStyle w:val="ParaNum"/>
        <w:widowControl/>
      </w:pPr>
      <w:r>
        <w:t xml:space="preserve">We seek comment on </w:t>
      </w:r>
      <w:r w:rsidR="007E2BAD">
        <w:t xml:space="preserve">this proposal.  </w:t>
      </w:r>
      <w:r>
        <w:t xml:space="preserve">We ask commenters to assess </w:t>
      </w:r>
      <w:r w:rsidR="007E2BAD">
        <w:t xml:space="preserve">whether our proposal </w:t>
      </w:r>
      <w:r w:rsidR="009D2FBE">
        <w:t>to use a</w:t>
      </w:r>
      <w:r w:rsidR="00AB13D4">
        <w:t>n auction</w:t>
      </w:r>
      <w:r w:rsidR="009D2FBE">
        <w:t xml:space="preserve"> default payment percentage of five percent </w:t>
      </w:r>
      <w:r w:rsidR="007E2BAD">
        <w:t xml:space="preserve">will be adequate to deter </w:t>
      </w:r>
      <w:r>
        <w:t>insincere or uninformed bidding, and safeguard against costs to the Commission and the USF that may result from such auction defaults</w:t>
      </w:r>
      <w:bookmarkStart w:id="169" w:name="OLE_LINK14"/>
      <w:bookmarkStart w:id="170" w:name="OLE_LINK15"/>
      <w:r w:rsidR="000650ED">
        <w:t>,</w:t>
      </w:r>
      <w:r>
        <w:t xml:space="preserve"> without unduly discouraging auction participation,</w:t>
      </w:r>
      <w:bookmarkEnd w:id="169"/>
      <w:bookmarkEnd w:id="170"/>
      <w:r>
        <w:t xml:space="preserve"> particularly given that liability for the auction default payment will be imposed without regard to the intentions or fault of any specific defaulting bidder.  </w:t>
      </w:r>
      <w:r w:rsidR="005D1013">
        <w:t xml:space="preserve">Are there any circumstances unique to </w:t>
      </w:r>
      <w:r w:rsidR="00E02A99">
        <w:t>bids</w:t>
      </w:r>
      <w:r w:rsidR="005D1013">
        <w:t xml:space="preserve"> to serve Tribal lands that should be considered in our analysis?  </w:t>
      </w:r>
      <w:r w:rsidR="009D2FBE">
        <w:t xml:space="preserve">We also seek comment on whether we should use an alternative methodology, such as basing the auction default payment on the difference between the defaulted bid and the </w:t>
      </w:r>
      <w:r w:rsidR="003A5D3A">
        <w:t xml:space="preserve">next best bid(s) to cover </w:t>
      </w:r>
      <w:r w:rsidR="009D2FBE">
        <w:t xml:space="preserve">the </w:t>
      </w:r>
      <w:r w:rsidR="003A5D3A">
        <w:t xml:space="preserve">same </w:t>
      </w:r>
      <w:r w:rsidR="00112AC8">
        <w:t>population</w:t>
      </w:r>
      <w:r w:rsidR="009D2FBE">
        <w:t xml:space="preserve"> </w:t>
      </w:r>
      <w:r w:rsidR="003A5D3A">
        <w:t>as without the default</w:t>
      </w:r>
      <w:r w:rsidR="009D2FBE">
        <w:t>.</w:t>
      </w:r>
      <w:r w:rsidR="003A5D3A">
        <w:rPr>
          <w:rStyle w:val="FootnoteReference"/>
        </w:rPr>
        <w:footnoteReference w:id="82"/>
      </w:r>
      <w:r w:rsidR="009D2FBE">
        <w:t xml:space="preserve">  </w:t>
      </w:r>
      <w:r w:rsidR="00EB7D77">
        <w:t xml:space="preserve">Commenters advocating such an approach should explain with specificity how such an approach might work under the options we present for auction design.  </w:t>
      </w:r>
      <w:r w:rsidR="007E7C95">
        <w:t>In addition, we seek comment on whether, prior to bidding, all applicants for Auction 90</w:t>
      </w:r>
      <w:r w:rsidR="00FB1DDC">
        <w:t>2</w:t>
      </w:r>
      <w:r w:rsidR="007E7C95">
        <w:t xml:space="preserve"> should be required to furnish a bond or place funds on deposit with the Commission in the amount of the maximum anticipated auction default payment.</w:t>
      </w:r>
      <w:r w:rsidR="00220B26">
        <w:rPr>
          <w:rStyle w:val="FootnoteReference"/>
        </w:rPr>
        <w:footnoteReference w:id="83"/>
      </w:r>
      <w:r w:rsidR="00220B26">
        <w:t xml:space="preserve">  We ask for specific input on whether a bond or deposit would be preferable for this purpose and on methodologies for anticipating the maximum auction default payment.</w:t>
      </w:r>
    </w:p>
    <w:p w:rsidR="00151ABA" w:rsidRDefault="00151ABA" w:rsidP="00117F95">
      <w:pPr>
        <w:pStyle w:val="Heading3"/>
        <w:widowControl/>
        <w:rPr>
          <w:b w:val="0"/>
        </w:rPr>
      </w:pPr>
      <w:bookmarkStart w:id="171" w:name="_Toc315868094"/>
      <w:bookmarkStart w:id="172" w:name="_Toc315956829"/>
      <w:bookmarkStart w:id="173" w:name="_Toc349805102"/>
      <w:bookmarkStart w:id="174" w:name="_Toc349921077"/>
      <w:bookmarkStart w:id="175" w:name="_Toc350158512"/>
      <w:r>
        <w:t>Performance Default Payment</w:t>
      </w:r>
      <w:bookmarkEnd w:id="171"/>
      <w:bookmarkEnd w:id="172"/>
      <w:bookmarkEnd w:id="173"/>
      <w:bookmarkEnd w:id="174"/>
      <w:bookmarkEnd w:id="175"/>
    </w:p>
    <w:p w:rsidR="00151ABA" w:rsidRPr="009B7FE7" w:rsidRDefault="00151ABA" w:rsidP="00117F95">
      <w:pPr>
        <w:pStyle w:val="ParaNum"/>
        <w:widowControl/>
      </w:pPr>
      <w:bookmarkStart w:id="176" w:name="_Ref309376858"/>
      <w:r>
        <w:rPr>
          <w:szCs w:val="22"/>
        </w:rPr>
        <w:t xml:space="preserve">Pursuant to the Mobility Fund </w:t>
      </w:r>
      <w:r w:rsidR="00042E10">
        <w:rPr>
          <w:szCs w:val="22"/>
        </w:rPr>
        <w:t>Phase I</w:t>
      </w:r>
      <w:r>
        <w:rPr>
          <w:szCs w:val="22"/>
        </w:rPr>
        <w:t xml:space="preserve"> rules adopted in the </w:t>
      </w:r>
      <w:bookmarkStart w:id="177" w:name="OLE_LINK12"/>
      <w:bookmarkStart w:id="178" w:name="OLE_LINK13"/>
      <w:r>
        <w:rPr>
          <w:i/>
        </w:rPr>
        <w:t>USF/ICC Transformation Order</w:t>
      </w:r>
      <w:bookmarkEnd w:id="177"/>
      <w:bookmarkEnd w:id="178"/>
      <w:r>
        <w:rPr>
          <w:szCs w:val="22"/>
        </w:rPr>
        <w:t>, a winning bidder will be subject to a performance default payment if</w:t>
      </w:r>
      <w:r w:rsidR="00AB13D4">
        <w:rPr>
          <w:szCs w:val="22"/>
        </w:rPr>
        <w:t>, after it is authorized to receive support,</w:t>
      </w:r>
      <w:r>
        <w:rPr>
          <w:szCs w:val="22"/>
        </w:rPr>
        <w:t xml:space="preserve"> it fails to meet its minimum coverage requirement, other service requirements, or any other condition of </w:t>
      </w:r>
      <w:r w:rsidR="00FB1DDC">
        <w:rPr>
          <w:szCs w:val="22"/>
        </w:rPr>
        <w:t xml:space="preserve">Tribal </w:t>
      </w:r>
      <w:r>
        <w:rPr>
          <w:szCs w:val="22"/>
        </w:rPr>
        <w:t xml:space="preserve">Mobility Fund </w:t>
      </w:r>
      <w:r w:rsidR="00042E10">
        <w:rPr>
          <w:szCs w:val="22"/>
        </w:rPr>
        <w:t>Phase I</w:t>
      </w:r>
      <w:r>
        <w:rPr>
          <w:szCs w:val="22"/>
        </w:rPr>
        <w:t xml:space="preserve"> support.</w:t>
      </w:r>
      <w:r>
        <w:rPr>
          <w:rStyle w:val="FootnoteReference"/>
          <w:szCs w:val="22"/>
        </w:rPr>
        <w:footnoteReference w:id="84"/>
      </w:r>
      <w:r>
        <w:rPr>
          <w:szCs w:val="22"/>
        </w:rPr>
        <w:t xml:space="preserve">  In addition to being liable for a performance default payment, the recipient will be required to repay the Mobility Fund all of the support it has received and, depending on the circumstances involved, could be disqualified from receiving any additional </w:t>
      </w:r>
      <w:r w:rsidR="00FB1DDC">
        <w:rPr>
          <w:szCs w:val="22"/>
        </w:rPr>
        <w:t xml:space="preserve">Tribal </w:t>
      </w:r>
      <w:r>
        <w:rPr>
          <w:szCs w:val="22"/>
        </w:rPr>
        <w:t>Mobility Fund</w:t>
      </w:r>
      <w:r w:rsidR="00112AC8">
        <w:rPr>
          <w:szCs w:val="22"/>
        </w:rPr>
        <w:t>, general Mobility Fund,</w:t>
      </w:r>
      <w:r>
        <w:rPr>
          <w:szCs w:val="22"/>
        </w:rPr>
        <w:t xml:space="preserve"> or other USF support.</w:t>
      </w:r>
      <w:r>
        <w:rPr>
          <w:rStyle w:val="FootnoteReference"/>
          <w:szCs w:val="22"/>
        </w:rPr>
        <w:footnoteReference w:id="85"/>
      </w:r>
      <w:r>
        <w:rPr>
          <w:szCs w:val="22"/>
        </w:rPr>
        <w:t xml:space="preserve">  We may obtain its performance default payment and repayment of a recipient’s </w:t>
      </w:r>
      <w:r w:rsidR="00FB1DDC">
        <w:rPr>
          <w:szCs w:val="22"/>
        </w:rPr>
        <w:t xml:space="preserve">Tribal </w:t>
      </w:r>
      <w:r>
        <w:rPr>
          <w:szCs w:val="22"/>
        </w:rPr>
        <w:t xml:space="preserve">Mobility Fund </w:t>
      </w:r>
      <w:r w:rsidR="00042E10">
        <w:rPr>
          <w:szCs w:val="22"/>
        </w:rPr>
        <w:t>Phase I</w:t>
      </w:r>
      <w:r w:rsidR="002E6911">
        <w:rPr>
          <w:szCs w:val="22"/>
        </w:rPr>
        <w:t xml:space="preserve"> </w:t>
      </w:r>
      <w:r>
        <w:rPr>
          <w:szCs w:val="22"/>
        </w:rPr>
        <w:t xml:space="preserve">support by drawing upon the irrevocable stand-by LOC that winning bidders will be required to provide. </w:t>
      </w:r>
    </w:p>
    <w:p w:rsidR="00151ABA" w:rsidRPr="000B2DE7" w:rsidRDefault="004B7F74" w:rsidP="00117F95">
      <w:pPr>
        <w:pStyle w:val="ParaNum"/>
        <w:widowControl/>
      </w:pPr>
      <w:r>
        <w:rPr>
          <w:szCs w:val="22"/>
        </w:rPr>
        <w:t>W</w:t>
      </w:r>
      <w:r w:rsidR="00151ABA">
        <w:rPr>
          <w:szCs w:val="22"/>
        </w:rPr>
        <w:t xml:space="preserve">e propose to assess a </w:t>
      </w:r>
      <w:r>
        <w:rPr>
          <w:szCs w:val="22"/>
        </w:rPr>
        <w:t xml:space="preserve">10 </w:t>
      </w:r>
      <w:r w:rsidR="00151ABA">
        <w:rPr>
          <w:szCs w:val="22"/>
        </w:rPr>
        <w:t>percent default payment where a winning bidder fails to satisfy its performance obligations</w:t>
      </w:r>
      <w:r w:rsidR="00AB13D4">
        <w:rPr>
          <w:szCs w:val="22"/>
        </w:rPr>
        <w:t xml:space="preserve"> or any of the requirements and conditions for the support</w:t>
      </w:r>
      <w:r w:rsidR="00151ABA">
        <w:rPr>
          <w:szCs w:val="22"/>
        </w:rPr>
        <w:t xml:space="preserve">.  The percentage would be applied to the total </w:t>
      </w:r>
      <w:r w:rsidR="00A23F71">
        <w:rPr>
          <w:szCs w:val="22"/>
        </w:rPr>
        <w:t>amount of support based on the bid amount for the geographic area covered by the defaulted bid(s)</w:t>
      </w:r>
      <w:r w:rsidR="00151ABA">
        <w:rPr>
          <w:szCs w:val="22"/>
        </w:rPr>
        <w:t xml:space="preserve">.  Under this proposal, the LOC would include an additional </w:t>
      </w:r>
      <w:r>
        <w:rPr>
          <w:szCs w:val="22"/>
        </w:rPr>
        <w:t xml:space="preserve">10 </w:t>
      </w:r>
      <w:r w:rsidR="00151ABA">
        <w:rPr>
          <w:szCs w:val="22"/>
        </w:rPr>
        <w:t xml:space="preserve">percent based on the total level of support for which a winning bidder is eligible.  </w:t>
      </w:r>
      <w:r w:rsidR="00955DAD">
        <w:t xml:space="preserve">In determining what size payment would be appropriate for a performance default, our goals are to ensure the stability and predictability of the auction process by deterring insincere or uninformed bidding without establishing such a high amount as to unduly deter participation in the auction.  </w:t>
      </w:r>
      <w:r w:rsidR="00151ABA">
        <w:rPr>
          <w:szCs w:val="22"/>
        </w:rPr>
        <w:t xml:space="preserve">While both auction defaults and performance defaults may threaten the integrity of </w:t>
      </w:r>
      <w:r w:rsidR="005076BC">
        <w:rPr>
          <w:szCs w:val="22"/>
        </w:rPr>
        <w:t xml:space="preserve">the auction process </w:t>
      </w:r>
      <w:r w:rsidR="00151ABA">
        <w:rPr>
          <w:szCs w:val="22"/>
        </w:rPr>
        <w:t xml:space="preserve">and impose costs on the Commission and the USF, an auction default occurs earlier in the process and may </w:t>
      </w:r>
      <w:r w:rsidR="00B10541">
        <w:rPr>
          <w:szCs w:val="22"/>
        </w:rPr>
        <w:t xml:space="preserve">permit </w:t>
      </w:r>
      <w:r>
        <w:rPr>
          <w:szCs w:val="22"/>
        </w:rPr>
        <w:t xml:space="preserve">an </w:t>
      </w:r>
      <w:r w:rsidR="00BE0D98">
        <w:rPr>
          <w:szCs w:val="22"/>
        </w:rPr>
        <w:t xml:space="preserve">earlier </w:t>
      </w:r>
      <w:r w:rsidR="00B10541">
        <w:rPr>
          <w:szCs w:val="22"/>
        </w:rPr>
        <w:t xml:space="preserve">alternative </w:t>
      </w:r>
      <w:r w:rsidR="00C44949">
        <w:rPr>
          <w:szCs w:val="22"/>
        </w:rPr>
        <w:t>use of the funds that were assigned to the defaulted bid</w:t>
      </w:r>
      <w:r w:rsidR="00B10541">
        <w:rPr>
          <w:szCs w:val="22"/>
        </w:rPr>
        <w:t>,</w:t>
      </w:r>
      <w:r w:rsidR="00C44949">
        <w:rPr>
          <w:szCs w:val="22"/>
        </w:rPr>
        <w:t xml:space="preserve"> </w:t>
      </w:r>
      <w:r>
        <w:rPr>
          <w:szCs w:val="22"/>
        </w:rPr>
        <w:t>consistent with the purposes of the universal service program</w:t>
      </w:r>
      <w:r w:rsidR="00151ABA">
        <w:rPr>
          <w:szCs w:val="22"/>
        </w:rPr>
        <w:t>.</w:t>
      </w:r>
      <w:r>
        <w:rPr>
          <w:rStyle w:val="FootnoteReference"/>
          <w:szCs w:val="22"/>
        </w:rPr>
        <w:footnoteReference w:id="86"/>
      </w:r>
      <w:r w:rsidR="00151ABA">
        <w:rPr>
          <w:szCs w:val="22"/>
        </w:rPr>
        <w:t xml:space="preserve">  Thus, we believe that the amount of a performance default payment should be </w:t>
      </w:r>
      <w:r>
        <w:rPr>
          <w:szCs w:val="22"/>
        </w:rPr>
        <w:t xml:space="preserve">higher than </w:t>
      </w:r>
      <w:r w:rsidR="00151ABA">
        <w:rPr>
          <w:szCs w:val="22"/>
        </w:rPr>
        <w:t>the amount of the auction default payment.</w:t>
      </w:r>
      <w:r w:rsidR="00280960">
        <w:rPr>
          <w:szCs w:val="22"/>
        </w:rPr>
        <w:t xml:space="preserve">  The Bureaus proposed, and adopted, a 10 percent performance default penalty for Auction 901.</w:t>
      </w:r>
      <w:r w:rsidR="00BD244F">
        <w:rPr>
          <w:rStyle w:val="FootnoteReference"/>
          <w:szCs w:val="22"/>
        </w:rPr>
        <w:footnoteReference w:id="87"/>
      </w:r>
      <w:r w:rsidR="00151ABA">
        <w:rPr>
          <w:szCs w:val="22"/>
        </w:rPr>
        <w:t xml:space="preserve">  We seek comment on our proposal for calculating the performance default payment.  </w:t>
      </w:r>
      <w:r>
        <w:rPr>
          <w:szCs w:val="22"/>
        </w:rPr>
        <w:t xml:space="preserve">Will a performance default payment of </w:t>
      </w:r>
      <w:r w:rsidR="00F263D9">
        <w:rPr>
          <w:szCs w:val="22"/>
        </w:rPr>
        <w:t xml:space="preserve">10 percent of the </w:t>
      </w:r>
      <w:r w:rsidR="006021CE">
        <w:rPr>
          <w:szCs w:val="22"/>
        </w:rPr>
        <w:t xml:space="preserve">total </w:t>
      </w:r>
      <w:r w:rsidR="00B10541">
        <w:rPr>
          <w:szCs w:val="22"/>
        </w:rPr>
        <w:t xml:space="preserve">amount </w:t>
      </w:r>
      <w:r w:rsidR="006021CE">
        <w:rPr>
          <w:szCs w:val="22"/>
        </w:rPr>
        <w:t xml:space="preserve">of </w:t>
      </w:r>
      <w:r w:rsidR="00F263D9">
        <w:rPr>
          <w:szCs w:val="22"/>
        </w:rPr>
        <w:t xml:space="preserve">support </w:t>
      </w:r>
      <w:r w:rsidR="006021CE">
        <w:rPr>
          <w:szCs w:val="22"/>
        </w:rPr>
        <w:t xml:space="preserve">for which the winning bidder </w:t>
      </w:r>
      <w:r w:rsidR="00DB6818">
        <w:rPr>
          <w:szCs w:val="22"/>
        </w:rPr>
        <w:t>defaults</w:t>
      </w:r>
      <w:r w:rsidR="006021CE">
        <w:rPr>
          <w:szCs w:val="22"/>
        </w:rPr>
        <w:t xml:space="preserve"> </w:t>
      </w:r>
      <w:r w:rsidR="00F263D9">
        <w:rPr>
          <w:szCs w:val="22"/>
        </w:rPr>
        <w:t xml:space="preserve">be </w:t>
      </w:r>
      <w:r>
        <w:t xml:space="preserve">effective in </w:t>
      </w:r>
      <w:r w:rsidR="00F263D9">
        <w:t xml:space="preserve">ensuring that those authorized to receive support will be capable of meeting their obligations </w:t>
      </w:r>
      <w:r w:rsidR="00E95CD8">
        <w:t xml:space="preserve">and protect </w:t>
      </w:r>
      <w:r>
        <w:t>against costs to the Commission and the USF</w:t>
      </w:r>
      <w:r w:rsidR="00B10541">
        <w:t>,</w:t>
      </w:r>
      <w:r>
        <w:t xml:space="preserve"> without unduly discouraging auction participation</w:t>
      </w:r>
      <w:r w:rsidR="00F263D9">
        <w:t>?</w:t>
      </w:r>
      <w:r w:rsidR="00280960">
        <w:t xml:space="preserve">  Are there any circumstances unique to provisioning service to Tribal lands that should be considered in our analysis?  </w:t>
      </w:r>
    </w:p>
    <w:p w:rsidR="00151ABA" w:rsidRPr="00C80E5D" w:rsidRDefault="00151ABA" w:rsidP="00C80E5D">
      <w:pPr>
        <w:pStyle w:val="Heading2"/>
      </w:pPr>
      <w:bookmarkStart w:id="179" w:name="_Toc315868095"/>
      <w:bookmarkStart w:id="180" w:name="_Toc315956830"/>
      <w:bookmarkStart w:id="181" w:name="_Toc349805103"/>
      <w:bookmarkStart w:id="182" w:name="_Toc349921078"/>
      <w:bookmarkStart w:id="183" w:name="_Toc350158513"/>
      <w:bookmarkStart w:id="184" w:name="_Toc176237961"/>
      <w:bookmarkStart w:id="185" w:name="_Toc176772188"/>
      <w:bookmarkStart w:id="186" w:name="_Toc192661369"/>
      <w:bookmarkStart w:id="187" w:name="_Toc193271115"/>
      <w:bookmarkEnd w:id="176"/>
      <w:r w:rsidRPr="00C80E5D">
        <w:t>Reasonably</w:t>
      </w:r>
      <w:r w:rsidR="00886765" w:rsidRPr="00C80E5D">
        <w:t xml:space="preserve"> </w:t>
      </w:r>
      <w:r w:rsidRPr="00C80E5D">
        <w:t>Comparable Rates</w:t>
      </w:r>
      <w:bookmarkEnd w:id="179"/>
      <w:bookmarkEnd w:id="180"/>
      <w:bookmarkEnd w:id="181"/>
      <w:bookmarkEnd w:id="182"/>
      <w:bookmarkEnd w:id="183"/>
    </w:p>
    <w:p w:rsidR="004D779F" w:rsidRDefault="00151ABA" w:rsidP="00117F95">
      <w:pPr>
        <w:pStyle w:val="ParaNum"/>
        <w:widowControl/>
      </w:pPr>
      <w:bookmarkStart w:id="188" w:name="_Ref351539006"/>
      <w:r>
        <w:rPr>
          <w:i/>
        </w:rPr>
        <w:t>Reasonably Comparable</w:t>
      </w:r>
      <w:r w:rsidRPr="009E3084">
        <w:rPr>
          <w:i/>
        </w:rPr>
        <w:t xml:space="preserve"> Rates</w:t>
      </w:r>
      <w:r>
        <w:t xml:space="preserve">.  </w:t>
      </w:r>
      <w:r w:rsidR="00FB1DDC">
        <w:t xml:space="preserve">Tribal </w:t>
      </w:r>
      <w:r>
        <w:t xml:space="preserve">Mobility Fund </w:t>
      </w:r>
      <w:r w:rsidR="00042E10">
        <w:t>Phase I</w:t>
      </w:r>
      <w:r>
        <w:t xml:space="preserve"> recipients must certify that they offer service in areas with support at </w:t>
      </w:r>
      <w:r w:rsidR="002B17F7">
        <w:t xml:space="preserve">consumer </w:t>
      </w:r>
      <w:r>
        <w:t>rates that are within a reasonable range of rates for similar service plans offered by mobile wireless providers in urban areas.</w:t>
      </w:r>
      <w:r>
        <w:rPr>
          <w:rStyle w:val="FootnoteReference"/>
        </w:rPr>
        <w:footnoteReference w:id="88"/>
      </w:r>
      <w:r>
        <w:t xml:space="preserve">  The Commission delegated authority to the Bureaus to specify how support recipients could demonstrate compliance with this rate certification.</w:t>
      </w:r>
      <w:r>
        <w:rPr>
          <w:rStyle w:val="FootnoteReference"/>
        </w:rPr>
        <w:footnoteReference w:id="89"/>
      </w:r>
      <w:r>
        <w:t xml:space="preserve">  </w:t>
      </w:r>
      <w:r w:rsidR="00702878">
        <w:t xml:space="preserve">The Commission </w:t>
      </w:r>
      <w:r w:rsidR="00B10541">
        <w:t>directed</w:t>
      </w:r>
      <w:r w:rsidR="002B17F7">
        <w:t xml:space="preserve"> the Bureaus </w:t>
      </w:r>
      <w:r w:rsidR="00B10541">
        <w:t xml:space="preserve">to </w:t>
      </w:r>
      <w:r w:rsidR="00702878">
        <w:t xml:space="preserve">develop surveys of </w:t>
      </w:r>
      <w:r w:rsidR="002B17F7">
        <w:t xml:space="preserve">voice and broadband </w:t>
      </w:r>
      <w:r w:rsidR="00702878">
        <w:t>rate</w:t>
      </w:r>
      <w:r w:rsidR="002B17F7">
        <w:t>s</w:t>
      </w:r>
      <w:r w:rsidR="00702878">
        <w:t xml:space="preserve"> generally </w:t>
      </w:r>
      <w:r w:rsidR="002B17F7">
        <w:t xml:space="preserve">that </w:t>
      </w:r>
      <w:r w:rsidR="00771690">
        <w:t xml:space="preserve">should be completed before the </w:t>
      </w:r>
      <w:r w:rsidR="00702878">
        <w:t>later phases of the Connect America Fund and the Mobility Fund.</w:t>
      </w:r>
      <w:r w:rsidR="00702878">
        <w:rPr>
          <w:rStyle w:val="FootnoteReference"/>
        </w:rPr>
        <w:footnoteReference w:id="90"/>
      </w:r>
      <w:r w:rsidR="00702878">
        <w:t xml:space="preserve">  In </w:t>
      </w:r>
      <w:r w:rsidR="002B17F7">
        <w:t>order to offer Mobility Fund</w:t>
      </w:r>
      <w:r w:rsidR="00F77252">
        <w:t xml:space="preserve"> Phase</w:t>
      </w:r>
      <w:r w:rsidR="002B17F7">
        <w:t xml:space="preserve"> I support at the earliest time feasible, however, the Commission recognized that the Bureaus might have to implement an approach to the reasonably comparable rates requirement without being able to </w:t>
      </w:r>
      <w:r w:rsidR="00702878">
        <w:t>rely upon the information that will be collected through the survey</w:t>
      </w:r>
      <w:r w:rsidR="002B17F7">
        <w:t>s</w:t>
      </w:r>
      <w:r w:rsidR="00702878">
        <w:t>.</w:t>
      </w:r>
      <w:r w:rsidR="002B17F7">
        <w:rPr>
          <w:rStyle w:val="FootnoteReference"/>
        </w:rPr>
        <w:footnoteReference w:id="91"/>
      </w:r>
      <w:r w:rsidR="00702878">
        <w:t xml:space="preserve">  </w:t>
      </w:r>
      <w:r w:rsidR="004D779F">
        <w:t>W</w:t>
      </w:r>
      <w:r w:rsidR="002B17F7">
        <w:t xml:space="preserve">e propose to do so in implementing </w:t>
      </w:r>
      <w:r w:rsidR="00FB1DDC">
        <w:t xml:space="preserve">Tribal </w:t>
      </w:r>
      <w:r w:rsidR="002B17F7">
        <w:t xml:space="preserve">Mobility Fund </w:t>
      </w:r>
      <w:r w:rsidR="00042E10">
        <w:t>Phase I</w:t>
      </w:r>
      <w:r w:rsidR="002B17F7">
        <w:t>.</w:t>
      </w:r>
      <w:bookmarkEnd w:id="188"/>
      <w:r w:rsidR="002B17F7">
        <w:t xml:space="preserve">  </w:t>
      </w:r>
    </w:p>
    <w:p w:rsidR="00151ABA" w:rsidRDefault="005D78DD" w:rsidP="00E90DB5">
      <w:pPr>
        <w:pStyle w:val="ParaNum"/>
        <w:widowControl/>
      </w:pPr>
      <w:r>
        <w:t xml:space="preserve">We propose that recipients of Tribal Mobility Fund Phase I support may demonstrate compliance with the reasonably comparable rates requirement in the same manner as recipients of general Mobility Fund Phase I support.  </w:t>
      </w:r>
      <w:r w:rsidR="004D779F">
        <w:t>We propose that a supported provider must demonstrate that its required stand-alone voice plan</w:t>
      </w:r>
      <w:r w:rsidR="00F66806">
        <w:t>,</w:t>
      </w:r>
      <w:r w:rsidR="004D779F">
        <w:t xml:space="preserve"> and one service plan that offers data services, </w:t>
      </w:r>
      <w:r w:rsidR="00F66806">
        <w:t>if</w:t>
      </w:r>
      <w:r w:rsidR="004D779F">
        <w:t xml:space="preserve"> it offers such plans, are </w:t>
      </w:r>
      <w:r w:rsidR="00F66806">
        <w:t xml:space="preserve">(1) </w:t>
      </w:r>
      <w:r w:rsidR="004D779F">
        <w:t>substantially similar to a service plan offered by at least one mobile wireless service provider in an urban area</w:t>
      </w:r>
      <w:r w:rsidR="00F66806">
        <w:t>,</w:t>
      </w:r>
      <w:r w:rsidR="004D779F">
        <w:t xml:space="preserve"> and </w:t>
      </w:r>
      <w:r w:rsidR="00F66806">
        <w:t>(2)</w:t>
      </w:r>
      <w:r w:rsidR="004D779F">
        <w:t xml:space="preserve"> offered </w:t>
      </w:r>
      <w:r w:rsidR="00F66806">
        <w:t>at or below the</w:t>
      </w:r>
      <w:r w:rsidR="004D779F">
        <w:t xml:space="preserve"> rate </w:t>
      </w:r>
      <w:r w:rsidR="00F66806">
        <w:t>for</w:t>
      </w:r>
      <w:r w:rsidR="004D779F">
        <w:t xml:space="preserve"> the matching urban service plan.</w:t>
      </w:r>
      <w:r w:rsidR="004D779F">
        <w:rPr>
          <w:rStyle w:val="FootnoteReference"/>
        </w:rPr>
        <w:footnoteReference w:id="92"/>
      </w:r>
      <w:r w:rsidR="004D779F">
        <w:t xml:space="preserve">  We seek comment on this proposal and any alternatives.</w:t>
      </w:r>
      <w:r w:rsidR="00F66806">
        <w:t xml:space="preserve">  </w:t>
      </w:r>
      <w:r w:rsidR="00702878">
        <w:t>Commenters offering alternatives to our proposal should address the feasibility of implementing their alternative</w:t>
      </w:r>
      <w:r w:rsidR="00804E54">
        <w:t>s</w:t>
      </w:r>
      <w:r w:rsidR="00702878">
        <w:t xml:space="preserve"> in advance of the deadlines for parties to participate in competitive bidding for </w:t>
      </w:r>
      <w:r w:rsidR="00FB1DDC">
        <w:t xml:space="preserve">Tribal </w:t>
      </w:r>
      <w:r w:rsidR="00702878">
        <w:t xml:space="preserve">Mobility Fund </w:t>
      </w:r>
      <w:r w:rsidR="00042E10">
        <w:t>Phase I</w:t>
      </w:r>
      <w:r w:rsidR="00702878">
        <w:t xml:space="preserve"> support.  </w:t>
      </w:r>
      <w:r w:rsidR="00C736EE">
        <w:t xml:space="preserve">In addition, we request that commenters describe the costs </w:t>
      </w:r>
      <w:r w:rsidR="00C209A6">
        <w:t xml:space="preserve">and </w:t>
      </w:r>
      <w:r w:rsidR="00C736EE">
        <w:t>benefits associated with the position they advocate.</w:t>
      </w:r>
    </w:p>
    <w:p w:rsidR="00151ABA" w:rsidRDefault="00F66806" w:rsidP="00117F95">
      <w:pPr>
        <w:pStyle w:val="ParaNum"/>
        <w:widowControl/>
      </w:pPr>
      <w:r>
        <w:t>F</w:t>
      </w:r>
      <w:r w:rsidR="003B0CE9">
        <w:t xml:space="preserve">or purposes of </w:t>
      </w:r>
      <w:r w:rsidR="00D91770">
        <w:t xml:space="preserve">Tribal </w:t>
      </w:r>
      <w:r w:rsidR="003B0CE9">
        <w:t>Mobility Fund</w:t>
      </w:r>
      <w:r w:rsidR="00F77252">
        <w:t xml:space="preserve"> Phase I</w:t>
      </w:r>
      <w:r w:rsidR="003B0CE9">
        <w:t>, a</w:t>
      </w:r>
      <w:r w:rsidR="00151ABA">
        <w:t xml:space="preserve">ny rate equal to or less than the highest rate </w:t>
      </w:r>
      <w:r>
        <w:t xml:space="preserve">charged </w:t>
      </w:r>
      <w:r w:rsidR="00151ABA">
        <w:t>for a matching service in a</w:t>
      </w:r>
      <w:r w:rsidR="00665364">
        <w:t>n</w:t>
      </w:r>
      <w:r w:rsidR="00151ABA">
        <w:t xml:space="preserve"> urban area would be reasonably comparable to</w:t>
      </w:r>
      <w:r w:rsidR="002B17F7">
        <w:t xml:space="preserve">, </w:t>
      </w:r>
      <w:r w:rsidR="002B17F7" w:rsidRPr="008C4854">
        <w:rPr>
          <w:i/>
        </w:rPr>
        <w:t>i.e.</w:t>
      </w:r>
      <w:r w:rsidR="002B17F7">
        <w:t>,</w:t>
      </w:r>
      <w:r w:rsidR="00151ABA">
        <w:t xml:space="preserve"> within a reasonable range of</w:t>
      </w:r>
      <w:r w:rsidR="002B17F7">
        <w:t>,</w:t>
      </w:r>
      <w:r w:rsidR="00151ABA">
        <w:t xml:space="preserve"> rates for similar service in urban areas.</w:t>
      </w:r>
      <w:r w:rsidR="003B0CE9">
        <w:rPr>
          <w:rStyle w:val="FootnoteReference"/>
        </w:rPr>
        <w:footnoteReference w:id="93"/>
      </w:r>
      <w:r w:rsidR="00151ABA">
        <w:t xml:space="preserve">  </w:t>
      </w:r>
      <w:r w:rsidR="002B17F7">
        <w:t>U</w:t>
      </w:r>
      <w:r w:rsidR="00151ABA">
        <w:t>rban areas are generally served by multiple and diverse providers offering a range of rates and service offerings in competition with one another.</w:t>
      </w:r>
      <w:r w:rsidR="00151ABA" w:rsidRPr="000A6F64">
        <w:rPr>
          <w:rStyle w:val="FootnoteReference"/>
        </w:rPr>
        <w:t xml:space="preserve"> </w:t>
      </w:r>
      <w:r w:rsidR="00151ABA">
        <w:rPr>
          <w:rStyle w:val="FootnoteReference"/>
        </w:rPr>
        <w:footnoteReference w:id="94"/>
      </w:r>
      <w:r w:rsidR="00151ABA">
        <w:t xml:space="preserve">  Consequently, we </w:t>
      </w:r>
      <w:r w:rsidR="00151ABA" w:rsidDel="009F04B8">
        <w:t>pre</w:t>
      </w:r>
      <w:r w:rsidR="00151ABA">
        <w:t>sume that even the highest rate would qualify as “being within a reasonable range of rates for similar service in urban areas</w:t>
      </w:r>
      <w:r w:rsidR="002E6E50">
        <w:t>,</w:t>
      </w:r>
      <w:r w:rsidR="00151ABA">
        <w:t>”</w:t>
      </w:r>
      <w:r w:rsidR="00151ABA">
        <w:rPr>
          <w:rStyle w:val="FootnoteReference"/>
        </w:rPr>
        <w:footnoteReference w:id="95"/>
      </w:r>
      <w:r w:rsidR="00151ABA">
        <w:t xml:space="preserve"> </w:t>
      </w:r>
      <w:r w:rsidR="002E6E50">
        <w:t>because</w:t>
      </w:r>
      <w:r w:rsidR="00151ABA">
        <w:t xml:space="preserve"> the rate</w:t>
      </w:r>
      <w:r w:rsidR="002E6E50">
        <w:t>s</w:t>
      </w:r>
      <w:r w:rsidR="00151ABA">
        <w:t xml:space="preserve"> for the matching urban service</w:t>
      </w:r>
      <w:r w:rsidR="002E6E50">
        <w:t>s</w:t>
      </w:r>
      <w:r w:rsidR="00151ABA">
        <w:t xml:space="preserve"> reflect the </w:t>
      </w:r>
      <w:r w:rsidR="002E6E50">
        <w:t xml:space="preserve">effects of </w:t>
      </w:r>
      <w:r w:rsidR="00151ABA">
        <w:t>competition in the urban area.  Should we require additional information to validate this assumption?  For example, should an urban service used for matching be required to have a certain number of subscribers or percentage of the relevant market in order to demonstrate its market acceptance?</w:t>
      </w:r>
      <w:r w:rsidR="00151ABA">
        <w:rPr>
          <w:rStyle w:val="FootnoteReference"/>
        </w:rPr>
        <w:footnoteReference w:id="96"/>
      </w:r>
      <w:r w:rsidR="00151ABA">
        <w:t xml:space="preserve">  Do we need to be concerned that </w:t>
      </w:r>
      <w:r w:rsidR="00A06F2F">
        <w:t xml:space="preserve">recipients may seek to game this standard by using an urban rate for comparison that does not reflect a true market </w:t>
      </w:r>
      <w:r w:rsidR="00151ABA">
        <w:t>rate?  How can we address any such concerns?</w:t>
      </w:r>
    </w:p>
    <w:p w:rsidR="00151ABA" w:rsidRDefault="00151ABA" w:rsidP="00117F95">
      <w:pPr>
        <w:pStyle w:val="ParaNum"/>
        <w:widowControl/>
      </w:pPr>
      <w:r w:rsidDel="009F04B8">
        <w:t>W</w:t>
      </w:r>
      <w:r>
        <w:t>e would retain discretion to consider whether and how variable rate structures should be taken into account.  For example, should a supported stand</w:t>
      </w:r>
      <w:r w:rsidR="00637616">
        <w:t>-</w:t>
      </w:r>
      <w:r>
        <w:t>alone voice plan that offers 1,000 minutes a month for $50 and additional minutes at $0.08 per minute be considered more expensive than a plan in a</w:t>
      </w:r>
      <w:r w:rsidR="00CD502B">
        <w:t>n</w:t>
      </w:r>
      <w:r>
        <w:t xml:space="preserve"> urban area that offers 2,000 minutes a month for $100 and additional minutes at $0.10 per minute?  </w:t>
      </w:r>
      <w:r w:rsidR="00F66806">
        <w:t>T</w:t>
      </w:r>
      <w:r>
        <w:t xml:space="preserve">here may be circumstances under which data plans with equivalent prices-per-unit “match” each other even if there </w:t>
      </w:r>
      <w:r w:rsidR="00FC7402">
        <w:t xml:space="preserve">are </w:t>
      </w:r>
      <w:r>
        <w:t xml:space="preserve">other differences in the plans.  We propose to address such issues on a case-by-case basis and welcome comment on how to address such circumstances.  </w:t>
      </w:r>
    </w:p>
    <w:p w:rsidR="00F66806" w:rsidRDefault="00F66806" w:rsidP="00F66806">
      <w:pPr>
        <w:pStyle w:val="ParaNum"/>
        <w:widowControl/>
      </w:pPr>
      <w:r>
        <w:t>To provide recipients with flexibility to tailor their offerings to consumer demand while complying with the rule, we propose that we deem a Tribal Mobility Fund Phase I support recipient compliant with the terms of the required certification if it can demonstrate that its rates for services satisfy the requirements, and if it provides supporting documentation.  We seek comment on all aspects of this proposal, in particular whether it meets the goal of assuring that supported services are provided at rates reasonably comparable to those in urban areas, while allowing recipients to have appropriate flexibility in structuring their offerings.  We also seek comment on any potential alternatives.  For example, is there a readily available set of benchmark urban rates for mobile voice and broadband service that we could use with respect to Tribal Mobility Fund Phase I?</w:t>
      </w:r>
    </w:p>
    <w:p w:rsidR="00151ABA" w:rsidRDefault="00151ABA" w:rsidP="00117F95">
      <w:pPr>
        <w:pStyle w:val="ParaNum"/>
        <w:widowControl/>
      </w:pPr>
      <w:r w:rsidRPr="009E3084">
        <w:rPr>
          <w:i/>
        </w:rPr>
        <w:t xml:space="preserve">Urban Areas.  </w:t>
      </w:r>
      <w:r>
        <w:t>For purposes of this requirement, we propose defining “urban area” as one of the 100 most populated CMAs in the United States.</w:t>
      </w:r>
      <w:r>
        <w:rPr>
          <w:rStyle w:val="FootnoteReference"/>
        </w:rPr>
        <w:footnoteReference w:id="97"/>
      </w:r>
      <w:r>
        <w:t xml:space="preserve">  Multiple providers currently serve these areas</w:t>
      </w:r>
      <w:r w:rsidR="00F77252">
        <w:t>—</w:t>
      </w:r>
      <w:r>
        <w:t xml:space="preserve">99.2 percent of the population in these markets </w:t>
      </w:r>
      <w:r w:rsidR="00616E93">
        <w:t xml:space="preserve">is </w:t>
      </w:r>
      <w:r>
        <w:t>covered by between four to six operators</w:t>
      </w:r>
      <w:r w:rsidR="00F77252">
        <w:t>—</w:t>
      </w:r>
      <w:r>
        <w:t xml:space="preserve">offering a range of different service plans at prices generally constrained by </w:t>
      </w:r>
      <w:r w:rsidR="00C31E56">
        <w:t xml:space="preserve">the </w:t>
      </w:r>
      <w:r>
        <w:t>numerous providers.</w:t>
      </w:r>
      <w:r w:rsidR="002E6E50">
        <w:rPr>
          <w:rStyle w:val="FootnoteReference"/>
        </w:rPr>
        <w:footnoteReference w:id="98"/>
      </w:r>
      <w:r>
        <w:t xml:space="preserve">  Are there other definitions of “urban area” that commenters believe we should consider for purposes of this requirement?  </w:t>
      </w:r>
    </w:p>
    <w:p w:rsidR="00EA0C91" w:rsidRPr="000139FE" w:rsidRDefault="005D78DD" w:rsidP="00117F95">
      <w:pPr>
        <w:pStyle w:val="ParaNum"/>
        <w:widowControl/>
      </w:pPr>
      <w:r>
        <w:t>We propose to make a specific exception for supported parties serving Alaska in light of the distinct character of Alaska and the related costs of providing service, and in line with the approach adopted for Auction 901.</w:t>
      </w:r>
      <w:r>
        <w:rPr>
          <w:rStyle w:val="FootnoteReference"/>
        </w:rPr>
        <w:footnoteReference w:id="99"/>
      </w:r>
      <w:r>
        <w:t xml:space="preserve">  We propose that supported parties in Alaska may demonstrate comparability by comparison with rates offered in the CMA for Anchorage, Alaska.  In this regard, we note that the Anchorage, Alaska CMA has a population of over 250,000 and four wireless providers, which indicates that, while reflecting the particular challenges of offering service in Alaska, competition for customers there could act to keep rates for offered services reasonable.</w:t>
      </w:r>
      <w:r w:rsidR="008D3DB0">
        <w:rPr>
          <w:rStyle w:val="FootnoteReference"/>
        </w:rPr>
        <w:footnoteReference w:id="100"/>
      </w:r>
    </w:p>
    <w:p w:rsidR="00151ABA" w:rsidRPr="00DC1586" w:rsidRDefault="00151ABA" w:rsidP="00117F95">
      <w:pPr>
        <w:pStyle w:val="Heading1"/>
        <w:widowControl/>
      </w:pPr>
      <w:bookmarkStart w:id="189" w:name="_Toc315868096"/>
      <w:bookmarkStart w:id="190" w:name="_Toc315956831"/>
      <w:bookmarkStart w:id="191" w:name="_Toc349805104"/>
      <w:bookmarkStart w:id="192" w:name="_Toc349921079"/>
      <w:bookmarkStart w:id="193" w:name="_Toc350158514"/>
      <w:r w:rsidRPr="00DC1586">
        <w:t>deadlines and filing procedures</w:t>
      </w:r>
      <w:bookmarkEnd w:id="184"/>
      <w:bookmarkEnd w:id="185"/>
      <w:bookmarkEnd w:id="186"/>
      <w:bookmarkEnd w:id="187"/>
      <w:bookmarkEnd w:id="189"/>
      <w:bookmarkEnd w:id="190"/>
      <w:bookmarkEnd w:id="191"/>
      <w:bookmarkEnd w:id="192"/>
      <w:bookmarkEnd w:id="193"/>
      <w:r w:rsidR="00AF09FC">
        <w:t xml:space="preserve"> </w:t>
      </w:r>
    </w:p>
    <w:p w:rsidR="00151ABA" w:rsidRPr="00672743" w:rsidRDefault="00634222" w:rsidP="00117F95">
      <w:pPr>
        <w:pStyle w:val="ParaNum"/>
        <w:widowControl/>
      </w:pPr>
      <w:bookmarkStart w:id="194" w:name="_Toc166556392"/>
      <w:bookmarkStart w:id="195" w:name="_Toc166556393"/>
      <w:bookmarkStart w:id="196" w:name="_Toc166556394"/>
      <w:bookmarkStart w:id="197" w:name="_Toc166556395"/>
      <w:bookmarkStart w:id="198" w:name="_Toc173811395"/>
      <w:bookmarkStart w:id="199" w:name="_Toc173811397"/>
      <w:bookmarkStart w:id="200" w:name="_Toc173215463"/>
      <w:bookmarkStart w:id="201" w:name="_Toc163027499"/>
      <w:bookmarkStart w:id="202" w:name="_Toc172347738"/>
      <w:bookmarkStart w:id="203" w:name="_Toc172347963"/>
      <w:bookmarkStart w:id="204" w:name="_Toc172359073"/>
      <w:bookmarkStart w:id="205" w:name="_Toc172347739"/>
      <w:bookmarkStart w:id="206" w:name="_Toc172347964"/>
      <w:bookmarkStart w:id="207" w:name="_Toc172359074"/>
      <w:bookmarkStart w:id="208" w:name="_Toc172347742"/>
      <w:bookmarkStart w:id="209" w:name="_Toc172347967"/>
      <w:bookmarkStart w:id="210" w:name="_Toc172359077"/>
      <w:bookmarkStart w:id="211" w:name="_Toc172347743"/>
      <w:bookmarkStart w:id="212" w:name="_Toc172347968"/>
      <w:bookmarkStart w:id="213" w:name="_Toc172359078"/>
      <w:bookmarkStart w:id="214" w:name="_Toc171936303"/>
      <w:bookmarkStart w:id="215" w:name="_Toc172347744"/>
      <w:bookmarkStart w:id="216" w:name="_Toc172347969"/>
      <w:bookmarkStart w:id="217" w:name="_Toc172359079"/>
      <w:bookmarkStart w:id="218" w:name="_Toc172535523"/>
      <w:bookmarkStart w:id="219" w:name="_Toc163027514"/>
      <w:bookmarkStart w:id="220" w:name="_Toc173652854"/>
      <w:bookmarkStart w:id="221" w:name="_Toc173745853"/>
      <w:bookmarkStart w:id="222" w:name="_Toc173745854"/>
      <w:bookmarkStart w:id="223" w:name="_Toc173745857"/>
      <w:bookmarkStart w:id="224" w:name="_Toc173745858"/>
      <w:bookmarkStart w:id="225" w:name="_Toc173745859"/>
      <w:bookmarkStart w:id="226" w:name="_Toc173745894"/>
      <w:bookmarkStart w:id="227" w:name="_Toc173745895"/>
      <w:bookmarkStart w:id="228" w:name="_Toc173745896"/>
      <w:bookmarkStart w:id="229" w:name="_Toc173745899"/>
      <w:bookmarkStart w:id="230" w:name="_Toc1737459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Pursuant to sections 1.415 and 1.419 of the Commission’s rules, 47 C</w:t>
      </w:r>
      <w:r w:rsidR="00855992">
        <w:t>.</w:t>
      </w:r>
      <w:r>
        <w:t>F</w:t>
      </w:r>
      <w:r w:rsidR="00855992">
        <w:t>.</w:t>
      </w:r>
      <w:r>
        <w:t>R</w:t>
      </w:r>
      <w:r w:rsidR="00855992">
        <w:t>.</w:t>
      </w:r>
      <w:r>
        <w:t xml:space="preserve">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151ABA" w:rsidRPr="00672743" w:rsidRDefault="00151ABA" w:rsidP="00117F95">
      <w:pPr>
        <w:pStyle w:val="ParaNum"/>
        <w:widowControl/>
      </w:pPr>
      <w:r w:rsidRPr="00672743">
        <w:rPr>
          <w:i/>
        </w:rPr>
        <w:t>Electronic Filers</w:t>
      </w:r>
      <w:r w:rsidRPr="00672743">
        <w:t xml:space="preserve">:  </w:t>
      </w:r>
      <w:r w:rsidR="00634222">
        <w:t xml:space="preserve">Comments may be filed electronically using the Internet by accessing the ECFS:  </w:t>
      </w:r>
      <w:hyperlink r:id="rId11" w:history="1">
        <w:r w:rsidR="00634222">
          <w:rPr>
            <w:rStyle w:val="Hyperlink"/>
          </w:rPr>
          <w:t>http://fjallfoss.fcc.gov/ecfs2/</w:t>
        </w:r>
      </w:hyperlink>
      <w:r w:rsidR="00634222">
        <w:t>.</w:t>
      </w:r>
    </w:p>
    <w:p w:rsidR="00151ABA" w:rsidRPr="00672743" w:rsidRDefault="00151ABA" w:rsidP="00117F95">
      <w:pPr>
        <w:pStyle w:val="ParaNum"/>
        <w:widowControl/>
      </w:pPr>
      <w:r w:rsidRPr="00672743">
        <w:rPr>
          <w:i/>
        </w:rPr>
        <w:t>Paper Filers</w:t>
      </w:r>
      <w:r w:rsidRPr="00672743">
        <w:t xml:space="preserve">: Parties who choose to file by paper must file an original and </w:t>
      </w:r>
      <w:r w:rsidR="00634222">
        <w:t xml:space="preserve">one </w:t>
      </w:r>
      <w:r w:rsidRPr="00672743">
        <w:t>cop</w:t>
      </w:r>
      <w:r w:rsidR="00634222">
        <w:t>y</w:t>
      </w:r>
      <w:r w:rsidRPr="00672743">
        <w:t xml:space="preserve"> of each filing.  </w:t>
      </w:r>
      <w:r w:rsidR="00793D1F">
        <w:t>All paper submissions should include a reference to “</w:t>
      </w:r>
      <w:r w:rsidR="00793D1F" w:rsidRPr="00672743">
        <w:t xml:space="preserve">AU Docket No. </w:t>
      </w:r>
      <w:r w:rsidR="00793D1F">
        <w:t>13</w:t>
      </w:r>
      <w:r w:rsidR="00793D1F" w:rsidRPr="00672743">
        <w:t>-</w:t>
      </w:r>
      <w:r w:rsidR="0047398B">
        <w:t>53</w:t>
      </w:r>
      <w:r w:rsidR="00793D1F">
        <w:t xml:space="preserve">” prominently displayed on the first page.  </w:t>
      </w:r>
      <w:r w:rsidRPr="00672743">
        <w:t>Filings can be sent by hand or messenger delivery, by commercial overnight courier, or by first-class or overnight U.S. Postal Service mail.  All filings must be addressed to the Commission’s Secretary Attn: WTB/ASAD, Office of the Secretary, Federal Communications Commission.</w:t>
      </w:r>
    </w:p>
    <w:p w:rsidR="00151ABA" w:rsidRPr="00672743" w:rsidRDefault="00151ABA" w:rsidP="00117F95">
      <w:pPr>
        <w:widowControl/>
        <w:tabs>
          <w:tab w:val="left" w:pos="360"/>
        </w:tabs>
        <w:spacing w:after="120"/>
        <w:ind w:left="720" w:hanging="360"/>
      </w:pPr>
      <w:r w:rsidRPr="00672743">
        <w:rPr>
          <w:rFonts w:ascii="Symbol" w:hAnsi="Symbol"/>
        </w:rPr>
        <w:t></w:t>
      </w:r>
      <w:r w:rsidRPr="00672743">
        <w:rPr>
          <w:rFonts w:ascii="Symbol" w:hAnsi="Symbol"/>
        </w:rPr>
        <w:tab/>
      </w:r>
      <w:r w:rsidR="00634222">
        <w:t>All hand-delivered or messenger-delivered paper filings</w:t>
      </w:r>
      <w:r w:rsidRPr="00672743">
        <w:t xml:space="preserve"> for the Commission’s Secretary </w:t>
      </w:r>
      <w:r w:rsidR="00634222">
        <w:t xml:space="preserve">must be delivered to </w:t>
      </w:r>
      <w:r>
        <w:t>FCC Headquarters at 445 12</w:t>
      </w:r>
      <w:r w:rsidRPr="00550404">
        <w:rPr>
          <w:vertAlign w:val="superscript"/>
        </w:rPr>
        <w:t>th</w:t>
      </w:r>
      <w:r>
        <w:t xml:space="preserve"> Street, SW, Room TW-A325, </w:t>
      </w:r>
      <w:r w:rsidRPr="00672743">
        <w:t>Washington, DC  20</w:t>
      </w:r>
      <w:r>
        <w:t>554</w:t>
      </w:r>
      <w:r w:rsidRPr="00672743">
        <w:t xml:space="preserve">.  The filing hours are 8:00 a.m. to 7:00 p.m. Eastern Time (ET).  All hand deliveries must be held together with rubber bands or fasteners.  Any envelopes </w:t>
      </w:r>
      <w:r w:rsidR="00634222">
        <w:t xml:space="preserve">and boxes </w:t>
      </w:r>
      <w:r w:rsidRPr="00672743">
        <w:t>must be disposed of before entering the building.</w:t>
      </w:r>
    </w:p>
    <w:p w:rsidR="00151ABA" w:rsidRPr="00672743" w:rsidRDefault="00151ABA" w:rsidP="00117F95">
      <w:pPr>
        <w:widowControl/>
        <w:tabs>
          <w:tab w:val="left" w:pos="360"/>
        </w:tabs>
        <w:spacing w:after="120"/>
        <w:ind w:left="720" w:hanging="360"/>
      </w:pPr>
      <w:r w:rsidRPr="00672743">
        <w:rPr>
          <w:rFonts w:ascii="Symbol" w:hAnsi="Symbol"/>
        </w:rPr>
        <w:t></w:t>
      </w:r>
      <w:r w:rsidRPr="00672743">
        <w:rPr>
          <w:rFonts w:ascii="Symbol" w:hAnsi="Symbol"/>
        </w:rPr>
        <w:tab/>
      </w:r>
      <w:r w:rsidRPr="00672743">
        <w:t>Commercial overnight mail (other than U.S. Postal Service Express Mail and Priority Mail) must be sent to 9300 East Hampton Drive, Capitol Heights, MD  20743.</w:t>
      </w:r>
    </w:p>
    <w:p w:rsidR="00151ABA" w:rsidRPr="00672743" w:rsidRDefault="00151ABA" w:rsidP="00117F95">
      <w:pPr>
        <w:widowControl/>
        <w:tabs>
          <w:tab w:val="left" w:pos="360"/>
        </w:tabs>
        <w:spacing w:after="120"/>
        <w:ind w:left="720" w:hanging="360"/>
      </w:pPr>
      <w:r w:rsidRPr="00672743">
        <w:rPr>
          <w:rFonts w:ascii="Symbol" w:hAnsi="Symbol"/>
        </w:rPr>
        <w:t></w:t>
      </w:r>
      <w:r w:rsidRPr="00672743">
        <w:rPr>
          <w:rFonts w:ascii="Symbol" w:hAnsi="Symbol"/>
        </w:rPr>
        <w:tab/>
      </w:r>
      <w:r w:rsidRPr="00672743">
        <w:t xml:space="preserve">U.S. Postal Service first-class, Express, and Priority mail </w:t>
      </w:r>
      <w:r>
        <w:t>must</w:t>
      </w:r>
      <w:r w:rsidRPr="00672743">
        <w:t xml:space="preserve"> be addressed to 445 12th Street, SW, Washington DC  20554.</w:t>
      </w:r>
    </w:p>
    <w:p w:rsidR="00151ABA" w:rsidRDefault="00151ABA" w:rsidP="00117F95">
      <w:pPr>
        <w:pStyle w:val="ParaNum"/>
        <w:widowControl/>
      </w:pPr>
      <w:r w:rsidRPr="00672743">
        <w:rPr>
          <w:i/>
        </w:rPr>
        <w:t xml:space="preserve">Auction </w:t>
      </w:r>
      <w:r>
        <w:rPr>
          <w:i/>
        </w:rPr>
        <w:t>90</w:t>
      </w:r>
      <w:r w:rsidR="007A5456">
        <w:rPr>
          <w:i/>
        </w:rPr>
        <w:t xml:space="preserve">2 </w:t>
      </w:r>
      <w:r w:rsidRPr="00672743">
        <w:rPr>
          <w:i/>
        </w:rPr>
        <w:t>E-mail Box</w:t>
      </w:r>
      <w:r w:rsidRPr="00672743">
        <w:t>:  The Bureau</w:t>
      </w:r>
      <w:r>
        <w:t>s</w:t>
      </w:r>
      <w:r w:rsidRPr="00672743">
        <w:t xml:space="preserve"> also request that a copy of all comments and reply comments be submitted electronically to the following address: </w:t>
      </w:r>
      <w:hyperlink r:id="rId12" w:history="1">
        <w:r w:rsidR="007A5456" w:rsidRPr="00D85D00">
          <w:rPr>
            <w:rStyle w:val="Hyperlink"/>
          </w:rPr>
          <w:t>auction902@fcc.gov</w:t>
        </w:r>
      </w:hyperlink>
      <w:r w:rsidRPr="00672743">
        <w:t>.</w:t>
      </w:r>
      <w:r w:rsidR="003F7369">
        <w:t xml:space="preserve">  To the extent that commenters identify census blocks for removal and/or addition to our list of potentially eligible census blocks, we request that such lists be filed in MS Excel format through the Auction 902 e-mail box.</w:t>
      </w:r>
    </w:p>
    <w:p w:rsidR="002A74FE" w:rsidRPr="00672743" w:rsidRDefault="002A74FE" w:rsidP="00117F95">
      <w:pPr>
        <w:pStyle w:val="ParaNum"/>
        <w:widowControl/>
      </w:pPr>
      <w:r w:rsidRPr="00E74637">
        <w:rPr>
          <w:i/>
        </w:rPr>
        <w:t>People with D</w:t>
      </w:r>
      <w:r>
        <w:rPr>
          <w:i/>
        </w:rPr>
        <w:t>is</w:t>
      </w:r>
      <w:r w:rsidRPr="00E74637">
        <w:rPr>
          <w:i/>
        </w:rPr>
        <w:t>abilities</w:t>
      </w:r>
      <w:r>
        <w:t xml:space="preserve">:  </w:t>
      </w:r>
      <w:r w:rsidRPr="009A2FD9">
        <w:t xml:space="preserve">To request materials in accessible formats </w:t>
      </w:r>
      <w:r w:rsidR="00E844CA" w:rsidRPr="009A2FD9">
        <w:t>(Braille, large print, electronic files, audio format)</w:t>
      </w:r>
      <w:r w:rsidR="00E844CA">
        <w:t xml:space="preserve"> </w:t>
      </w:r>
      <w:r w:rsidRPr="009A2FD9">
        <w:t xml:space="preserve">for people with disabilities, send an e-mail to </w:t>
      </w:r>
      <w:hyperlink r:id="rId13" w:history="1">
        <w:r w:rsidR="009F4D4E" w:rsidRPr="001D6A8B">
          <w:rPr>
            <w:rStyle w:val="Hyperlink"/>
          </w:rPr>
          <w:t>fcc504@fcc.gov</w:t>
        </w:r>
      </w:hyperlink>
      <w:r w:rsidR="009F4D4E">
        <w:t xml:space="preserve"> </w:t>
      </w:r>
      <w:r w:rsidRPr="009A2FD9">
        <w:t>or call the Consumer and Governmental Affairs Bureau at (202) 418-0530 or (202) 418-0432 (TTY).</w:t>
      </w:r>
    </w:p>
    <w:p w:rsidR="00151ABA" w:rsidRPr="00672743" w:rsidRDefault="002A74FE" w:rsidP="00117F95">
      <w:pPr>
        <w:pStyle w:val="ParaNum"/>
        <w:widowControl/>
        <w:tabs>
          <w:tab w:val="left" w:pos="1080"/>
        </w:tabs>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01"/>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presentation was made, and (2) summarize all data presented and arguments made during the presentation.  If the presentation consisted in whole or in part of the presentation of data or arguments already reflected in the presenter’s written comments, memoranda</w:t>
      </w:r>
      <w:r w:rsidR="000D2063">
        <w:t>,</w:t>
      </w:r>
      <w: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8C4854">
        <w:rPr>
          <w:i/>
          <w:iCs/>
        </w:rPr>
        <w:t>e.g.</w:t>
      </w:r>
      <w:r>
        <w:t xml:space="preserve">, .doc, .xml, .ppt, searchable .pdf).  Participants in this proceeding should familiarize themselves with the Commission’s </w:t>
      </w:r>
      <w:r>
        <w:rPr>
          <w:i/>
          <w:iCs/>
        </w:rPr>
        <w:t xml:space="preserve">ex parte </w:t>
      </w:r>
      <w:r>
        <w:t>rules.</w:t>
      </w:r>
    </w:p>
    <w:p w:rsidR="00151ABA" w:rsidRPr="00672743" w:rsidRDefault="00151ABA" w:rsidP="00117F95">
      <w:pPr>
        <w:pStyle w:val="Heading1"/>
        <w:widowControl/>
      </w:pPr>
      <w:bookmarkStart w:id="231" w:name="_Toc150843268"/>
      <w:bookmarkStart w:id="232" w:name="_Toc150843335"/>
      <w:bookmarkStart w:id="233" w:name="_Toc150843532"/>
      <w:bookmarkStart w:id="234" w:name="_Toc150843645"/>
      <w:bookmarkStart w:id="235" w:name="_Toc150843720"/>
      <w:bookmarkStart w:id="236" w:name="_Toc150857315"/>
      <w:bookmarkStart w:id="237" w:name="_Toc151201058"/>
      <w:bookmarkStart w:id="238" w:name="_Toc153165408"/>
      <w:bookmarkStart w:id="239" w:name="_Toc153190419"/>
      <w:bookmarkStart w:id="240" w:name="_Toc161482724"/>
      <w:bookmarkStart w:id="241" w:name="_Toc161640231"/>
      <w:bookmarkStart w:id="242" w:name="_Toc162337020"/>
      <w:bookmarkStart w:id="243" w:name="_Toc163027520"/>
      <w:bookmarkStart w:id="244" w:name="_Toc163548622"/>
      <w:bookmarkStart w:id="245" w:name="_Toc166556416"/>
      <w:bookmarkStart w:id="246" w:name="_Toc167269587"/>
      <w:bookmarkStart w:id="247" w:name="_Toc167855281"/>
      <w:bookmarkStart w:id="248" w:name="_Toc169598308"/>
      <w:bookmarkStart w:id="249" w:name="_Toc170887314"/>
      <w:bookmarkStart w:id="250" w:name="_Toc171936326"/>
      <w:bookmarkStart w:id="251" w:name="_Toc172347767"/>
      <w:bookmarkStart w:id="252" w:name="_Toc172347992"/>
      <w:bookmarkStart w:id="253" w:name="_Toc172359102"/>
      <w:bookmarkStart w:id="254" w:name="_Toc172535542"/>
      <w:bookmarkStart w:id="255" w:name="_Toc173215485"/>
      <w:bookmarkStart w:id="256" w:name="_Toc173230053"/>
      <w:bookmarkStart w:id="257" w:name="_Toc173236885"/>
      <w:bookmarkStart w:id="258" w:name="_Toc173652857"/>
      <w:bookmarkStart w:id="259" w:name="_Toc173745906"/>
      <w:bookmarkStart w:id="260" w:name="_Toc173746569"/>
      <w:bookmarkStart w:id="261" w:name="_Toc173811419"/>
      <w:bookmarkStart w:id="262" w:name="_Toc174161184"/>
      <w:bookmarkStart w:id="263" w:name="_Toc174270046"/>
      <w:bookmarkStart w:id="264" w:name="_Toc174507766"/>
      <w:bookmarkStart w:id="265" w:name="_Toc174952068"/>
      <w:bookmarkStart w:id="266" w:name="_Toc175121726"/>
      <w:bookmarkStart w:id="267" w:name="_Toc175125325"/>
      <w:bookmarkStart w:id="268" w:name="_Toc176237962"/>
      <w:bookmarkStart w:id="269" w:name="_Toc176772189"/>
      <w:bookmarkStart w:id="270" w:name="_Toc192661370"/>
      <w:bookmarkStart w:id="271" w:name="_Toc193271116"/>
      <w:bookmarkStart w:id="272" w:name="_Toc315868097"/>
      <w:bookmarkStart w:id="273" w:name="_Toc315956832"/>
      <w:bookmarkStart w:id="274" w:name="_Toc349805105"/>
      <w:bookmarkStart w:id="275" w:name="_Toc349921080"/>
      <w:bookmarkStart w:id="276" w:name="_Toc350158515"/>
      <w:r w:rsidRPr="00672743">
        <w:t>Contacts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151ABA" w:rsidRPr="00672743" w:rsidRDefault="00151ABA" w:rsidP="00117F95">
      <w:pPr>
        <w:pStyle w:val="ParaNum"/>
        <w:widowControl/>
        <w:spacing w:after="240"/>
      </w:pPr>
      <w:r w:rsidRPr="00672743">
        <w:t xml:space="preserve">For further information concerning this proceeding, contact the </w:t>
      </w:r>
      <w:r>
        <w:t>offices</w:t>
      </w:r>
      <w:r w:rsidRPr="00672743">
        <w:t xml:space="preserve"> listed below:  </w:t>
      </w:r>
    </w:p>
    <w:p w:rsidR="00151ABA" w:rsidRPr="00672743" w:rsidRDefault="00151ABA" w:rsidP="00117F95">
      <w:pPr>
        <w:widowControl/>
        <w:suppressAutoHyphens/>
        <w:rPr>
          <w:b/>
        </w:rPr>
      </w:pPr>
      <w:r w:rsidRPr="00672743">
        <w:rPr>
          <w:b/>
        </w:rPr>
        <w:t>Auctions and Spectrum Access Division, Wireless Telecommunications Bureau</w:t>
      </w:r>
    </w:p>
    <w:p w:rsidR="00151ABA" w:rsidRPr="00672743" w:rsidRDefault="00151ABA" w:rsidP="00117F95">
      <w:pPr>
        <w:widowControl/>
        <w:suppressAutoHyphens/>
        <w:rPr>
          <w:b/>
        </w:rPr>
      </w:pPr>
    </w:p>
    <w:p w:rsidR="00151ABA" w:rsidRPr="00FA3BEF" w:rsidRDefault="00151ABA" w:rsidP="00117F95">
      <w:pPr>
        <w:widowControl/>
        <w:suppressAutoHyphens/>
        <w:ind w:left="2880" w:hanging="2880"/>
      </w:pPr>
      <w:r w:rsidRPr="00672743">
        <w:t xml:space="preserve">For auction </w:t>
      </w:r>
      <w:r w:rsidR="00942A5E">
        <w:t xml:space="preserve">process </w:t>
      </w:r>
      <w:r w:rsidRPr="00672743">
        <w:t>questions:</w:t>
      </w:r>
      <w:r w:rsidRPr="00672743">
        <w:tab/>
      </w:r>
      <w:r w:rsidR="007A1039">
        <w:tab/>
      </w:r>
      <w:r w:rsidR="007A1039">
        <w:tab/>
      </w:r>
      <w:r w:rsidR="00942A5E" w:rsidRPr="008C4854">
        <w:t xml:space="preserve">Lisa Stover </w:t>
      </w:r>
      <w:r w:rsidRPr="008C4854">
        <w:t>at (717) 338-2868</w:t>
      </w:r>
    </w:p>
    <w:p w:rsidR="00151ABA" w:rsidRPr="00860E24" w:rsidRDefault="00151ABA" w:rsidP="00117F95">
      <w:pPr>
        <w:widowControl/>
        <w:suppressAutoHyphens/>
        <w:ind w:left="2880" w:hanging="2880"/>
      </w:pPr>
      <w:r w:rsidRPr="00FA3BEF">
        <w:t>For</w:t>
      </w:r>
      <w:r w:rsidR="00D91770" w:rsidRPr="00934EAD">
        <w:t xml:space="preserve"> Tribal</w:t>
      </w:r>
      <w:r w:rsidRPr="001B67B2">
        <w:t xml:space="preserve"> </w:t>
      </w:r>
      <w:r w:rsidR="00942A5E" w:rsidRPr="001B67B2">
        <w:t xml:space="preserve">Mobility Fund </w:t>
      </w:r>
      <w:r w:rsidR="00042E10" w:rsidRPr="001B67B2">
        <w:t>Phase I</w:t>
      </w:r>
      <w:r w:rsidR="00942A5E" w:rsidRPr="001B67B2">
        <w:t xml:space="preserve"> </w:t>
      </w:r>
      <w:r w:rsidRPr="001B67B2">
        <w:t>questions:</w:t>
      </w:r>
      <w:r w:rsidRPr="001B67B2">
        <w:tab/>
      </w:r>
      <w:r w:rsidR="00B669C1" w:rsidRPr="001B67B2">
        <w:t>Patricia Robbins</w:t>
      </w:r>
      <w:r w:rsidR="00942A5E" w:rsidRPr="001B67B2">
        <w:t xml:space="preserve"> at </w:t>
      </w:r>
      <w:r w:rsidRPr="001B67B2">
        <w:t>(202) 418-0660</w:t>
      </w:r>
      <w:r w:rsidRPr="00860E24">
        <w:t xml:space="preserve">  </w:t>
      </w:r>
    </w:p>
    <w:p w:rsidR="00443C25" w:rsidRPr="00F77252" w:rsidRDefault="00443C25" w:rsidP="00117F95">
      <w:pPr>
        <w:widowControl/>
        <w:suppressAutoHyphens/>
        <w:ind w:left="2880" w:hanging="2880"/>
      </w:pPr>
    </w:p>
    <w:p w:rsidR="00443C25" w:rsidRPr="008D3DB0" w:rsidRDefault="00443C25" w:rsidP="00117F95">
      <w:pPr>
        <w:widowControl/>
        <w:suppressAutoHyphens/>
        <w:jc w:val="both"/>
        <w:rPr>
          <w:b/>
        </w:rPr>
      </w:pPr>
      <w:r w:rsidRPr="005D78DD">
        <w:rPr>
          <w:b/>
        </w:rPr>
        <w:t>Telecommunications Access Policy Division</w:t>
      </w:r>
      <w:r w:rsidRPr="008D3DB0">
        <w:rPr>
          <w:b/>
        </w:rPr>
        <w:t>, Wireline Competition Bureau</w:t>
      </w:r>
    </w:p>
    <w:p w:rsidR="00443C25" w:rsidRPr="008D3DB0" w:rsidRDefault="00443C25" w:rsidP="00117F95">
      <w:pPr>
        <w:widowControl/>
        <w:suppressAutoHyphens/>
      </w:pPr>
    </w:p>
    <w:p w:rsidR="00FA3BEF" w:rsidRPr="00871225" w:rsidRDefault="00443C25" w:rsidP="00117F95">
      <w:pPr>
        <w:widowControl/>
        <w:suppressAutoHyphens/>
        <w:ind w:left="2880" w:hanging="2880"/>
      </w:pPr>
      <w:r w:rsidRPr="008D3DB0">
        <w:t xml:space="preserve">For </w:t>
      </w:r>
      <w:r w:rsidR="00AD660F" w:rsidRPr="008D3DB0">
        <w:t xml:space="preserve">general universal service </w:t>
      </w:r>
      <w:r w:rsidR="00117F95" w:rsidRPr="00335842">
        <w:t>questions:</w:t>
      </w:r>
      <w:r w:rsidR="00117F95" w:rsidRPr="00335842">
        <w:tab/>
      </w:r>
      <w:r w:rsidR="007E1AAC" w:rsidRPr="008C4854">
        <w:t xml:space="preserve">Alex Minard </w:t>
      </w:r>
      <w:r w:rsidRPr="008C4854">
        <w:t>at (202) 418-</w:t>
      </w:r>
      <w:r w:rsidR="007E1AAC" w:rsidRPr="008C4854">
        <w:t>7400</w:t>
      </w:r>
    </w:p>
    <w:p w:rsidR="00443C25" w:rsidRPr="00672743" w:rsidRDefault="00443C25" w:rsidP="00117F95">
      <w:pPr>
        <w:widowControl/>
        <w:suppressAutoHyphens/>
        <w:jc w:val="both"/>
      </w:pPr>
    </w:p>
    <w:p w:rsidR="00467938" w:rsidRPr="00672743" w:rsidRDefault="00467938" w:rsidP="00467938">
      <w:pPr>
        <w:widowControl/>
        <w:suppressAutoHyphens/>
        <w:rPr>
          <w:b/>
        </w:rPr>
      </w:pPr>
      <w:r>
        <w:rPr>
          <w:b/>
        </w:rPr>
        <w:t>Office of Native Affairs and Policy</w:t>
      </w:r>
      <w:r w:rsidRPr="00672743">
        <w:rPr>
          <w:b/>
        </w:rPr>
        <w:t xml:space="preserve">, </w:t>
      </w:r>
      <w:r>
        <w:rPr>
          <w:b/>
        </w:rPr>
        <w:t>Consumer and Governmental Affairs Bureau</w:t>
      </w:r>
    </w:p>
    <w:p w:rsidR="00467938" w:rsidRPr="00672743" w:rsidRDefault="00467938" w:rsidP="00467938">
      <w:pPr>
        <w:widowControl/>
        <w:suppressAutoHyphens/>
        <w:rPr>
          <w:b/>
        </w:rPr>
      </w:pPr>
    </w:p>
    <w:p w:rsidR="00467938" w:rsidRDefault="00467938" w:rsidP="00467938">
      <w:pPr>
        <w:widowControl/>
        <w:suppressAutoHyphens/>
        <w:ind w:left="2880" w:hanging="2880"/>
      </w:pPr>
      <w:r w:rsidRPr="00672743">
        <w:t xml:space="preserve">For </w:t>
      </w:r>
      <w:r w:rsidR="00FA3BEF">
        <w:t>questions regarding Tribal land</w:t>
      </w:r>
      <w:r w:rsidR="00721044">
        <w:t>s</w:t>
      </w:r>
      <w:r w:rsidR="00FA3BEF">
        <w:t xml:space="preserve"> and Tribal governments:</w:t>
      </w:r>
      <w:r w:rsidR="00FA3BEF">
        <w:tab/>
        <w:t>Geoffrey Blackwell at (202) 418-3629</w:t>
      </w:r>
    </w:p>
    <w:p w:rsidR="00FA3BEF" w:rsidRPr="00672743" w:rsidRDefault="00FA3BEF" w:rsidP="00467938">
      <w:pPr>
        <w:widowControl/>
        <w:suppressAutoHyphens/>
        <w:ind w:left="2880" w:hanging="2880"/>
      </w:pPr>
      <w:r>
        <w:tab/>
      </w:r>
      <w:r>
        <w:tab/>
      </w:r>
      <w:r>
        <w:tab/>
      </w:r>
      <w:r>
        <w:tab/>
      </w:r>
      <w:r>
        <w:tab/>
        <w:t>Irene Flannery at (202) 418-1307</w:t>
      </w:r>
    </w:p>
    <w:p w:rsidR="00467938" w:rsidRDefault="00467938" w:rsidP="00467938">
      <w:pPr>
        <w:widowControl/>
        <w:suppressAutoHyphens/>
        <w:ind w:left="2880" w:hanging="2880"/>
      </w:pPr>
      <w:r w:rsidRPr="00672743">
        <w:t xml:space="preserve">  </w:t>
      </w:r>
    </w:p>
    <w:p w:rsidR="00151ABA" w:rsidRDefault="00151ABA" w:rsidP="00117F95">
      <w:pPr>
        <w:widowControl/>
        <w:suppressAutoHyphens/>
        <w:ind w:left="2880" w:hanging="2880"/>
      </w:pPr>
    </w:p>
    <w:p w:rsidR="00151ABA" w:rsidRDefault="00151ABA" w:rsidP="00117F95">
      <w:pPr>
        <w:widowControl/>
        <w:jc w:val="center"/>
        <w:rPr>
          <w:b/>
        </w:rPr>
      </w:pPr>
      <w:r w:rsidRPr="00DC1586">
        <w:rPr>
          <w:b/>
        </w:rPr>
        <w:t>- FCC -</w:t>
      </w:r>
    </w:p>
    <w:p w:rsidR="00151ABA" w:rsidRPr="009E6ED1" w:rsidRDefault="00151ABA" w:rsidP="00117F95">
      <w:pPr>
        <w:pStyle w:val="ParaNum"/>
        <w:widowControl/>
        <w:numPr>
          <w:ilvl w:val="0"/>
          <w:numId w:val="0"/>
        </w:numPr>
      </w:pPr>
    </w:p>
    <w:sectPr w:rsidR="00151ABA" w:rsidRPr="009E6ED1" w:rsidSect="00151ABA">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63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94" w:rsidRDefault="00B34694">
      <w:pPr>
        <w:spacing w:line="20" w:lineRule="exact"/>
      </w:pPr>
    </w:p>
  </w:endnote>
  <w:endnote w:type="continuationSeparator" w:id="0">
    <w:p w:rsidR="00B34694" w:rsidRDefault="00B34694">
      <w:r>
        <w:t xml:space="preserve"> </w:t>
      </w:r>
    </w:p>
  </w:endnote>
  <w:endnote w:type="continuationNotice" w:id="1">
    <w:p w:rsidR="00B34694" w:rsidRDefault="00B346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C" w:rsidRDefault="00AF59AC" w:rsidP="00151ABA">
    <w:pPr>
      <w:pStyle w:val="Footer"/>
      <w:framePr w:wrap="around" w:vAnchor="text" w:hAnchor="margin" w:xAlign="center" w:y="1"/>
    </w:pPr>
    <w:r>
      <w:fldChar w:fldCharType="begin"/>
    </w:r>
    <w:r>
      <w:instrText xml:space="preserve">PAGE  </w:instrText>
    </w:r>
    <w:r>
      <w:fldChar w:fldCharType="end"/>
    </w:r>
  </w:p>
  <w:p w:rsidR="00AF59AC" w:rsidRDefault="00AF5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C" w:rsidRDefault="00AF59AC" w:rsidP="009B58D6">
    <w:pPr>
      <w:pStyle w:val="Footer"/>
      <w:jc w:val="center"/>
    </w:pPr>
    <w:r>
      <w:fldChar w:fldCharType="begin"/>
    </w:r>
    <w:r>
      <w:instrText xml:space="preserve"> PAGE   \* MERGEFORMAT </w:instrText>
    </w:r>
    <w:r>
      <w:fldChar w:fldCharType="separate"/>
    </w:r>
    <w:r w:rsidR="005C031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C" w:rsidRDefault="00AF59A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94" w:rsidRDefault="00B34694">
      <w:r>
        <w:separator/>
      </w:r>
    </w:p>
  </w:footnote>
  <w:footnote w:type="continuationSeparator" w:id="0">
    <w:p w:rsidR="00B34694" w:rsidRDefault="00B34694">
      <w:pPr>
        <w:rPr>
          <w:sz w:val="20"/>
        </w:rPr>
      </w:pPr>
      <w:r>
        <w:rPr>
          <w:sz w:val="20"/>
        </w:rPr>
        <w:t xml:space="preserve">(Continued from previous page)  </w:t>
      </w:r>
      <w:r>
        <w:rPr>
          <w:sz w:val="20"/>
        </w:rPr>
        <w:separator/>
      </w:r>
    </w:p>
  </w:footnote>
  <w:footnote w:type="continuationNotice" w:id="1">
    <w:p w:rsidR="00B34694" w:rsidRDefault="00B34694">
      <w:pPr>
        <w:rPr>
          <w:sz w:val="20"/>
        </w:rPr>
      </w:pPr>
      <w:r>
        <w:rPr>
          <w:sz w:val="20"/>
        </w:rPr>
        <w:t>(continued….)</w:t>
      </w:r>
    </w:p>
  </w:footnote>
  <w:footnote w:id="2">
    <w:p w:rsidR="00AF59AC" w:rsidRPr="00EB5AE7" w:rsidRDefault="00AF59AC">
      <w:pPr>
        <w:pStyle w:val="FootnoteText"/>
      </w:pPr>
      <w:r>
        <w:rPr>
          <w:rStyle w:val="FootnoteReference"/>
        </w:rPr>
        <w:footnoteRef/>
      </w:r>
      <w:r>
        <w:t xml:space="preserve"> </w:t>
      </w:r>
      <w:r w:rsidRPr="00E7697A">
        <w:t xml:space="preserve">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sidRPr="00E7697A">
        <w:rPr>
          <w:i/>
        </w:rPr>
        <w:t>Report and Order and Further Notice of Proposed Rulemaking</w:t>
      </w:r>
      <w:r w:rsidRPr="00E7697A">
        <w:t xml:space="preserve">, FCC 11-161, </w:t>
      </w:r>
      <w:r>
        <w:t>26 FCC Rcd 17663, 17819, para. 481 (</w:t>
      </w:r>
      <w:r w:rsidRPr="009963B2">
        <w:t>2011</w:t>
      </w:r>
      <w:r>
        <w:t>)</w:t>
      </w:r>
      <w:r w:rsidRPr="009963B2">
        <w:t xml:space="preserve"> (</w:t>
      </w:r>
      <w:r w:rsidRPr="009963B2">
        <w:rPr>
          <w:i/>
        </w:rPr>
        <w:t>USF/ICC Transformation Order</w:t>
      </w:r>
      <w:r w:rsidRPr="009963B2">
        <w:t>)</w:t>
      </w:r>
      <w:r>
        <w:t xml:space="preserve">, </w:t>
      </w:r>
      <w:r>
        <w:rPr>
          <w:i/>
          <w:iCs/>
        </w:rPr>
        <w:t xml:space="preserve">pets. for review </w:t>
      </w:r>
      <w:r w:rsidRPr="00087D95">
        <w:rPr>
          <w:i/>
          <w:iCs/>
        </w:rPr>
        <w:t>pending sub nom. In re: FCC 11-161</w:t>
      </w:r>
      <w:r w:rsidRPr="00087D95">
        <w:t>, No. 11-9900 (10th Cir. filed Dec. 8, 2011)</w:t>
      </w:r>
      <w:r w:rsidRPr="009963B2">
        <w:t>.</w:t>
      </w:r>
      <w:r>
        <w:rPr>
          <w:snapToGrid w:val="0"/>
        </w:rPr>
        <w:t xml:space="preserve">  The </w:t>
      </w:r>
      <w:r w:rsidRPr="009963B2">
        <w:rPr>
          <w:i/>
        </w:rPr>
        <w:t>USF/ICC Transformation Order</w:t>
      </w:r>
      <w:r>
        <w:t xml:space="preserve"> contains a definition of “Tribal lands.”  </w:t>
      </w:r>
      <w:r>
        <w:rPr>
          <w:i/>
        </w:rPr>
        <w:t xml:space="preserve">Id. </w:t>
      </w:r>
      <w:r w:rsidRPr="006E048B">
        <w:t>at 17711, para. 126 n.197.</w:t>
      </w:r>
      <w:r>
        <w:t xml:space="preserve">  That definition, as applied to the proposed eligible areas for Auction 902, is discussed below.  </w:t>
      </w:r>
      <w:r>
        <w:rPr>
          <w:i/>
        </w:rPr>
        <w:t>See</w:t>
      </w:r>
      <w:r>
        <w:t xml:space="preserve"> section III.A. &amp; n.38, below. </w:t>
      </w:r>
    </w:p>
  </w:footnote>
  <w:footnote w:id="3">
    <w:p w:rsidR="00AF59AC" w:rsidRPr="009963B2" w:rsidRDefault="00AF59AC" w:rsidP="00087D95">
      <w:pPr>
        <w:pStyle w:val="FootnoteText"/>
      </w:pPr>
      <w:r>
        <w:rPr>
          <w:rStyle w:val="FootnoteReference"/>
        </w:rPr>
        <w:footnoteRef/>
      </w:r>
      <w:r>
        <w:t xml:space="preserve"> </w:t>
      </w:r>
      <w:r w:rsidRPr="009963B2">
        <w:rPr>
          <w:i/>
        </w:rPr>
        <w:t>USF/ICC Transformation Order</w:t>
      </w:r>
      <w:r>
        <w:t>, 26 FCC Rcd at 17818-23, paras. 479-91</w:t>
      </w:r>
      <w:r w:rsidRPr="009963B2">
        <w:t>.</w:t>
      </w:r>
    </w:p>
  </w:footnote>
  <w:footnote w:id="4">
    <w:p w:rsidR="00AF59AC" w:rsidRDefault="00AF59AC">
      <w:pPr>
        <w:pStyle w:val="FootnoteText"/>
      </w:pPr>
      <w:r>
        <w:rPr>
          <w:rStyle w:val="FootnoteReference"/>
        </w:rPr>
        <w:footnoteRef/>
      </w:r>
      <w:r>
        <w:t xml:space="preserve"> We use the terms “3G,” “3G or better,” “current generation,” and “advanced” interchangeably to refer to mobile wireless services that provide voice telephony service on networks that also provide services such as Internet access and email.  </w:t>
      </w:r>
      <w:r w:rsidRPr="00944B48">
        <w:t>We refer throughout this Public Notice to</w:t>
      </w:r>
      <w:r>
        <w:t xml:space="preserve"> “awarding” or “selecting awardees” by </w:t>
      </w:r>
      <w:r w:rsidRPr="00944B48">
        <w:t>auction for simplicity of expression.</w:t>
      </w:r>
      <w:r>
        <w:t xml:space="preserve"> </w:t>
      </w:r>
      <w:r w:rsidRPr="00944B48">
        <w:t xml:space="preserve"> As provided by the Commission</w:t>
      </w:r>
      <w:r>
        <w:t>’</w:t>
      </w:r>
      <w:r w:rsidRPr="00944B48">
        <w:t xml:space="preserve">s rules, 47 C.F.R. </w:t>
      </w:r>
      <w:r>
        <w:t xml:space="preserve">§§ </w:t>
      </w:r>
      <w:r w:rsidRPr="00944B48">
        <w:t xml:space="preserve">54.1005(b) and 54.1008(a), and discussed further </w:t>
      </w:r>
      <w:r>
        <w:rPr>
          <w:iCs/>
        </w:rPr>
        <w:t>below</w:t>
      </w:r>
      <w:r w:rsidRPr="00944B48">
        <w:t xml:space="preserve">, </w:t>
      </w:r>
      <w:r>
        <w:t xml:space="preserve">each </w:t>
      </w:r>
      <w:r w:rsidRPr="00944B48">
        <w:t>part</w:t>
      </w:r>
      <w:r>
        <w:t>y</w:t>
      </w:r>
      <w:r w:rsidRPr="00944B48">
        <w:t xml:space="preserve"> that become</w:t>
      </w:r>
      <w:r>
        <w:t>s a</w:t>
      </w:r>
      <w:r w:rsidRPr="00944B48">
        <w:t xml:space="preserve"> winning bidder in the auction</w:t>
      </w:r>
      <w:r>
        <w:t xml:space="preserve"> must </w:t>
      </w:r>
      <w:r w:rsidRPr="00944B48">
        <w:t>file an application for support.</w:t>
      </w:r>
      <w:r>
        <w:t xml:space="preserve"> </w:t>
      </w:r>
      <w:r w:rsidRPr="00944B48">
        <w:t xml:space="preserve"> Only after </w:t>
      </w:r>
      <w:r>
        <w:t xml:space="preserve">review of the application to confirm compliance </w:t>
      </w:r>
      <w:r w:rsidRPr="00944B48">
        <w:t xml:space="preserve">with all the applicable requirements will </w:t>
      </w:r>
      <w:r>
        <w:t xml:space="preserve">a </w:t>
      </w:r>
      <w:r w:rsidRPr="00944B48">
        <w:t>winning bidder become authorized to receive support.</w:t>
      </w:r>
    </w:p>
  </w:footnote>
  <w:footnote w:id="5">
    <w:p w:rsidR="00AF59AC" w:rsidRDefault="00AF59AC" w:rsidP="00151ABA">
      <w:pPr>
        <w:pStyle w:val="FootnoteText"/>
      </w:pPr>
      <w:r>
        <w:rPr>
          <w:rStyle w:val="FootnoteReference"/>
        </w:rPr>
        <w:footnoteRef/>
      </w:r>
      <w:r>
        <w:t xml:space="preserve"> </w:t>
      </w:r>
      <w:r w:rsidRPr="009963B2">
        <w:rPr>
          <w:i/>
        </w:rPr>
        <w:t>USF/ICC Transformation Order</w:t>
      </w:r>
      <w:r>
        <w:t>, 26 FCC Rcd at 17822, para. 488 (concluding that a population-based metric is appropriate for the Tribal Mobility Fund Phase I auction)</w:t>
      </w:r>
      <w:r w:rsidRPr="009963B2">
        <w:t>.</w:t>
      </w:r>
    </w:p>
  </w:footnote>
  <w:footnote w:id="6">
    <w:p w:rsidR="00AF59AC" w:rsidRDefault="00AF59AC">
      <w:pPr>
        <w:pStyle w:val="FootnoteText"/>
      </w:pPr>
      <w:r>
        <w:rPr>
          <w:rStyle w:val="FootnoteReference"/>
        </w:rPr>
        <w:footnoteRef/>
      </w:r>
      <w:r>
        <w:t xml:space="preserve"> </w:t>
      </w:r>
      <w:r>
        <w:rPr>
          <w:i/>
        </w:rPr>
        <w:t xml:space="preserve">See </w:t>
      </w:r>
      <w:r w:rsidRPr="009963B2">
        <w:t xml:space="preserve">Mobility Fund Phase I Auction Scheduled for September 27, 2012; Notice and Filing Requirements and Other Procedures for Auction 901, </w:t>
      </w:r>
      <w:r w:rsidRPr="009963B2">
        <w:rPr>
          <w:i/>
          <w:iCs/>
        </w:rPr>
        <w:t>Public Notice</w:t>
      </w:r>
      <w:r w:rsidRPr="009963B2">
        <w:t>, AU Docket No. 12-25, DA 12-641, 27 FCC Rcd 4725 (2012) (</w:t>
      </w:r>
      <w:r w:rsidRPr="009963B2">
        <w:rPr>
          <w:i/>
          <w:iCs/>
        </w:rPr>
        <w:t>Auction 901 Procedures Public Notice</w:t>
      </w:r>
      <w:r w:rsidRPr="009963B2">
        <w:t>)</w:t>
      </w:r>
      <w:r>
        <w:t xml:space="preserve">.  Information on Auction 901, including copies of all Auction 901 Public Notices and auction results, may be found on the Commission’s Auction 901 web page at: </w:t>
      </w:r>
      <w:hyperlink r:id="rId1" w:history="1">
        <w:r w:rsidRPr="008E7D4F">
          <w:rPr>
            <w:rStyle w:val="Hyperlink"/>
          </w:rPr>
          <w:t>http://wireless.fcc.gov/auctions/901</w:t>
        </w:r>
      </w:hyperlink>
      <w:r>
        <w:t xml:space="preserve">. </w:t>
      </w:r>
    </w:p>
  </w:footnote>
  <w:footnote w:id="7">
    <w:p w:rsidR="00AF59AC" w:rsidRDefault="00AF59AC" w:rsidP="00B90C92">
      <w:pPr>
        <w:pStyle w:val="FootnoteText"/>
      </w:pPr>
      <w:r>
        <w:rPr>
          <w:rStyle w:val="FootnoteReference"/>
        </w:rPr>
        <w:footnoteRef/>
      </w:r>
      <w:r>
        <w:t xml:space="preserve"> </w:t>
      </w:r>
      <w:r>
        <w:rPr>
          <w:i/>
        </w:rPr>
        <w:t>USF/ICC Transformation Order</w:t>
      </w:r>
      <w:r>
        <w:t>, 26 FCC Rcd at 17820, 17822, paras. 484, 488.</w:t>
      </w:r>
    </w:p>
  </w:footnote>
  <w:footnote w:id="8">
    <w:p w:rsidR="00AF59AC" w:rsidRPr="008E2DA5" w:rsidRDefault="00AF59AC">
      <w:pPr>
        <w:pStyle w:val="FootnoteText"/>
      </w:pPr>
      <w:r>
        <w:rPr>
          <w:rStyle w:val="FootnoteReference"/>
        </w:rPr>
        <w:footnoteRef/>
      </w:r>
      <w:r>
        <w:t xml:space="preserve"> </w:t>
      </w:r>
      <w:r>
        <w:rPr>
          <w:i/>
        </w:rPr>
        <w:t>Id.</w:t>
      </w:r>
      <w:r>
        <w:t xml:space="preserve"> at 17822, para. 488.  Throughout this Public Notice, the term “per-pop” means per population (or per person) within a given geographic area.</w:t>
      </w:r>
    </w:p>
  </w:footnote>
  <w:footnote w:id="9">
    <w:p w:rsidR="00AF59AC" w:rsidRDefault="00AF59AC">
      <w:pPr>
        <w:pStyle w:val="FootnoteText"/>
      </w:pPr>
      <w:r>
        <w:rPr>
          <w:rStyle w:val="FootnoteReference"/>
        </w:rPr>
        <w:footnoteRef/>
      </w:r>
      <w:r>
        <w:t xml:space="preserve"> </w:t>
      </w:r>
      <w:r>
        <w:rPr>
          <w:i/>
          <w:snapToGrid w:val="0"/>
        </w:rPr>
        <w:t>See id.</w:t>
      </w:r>
      <w:r>
        <w:rPr>
          <w:snapToGrid w:val="0"/>
        </w:rPr>
        <w:t xml:space="preserve"> at 17773, para. 299.</w:t>
      </w:r>
    </w:p>
  </w:footnote>
  <w:footnote w:id="10">
    <w:p w:rsidR="00AF59AC" w:rsidRDefault="00AF59AC">
      <w:pPr>
        <w:pStyle w:val="FootnoteText"/>
      </w:pPr>
      <w:r>
        <w:rPr>
          <w:rStyle w:val="FootnoteReference"/>
        </w:rPr>
        <w:footnoteRef/>
      </w:r>
      <w:r>
        <w:t xml:space="preserve"> </w:t>
      </w:r>
      <w:r w:rsidRPr="00D90004">
        <w:t xml:space="preserve">Mobility Fund Phase I Auction Closes; Winning Bidders Announced for Auction 901, </w:t>
      </w:r>
      <w:r w:rsidRPr="00D90004">
        <w:rPr>
          <w:i/>
          <w:iCs/>
        </w:rPr>
        <w:t>Public Notice</w:t>
      </w:r>
      <w:r w:rsidRPr="00D90004">
        <w:t>, AU Docket No. 12-25, DA 12-1566, 27 FCC Rcd 12031 (2012) (</w:t>
      </w:r>
      <w:r w:rsidRPr="00D90004">
        <w:rPr>
          <w:i/>
          <w:iCs/>
        </w:rPr>
        <w:t>Auction 901 Closing Public Notice</w:t>
      </w:r>
      <w:r w:rsidRPr="00D90004">
        <w:t>)</w:t>
      </w:r>
      <w:r>
        <w:t>.</w:t>
      </w:r>
    </w:p>
  </w:footnote>
  <w:footnote w:id="11">
    <w:p w:rsidR="00AF59AC" w:rsidRPr="00C80D06" w:rsidRDefault="00AF59AC" w:rsidP="00151ABA">
      <w:pPr>
        <w:pStyle w:val="FootnoteText"/>
      </w:pPr>
      <w:r>
        <w:rPr>
          <w:rStyle w:val="FootnoteReference"/>
        </w:rPr>
        <w:footnoteRef/>
      </w:r>
      <w:r>
        <w:t xml:space="preserve"> </w:t>
      </w:r>
      <w:r>
        <w:rPr>
          <w:i/>
        </w:rPr>
        <w:t>USF/ICC Transformation Order</w:t>
      </w:r>
      <w:r>
        <w:t xml:space="preserve">, 26 FCC Rcd at 17819-22, paras. 481-88.  </w:t>
      </w:r>
    </w:p>
  </w:footnote>
  <w:footnote w:id="12">
    <w:p w:rsidR="00AF59AC" w:rsidRDefault="00AF59AC">
      <w:pPr>
        <w:pStyle w:val="FootnoteText"/>
      </w:pPr>
      <w:r>
        <w:rPr>
          <w:rStyle w:val="FootnoteReference"/>
        </w:rPr>
        <w:footnoteRef/>
      </w:r>
      <w:r>
        <w:t xml:space="preserve"> </w:t>
      </w:r>
      <w:r>
        <w:rPr>
          <w:i/>
        </w:rPr>
        <w:t>See id.</w:t>
      </w:r>
      <w:r>
        <w:t xml:space="preserve"> at 17781-83, 17822, paras. 322-28, 488.  We refer to areas without 3G or better services and the population within them as “unserved.”  The unserved areas eligible for Tribal Mobility Fund Phase I will be determined as described below in section III. </w:t>
      </w:r>
    </w:p>
  </w:footnote>
  <w:footnote w:id="13">
    <w:p w:rsidR="00AF59AC" w:rsidRDefault="00AF59AC">
      <w:pPr>
        <w:pStyle w:val="FootnoteText"/>
      </w:pPr>
      <w:r>
        <w:rPr>
          <w:rStyle w:val="FootnoteReference"/>
        </w:rPr>
        <w:footnoteRef/>
      </w:r>
      <w:r>
        <w:t xml:space="preserve"> </w:t>
      </w:r>
      <w:r>
        <w:rPr>
          <w:i/>
        </w:rPr>
        <w:t>Id.</w:t>
      </w:r>
      <w:r>
        <w:t xml:space="preserve"> at 17824, para. 494.  </w:t>
      </w:r>
    </w:p>
  </w:footnote>
  <w:footnote w:id="14">
    <w:p w:rsidR="00AF59AC" w:rsidRDefault="00AF59AC">
      <w:pPr>
        <w:pStyle w:val="FootnoteText"/>
      </w:pPr>
      <w:r>
        <w:rPr>
          <w:rStyle w:val="FootnoteReference"/>
        </w:rPr>
        <w:footnoteRef/>
      </w:r>
      <w:r>
        <w:t xml:space="preserve"> </w:t>
      </w:r>
      <w:r>
        <w:rPr>
          <w:i/>
        </w:rPr>
        <w:t>Id</w:t>
      </w:r>
      <w:r>
        <w:t xml:space="preserve">. at 18069-85, paras. 1121-88; </w:t>
      </w:r>
      <w:r w:rsidRPr="00B42D5A">
        <w:t>Further Inquiry Into Issues Related to Mobility Fund Phase II</w:t>
      </w:r>
      <w:r>
        <w:t xml:space="preserve">, </w:t>
      </w:r>
      <w:r w:rsidRPr="00B42D5A">
        <w:rPr>
          <w:i/>
        </w:rPr>
        <w:t>Public Notice</w:t>
      </w:r>
      <w:r>
        <w:t xml:space="preserve">, WC Docket No. 10-90, WT Docket No. 10-208, DA 12-1853, 27 FCC Rcd 14798 (2012).  </w:t>
      </w:r>
    </w:p>
  </w:footnote>
  <w:footnote w:id="15">
    <w:p w:rsidR="00AF59AC" w:rsidRDefault="00AF59AC" w:rsidP="00C906DB">
      <w:pPr>
        <w:pStyle w:val="FootnoteText"/>
      </w:pPr>
      <w:r>
        <w:rPr>
          <w:rStyle w:val="FootnoteReference"/>
        </w:rPr>
        <w:footnoteRef/>
      </w:r>
      <w:r>
        <w:t xml:space="preserve"> </w:t>
      </w:r>
      <w:r w:rsidRPr="000F5137">
        <w:rPr>
          <w:i/>
        </w:rPr>
        <w:t>USF/ICC Transformation Order</w:t>
      </w:r>
      <w:r>
        <w:t xml:space="preserve">, 26 FCC Rcd at 17823, para. 491; 47 C.F.R. §§ 54.1004(a), 54.1005(a)(3).  A Tribally-owned or -controlled entity must have its application for ETC designation pending at the relevant short-form application deadline.  </w:t>
      </w:r>
      <w:r w:rsidRPr="000F5137">
        <w:rPr>
          <w:i/>
        </w:rPr>
        <w:t>USF/ICC Transformation Order</w:t>
      </w:r>
      <w:r>
        <w:t xml:space="preserve">, 26 FCC Rcd at 17823, para. 491.        </w:t>
      </w:r>
    </w:p>
  </w:footnote>
  <w:footnote w:id="16">
    <w:p w:rsidR="00AF59AC" w:rsidRDefault="00AF59AC">
      <w:pPr>
        <w:pStyle w:val="FootnoteText"/>
      </w:pPr>
      <w:r>
        <w:rPr>
          <w:rStyle w:val="FootnoteReference"/>
        </w:rPr>
        <w:footnoteRef/>
      </w:r>
      <w:r>
        <w:rPr>
          <w:snapToGrid w:val="0"/>
        </w:rPr>
        <w:t xml:space="preserve"> </w:t>
      </w:r>
      <w:r>
        <w:rPr>
          <w:i/>
          <w:snapToGrid w:val="0"/>
        </w:rPr>
        <w:t>See</w:t>
      </w:r>
      <w:r>
        <w:rPr>
          <w:snapToGrid w:val="0"/>
        </w:rPr>
        <w:t xml:space="preserve"> </w:t>
      </w:r>
      <w:r>
        <w:rPr>
          <w:i/>
          <w:snapToGrid w:val="0"/>
        </w:rPr>
        <w:t>USF/ICC Transformation Order</w:t>
      </w:r>
      <w:r>
        <w:rPr>
          <w:snapToGrid w:val="0"/>
        </w:rPr>
        <w:t>, 26 FCC Rcd</w:t>
      </w:r>
      <w:r>
        <w:t xml:space="preserve"> at 17798-99, paras. 388-92; </w:t>
      </w:r>
      <w:r>
        <w:rPr>
          <w:snapToGrid w:val="0"/>
        </w:rPr>
        <w:t>47 C.F.R. §§ 54.1003(a), 54.1004(a), 54.1006.</w:t>
      </w:r>
      <w:r>
        <w:t xml:space="preserve"> </w:t>
      </w:r>
    </w:p>
  </w:footnote>
  <w:footnote w:id="17">
    <w:p w:rsidR="00AF59AC" w:rsidRPr="00293621" w:rsidRDefault="00AF59AC">
      <w:pPr>
        <w:pStyle w:val="FootnoteText"/>
      </w:pPr>
      <w:r>
        <w:rPr>
          <w:rStyle w:val="FootnoteReference"/>
        </w:rPr>
        <w:footnoteRef/>
      </w:r>
      <w:r>
        <w:t xml:space="preserve"> </w:t>
      </w:r>
      <w:r>
        <w:rPr>
          <w:i/>
          <w:snapToGrid w:val="0"/>
        </w:rPr>
        <w:t>USF/ICC Transformation Order</w:t>
      </w:r>
      <w:r>
        <w:rPr>
          <w:snapToGrid w:val="0"/>
        </w:rPr>
        <w:t xml:space="preserve">, 26 FCC Rcd at 17823, para. 491 (noting that allowing a Tribally-owned or </w:t>
      </w:r>
      <w:r w:rsidR="00E640E5">
        <w:rPr>
          <w:snapToGrid w:val="0"/>
        </w:rPr>
        <w:noBreakHyphen/>
      </w:r>
      <w:r>
        <w:rPr>
          <w:snapToGrid w:val="0"/>
        </w:rPr>
        <w:t xml:space="preserve">controlled entity to participate at auction while its ETC petition is pending in no way prejudges the ultimate decision on its pending ETC petition and that support will be disbursed only after it receives ETC designation); </w:t>
      </w:r>
      <w:r>
        <w:rPr>
          <w:i/>
          <w:snapToGrid w:val="0"/>
        </w:rPr>
        <w:t xml:space="preserve">see also </w:t>
      </w:r>
      <w:r>
        <w:rPr>
          <w:snapToGrid w:val="0"/>
        </w:rPr>
        <w:t>47 C.F.R. § 54.1004(a).</w:t>
      </w:r>
    </w:p>
  </w:footnote>
  <w:footnote w:id="18">
    <w:p w:rsidR="00AF59AC" w:rsidRPr="00C80D06" w:rsidRDefault="00AF59AC" w:rsidP="00151ABA">
      <w:pPr>
        <w:pStyle w:val="FootnoteText"/>
      </w:pPr>
      <w:r>
        <w:rPr>
          <w:rStyle w:val="FootnoteReference"/>
        </w:rPr>
        <w:footnoteRef/>
      </w:r>
      <w:r>
        <w:t xml:space="preserve"> </w:t>
      </w:r>
      <w:r>
        <w:rPr>
          <w:i/>
          <w:snapToGrid w:val="0"/>
        </w:rPr>
        <w:t>USF/ICC Transformation Order</w:t>
      </w:r>
      <w:r>
        <w:rPr>
          <w:snapToGrid w:val="0"/>
        </w:rPr>
        <w:t>, 26 FCC Rcd</w:t>
      </w:r>
      <w:r>
        <w:t xml:space="preserve"> at 17799-801, paras. 393-99; 47 C.F.R. § 54.1003(b).  The </w:t>
      </w:r>
      <w:r w:rsidRPr="0009487F">
        <w:t>requirement that parties have access to spectrum applies equally to all parties, including Tribal</w:t>
      </w:r>
      <w:r>
        <w:t xml:space="preserve">ly-owned or </w:t>
      </w:r>
      <w:r w:rsidR="00E640E5">
        <w:noBreakHyphen/>
      </w:r>
      <w:r>
        <w:t>controlled</w:t>
      </w:r>
      <w:r w:rsidRPr="0009487F">
        <w:t xml:space="preserve"> entities.</w:t>
      </w:r>
    </w:p>
  </w:footnote>
  <w:footnote w:id="19">
    <w:p w:rsidR="00AF59AC" w:rsidRPr="00FA3A86" w:rsidRDefault="00AF59AC">
      <w:pPr>
        <w:pStyle w:val="FootnoteText"/>
      </w:pPr>
      <w:r>
        <w:rPr>
          <w:rStyle w:val="FootnoteReference"/>
        </w:rPr>
        <w:footnoteRef/>
      </w:r>
      <w:r>
        <w:t xml:space="preserve"> </w:t>
      </w:r>
      <w:r w:rsidRPr="00FA3A86">
        <w:t>The Commission has established a framework for determining whether a state commission or the Commission itself has jurisdiction to designate ETCs on Tribal lands.</w:t>
      </w:r>
      <w:r>
        <w:t xml:space="preserve"> </w:t>
      </w:r>
      <w:r w:rsidRPr="00FA3A86">
        <w:t xml:space="preserve"> First, a carrier serving Tribal lands must petition the Commission for a determination on whether the state has jurisdiction over the carrier.</w:t>
      </w:r>
      <w:r>
        <w:t xml:space="preserve"> </w:t>
      </w:r>
      <w:r w:rsidRPr="00FA3A86">
        <w:t xml:space="preserve"> The Commission then determines whether the carrier is subject to the jurisdiction of a state commission or whether it is subject to a Tribal authority given the Tribal interests involved.</w:t>
      </w:r>
      <w:r>
        <w:t xml:space="preserve"> </w:t>
      </w:r>
      <w:r w:rsidRPr="00FA3A86">
        <w:t xml:space="preserve"> In the latter case, the Commission has jurisdiction to designate the carrier as an ETC and will proceed to consider the merits of the carrier’s petition for designation.</w:t>
      </w:r>
      <w:r>
        <w:t xml:space="preserve">  </w:t>
      </w:r>
      <w:r>
        <w:rPr>
          <w:i/>
        </w:rPr>
        <w:t>See</w:t>
      </w:r>
      <w:r>
        <w:t xml:space="preserve"> Telecommunications Carriers Eligible for Universal Service Support; Standing Rock Telecommunications, Inc. Petition for Designation as an Eligible Telecommunications Carrier, </w:t>
      </w:r>
      <w:r>
        <w:rPr>
          <w:i/>
        </w:rPr>
        <w:t>Memorandum Opinion and Order on Reconsideration</w:t>
      </w:r>
      <w:r>
        <w:t>, WC Docket No. 09-197, FCC 11-102, 26 FCC Rcd 9160, 9161, para. 4 (2011).</w:t>
      </w:r>
    </w:p>
  </w:footnote>
  <w:footnote w:id="20">
    <w:p w:rsidR="00AF59AC" w:rsidRPr="001E0408" w:rsidRDefault="00AF59AC">
      <w:pPr>
        <w:pStyle w:val="FootnoteText"/>
      </w:pPr>
      <w:r>
        <w:rPr>
          <w:rStyle w:val="FootnoteReference"/>
        </w:rPr>
        <w:footnoteRef/>
      </w:r>
      <w:r>
        <w:t xml:space="preserve"> </w:t>
      </w:r>
      <w:r>
        <w:rPr>
          <w:i/>
        </w:rPr>
        <w:t>See</w:t>
      </w:r>
      <w:r>
        <w:t xml:space="preserve"> Eligible Telecommunications Carrier Designation for Participation in Mobility Fund Phase I, </w:t>
      </w:r>
      <w:r>
        <w:rPr>
          <w:i/>
        </w:rPr>
        <w:t>Public Notice</w:t>
      </w:r>
      <w:r>
        <w:t xml:space="preserve">, WC Docket No. 09-197, WT Docket No. 10-208, AU Docket No. 12-25, DA 12-271, 27 FCC Rcd 2054 (2012).  Petitions for designation as an ETC should be filed in WC Docket No. 09-197 and WT Docket No. 10-208, and should not be filed in the docket for Auction 902, AU Docket No. 13-53.  The Bureaus adopted a protective order limiting access to proprietary and confidential information that may be filed in WC Docket No. 09-197 and WT Docket No. 10-208 in connection with petitions filed for designation as an ETC for purposes of participation in any Mobility Fund auction.  </w:t>
      </w:r>
      <w:r>
        <w:rPr>
          <w:i/>
        </w:rPr>
        <w:t>See</w:t>
      </w:r>
      <w:r>
        <w:t xml:space="preserve"> Petitions For Designation As An Eligible Telecommunications Carrier For Purposes of Participation in Mobility Fund Auctions, </w:t>
      </w:r>
      <w:r>
        <w:rPr>
          <w:i/>
        </w:rPr>
        <w:t>Protective Order</w:t>
      </w:r>
      <w:r>
        <w:t>, WC Docket No. 09-197, WT Docket No. 10-208, DA 13-81, 28 FCC Rcd 318 (2013).</w:t>
      </w:r>
    </w:p>
  </w:footnote>
  <w:footnote w:id="21">
    <w:p w:rsidR="00AF59AC" w:rsidRPr="005612EE" w:rsidRDefault="00AF59AC">
      <w:pPr>
        <w:pStyle w:val="FootnoteText"/>
      </w:pPr>
      <w:r>
        <w:rPr>
          <w:rStyle w:val="FootnoteReference"/>
        </w:rPr>
        <w:footnoteRef/>
      </w:r>
      <w:r>
        <w:t xml:space="preserve"> </w:t>
      </w:r>
      <w:r w:rsidRPr="000F5137">
        <w:rPr>
          <w:i/>
        </w:rPr>
        <w:t>USF/ICC Transformation Order</w:t>
      </w:r>
      <w:r>
        <w:t>, 26 FCC Rcd</w:t>
      </w:r>
      <w:r w:rsidDel="0023497D">
        <w:rPr>
          <w:i/>
        </w:rPr>
        <w:t xml:space="preserve"> </w:t>
      </w:r>
      <w:r>
        <w:t>at 17801-02, paras. 400-05; 47 C.F.R. § 54.1003(c).</w:t>
      </w:r>
    </w:p>
  </w:footnote>
  <w:footnote w:id="22">
    <w:p w:rsidR="00AF59AC" w:rsidRDefault="00AF59AC">
      <w:pPr>
        <w:pStyle w:val="FootnoteText"/>
      </w:pPr>
      <w:r>
        <w:rPr>
          <w:rStyle w:val="FootnoteReference"/>
        </w:rPr>
        <w:footnoteRef/>
      </w:r>
      <w:r>
        <w:t xml:space="preserve"> </w:t>
      </w:r>
      <w:r>
        <w:rPr>
          <w:i/>
        </w:rPr>
        <w:t xml:space="preserve">See </w:t>
      </w:r>
      <w:r w:rsidRPr="000F5137">
        <w:rPr>
          <w:i/>
        </w:rPr>
        <w:t>USF/ICC Transformation Order</w:t>
      </w:r>
      <w:r>
        <w:t>, 26 FCC Rcd</w:t>
      </w:r>
      <w:r w:rsidDel="0023497D">
        <w:rPr>
          <w:i/>
        </w:rPr>
        <w:t xml:space="preserve"> </w:t>
      </w:r>
      <w:r>
        <w:t>at 17823, para. 490; 47 C.F.R. § 54.1004(c).</w:t>
      </w:r>
    </w:p>
  </w:footnote>
  <w:footnote w:id="23">
    <w:p w:rsidR="00AF59AC" w:rsidRDefault="00AF59AC">
      <w:pPr>
        <w:pStyle w:val="FootnoteText"/>
      </w:pPr>
      <w:r>
        <w:rPr>
          <w:rStyle w:val="FootnoteReference"/>
        </w:rPr>
        <w:footnoteRef/>
      </w:r>
      <w:r>
        <w:t xml:space="preserve"> </w:t>
      </w:r>
      <w:r w:rsidRPr="000F5137">
        <w:rPr>
          <w:i/>
        </w:rPr>
        <w:t>USF/ICC Transformation Order</w:t>
      </w:r>
      <w:r>
        <w:t>, 26 FCC Rcd at 17790-97, 17822-23, paras. 358-85, 489; 47 C.F.R. §§ 54.1004(d), 54.1006.</w:t>
      </w:r>
    </w:p>
  </w:footnote>
  <w:footnote w:id="24">
    <w:p w:rsidR="00AF59AC" w:rsidRPr="00651AB6" w:rsidRDefault="00AF59AC" w:rsidP="00151ABA">
      <w:pPr>
        <w:pStyle w:val="FootnoteText"/>
      </w:pPr>
      <w:r>
        <w:rPr>
          <w:rStyle w:val="FootnoteReference"/>
        </w:rPr>
        <w:footnoteRef/>
      </w:r>
      <w:r>
        <w:t xml:space="preserve"> </w:t>
      </w:r>
      <w:r w:rsidRPr="000F5137">
        <w:rPr>
          <w:i/>
        </w:rPr>
        <w:t>USF/ICC Transformation Order</w:t>
      </w:r>
      <w:r>
        <w:t>, 26 FCC Rcd at 17791-92, paras. 360-65;</w:t>
      </w:r>
      <w:r>
        <w:rPr>
          <w:i/>
        </w:rPr>
        <w:t xml:space="preserve"> see</w:t>
      </w:r>
      <w:r>
        <w:t xml:space="preserve"> 47 C.F.R. §§ 54.1006(a)-(b).</w:t>
      </w:r>
    </w:p>
  </w:footnote>
  <w:footnote w:id="25">
    <w:p w:rsidR="00AF59AC" w:rsidRDefault="00AF59AC">
      <w:pPr>
        <w:pStyle w:val="FootnoteText"/>
      </w:pPr>
      <w:r>
        <w:rPr>
          <w:rStyle w:val="FootnoteReference"/>
        </w:rPr>
        <w:footnoteRef/>
      </w:r>
      <w:r>
        <w:t xml:space="preserve"> </w:t>
      </w:r>
      <w:r w:rsidRPr="000F5137">
        <w:rPr>
          <w:i/>
        </w:rPr>
        <w:t>USF/ICC Transformation Order</w:t>
      </w:r>
      <w:r>
        <w:t>, 26 FCC Rcd at 17804-05, paras. 417-18; 47 C.F.R. §§ 1.21001(b), 54.1005(a).</w:t>
      </w:r>
    </w:p>
  </w:footnote>
  <w:footnote w:id="26">
    <w:p w:rsidR="00AF59AC" w:rsidRPr="00175426" w:rsidRDefault="00AF59AC">
      <w:pPr>
        <w:pStyle w:val="FootnoteText"/>
        <w:rPr>
          <w:i/>
        </w:rPr>
      </w:pPr>
      <w:r>
        <w:rPr>
          <w:rStyle w:val="FootnoteReference"/>
        </w:rPr>
        <w:footnoteRef/>
      </w:r>
      <w:r>
        <w:t xml:space="preserve"> </w:t>
      </w:r>
      <w:r w:rsidRPr="000F5137">
        <w:rPr>
          <w:i/>
        </w:rPr>
        <w:t>USF/ICC Transformation Order</w:t>
      </w:r>
      <w:r>
        <w:t xml:space="preserve">, 26 FCC Rcd at 17810-12, paras. 444-51; 47 C.F.R. § 54.1005(b); </w:t>
      </w:r>
      <w:r>
        <w:rPr>
          <w:i/>
        </w:rPr>
        <w:t>see also Auction 901 Procedures Public Notice</w:t>
      </w:r>
      <w:r>
        <w:t xml:space="preserve">, 27 FCC Rcd at 4770-72, paras. 169-72.  </w:t>
      </w:r>
    </w:p>
  </w:footnote>
  <w:footnote w:id="27">
    <w:p w:rsidR="00AF59AC" w:rsidRDefault="00AF59AC">
      <w:pPr>
        <w:pStyle w:val="FootnoteText"/>
      </w:pPr>
      <w:r>
        <w:rPr>
          <w:rStyle w:val="FootnoteReference"/>
        </w:rPr>
        <w:footnoteRef/>
      </w:r>
      <w:r>
        <w:t xml:space="preserve"> </w:t>
      </w:r>
      <w:r>
        <w:rPr>
          <w:i/>
        </w:rPr>
        <w:t xml:space="preserve">See </w:t>
      </w:r>
      <w:r w:rsidRPr="000F5137">
        <w:rPr>
          <w:i/>
        </w:rPr>
        <w:t>USF/ICC Transformation Order</w:t>
      </w:r>
      <w:r>
        <w:t>, 26 FCC Rcd at 17783, 17803, paras. 329, 411.</w:t>
      </w:r>
    </w:p>
  </w:footnote>
  <w:footnote w:id="28">
    <w:p w:rsidR="00AF59AC" w:rsidRDefault="00AF59AC">
      <w:pPr>
        <w:pStyle w:val="FootnoteText"/>
      </w:pPr>
      <w:r>
        <w:rPr>
          <w:rStyle w:val="FootnoteReference"/>
        </w:rPr>
        <w:footnoteRef/>
      </w:r>
      <w:r>
        <w:t xml:space="preserve"> </w:t>
      </w:r>
      <w:r>
        <w:rPr>
          <w:i/>
        </w:rPr>
        <w:t>See id.</w:t>
      </w:r>
      <w:r>
        <w:t xml:space="preserve"> at 17784-85, paras. 334-37.</w:t>
      </w:r>
    </w:p>
  </w:footnote>
  <w:footnote w:id="29">
    <w:p w:rsidR="00AF59AC" w:rsidRDefault="00AF59AC" w:rsidP="00EB5990">
      <w:pPr>
        <w:pStyle w:val="FootnoteText"/>
      </w:pPr>
      <w:r>
        <w:rPr>
          <w:rStyle w:val="FootnoteReference"/>
        </w:rPr>
        <w:footnoteRef/>
      </w:r>
      <w:r>
        <w:t xml:space="preserve"> </w:t>
      </w:r>
      <w:r>
        <w:rPr>
          <w:i/>
        </w:rPr>
        <w:t>See id.</w:t>
      </w:r>
      <w:r>
        <w:t xml:space="preserve"> at 17781-83, 17803-07, 17821-22, paras. 322-28, 411-32, 486-87; </w:t>
      </w:r>
      <w:r>
        <w:rPr>
          <w:i/>
        </w:rPr>
        <w:t>see also</w:t>
      </w:r>
      <w:r>
        <w:t xml:space="preserve"> 47 C.F.R. §§ 1.21000 </w:t>
      </w:r>
      <w:r>
        <w:rPr>
          <w:i/>
        </w:rPr>
        <w:t>et seq.</w:t>
      </w:r>
    </w:p>
  </w:footnote>
  <w:footnote w:id="30">
    <w:p w:rsidR="00AF59AC" w:rsidRDefault="00AF59AC">
      <w:pPr>
        <w:pStyle w:val="FootnoteText"/>
      </w:pPr>
      <w:r>
        <w:rPr>
          <w:rStyle w:val="FootnoteReference"/>
        </w:rPr>
        <w:footnoteRef/>
      </w:r>
      <w:r>
        <w:t xml:space="preserve"> </w:t>
      </w:r>
      <w:r>
        <w:rPr>
          <w:i/>
        </w:rPr>
        <w:t>USF/ICC Transformation Order</w:t>
      </w:r>
      <w:r>
        <w:t>, 26 FCC Rcd at 17781, para. 322.</w:t>
      </w:r>
    </w:p>
  </w:footnote>
  <w:footnote w:id="31">
    <w:p w:rsidR="00AF59AC" w:rsidRDefault="00AF59AC">
      <w:pPr>
        <w:pStyle w:val="FootnoteText"/>
      </w:pPr>
      <w:r>
        <w:rPr>
          <w:rStyle w:val="FootnoteReference"/>
        </w:rPr>
        <w:footnoteRef/>
      </w:r>
      <w:r>
        <w:t xml:space="preserve"> </w:t>
      </w:r>
      <w:r>
        <w:rPr>
          <w:i/>
        </w:rPr>
        <w:t>Id.</w:t>
      </w:r>
      <w:r>
        <w:t xml:space="preserve"> at 17803-04, paras. 413-15; </w:t>
      </w:r>
      <w:r>
        <w:rPr>
          <w:i/>
        </w:rPr>
        <w:t>see</w:t>
      </w:r>
      <w:r>
        <w:t xml:space="preserve"> 47 C.F.R. §1.21003(b).</w:t>
      </w:r>
    </w:p>
  </w:footnote>
  <w:footnote w:id="32">
    <w:p w:rsidR="00AF59AC" w:rsidRDefault="00AF59AC">
      <w:pPr>
        <w:pStyle w:val="FootnoteText"/>
      </w:pPr>
      <w:r>
        <w:rPr>
          <w:rStyle w:val="FootnoteReference"/>
        </w:rPr>
        <w:footnoteRef/>
      </w:r>
      <w:r>
        <w:t xml:space="preserve"> </w:t>
      </w:r>
      <w:r w:rsidRPr="008A1ACB">
        <w:rPr>
          <w:i/>
        </w:rPr>
        <w:t>USF/ICC Transformation Order</w:t>
      </w:r>
      <w:r w:rsidRPr="008A1ACB">
        <w:t>, 26 FCC</w:t>
      </w:r>
      <w:r>
        <w:t xml:space="preserve"> Rcd at 17822, para. 488</w:t>
      </w:r>
      <w:r w:rsidRPr="008A1ACB">
        <w:t>.</w:t>
      </w:r>
    </w:p>
  </w:footnote>
  <w:footnote w:id="33">
    <w:p w:rsidR="00AF59AC" w:rsidRDefault="00AF59AC" w:rsidP="00EA6A76">
      <w:pPr>
        <w:pStyle w:val="FootnoteText"/>
      </w:pPr>
      <w:r>
        <w:rPr>
          <w:rStyle w:val="FootnoteReference"/>
        </w:rPr>
        <w:footnoteRef/>
      </w:r>
      <w:r>
        <w:t xml:space="preserve"> An applicant’s claim of eligibility for the bidding credit available to Tribally-owned or -controlled providers is subject to review to verify the facts underlying the claim of ownership or control.  </w:t>
      </w:r>
    </w:p>
  </w:footnote>
  <w:footnote w:id="34">
    <w:p w:rsidR="00AF59AC" w:rsidRDefault="00AF59AC">
      <w:pPr>
        <w:pStyle w:val="FootnoteText"/>
      </w:pPr>
      <w:r>
        <w:rPr>
          <w:rStyle w:val="FootnoteReference"/>
        </w:rPr>
        <w:footnoteRef/>
      </w:r>
      <w:r>
        <w:t xml:space="preserve"> </w:t>
      </w:r>
      <w:r>
        <w:rPr>
          <w:i/>
        </w:rPr>
        <w:t>USF/ICC Transformation Order</w:t>
      </w:r>
      <w:r>
        <w:t>, 26 FCC Rcd at 17822-23, para. 489; 47 C.F.R. § 54.1004(d)(2).</w:t>
      </w:r>
    </w:p>
  </w:footnote>
  <w:footnote w:id="35">
    <w:p w:rsidR="00AF59AC" w:rsidRDefault="00AF59AC">
      <w:pPr>
        <w:pStyle w:val="FootnoteText"/>
      </w:pPr>
      <w:r>
        <w:rPr>
          <w:rStyle w:val="FootnoteReference"/>
        </w:rPr>
        <w:footnoteRef/>
      </w:r>
      <w:r>
        <w:t xml:space="preserve"> </w:t>
      </w:r>
      <w:r>
        <w:rPr>
          <w:i/>
        </w:rPr>
        <w:t>USF/ICC Transformation Order</w:t>
      </w:r>
      <w:r>
        <w:t xml:space="preserve">, 26 FCC Rcd at 17822-23, para. 489; 47 C.F.R. § 54.1004(d)(3).  </w:t>
      </w:r>
      <w:r w:rsidRPr="007D39B5">
        <w:t xml:space="preserve">Appropriate Tribal government officials are elected or duly authorized government officials of federally recognized American Indian Tribes and Alaska Native Villages.  In the instance of the Hawaiian Home Lands, this engagement must occur with the State of Hawaii Department of Hawaiian Home Lands and Office of Hawaiian Affairs.  </w:t>
      </w:r>
      <w:r>
        <w:rPr>
          <w:i/>
        </w:rPr>
        <w:t>See USF/</w:t>
      </w:r>
      <w:r w:rsidRPr="007D39B5">
        <w:rPr>
          <w:i/>
        </w:rPr>
        <w:t>ICC Transformation Order</w:t>
      </w:r>
      <w:r>
        <w:t>, 26 FCC Rcd</w:t>
      </w:r>
      <w:r w:rsidRPr="007D39B5">
        <w:t xml:space="preserve"> at 17869, para. 637 n.1053.</w:t>
      </w:r>
    </w:p>
  </w:footnote>
  <w:footnote w:id="36">
    <w:p w:rsidR="00AF59AC" w:rsidRPr="00590BB2" w:rsidRDefault="00AF59AC">
      <w:pPr>
        <w:pStyle w:val="FootnoteText"/>
      </w:pPr>
      <w:r>
        <w:rPr>
          <w:rStyle w:val="FootnoteReference"/>
        </w:rPr>
        <w:footnoteRef/>
      </w:r>
      <w:r>
        <w:t xml:space="preserve"> 47 C.F.R. § 54.1004(d)(3).</w:t>
      </w:r>
    </w:p>
  </w:footnote>
  <w:footnote w:id="37">
    <w:p w:rsidR="00AF59AC" w:rsidRPr="00590BB2" w:rsidRDefault="00AF59AC">
      <w:pPr>
        <w:pStyle w:val="FootnoteText"/>
      </w:pPr>
      <w:r>
        <w:rPr>
          <w:rStyle w:val="FootnoteReference"/>
        </w:rPr>
        <w:footnoteRef/>
      </w:r>
      <w:r>
        <w:t xml:space="preserve"> 47 C.F.R. § 54.1004(d)(1); </w:t>
      </w:r>
      <w:r>
        <w:rPr>
          <w:i/>
        </w:rPr>
        <w:t>see also</w:t>
      </w:r>
      <w:r>
        <w:t xml:space="preserve"> Office of Native Affairs and Policy, Wireless Telecommunications Bureau, and Wireline Competition Bureau Issue Further Guidance on Tribal Government Engagement Obligation Provisions of the Connect America Fund, </w:t>
      </w:r>
      <w:r>
        <w:rPr>
          <w:i/>
        </w:rPr>
        <w:t>Public Notice</w:t>
      </w:r>
      <w:r>
        <w:t xml:space="preserve">, WC Docket Nos. 10-90, 07-135, 05-337, 03-109, CC Docket Nos. 01-92, 96-45, WT Docket No. 10-208, GN Docket No. 09-51, DA 12-1165, 27 FCC Rcd 8176 (2012), </w:t>
      </w:r>
      <w:r w:rsidRPr="00A74B80">
        <w:rPr>
          <w:i/>
        </w:rPr>
        <w:t>pets. for recon. pending</w:t>
      </w:r>
      <w:r>
        <w:t>.</w:t>
      </w:r>
    </w:p>
  </w:footnote>
  <w:footnote w:id="38">
    <w:p w:rsidR="00AF59AC" w:rsidRDefault="00AF59AC">
      <w:pPr>
        <w:pStyle w:val="FootnoteText"/>
      </w:pPr>
      <w:r>
        <w:rPr>
          <w:rStyle w:val="FootnoteReference"/>
        </w:rPr>
        <w:footnoteRef/>
      </w:r>
      <w:r>
        <w:t xml:space="preserve"> </w:t>
      </w:r>
      <w:r>
        <w:rPr>
          <w:i/>
        </w:rPr>
        <w:t>USF/ICC Transformation Order</w:t>
      </w:r>
      <w:r>
        <w:t xml:space="preserve">, 26 FCC Rcd at 17783-84, paras. 332, 334; </w:t>
      </w:r>
      <w:r>
        <w:rPr>
          <w:i/>
        </w:rPr>
        <w:t>see also</w:t>
      </w:r>
      <w:r>
        <w:t xml:space="preserve"> </w:t>
      </w:r>
      <w:r w:rsidRPr="009963B2">
        <w:rPr>
          <w:i/>
          <w:iCs/>
        </w:rPr>
        <w:t>Auction 901 Procedures Public Notice</w:t>
      </w:r>
      <w:r>
        <w:rPr>
          <w:iCs/>
        </w:rPr>
        <w:t>, 27 FCC Rcd at 4729-30, para. 9</w:t>
      </w:r>
      <w:r>
        <w:t xml:space="preserve">.  The Order identified American Roamer data as the best available source.  In February 2012, subsequent to the release of the </w:t>
      </w:r>
      <w:r>
        <w:rPr>
          <w:i/>
        </w:rPr>
        <w:t>USF/ICC Transformation Order</w:t>
      </w:r>
      <w:r>
        <w:t xml:space="preserve">, American Roamer changed its company name to Mosaik Solutions.  </w:t>
      </w:r>
      <w:r>
        <w:rPr>
          <w:i/>
        </w:rPr>
        <w:t>See</w:t>
      </w:r>
      <w:r>
        <w:t xml:space="preserve"> </w:t>
      </w:r>
      <w:hyperlink r:id="rId2" w:history="1">
        <w:r w:rsidRPr="00FC3894">
          <w:rPr>
            <w:rStyle w:val="Hyperlink"/>
          </w:rPr>
          <w:t>http://www.mosaik.com</w:t>
        </w:r>
      </w:hyperlink>
      <w:r>
        <w:t xml:space="preserve"> (visited Mar. 1, 2013).  Accordingly, we refer to Mosaik data here.</w:t>
      </w:r>
    </w:p>
  </w:footnote>
  <w:footnote w:id="39">
    <w:p w:rsidR="00AF59AC" w:rsidRDefault="00AF59AC">
      <w:pPr>
        <w:pStyle w:val="FootnoteText"/>
      </w:pPr>
      <w:r>
        <w:rPr>
          <w:rStyle w:val="FootnoteReference"/>
        </w:rPr>
        <w:footnoteRef/>
      </w:r>
      <w:r>
        <w:t xml:space="preserve"> </w:t>
      </w:r>
      <w:r w:rsidRPr="006E048B">
        <w:t xml:space="preserve">“Tribal lands” include any federally recognized Indian tribe’s reservation, pueblo or colony, including former reservations in Oklahoma, Alaska Native regions established pursuant to the Alaska Native Claims Settlement Act (85 </w:t>
      </w:r>
      <w:r>
        <w:t>S</w:t>
      </w:r>
      <w:r w:rsidRPr="006E048B">
        <w:t xml:space="preserve">tat. 688), and Indian Allotments, </w:t>
      </w:r>
      <w:r w:rsidRPr="006E048B">
        <w:rPr>
          <w:i/>
        </w:rPr>
        <w:t>see</w:t>
      </w:r>
      <w:r w:rsidRPr="006E048B">
        <w:t xml:space="preserve"> 47 C.F.R. </w:t>
      </w:r>
      <w:r>
        <w:t xml:space="preserve">§ </w:t>
      </w:r>
      <w:r w:rsidRPr="006E048B">
        <w:t xml:space="preserve">54.400(e), as well as Hawaiian Home Lands—areas held in trust for native Hawaiians by the state of Hawaii, pursuant to the Hawaiian Homes Commission Act, 1920, Act July 9, 1921, 42 Stat. 108, </w:t>
      </w:r>
      <w:r w:rsidRPr="006E048B">
        <w:rPr>
          <w:i/>
        </w:rPr>
        <w:t>et seq.</w:t>
      </w:r>
      <w:r w:rsidRPr="006E048B">
        <w:t xml:space="preserve">, as amended.  </w:t>
      </w:r>
      <w:r w:rsidRPr="006E048B">
        <w:rPr>
          <w:i/>
        </w:rPr>
        <w:t>USF</w:t>
      </w:r>
      <w:r>
        <w:rPr>
          <w:i/>
        </w:rPr>
        <w:t>/</w:t>
      </w:r>
      <w:r w:rsidRPr="006E048B">
        <w:rPr>
          <w:i/>
        </w:rPr>
        <w:t>ICC Transformation Order</w:t>
      </w:r>
      <w:r>
        <w:t>, 26 FCC Rcd</w:t>
      </w:r>
      <w:r w:rsidRPr="006E048B">
        <w:t xml:space="preserve"> at 17711, para. 126 n.197.</w:t>
      </w:r>
      <w:r>
        <w:t xml:space="preserve">  Tribal lands in Alaska, </w:t>
      </w:r>
      <w:r w:rsidRPr="009D6A36">
        <w:rPr>
          <w:i/>
        </w:rPr>
        <w:t>i.e.</w:t>
      </w:r>
      <w:r>
        <w:t xml:space="preserve">, the Annette Island Reserve and areas where federally recognized Alaska Native villages are located within the Alaska Native regions, were identified using 2010 Census data identifying the Annette Island Reserve and Alaska Native village statistical areas.  For more information regarding Alaska Native village statistical areas, see </w:t>
      </w:r>
      <w:hyperlink r:id="rId3" w:anchor="anvsa" w:history="1">
        <w:r w:rsidRPr="007F438E">
          <w:rPr>
            <w:rStyle w:val="Hyperlink"/>
          </w:rPr>
          <w:t>http://www.census.gov/geo/reference/gtc/gtc_aiannha.html#anvsa</w:t>
        </w:r>
      </w:hyperlink>
      <w:r>
        <w:t xml:space="preserve"> (visited Mar. 1, 2013).</w:t>
      </w:r>
      <w:r w:rsidRPr="006E048B">
        <w:t xml:space="preserve">  </w:t>
      </w:r>
    </w:p>
  </w:footnote>
  <w:footnote w:id="40">
    <w:p w:rsidR="00AF59AC" w:rsidRDefault="00AF59AC" w:rsidP="00151ABA">
      <w:pPr>
        <w:pStyle w:val="FootnoteText"/>
      </w:pPr>
      <w:r>
        <w:rPr>
          <w:rStyle w:val="FootnoteReference"/>
        </w:rPr>
        <w:footnoteRef/>
      </w:r>
      <w:r>
        <w:t xml:space="preserve"> Specifically, the Bureaus used ArcGIS software from Esri to determine whether the Mosaik data showed 3G or better coverage at each block’s centroid.  The following technologies were considered 3G or better:  </w:t>
      </w:r>
      <w:r w:rsidRPr="002443E3">
        <w:t xml:space="preserve">EV-DO, EV-DO Rev A, </w:t>
      </w:r>
      <w:r w:rsidRPr="002443E3">
        <w:rPr>
          <w:szCs w:val="22"/>
        </w:rPr>
        <w:t>UMTS/HSPA,</w:t>
      </w:r>
      <w:r w:rsidRPr="002443E3">
        <w:t xml:space="preserve"> HSPA+, WiMAX, and LTE.</w:t>
      </w:r>
      <w:r>
        <w:t xml:space="preserve">  We use the term “centroid” to refer to the internal point (latitude/longitude) of a census block polygon.  For more information, see U.S. Census Bureau, Putting It All Together, </w:t>
      </w:r>
      <w:hyperlink r:id="rId4" w:history="1">
        <w:r w:rsidRPr="007935F3">
          <w:rPr>
            <w:rStyle w:val="Hyperlink"/>
          </w:rPr>
          <w:t>http://lehd.did.census.gov/led/library/doc/PuttingItTogether_20100817.pdf</w:t>
        </w:r>
      </w:hyperlink>
      <w:r>
        <w:t xml:space="preserve"> </w:t>
      </w:r>
      <w:r w:rsidRPr="007C342B">
        <w:t>(</w:t>
      </w:r>
      <w:r w:rsidRPr="00E7697A">
        <w:t xml:space="preserve">visited </w:t>
      </w:r>
      <w:r>
        <w:t xml:space="preserve">Mar. </w:t>
      </w:r>
      <w:r w:rsidRPr="00E7697A">
        <w:t>1, 2013</w:t>
      </w:r>
      <w:r w:rsidRPr="007C342B">
        <w:t>).</w:t>
      </w:r>
    </w:p>
  </w:footnote>
  <w:footnote w:id="41">
    <w:p w:rsidR="00AF59AC" w:rsidRDefault="00AF59AC">
      <w:pPr>
        <w:pStyle w:val="FootnoteText"/>
      </w:pPr>
      <w:r>
        <w:rPr>
          <w:rStyle w:val="FootnoteReference"/>
        </w:rPr>
        <w:footnoteRef/>
      </w:r>
      <w:r>
        <w:t xml:space="preserve"> </w:t>
      </w:r>
      <w:r w:rsidRPr="009963B2">
        <w:rPr>
          <w:i/>
          <w:iCs/>
        </w:rPr>
        <w:t>Auction 901 Procedures Public Notice</w:t>
      </w:r>
      <w:r>
        <w:rPr>
          <w:iCs/>
        </w:rPr>
        <w:t xml:space="preserve">, 27 FCC Rcd at 4731-35, paras. 13-22.  </w:t>
      </w:r>
      <w:r>
        <w:rPr>
          <w:i/>
        </w:rPr>
        <w:t xml:space="preserve">See </w:t>
      </w:r>
      <w:r w:rsidRPr="00A530ED">
        <w:t>American Recovery and Reinvestment Act of 2009</w:t>
      </w:r>
      <w:r>
        <w:t>, P.L. 111-5, 123 Stat. 115 (2009) (authorizing the Broadband Technology Opportunities Program (BTOP) and Broadband Initiatives Program (BIP)).</w:t>
      </w:r>
    </w:p>
  </w:footnote>
  <w:footnote w:id="42">
    <w:p w:rsidR="00AF59AC" w:rsidRDefault="00AF59AC">
      <w:pPr>
        <w:pStyle w:val="FootnoteText"/>
      </w:pPr>
      <w:r>
        <w:rPr>
          <w:rStyle w:val="FootnoteReference"/>
        </w:rPr>
        <w:footnoteRef/>
      </w:r>
      <w:r>
        <w:t xml:space="preserve"> </w:t>
      </w:r>
      <w:r>
        <w:rPr>
          <w:i/>
        </w:rPr>
        <w:t xml:space="preserve">See </w:t>
      </w:r>
      <w:r w:rsidRPr="00D90004">
        <w:rPr>
          <w:i/>
          <w:iCs/>
        </w:rPr>
        <w:t>Auction 901 Closing Public Notice</w:t>
      </w:r>
      <w:r>
        <w:rPr>
          <w:iCs/>
        </w:rPr>
        <w:t>, 27 FCC Rcd 12031.</w:t>
      </w:r>
    </w:p>
  </w:footnote>
  <w:footnote w:id="43">
    <w:p w:rsidR="00AF59AC" w:rsidRDefault="00AF59AC" w:rsidP="00151ABA">
      <w:pPr>
        <w:pStyle w:val="FootnoteText"/>
      </w:pPr>
      <w:r w:rsidRPr="006D7BAF">
        <w:rPr>
          <w:rStyle w:val="FootnoteReference"/>
        </w:rPr>
        <w:footnoteRef/>
      </w:r>
      <w:r>
        <w:rPr>
          <w:rStyle w:val="FootnoteReference"/>
        </w:rPr>
        <w:t xml:space="preserve"> </w:t>
      </w:r>
      <w:r>
        <w:rPr>
          <w:i/>
        </w:rPr>
        <w:t xml:space="preserve">USF/ICC Transformation </w:t>
      </w:r>
      <w:r w:rsidRPr="006D7BAF">
        <w:rPr>
          <w:i/>
        </w:rPr>
        <w:t>Order</w:t>
      </w:r>
      <w:r>
        <w:t xml:space="preserve">, 26 FCC Rcd at 17786, paras. 341-42.  </w:t>
      </w:r>
    </w:p>
  </w:footnote>
  <w:footnote w:id="44">
    <w:p w:rsidR="00AF59AC" w:rsidRDefault="00AF59AC" w:rsidP="00151ABA">
      <w:pPr>
        <w:pStyle w:val="FootnoteText"/>
      </w:pPr>
      <w:r>
        <w:rPr>
          <w:rStyle w:val="FootnoteReference"/>
        </w:rPr>
        <w:footnoteRef/>
      </w:r>
      <w:r>
        <w:t xml:space="preserve"> </w:t>
      </w:r>
      <w:r w:rsidR="00D12348" w:rsidRPr="00D12348">
        <w:rPr>
          <w:i/>
        </w:rPr>
        <w:t>Id.</w:t>
      </w:r>
      <w:r w:rsidR="00D12348">
        <w:t xml:space="preserve"> </w:t>
      </w:r>
      <w:r>
        <w:t>at17802-03, para.</w:t>
      </w:r>
      <w:r w:rsidRPr="00CE43B2" w:rsidDel="00CE43B2">
        <w:rPr>
          <w:i/>
        </w:rPr>
        <w:t xml:space="preserve"> </w:t>
      </w:r>
      <w:r w:rsidRPr="00CE43B2">
        <w:t>410</w:t>
      </w:r>
      <w:r>
        <w:t xml:space="preserve">.  </w:t>
      </w:r>
    </w:p>
  </w:footnote>
  <w:footnote w:id="45">
    <w:p w:rsidR="00AF59AC" w:rsidRDefault="00AF59AC">
      <w:pPr>
        <w:pStyle w:val="FootnoteText"/>
      </w:pPr>
      <w:r>
        <w:rPr>
          <w:rStyle w:val="FootnoteReference"/>
        </w:rPr>
        <w:footnoteRef/>
      </w:r>
      <w:r>
        <w:t xml:space="preserve"> </w:t>
      </w:r>
      <w:r>
        <w:rPr>
          <w:i/>
        </w:rPr>
        <w:t xml:space="preserve">See </w:t>
      </w:r>
      <w:r>
        <w:t>47 C.F.R. § 54.1005(a)(5).</w:t>
      </w:r>
    </w:p>
  </w:footnote>
  <w:footnote w:id="46">
    <w:p w:rsidR="00AF59AC" w:rsidRDefault="00AF59AC" w:rsidP="002C106E">
      <w:pPr>
        <w:pStyle w:val="FootnoteText"/>
      </w:pPr>
      <w:r>
        <w:rPr>
          <w:rStyle w:val="FootnoteReference"/>
        </w:rPr>
        <w:footnoteRef/>
      </w:r>
      <w:r>
        <w:t xml:space="preserve"> A copy of Attachment A and any other d</w:t>
      </w:r>
      <w:r w:rsidRPr="00606097">
        <w:t xml:space="preserve">ocuments </w:t>
      </w:r>
      <w:r>
        <w:t xml:space="preserve">relating to Auction 902 </w:t>
      </w:r>
      <w:r w:rsidRPr="00606097">
        <w:t xml:space="preserve">may be purchased from the Commission’s duplicating contractor, Best Copy and Printing, Inc. (“BCPI”), 445 12th Street, SW, Room CY-B402, Washington, DC 20554, 800-378-3160 or at </w:t>
      </w:r>
      <w:hyperlink r:id="rId5" w:history="1">
        <w:r w:rsidRPr="00910A67">
          <w:rPr>
            <w:rStyle w:val="Hyperlink"/>
          </w:rPr>
          <w:t>http://www.bcpiweb.com</w:t>
        </w:r>
      </w:hyperlink>
      <w:r w:rsidRPr="00606097">
        <w:t>.</w:t>
      </w:r>
      <w:r>
        <w:t xml:space="preserve">  </w:t>
      </w:r>
      <w:r w:rsidRPr="00510D2E">
        <w:rPr>
          <w:rStyle w:val="FootnoteTextChar1Char1"/>
        </w:rPr>
        <w:t>When ordering documents from BCPI, please provide the appropriate FCC docume</w:t>
      </w:r>
      <w:r>
        <w:rPr>
          <w:rStyle w:val="FootnoteTextChar1Char1"/>
        </w:rPr>
        <w:t xml:space="preserve">nt number (for example, </w:t>
      </w:r>
      <w:r w:rsidRPr="002419DE">
        <w:rPr>
          <w:rStyle w:val="FootnoteTextChar1Char1"/>
        </w:rPr>
        <w:t>DA 13-</w:t>
      </w:r>
      <w:r>
        <w:rPr>
          <w:rStyle w:val="FootnoteTextChar1Char1"/>
        </w:rPr>
        <w:t>323</w:t>
      </w:r>
      <w:r w:rsidRPr="00510D2E">
        <w:rPr>
          <w:rStyle w:val="FootnoteTextChar1Char1"/>
        </w:rPr>
        <w:t xml:space="preserve"> for this Public Notice)</w:t>
      </w:r>
      <w:r>
        <w:rPr>
          <w:rStyle w:val="FootnoteTextChar1Char1"/>
        </w:rPr>
        <w:t xml:space="preserve">.  </w:t>
      </w:r>
    </w:p>
  </w:footnote>
  <w:footnote w:id="47">
    <w:p w:rsidR="00AF59AC" w:rsidRDefault="00AF59AC">
      <w:pPr>
        <w:pStyle w:val="FootnoteText"/>
      </w:pPr>
      <w:r>
        <w:rPr>
          <w:rStyle w:val="FootnoteReference"/>
        </w:rPr>
        <w:footnoteRef/>
      </w:r>
      <w:r>
        <w:t xml:space="preserve"> </w:t>
      </w:r>
      <w:bookmarkStart w:id="58" w:name="OLE_LINK1"/>
      <w:bookmarkStart w:id="59" w:name="OLE_LINK2"/>
      <w:r w:rsidRPr="00020657">
        <w:rPr>
          <w:i/>
        </w:rPr>
        <w:t>USF</w:t>
      </w:r>
      <w:r>
        <w:rPr>
          <w:i/>
        </w:rPr>
        <w:t>/</w:t>
      </w:r>
      <w:r w:rsidRPr="00020657">
        <w:rPr>
          <w:i/>
        </w:rPr>
        <w:t>ICC Transformation Order</w:t>
      </w:r>
      <w:bookmarkEnd w:id="58"/>
      <w:bookmarkEnd w:id="59"/>
      <w:r>
        <w:t>, 26 FCC Rcd at 17786, para. 342.</w:t>
      </w:r>
    </w:p>
  </w:footnote>
  <w:footnote w:id="48">
    <w:p w:rsidR="00AF59AC" w:rsidRDefault="00AF59AC">
      <w:pPr>
        <w:pStyle w:val="FootnoteText"/>
      </w:pPr>
      <w:r>
        <w:rPr>
          <w:rStyle w:val="FootnoteReference"/>
        </w:rPr>
        <w:footnoteRef/>
      </w:r>
      <w:r>
        <w:t xml:space="preserve"> See </w:t>
      </w:r>
      <w:r w:rsidR="00D12348">
        <w:t>s</w:t>
      </w:r>
      <w:r>
        <w:t>ection V below for a description of the applicable deadlines and filing procedures for such comments.</w:t>
      </w:r>
    </w:p>
  </w:footnote>
  <w:footnote w:id="49">
    <w:p w:rsidR="00AF59AC" w:rsidRPr="00020657" w:rsidRDefault="00AF59AC">
      <w:pPr>
        <w:pStyle w:val="FootnoteText"/>
      </w:pPr>
      <w:r>
        <w:rPr>
          <w:rStyle w:val="FootnoteReference"/>
        </w:rPr>
        <w:footnoteRef/>
      </w:r>
      <w:r>
        <w:t xml:space="preserve"> </w:t>
      </w:r>
      <w:r w:rsidRPr="00020657">
        <w:rPr>
          <w:i/>
        </w:rPr>
        <w:t>USF</w:t>
      </w:r>
      <w:r>
        <w:rPr>
          <w:i/>
        </w:rPr>
        <w:t>/</w:t>
      </w:r>
      <w:r w:rsidRPr="00020657">
        <w:rPr>
          <w:i/>
        </w:rPr>
        <w:t>ICC Transformation Order</w:t>
      </w:r>
      <w:r>
        <w:t>, 26 FCC Rcd at 17785, para. 337.</w:t>
      </w:r>
    </w:p>
  </w:footnote>
  <w:footnote w:id="50">
    <w:p w:rsidR="00AF59AC" w:rsidRDefault="00AF59AC">
      <w:pPr>
        <w:pStyle w:val="FootnoteText"/>
      </w:pPr>
      <w:r>
        <w:rPr>
          <w:rStyle w:val="FootnoteReference"/>
        </w:rPr>
        <w:footnoteRef/>
      </w:r>
      <w:r>
        <w:t xml:space="preserve"> As discussed below in </w:t>
      </w:r>
      <w:r w:rsidR="00D12348">
        <w:t>s</w:t>
      </w:r>
      <w:r>
        <w:t xml:space="preserve">ection V, we request that commenters file courtesy copies of their comments electronically at the following address:  </w:t>
      </w:r>
      <w:hyperlink r:id="rId6" w:history="1">
        <w:r w:rsidRPr="0003526D">
          <w:rPr>
            <w:rStyle w:val="Hyperlink"/>
          </w:rPr>
          <w:t>auction902@fcc.gov</w:t>
        </w:r>
      </w:hyperlink>
      <w:r>
        <w:t xml:space="preserve">.  To the extent that commenters identify census blocks for removal and/or addition to our list of potentially eligible census blocks, we request that such lists be filed in MS Excel format through the Auction 902 e-mail box.  </w:t>
      </w:r>
    </w:p>
  </w:footnote>
  <w:footnote w:id="51">
    <w:p w:rsidR="00AF59AC" w:rsidRDefault="00AF59AC">
      <w:pPr>
        <w:pStyle w:val="FootnoteText"/>
      </w:pPr>
      <w:r>
        <w:rPr>
          <w:rStyle w:val="FootnoteReference"/>
        </w:rPr>
        <w:footnoteRef/>
      </w:r>
      <w:r>
        <w:t xml:space="preserve"> </w:t>
      </w:r>
      <w:r>
        <w:rPr>
          <w:i/>
        </w:rPr>
        <w:t xml:space="preserve">See </w:t>
      </w:r>
      <w:r w:rsidRPr="009963B2">
        <w:rPr>
          <w:i/>
          <w:iCs/>
        </w:rPr>
        <w:t>Auction 901 Procedures Public Notice</w:t>
      </w:r>
      <w:r>
        <w:rPr>
          <w:iCs/>
        </w:rPr>
        <w:t xml:space="preserve">, 27 FCC Rcd at 4734-35, para. 20.  We note that in light of the population-based metric used to determine the number of unserved units for Tribal Mobility Fund Phase I, “drive tests” used to demonstrate coverage may be conducted by means other than automobiles on roads.  Providers may demonstrate coverage of an area with a statistically significant number of tests in the vicinity of residences being covered.  </w:t>
      </w:r>
      <w:r>
        <w:rPr>
          <w:i/>
          <w:iCs/>
        </w:rPr>
        <w:t xml:space="preserve">See </w:t>
      </w:r>
      <w:r w:rsidRPr="00020657">
        <w:rPr>
          <w:i/>
        </w:rPr>
        <w:t>USF</w:t>
      </w:r>
      <w:r>
        <w:rPr>
          <w:i/>
        </w:rPr>
        <w:t>/</w:t>
      </w:r>
      <w:r w:rsidRPr="00020657">
        <w:rPr>
          <w:i/>
        </w:rPr>
        <w:t>ICC Transformation Order</w:t>
      </w:r>
      <w:r>
        <w:t>, 26 FCC Rcd at 17822, para. 488 n.806.</w:t>
      </w:r>
    </w:p>
  </w:footnote>
  <w:footnote w:id="52">
    <w:p w:rsidR="00AF59AC" w:rsidRDefault="00AF59AC">
      <w:pPr>
        <w:pStyle w:val="FootnoteText"/>
      </w:pPr>
      <w:r>
        <w:rPr>
          <w:rStyle w:val="FootnoteReference"/>
        </w:rPr>
        <w:footnoteRef/>
      </w:r>
      <w:r>
        <w:t xml:space="preserve"> </w:t>
      </w:r>
      <w:r>
        <w:rPr>
          <w:i/>
        </w:rPr>
        <w:t xml:space="preserve">See </w:t>
      </w:r>
      <w:r w:rsidRPr="009963B2">
        <w:rPr>
          <w:i/>
          <w:iCs/>
        </w:rPr>
        <w:t>Auction 901 Procedures Public Notice</w:t>
      </w:r>
      <w:r>
        <w:rPr>
          <w:iCs/>
        </w:rPr>
        <w:t>, 27 FCC Rcd at 4735, para. 21.</w:t>
      </w:r>
    </w:p>
  </w:footnote>
  <w:footnote w:id="53">
    <w:p w:rsidR="00AF59AC" w:rsidRPr="00D33F10" w:rsidRDefault="00AF59AC">
      <w:pPr>
        <w:pStyle w:val="FootnoteText"/>
      </w:pPr>
      <w:r>
        <w:rPr>
          <w:rStyle w:val="FootnoteReference"/>
        </w:rPr>
        <w:footnoteRef/>
      </w:r>
      <w:r>
        <w:t xml:space="preserve"> See </w:t>
      </w:r>
      <w:r w:rsidR="00D12348">
        <w:t>s</w:t>
      </w:r>
      <w:r>
        <w:t>ection V below for a description of the applicable deadlines and filing procedures for such comments.</w:t>
      </w:r>
    </w:p>
  </w:footnote>
  <w:footnote w:id="54">
    <w:p w:rsidR="00AF59AC" w:rsidRDefault="00AF59AC" w:rsidP="00151ABA">
      <w:pPr>
        <w:pStyle w:val="FootnoteText"/>
      </w:pPr>
      <w:r>
        <w:rPr>
          <w:rStyle w:val="FootnoteReference"/>
        </w:rPr>
        <w:footnoteRef/>
      </w:r>
      <w:r>
        <w:t xml:space="preserve"> </w:t>
      </w:r>
      <w:r w:rsidRPr="00020657">
        <w:rPr>
          <w:i/>
        </w:rPr>
        <w:t>USF</w:t>
      </w:r>
      <w:r>
        <w:rPr>
          <w:i/>
        </w:rPr>
        <w:t>/</w:t>
      </w:r>
      <w:r w:rsidRPr="00020657">
        <w:rPr>
          <w:i/>
        </w:rPr>
        <w:t>ICC Transformation Order</w:t>
      </w:r>
      <w:r>
        <w:t>, 26 FCC Rcd</w:t>
      </w:r>
      <w:r>
        <w:rPr>
          <w:i/>
        </w:rPr>
        <w:t xml:space="preserve"> </w:t>
      </w:r>
      <w:r>
        <w:t>at 17822, para. 488; 47 C.F.R. § 54.1004(b).</w:t>
      </w:r>
    </w:p>
  </w:footnote>
  <w:footnote w:id="55">
    <w:p w:rsidR="00AF59AC" w:rsidRPr="00F72ECF" w:rsidRDefault="00AF59AC" w:rsidP="00151ABA">
      <w:pPr>
        <w:pStyle w:val="FootnoteText"/>
      </w:pPr>
      <w:r>
        <w:rPr>
          <w:rStyle w:val="FootnoteReference"/>
        </w:rPr>
        <w:footnoteRef/>
      </w:r>
      <w:r>
        <w:t xml:space="preserve"> </w:t>
      </w:r>
      <w:r w:rsidRPr="00020657">
        <w:rPr>
          <w:i/>
        </w:rPr>
        <w:t>USF</w:t>
      </w:r>
      <w:r>
        <w:rPr>
          <w:i/>
        </w:rPr>
        <w:t>/</w:t>
      </w:r>
      <w:r w:rsidRPr="00020657">
        <w:rPr>
          <w:i/>
        </w:rPr>
        <w:t>ICC Transformation Order</w:t>
      </w:r>
      <w:r>
        <w:t>, 26 FCC Rcd at 17803, para. 411.</w:t>
      </w:r>
    </w:p>
  </w:footnote>
  <w:footnote w:id="56">
    <w:p w:rsidR="00AF59AC" w:rsidRDefault="00AF59AC">
      <w:pPr>
        <w:pStyle w:val="FootnoteText"/>
      </w:pPr>
      <w:r>
        <w:rPr>
          <w:rStyle w:val="FootnoteReference"/>
        </w:rPr>
        <w:footnoteRef/>
      </w:r>
      <w:r>
        <w:t xml:space="preserve"> </w:t>
      </w:r>
      <w:r w:rsidR="00FC1FBC">
        <w:t xml:space="preserve">Universal Service Reform, WT Docket No. 10-208, Mobility Fund, </w:t>
      </w:r>
      <w:r w:rsidR="00FC1FBC">
        <w:rPr>
          <w:i/>
        </w:rPr>
        <w:t>Notice of Proposed Rulemaking</w:t>
      </w:r>
      <w:r w:rsidR="00FC1FBC">
        <w:t>, FCC 10-182, 25 FCC Rcd 14716, 14734, para. 58 (2010).</w:t>
      </w:r>
    </w:p>
  </w:footnote>
  <w:footnote w:id="57">
    <w:p w:rsidR="00AF59AC" w:rsidRPr="00B604D1" w:rsidRDefault="00AF59AC">
      <w:pPr>
        <w:pStyle w:val="FootnoteText"/>
      </w:pPr>
      <w:r>
        <w:rPr>
          <w:rStyle w:val="FootnoteReference"/>
        </w:rPr>
        <w:footnoteRef/>
      </w:r>
      <w:r>
        <w:t xml:space="preserve"> </w:t>
      </w:r>
      <w:r w:rsidR="00BE4972">
        <w:rPr>
          <w:i/>
        </w:rPr>
        <w:t xml:space="preserve">See </w:t>
      </w:r>
      <w:r w:rsidR="00FC1FBC" w:rsidRPr="00020657">
        <w:rPr>
          <w:i/>
        </w:rPr>
        <w:t>USF</w:t>
      </w:r>
      <w:r w:rsidR="00FC1FBC">
        <w:rPr>
          <w:i/>
        </w:rPr>
        <w:t>/</w:t>
      </w:r>
      <w:r w:rsidR="00FC1FBC" w:rsidRPr="00020657">
        <w:rPr>
          <w:i/>
        </w:rPr>
        <w:t>ICC Transformation Order</w:t>
      </w:r>
      <w:r w:rsidR="00FC1FBC">
        <w:t>, 26 FCC Rcd at 17803-04, para. 414 (summarizing comments)</w:t>
      </w:r>
      <w:r w:rsidR="00B604D1">
        <w:t xml:space="preserve">; </w:t>
      </w:r>
      <w:r w:rsidR="00B604D1">
        <w:rPr>
          <w:i/>
        </w:rPr>
        <w:t>see also</w:t>
      </w:r>
      <w:r w:rsidR="00B604D1">
        <w:t xml:space="preserve"> </w:t>
      </w:r>
      <w:r w:rsidR="00B604D1" w:rsidRPr="00B604D1">
        <w:rPr>
          <w:i/>
          <w:iCs/>
        </w:rPr>
        <w:t>Auction 901 Procedures Public Notice</w:t>
      </w:r>
      <w:r w:rsidR="00B604D1" w:rsidRPr="00B604D1">
        <w:t>, 27 FCC Rcd at 4761, para. 128 (noting that two commenters responding to the Bureaus’ public notice seeking comment on Auction 901 procedures indicated a preference for a multiple round auction format)</w:t>
      </w:r>
      <w:r w:rsidR="00B604D1">
        <w:t>.</w:t>
      </w:r>
    </w:p>
  </w:footnote>
  <w:footnote w:id="58">
    <w:p w:rsidR="00AF59AC" w:rsidRDefault="00AF59AC" w:rsidP="0014404E">
      <w:pPr>
        <w:pStyle w:val="FootnoteText"/>
      </w:pPr>
      <w:r>
        <w:rPr>
          <w:rStyle w:val="FootnoteReference"/>
        </w:rPr>
        <w:footnoteRef/>
      </w:r>
      <w:r>
        <w:t xml:space="preserve"> </w:t>
      </w:r>
      <w:r w:rsidR="00411BC7" w:rsidRPr="00020657">
        <w:rPr>
          <w:i/>
        </w:rPr>
        <w:t>USF</w:t>
      </w:r>
      <w:r w:rsidR="00411BC7">
        <w:rPr>
          <w:i/>
        </w:rPr>
        <w:t>/</w:t>
      </w:r>
      <w:r w:rsidR="00411BC7" w:rsidRPr="00020657">
        <w:rPr>
          <w:i/>
        </w:rPr>
        <w:t>ICC Transformation Order</w:t>
      </w:r>
      <w:r w:rsidR="00411BC7">
        <w:t>, 26 FCC Rcd at</w:t>
      </w:r>
      <w:r>
        <w:t xml:space="preserve"> 17803-04, paras. 413-15; </w:t>
      </w:r>
      <w:r>
        <w:rPr>
          <w:i/>
        </w:rPr>
        <w:t>see</w:t>
      </w:r>
      <w:r>
        <w:t xml:space="preserve"> 47 C.F.R. §1.21003(b).</w:t>
      </w:r>
    </w:p>
  </w:footnote>
  <w:footnote w:id="59">
    <w:p w:rsidR="00AF59AC" w:rsidRPr="00FC1FBC" w:rsidRDefault="00AF59AC">
      <w:pPr>
        <w:pStyle w:val="FootnoteText"/>
      </w:pPr>
      <w:r>
        <w:rPr>
          <w:rStyle w:val="FootnoteReference"/>
        </w:rPr>
        <w:footnoteRef/>
      </w:r>
      <w:r>
        <w:t xml:space="preserve"> </w:t>
      </w:r>
      <w:r w:rsidR="00FC1FBC" w:rsidRPr="009963B2">
        <w:rPr>
          <w:i/>
          <w:iCs/>
        </w:rPr>
        <w:t>Auction 901 Procedures Public Notice</w:t>
      </w:r>
      <w:r w:rsidR="00FC1FBC">
        <w:rPr>
          <w:iCs/>
        </w:rPr>
        <w:t xml:space="preserve">, 27 FCC Rcd at </w:t>
      </w:r>
      <w:r w:rsidR="00BE4972">
        <w:rPr>
          <w:iCs/>
        </w:rPr>
        <w:t xml:space="preserve">4761, para. 129. </w:t>
      </w:r>
    </w:p>
  </w:footnote>
  <w:footnote w:id="60">
    <w:p w:rsidR="006F2FC7" w:rsidRDefault="006F2FC7">
      <w:pPr>
        <w:pStyle w:val="FootnoteText"/>
      </w:pPr>
      <w:r>
        <w:rPr>
          <w:rStyle w:val="FootnoteReference"/>
        </w:rPr>
        <w:footnoteRef/>
      </w:r>
      <w:r>
        <w:t xml:space="preserve"> </w:t>
      </w:r>
      <w:r w:rsidR="00BA1290">
        <w:rPr>
          <w:i/>
        </w:rPr>
        <w:t xml:space="preserve">See </w:t>
      </w:r>
      <w:r w:rsidR="00BA1290" w:rsidRPr="00D90004">
        <w:rPr>
          <w:i/>
          <w:iCs/>
        </w:rPr>
        <w:t>Auction 901 Closing Public Notice</w:t>
      </w:r>
      <w:r w:rsidR="00BA1290">
        <w:rPr>
          <w:iCs/>
        </w:rPr>
        <w:t>, 27 FCC Rcd 12031.</w:t>
      </w:r>
    </w:p>
  </w:footnote>
  <w:footnote w:id="61">
    <w:p w:rsidR="00AF59AC" w:rsidRPr="00EE0FC6" w:rsidRDefault="00AF59AC" w:rsidP="00151ABA">
      <w:pPr>
        <w:pStyle w:val="FootnoteText"/>
      </w:pPr>
      <w:r>
        <w:rPr>
          <w:rStyle w:val="FootnoteReference"/>
        </w:rPr>
        <w:footnoteRef/>
      </w:r>
      <w:r>
        <w:t xml:space="preserve"> </w:t>
      </w:r>
      <w:r>
        <w:rPr>
          <w:i/>
        </w:rPr>
        <w:t>USF/ICC Transformation Order</w:t>
      </w:r>
      <w:r>
        <w:t>, 26 FCC Rcd at 17787-88, para. 346; 47 C.F.R. § 54.1002(a).</w:t>
      </w:r>
    </w:p>
  </w:footnote>
  <w:footnote w:id="62">
    <w:p w:rsidR="00AF59AC" w:rsidRDefault="00AF59AC" w:rsidP="00151ABA">
      <w:pPr>
        <w:pStyle w:val="FootnoteText"/>
      </w:pPr>
      <w:r>
        <w:rPr>
          <w:rStyle w:val="FootnoteReference"/>
        </w:rPr>
        <w:footnoteRef/>
      </w:r>
      <w:r>
        <w:t xml:space="preserve"> </w:t>
      </w:r>
      <w:r>
        <w:rPr>
          <w:i/>
        </w:rPr>
        <w:t>USF/ICC Transformation Order</w:t>
      </w:r>
      <w:r>
        <w:t>, 26 FCC Rcd at 17787-88, para. 346.</w:t>
      </w:r>
    </w:p>
  </w:footnote>
  <w:footnote w:id="63">
    <w:p w:rsidR="00AF59AC" w:rsidRDefault="00AF59AC" w:rsidP="0011415E">
      <w:pPr>
        <w:pStyle w:val="FootnoteText"/>
      </w:pPr>
      <w:r>
        <w:rPr>
          <w:rStyle w:val="FootnoteReference"/>
        </w:rPr>
        <w:footnoteRef/>
      </w:r>
      <w:r>
        <w:t xml:space="preserve"> </w:t>
      </w:r>
      <w:r>
        <w:rPr>
          <w:i/>
        </w:rPr>
        <w:t>Id.</w:t>
      </w:r>
      <w:r>
        <w:t xml:space="preserve"> at 17788, para. 347; </w:t>
      </w:r>
      <w:r>
        <w:rPr>
          <w:i/>
        </w:rPr>
        <w:t>see Auction 901 Procedures Public Notice</w:t>
      </w:r>
      <w:r>
        <w:t>, 27 FCC Rcd at 4763-64, paras. 138-40.</w:t>
      </w:r>
    </w:p>
  </w:footnote>
  <w:footnote w:id="64">
    <w:p w:rsidR="00AF59AC" w:rsidRPr="00755021" w:rsidRDefault="00AF59AC" w:rsidP="00B96B10">
      <w:pPr>
        <w:pStyle w:val="FootnoteText"/>
      </w:pPr>
      <w:r>
        <w:rPr>
          <w:rStyle w:val="FootnoteReference"/>
        </w:rPr>
        <w:footnoteRef/>
      </w:r>
      <w:r>
        <w:t xml:space="preserve"> The required minimum standards for service will depend on whether a winning bidder elects to deploy 3G or 4G service.  </w:t>
      </w:r>
      <w:r>
        <w:rPr>
          <w:i/>
        </w:rPr>
        <w:t>USF/ICC Transformation Order</w:t>
      </w:r>
      <w:r>
        <w:t xml:space="preserve">, 26 FCC Rcd at 17792-93, paras. 365, 367; 47 C.F.R. §§ 54.1006(a)-(b).  This coverage requirement would apply to the total population in the eligible census blocks in each predefined aggregated area on which bids are based.  Pursuant to the </w:t>
      </w:r>
      <w:r>
        <w:rPr>
          <w:rFonts w:ascii="Times New Roman Italic" w:hAnsi="Times New Roman Italic"/>
          <w:i/>
        </w:rPr>
        <w:t>USF/ICC Transformation Order</w:t>
      </w:r>
      <w:r w:rsidRPr="00B00B79">
        <w:rPr>
          <w:rFonts w:ascii="Times New Roman Italic" w:hAnsi="Times New Roman Italic"/>
        </w:rPr>
        <w:t xml:space="preserve">, </w:t>
      </w:r>
      <w:r>
        <w:rPr>
          <w:szCs w:val="22"/>
        </w:rPr>
        <w:t xml:space="preserve">awardees meeting the minimum coverage requirement could receive </w:t>
      </w:r>
      <w:r w:rsidRPr="004E7CEA">
        <w:rPr>
          <w:szCs w:val="22"/>
        </w:rPr>
        <w:t xml:space="preserve">their winning bid amount for </w:t>
      </w:r>
      <w:r>
        <w:rPr>
          <w:szCs w:val="22"/>
        </w:rPr>
        <w:t xml:space="preserve">that population and </w:t>
      </w:r>
      <w:r w:rsidRPr="004E7CEA">
        <w:rPr>
          <w:szCs w:val="22"/>
        </w:rPr>
        <w:t xml:space="preserve">for any </w:t>
      </w:r>
      <w:r>
        <w:rPr>
          <w:szCs w:val="22"/>
        </w:rPr>
        <w:t>additional population</w:t>
      </w:r>
      <w:r w:rsidRPr="004E7CEA">
        <w:rPr>
          <w:szCs w:val="22"/>
        </w:rPr>
        <w:t xml:space="preserve"> </w:t>
      </w:r>
      <w:r>
        <w:rPr>
          <w:szCs w:val="22"/>
        </w:rPr>
        <w:t xml:space="preserve">covered </w:t>
      </w:r>
      <w:r w:rsidRPr="004E7CEA">
        <w:rPr>
          <w:szCs w:val="22"/>
        </w:rPr>
        <w:t xml:space="preserve">in excess of the 75 percent minimum, up to 100 percent of the </w:t>
      </w:r>
      <w:r>
        <w:rPr>
          <w:szCs w:val="22"/>
        </w:rPr>
        <w:t>population</w:t>
      </w:r>
      <w:r w:rsidRPr="004E7CEA">
        <w:rPr>
          <w:szCs w:val="22"/>
        </w:rPr>
        <w:t xml:space="preserve"> </w:t>
      </w:r>
      <w:r>
        <w:rPr>
          <w:szCs w:val="22"/>
        </w:rPr>
        <w:t>associated with</w:t>
      </w:r>
      <w:r w:rsidRPr="004E7CEA">
        <w:rPr>
          <w:szCs w:val="22"/>
        </w:rPr>
        <w:t xml:space="preserve"> the unserved blocks</w:t>
      </w:r>
      <w:r>
        <w:rPr>
          <w:szCs w:val="22"/>
        </w:rPr>
        <w:t xml:space="preserve">, subject to the rules on disbursement of support.  </w:t>
      </w:r>
      <w:r>
        <w:rPr>
          <w:i/>
          <w:szCs w:val="22"/>
        </w:rPr>
        <w:t xml:space="preserve">See </w:t>
      </w:r>
      <w:r>
        <w:rPr>
          <w:i/>
        </w:rPr>
        <w:t>USF/ICC Transformation Order</w:t>
      </w:r>
      <w:r>
        <w:t>, 26 FCC Rcd at 17793, para. 367; 47 U.S.C. § 54.1008.</w:t>
      </w:r>
    </w:p>
  </w:footnote>
  <w:footnote w:id="65">
    <w:p w:rsidR="00AF59AC" w:rsidRDefault="00AF59AC" w:rsidP="00151ABA">
      <w:pPr>
        <w:pStyle w:val="FootnoteText"/>
      </w:pPr>
      <w:r>
        <w:rPr>
          <w:rStyle w:val="FootnoteReference"/>
        </w:rPr>
        <w:footnoteRef/>
      </w:r>
      <w:r>
        <w:t xml:space="preserve"> When calculating how much of the budget remains, for each winning bid the auction system will multiply the per-pop rate bid by the total population in the uncovered blocks.  This is because an awardee may receive support for up to 100 percent of the population in the blocks for which it receives support.</w:t>
      </w:r>
    </w:p>
  </w:footnote>
  <w:footnote w:id="66">
    <w:p w:rsidR="00AF59AC" w:rsidRDefault="00AF59AC" w:rsidP="00151ABA">
      <w:pPr>
        <w:pStyle w:val="FootnoteText"/>
      </w:pPr>
      <w:r>
        <w:rPr>
          <w:rStyle w:val="FootnoteReference"/>
        </w:rPr>
        <w:footnoteRef/>
      </w:r>
      <w:r>
        <w:t xml:space="preserve"> </w:t>
      </w:r>
      <w:r>
        <w:rPr>
          <w:i/>
        </w:rPr>
        <w:t>USF/ICC Transformation Order</w:t>
      </w:r>
      <w:r>
        <w:t xml:space="preserve">, 26 FCC Rcd at 17807, para. 431; </w:t>
      </w:r>
      <w:r>
        <w:rPr>
          <w:i/>
        </w:rPr>
        <w:t xml:space="preserve">see </w:t>
      </w:r>
      <w:r>
        <w:t xml:space="preserve">47 C.F.R. § 1.21003(b)(1).  </w:t>
      </w:r>
      <w:r>
        <w:rPr>
          <w:i/>
        </w:rPr>
        <w:t>See also, e.g.</w:t>
      </w:r>
      <w:r w:rsidRPr="0098181D">
        <w:t>,</w:t>
      </w:r>
      <w:r>
        <w:t xml:space="preserve"> Auction of 700 MHz Band Licenses Scheduled for January 24, 2008; Notice and Filing Requirements, Minimum Opening Bids, Reserve Prices, Upfront Payments, and Other Procedures for Auctions 73 and 76, </w:t>
      </w:r>
      <w:r>
        <w:rPr>
          <w:i/>
        </w:rPr>
        <w:t>Public Notice</w:t>
      </w:r>
      <w:r w:rsidRPr="00B00B79">
        <w:t>,</w:t>
      </w:r>
      <w:r w:rsidRPr="00BB2DBD">
        <w:t xml:space="preserve"> </w:t>
      </w:r>
      <w:r>
        <w:t xml:space="preserve">DA 07-4171, 22 FCC Rcd 18,141, 18,181-85 paras. 145-56 (2007);  </w:t>
      </w:r>
      <w:r>
        <w:rPr>
          <w:bCs/>
        </w:rPr>
        <w:t xml:space="preserve">Auction of Advanced Wireless Services Licenses Scheduled for June 29, 2006; </w:t>
      </w:r>
      <w:r>
        <w:rPr>
          <w:bCs/>
          <w:szCs w:val="23"/>
        </w:rPr>
        <w:t>Notice and Filing Requirements, Minimum Opening Bids, Upfront Payments and Other Procedures</w:t>
      </w:r>
      <w:r>
        <w:rPr>
          <w:bCs/>
        </w:rPr>
        <w:t xml:space="preserve"> </w:t>
      </w:r>
      <w:r>
        <w:rPr>
          <w:bCs/>
          <w:szCs w:val="23"/>
        </w:rPr>
        <w:t xml:space="preserve">for Auction No. 66, </w:t>
      </w:r>
      <w:r>
        <w:rPr>
          <w:bCs/>
          <w:i/>
          <w:szCs w:val="23"/>
        </w:rPr>
        <w:t>Public Notice</w:t>
      </w:r>
      <w:r w:rsidRPr="00B00B79">
        <w:rPr>
          <w:bCs/>
          <w:szCs w:val="23"/>
        </w:rPr>
        <w:t>,</w:t>
      </w:r>
      <w:r w:rsidRPr="00BB2DBD">
        <w:rPr>
          <w:bCs/>
          <w:szCs w:val="23"/>
        </w:rPr>
        <w:t xml:space="preserve"> </w:t>
      </w:r>
      <w:r>
        <w:rPr>
          <w:bCs/>
          <w:szCs w:val="23"/>
        </w:rPr>
        <w:t>FCC 06-47</w:t>
      </w:r>
      <w:r>
        <w:rPr>
          <w:bCs/>
        </w:rPr>
        <w:t xml:space="preserve">, </w:t>
      </w:r>
      <w:r>
        <w:rPr>
          <w:bCs/>
          <w:szCs w:val="23"/>
        </w:rPr>
        <w:t xml:space="preserve">21 FCC Rcd 4562, 4600-05 paras. 140-57 (2006).  </w:t>
      </w:r>
    </w:p>
  </w:footnote>
  <w:footnote w:id="67">
    <w:p w:rsidR="00AF59AC" w:rsidRPr="00BD244F" w:rsidRDefault="00AF59AC">
      <w:pPr>
        <w:pStyle w:val="FootnoteText"/>
      </w:pPr>
      <w:r>
        <w:rPr>
          <w:rStyle w:val="FootnoteReference"/>
        </w:rPr>
        <w:footnoteRef/>
      </w:r>
      <w:r>
        <w:t xml:space="preserve"> </w:t>
      </w:r>
      <w:r>
        <w:rPr>
          <w:i/>
        </w:rPr>
        <w:t>See Auction 901 Procedures Public Notice</w:t>
      </w:r>
      <w:r>
        <w:t>, 27 FCC Rcd at 4766-67, para. 147.</w:t>
      </w:r>
    </w:p>
  </w:footnote>
  <w:footnote w:id="68">
    <w:p w:rsidR="00AF59AC" w:rsidRPr="00672743" w:rsidRDefault="00AF59AC" w:rsidP="00151ABA">
      <w:pPr>
        <w:pStyle w:val="FootnoteText"/>
      </w:pPr>
      <w:r w:rsidRPr="00672743">
        <w:rPr>
          <w:rStyle w:val="FootnoteReference"/>
        </w:rPr>
        <w:footnoteRef/>
      </w:r>
      <w:r w:rsidRPr="00672743">
        <w:t xml:space="preserve"> </w:t>
      </w:r>
      <w:r w:rsidRPr="00672743">
        <w:rPr>
          <w:kern w:val="28"/>
        </w:rPr>
        <w:t>47 C.F.R. § 1.210</w:t>
      </w:r>
      <w:r>
        <w:rPr>
          <w:kern w:val="28"/>
        </w:rPr>
        <w:t>03(b)(11)</w:t>
      </w:r>
      <w:r w:rsidRPr="00672743">
        <w:rPr>
          <w:kern w:val="28"/>
        </w:rPr>
        <w:t>.</w:t>
      </w:r>
    </w:p>
  </w:footnote>
  <w:footnote w:id="69">
    <w:p w:rsidR="00AF59AC" w:rsidRDefault="00AF59AC" w:rsidP="00151ABA">
      <w:pPr>
        <w:pStyle w:val="FootnoteText"/>
      </w:pPr>
      <w:r>
        <w:rPr>
          <w:rStyle w:val="FootnoteReference"/>
        </w:rPr>
        <w:footnoteRef/>
      </w:r>
      <w:r>
        <w:t xml:space="preserve"> </w:t>
      </w:r>
      <w:r>
        <w:rPr>
          <w:i/>
        </w:rPr>
        <w:t>USF/ICC Transformation Order</w:t>
      </w:r>
      <w:r>
        <w:t>, 26 FCC Rcd at 17806, paras. 423-24; 47 C.F.R. § 1.21003(b)(4).</w:t>
      </w:r>
    </w:p>
  </w:footnote>
  <w:footnote w:id="70">
    <w:p w:rsidR="00AF59AC" w:rsidRDefault="00AF59AC">
      <w:pPr>
        <w:pStyle w:val="FootnoteText"/>
      </w:pPr>
      <w:r>
        <w:rPr>
          <w:rStyle w:val="FootnoteReference"/>
        </w:rPr>
        <w:footnoteRef/>
      </w:r>
      <w:r>
        <w:t xml:space="preserve"> </w:t>
      </w:r>
      <w:r w:rsidRPr="009963B2">
        <w:rPr>
          <w:i/>
          <w:iCs/>
        </w:rPr>
        <w:t>Auction 901 Procedures Public Notice</w:t>
      </w:r>
      <w:r>
        <w:rPr>
          <w:iCs/>
        </w:rPr>
        <w:t>, 27 FCC Rcd at 4767-68, para. 152.</w:t>
      </w:r>
    </w:p>
  </w:footnote>
  <w:footnote w:id="71">
    <w:p w:rsidR="00AF59AC" w:rsidRDefault="00AF59AC" w:rsidP="00151ABA">
      <w:pPr>
        <w:pStyle w:val="FootnoteText"/>
      </w:pPr>
      <w:r>
        <w:rPr>
          <w:rStyle w:val="FootnoteReference"/>
        </w:rPr>
        <w:footnoteRef/>
      </w:r>
      <w:r>
        <w:t xml:space="preserve"> </w:t>
      </w:r>
      <w:r>
        <w:rPr>
          <w:i/>
        </w:rPr>
        <w:t>See USF/ICC Transformation Order</w:t>
      </w:r>
      <w:r>
        <w:t>, 26 FCC Rcd at 17810, 17813-14, paras. 444, 458-61; 47 C.F.R. §§ 1.21004(b), 54.1006(f).</w:t>
      </w:r>
    </w:p>
  </w:footnote>
  <w:footnote w:id="72">
    <w:p w:rsidR="00AF59AC" w:rsidRDefault="00AF59AC">
      <w:pPr>
        <w:pStyle w:val="FootnoteText"/>
      </w:pPr>
      <w:r>
        <w:rPr>
          <w:rStyle w:val="FootnoteReference"/>
        </w:rPr>
        <w:footnoteRef/>
      </w:r>
      <w:r>
        <w:t xml:space="preserve"> </w:t>
      </w:r>
      <w:r>
        <w:rPr>
          <w:i/>
        </w:rPr>
        <w:t>USF/ICC Transformation Order</w:t>
      </w:r>
      <w:r>
        <w:t>, 26 FCC Rcd at 17808, para. 436; 47 C.F.R. § 1.21004(a).</w:t>
      </w:r>
    </w:p>
  </w:footnote>
  <w:footnote w:id="73">
    <w:p w:rsidR="00AF59AC" w:rsidRDefault="00AF59AC" w:rsidP="00151ABA">
      <w:pPr>
        <w:pStyle w:val="FootnoteText"/>
      </w:pPr>
      <w:r>
        <w:rPr>
          <w:rStyle w:val="FootnoteReference"/>
        </w:rPr>
        <w:footnoteRef/>
      </w:r>
      <w:r>
        <w:t xml:space="preserve"> </w:t>
      </w:r>
      <w:r>
        <w:rPr>
          <w:i/>
        </w:rPr>
        <w:t>USF/ICC Transformation Order</w:t>
      </w:r>
      <w:r>
        <w:t xml:space="preserve">, 26 FCC Rcd at 17813, para. 458; 47 C.F.R. § 1.21004(b).  </w:t>
      </w:r>
    </w:p>
  </w:footnote>
  <w:footnote w:id="74">
    <w:p w:rsidR="00AF59AC" w:rsidRDefault="00AF59AC">
      <w:pPr>
        <w:pStyle w:val="FootnoteText"/>
      </w:pPr>
      <w:r>
        <w:rPr>
          <w:rStyle w:val="FootnoteReference"/>
        </w:rPr>
        <w:footnoteRef/>
      </w:r>
      <w:r>
        <w:t xml:space="preserve"> 47 C.F.R. § 54.1007(c).</w:t>
      </w:r>
    </w:p>
  </w:footnote>
  <w:footnote w:id="75">
    <w:p w:rsidR="00AF59AC" w:rsidRDefault="00AF59AC">
      <w:pPr>
        <w:pStyle w:val="FootnoteText"/>
      </w:pPr>
      <w:r>
        <w:rPr>
          <w:rStyle w:val="FootnoteReference"/>
        </w:rPr>
        <w:footnoteRef/>
      </w:r>
      <w:r>
        <w:t xml:space="preserve"> </w:t>
      </w:r>
      <w:r>
        <w:rPr>
          <w:i/>
        </w:rPr>
        <w:t>USF/ICC Transformation Order</w:t>
      </w:r>
      <w:r>
        <w:t xml:space="preserve">, 26 FCC Rcd at 17810, 17814, paras. 444, 460; </w:t>
      </w:r>
      <w:r>
        <w:rPr>
          <w:i/>
        </w:rPr>
        <w:t xml:space="preserve">see also </w:t>
      </w:r>
      <w:r>
        <w:t>47 C.F.R. §§ 1.21004(b), 54.1006(f).</w:t>
      </w:r>
    </w:p>
  </w:footnote>
  <w:footnote w:id="76">
    <w:p w:rsidR="00AF59AC" w:rsidRDefault="00AF59AC">
      <w:pPr>
        <w:pStyle w:val="FootnoteText"/>
      </w:pPr>
      <w:r>
        <w:rPr>
          <w:rStyle w:val="FootnoteReference"/>
        </w:rPr>
        <w:footnoteRef/>
      </w:r>
      <w:r>
        <w:t xml:space="preserve"> We note that neither an auction default nor a performance default would result in a change to the set of awardees originally selected by the auction mechanism.</w:t>
      </w:r>
    </w:p>
  </w:footnote>
  <w:footnote w:id="77">
    <w:p w:rsidR="00AF59AC" w:rsidRDefault="00AF59AC">
      <w:pPr>
        <w:pStyle w:val="FootnoteText"/>
      </w:pPr>
      <w:r>
        <w:rPr>
          <w:rStyle w:val="FootnoteReference"/>
        </w:rPr>
        <w:footnoteRef/>
      </w:r>
      <w:r>
        <w:t xml:space="preserve"> </w:t>
      </w:r>
      <w:r>
        <w:rPr>
          <w:i/>
          <w:szCs w:val="22"/>
        </w:rPr>
        <w:t xml:space="preserve">See </w:t>
      </w:r>
      <w:r>
        <w:rPr>
          <w:i/>
        </w:rPr>
        <w:t>USF/ICC Transformation Order</w:t>
      </w:r>
      <w:r>
        <w:t>, 26 FCC Rcd at 17813-14, paras. 458-61.</w:t>
      </w:r>
    </w:p>
  </w:footnote>
  <w:footnote w:id="78">
    <w:p w:rsidR="00AF59AC" w:rsidRDefault="00AF59AC">
      <w:pPr>
        <w:pStyle w:val="FootnoteText"/>
      </w:pPr>
      <w:r>
        <w:rPr>
          <w:rStyle w:val="FootnoteReference"/>
        </w:rPr>
        <w:footnoteRef/>
      </w:r>
      <w:r>
        <w:t xml:space="preserve"> </w:t>
      </w:r>
      <w:r>
        <w:rPr>
          <w:i/>
          <w:szCs w:val="22"/>
        </w:rPr>
        <w:t xml:space="preserve">See </w:t>
      </w:r>
      <w:r>
        <w:rPr>
          <w:i/>
        </w:rPr>
        <w:t xml:space="preserve">id. </w:t>
      </w:r>
      <w:r>
        <w:t xml:space="preserve">at 17813-14, paras. 458, 460; </w:t>
      </w:r>
      <w:r>
        <w:rPr>
          <w:i/>
        </w:rPr>
        <w:t xml:space="preserve">see </w:t>
      </w:r>
      <w:r>
        <w:t>47 C.F.R. § 1.21004(b).</w:t>
      </w:r>
    </w:p>
  </w:footnote>
  <w:footnote w:id="79">
    <w:p w:rsidR="00AF59AC" w:rsidRDefault="00AF59AC">
      <w:pPr>
        <w:pStyle w:val="FootnoteText"/>
      </w:pPr>
      <w:r>
        <w:rPr>
          <w:rStyle w:val="FootnoteReference"/>
        </w:rPr>
        <w:footnoteRef/>
      </w:r>
      <w:r>
        <w:t xml:space="preserve"> </w:t>
      </w:r>
      <w:r>
        <w:rPr>
          <w:i/>
        </w:rPr>
        <w:t>USF/ICC Transformation Order</w:t>
      </w:r>
      <w:r>
        <w:t>, 26 FCC Rcd at 17814, para. 460.</w:t>
      </w:r>
    </w:p>
  </w:footnote>
  <w:footnote w:id="80">
    <w:p w:rsidR="00AF59AC" w:rsidRDefault="00AF59AC">
      <w:pPr>
        <w:pStyle w:val="FootnoteText"/>
      </w:pPr>
      <w:r>
        <w:rPr>
          <w:rStyle w:val="FootnoteReference"/>
        </w:rPr>
        <w:footnoteRef/>
      </w:r>
      <w:r>
        <w:t xml:space="preserve"> </w:t>
      </w:r>
      <w:bookmarkStart w:id="167" w:name="OLE_LINK10"/>
      <w:bookmarkStart w:id="168" w:name="OLE_LINK11"/>
      <w:r>
        <w:t>47 C.F.R. § 1.21004(b).</w:t>
      </w:r>
      <w:bookmarkEnd w:id="167"/>
      <w:bookmarkEnd w:id="168"/>
    </w:p>
  </w:footnote>
  <w:footnote w:id="81">
    <w:p w:rsidR="00AF59AC" w:rsidRPr="00BD244F" w:rsidRDefault="00AF59AC">
      <w:pPr>
        <w:pStyle w:val="FootnoteText"/>
      </w:pPr>
      <w:r>
        <w:rPr>
          <w:rStyle w:val="FootnoteReference"/>
        </w:rPr>
        <w:footnoteRef/>
      </w:r>
      <w:r>
        <w:t xml:space="preserve"> </w:t>
      </w:r>
      <w:r>
        <w:rPr>
          <w:i/>
        </w:rPr>
        <w:t>See Auction 901 Procedures Public Notice</w:t>
      </w:r>
      <w:r>
        <w:t>, 27 FCC Rcd at 4777, para. 187.</w:t>
      </w:r>
    </w:p>
  </w:footnote>
  <w:footnote w:id="82">
    <w:p w:rsidR="00AF59AC" w:rsidRDefault="00AF59AC">
      <w:pPr>
        <w:pStyle w:val="FootnoteText"/>
      </w:pPr>
      <w:r>
        <w:rPr>
          <w:rStyle w:val="FootnoteReference"/>
        </w:rPr>
        <w:footnoteRef/>
      </w:r>
      <w:r>
        <w:t xml:space="preserve"> </w:t>
      </w:r>
      <w:r>
        <w:rPr>
          <w:i/>
        </w:rPr>
        <w:t>USF/ICC Transformation Order</w:t>
      </w:r>
      <w:r>
        <w:t>, 26 FCC Rcd at 17814, para. 460.</w:t>
      </w:r>
    </w:p>
  </w:footnote>
  <w:footnote w:id="83">
    <w:p w:rsidR="00AF59AC" w:rsidRDefault="00AF59AC">
      <w:pPr>
        <w:pStyle w:val="FootnoteText"/>
      </w:pPr>
      <w:r>
        <w:rPr>
          <w:rStyle w:val="FootnoteReference"/>
        </w:rPr>
        <w:footnoteRef/>
      </w:r>
      <w:r>
        <w:t xml:space="preserve"> </w:t>
      </w:r>
      <w:r>
        <w:rPr>
          <w:i/>
        </w:rPr>
        <w:t>Id.</w:t>
      </w:r>
      <w:r>
        <w:t xml:space="preserve">; </w:t>
      </w:r>
      <w:r>
        <w:rPr>
          <w:i/>
        </w:rPr>
        <w:t>see also</w:t>
      </w:r>
      <w:r>
        <w:t xml:space="preserve"> </w:t>
      </w:r>
      <w:r w:rsidRPr="00220B26">
        <w:t>47 C.F.R. § 1.2100</w:t>
      </w:r>
      <w:r>
        <w:t>1</w:t>
      </w:r>
      <w:r w:rsidRPr="00220B26">
        <w:t>(</w:t>
      </w:r>
      <w:r>
        <w:t>c</w:t>
      </w:r>
      <w:r w:rsidRPr="00220B26">
        <w:t>).</w:t>
      </w:r>
    </w:p>
  </w:footnote>
  <w:footnote w:id="84">
    <w:p w:rsidR="00AF59AC" w:rsidRDefault="00AF59AC">
      <w:pPr>
        <w:pStyle w:val="FootnoteText"/>
      </w:pPr>
      <w:r>
        <w:rPr>
          <w:rStyle w:val="FootnoteReference"/>
        </w:rPr>
        <w:footnoteRef/>
      </w:r>
      <w:r>
        <w:t xml:space="preserve"> </w:t>
      </w:r>
      <w:r>
        <w:rPr>
          <w:i/>
        </w:rPr>
        <w:t>USF/ICC Transformation Order</w:t>
      </w:r>
      <w:r>
        <w:t>, 26 FCC Rcd at 17811, 17814, paras. 447, 461.</w:t>
      </w:r>
    </w:p>
  </w:footnote>
  <w:footnote w:id="85">
    <w:p w:rsidR="00AF59AC" w:rsidRDefault="00AF59AC" w:rsidP="00151ABA">
      <w:pPr>
        <w:pStyle w:val="FootnoteText"/>
      </w:pPr>
      <w:r w:rsidRPr="00E750E8">
        <w:rPr>
          <w:rStyle w:val="FootnoteReference"/>
        </w:rPr>
        <w:footnoteRef/>
      </w:r>
      <w:r w:rsidRPr="00E750E8">
        <w:t xml:space="preserve"> </w:t>
      </w:r>
      <w:r w:rsidRPr="00E750E8">
        <w:rPr>
          <w:i/>
        </w:rPr>
        <w:t>See</w:t>
      </w:r>
      <w:r w:rsidRPr="00E750E8">
        <w:t xml:space="preserve"> 47 C.F.R. § 54.1006(f).</w:t>
      </w:r>
      <w:r>
        <w:t xml:space="preserve"> </w:t>
      </w:r>
    </w:p>
  </w:footnote>
  <w:footnote w:id="86">
    <w:p w:rsidR="00AF59AC" w:rsidRDefault="00AF59AC">
      <w:pPr>
        <w:pStyle w:val="FootnoteText"/>
      </w:pPr>
      <w:r>
        <w:rPr>
          <w:rStyle w:val="FootnoteReference"/>
        </w:rPr>
        <w:footnoteRef/>
      </w:r>
      <w:r>
        <w:t xml:space="preserve"> </w:t>
      </w:r>
      <w:r>
        <w:rPr>
          <w:i/>
        </w:rPr>
        <w:t>USF/ICC Transformation Order</w:t>
      </w:r>
      <w:r>
        <w:t>, 26 FCC Rcd at 17810-11, 17815, paras. 446, 462.</w:t>
      </w:r>
    </w:p>
  </w:footnote>
  <w:footnote w:id="87">
    <w:p w:rsidR="00AF59AC" w:rsidRPr="00BD244F" w:rsidRDefault="00AF59AC">
      <w:pPr>
        <w:pStyle w:val="FootnoteText"/>
      </w:pPr>
      <w:r>
        <w:rPr>
          <w:rStyle w:val="FootnoteReference"/>
        </w:rPr>
        <w:footnoteRef/>
      </w:r>
      <w:r>
        <w:t xml:space="preserve"> </w:t>
      </w:r>
      <w:r>
        <w:rPr>
          <w:i/>
        </w:rPr>
        <w:t>See Auction 901 Procedures Public Notice</w:t>
      </w:r>
      <w:r>
        <w:t>, 27 FCC Rcd at 4778, para. 192.</w:t>
      </w:r>
    </w:p>
  </w:footnote>
  <w:footnote w:id="88">
    <w:p w:rsidR="00AF59AC" w:rsidRDefault="00AF59AC" w:rsidP="00151ABA">
      <w:pPr>
        <w:pStyle w:val="FootnoteText"/>
      </w:pPr>
      <w:r>
        <w:rPr>
          <w:rStyle w:val="FootnoteReference"/>
        </w:rPr>
        <w:footnoteRef/>
      </w:r>
      <w:r>
        <w:t xml:space="preserve"> 47 C.F.R. § 54.1005(b)(2)(viii).  Recipients will be subject to this requirement for five years after the date of award of support.  </w:t>
      </w:r>
      <w:r>
        <w:rPr>
          <w:i/>
        </w:rPr>
        <w:t xml:space="preserve">See </w:t>
      </w:r>
      <w:r w:rsidRPr="00FD630A">
        <w:rPr>
          <w:i/>
        </w:rPr>
        <w:t>USF/ICC Transformation Order</w:t>
      </w:r>
      <w:r>
        <w:t xml:space="preserve">, 26 FCC Rcd at 17797, para. 385.  Recipients must offer service plans in supported areas that meet the public interest obligations specified in the Commission’s Mobility Fund rules and that include a stand-alone voice service plan.  </w:t>
      </w:r>
      <w:r>
        <w:rPr>
          <w:i/>
        </w:rPr>
        <w:t xml:space="preserve">See </w:t>
      </w:r>
      <w:r>
        <w:t xml:space="preserve">47 C.F.R. § 54.1006. </w:t>
      </w:r>
    </w:p>
  </w:footnote>
  <w:footnote w:id="89">
    <w:p w:rsidR="00AF59AC" w:rsidRDefault="00AF59AC" w:rsidP="00151ABA">
      <w:pPr>
        <w:pStyle w:val="FootnoteText"/>
      </w:pPr>
      <w:r>
        <w:rPr>
          <w:rStyle w:val="FootnoteReference"/>
        </w:rPr>
        <w:footnoteRef/>
      </w:r>
      <w:r>
        <w:t xml:space="preserve"> </w:t>
      </w:r>
      <w:r>
        <w:rPr>
          <w:i/>
        </w:rPr>
        <w:t xml:space="preserve">See </w:t>
      </w:r>
      <w:r w:rsidRPr="00FD630A">
        <w:rPr>
          <w:i/>
        </w:rPr>
        <w:t>USF/ICC Transformation Order</w:t>
      </w:r>
      <w:r>
        <w:t>, 26 FCC Rcd</w:t>
      </w:r>
      <w:r>
        <w:rPr>
          <w:i/>
        </w:rPr>
        <w:t xml:space="preserve"> </w:t>
      </w:r>
      <w:r>
        <w:t xml:space="preserve">at 17797, para. 385. </w:t>
      </w:r>
    </w:p>
  </w:footnote>
  <w:footnote w:id="90">
    <w:p w:rsidR="00AF59AC" w:rsidRDefault="00AF59AC" w:rsidP="00702878">
      <w:pPr>
        <w:pStyle w:val="FootnoteText"/>
      </w:pPr>
      <w:r>
        <w:rPr>
          <w:rStyle w:val="FootnoteReference"/>
        </w:rPr>
        <w:footnoteRef/>
      </w:r>
      <w:r>
        <w:t xml:space="preserve"> </w:t>
      </w:r>
      <w:r>
        <w:rPr>
          <w:i/>
        </w:rPr>
        <w:t xml:space="preserve">See id. </w:t>
      </w:r>
      <w:r>
        <w:t>at 17694, 17708-09, paras. 85, 114</w:t>
      </w:r>
      <w:r w:rsidRPr="00764E2C">
        <w:rPr>
          <w:color w:val="000080"/>
        </w:rPr>
        <w:t>.</w:t>
      </w:r>
    </w:p>
  </w:footnote>
  <w:footnote w:id="91">
    <w:p w:rsidR="00AF59AC" w:rsidRDefault="00AF59AC" w:rsidP="002B17F7">
      <w:pPr>
        <w:pStyle w:val="FootnoteText"/>
      </w:pPr>
      <w:r>
        <w:rPr>
          <w:rStyle w:val="FootnoteReference"/>
        </w:rPr>
        <w:footnoteRef/>
      </w:r>
      <w:r>
        <w:t xml:space="preserve"> </w:t>
      </w:r>
      <w:r>
        <w:rPr>
          <w:i/>
        </w:rPr>
        <w:t xml:space="preserve">See id. </w:t>
      </w:r>
      <w:r>
        <w:t>at 17797, para. 385.</w:t>
      </w:r>
    </w:p>
  </w:footnote>
  <w:footnote w:id="92">
    <w:p w:rsidR="00AF59AC" w:rsidRDefault="00AF59AC" w:rsidP="004D779F">
      <w:pPr>
        <w:pStyle w:val="FootnoteText"/>
      </w:pPr>
      <w:r>
        <w:rPr>
          <w:rStyle w:val="FootnoteReference"/>
        </w:rPr>
        <w:footnoteRef/>
      </w:r>
      <w:r>
        <w:t xml:space="preserve"> </w:t>
      </w:r>
      <w:r>
        <w:rPr>
          <w:i/>
        </w:rPr>
        <w:t xml:space="preserve">See </w:t>
      </w:r>
      <w:r w:rsidRPr="009963B2">
        <w:rPr>
          <w:i/>
          <w:iCs/>
        </w:rPr>
        <w:t>Auction 901 Procedures Public Notice</w:t>
      </w:r>
      <w:r>
        <w:rPr>
          <w:iCs/>
        </w:rPr>
        <w:t>, 27 FCC Rcd</w:t>
      </w:r>
      <w:r>
        <w:rPr>
          <w:i/>
          <w:iCs/>
        </w:rPr>
        <w:t xml:space="preserve"> </w:t>
      </w:r>
      <w:r>
        <w:rPr>
          <w:iCs/>
        </w:rPr>
        <w:t xml:space="preserve">at 4774-75, para. 180.  </w:t>
      </w:r>
      <w:r w:rsidRPr="00A42EC1">
        <w:t>See</w:t>
      </w:r>
      <w:r>
        <w:t xml:space="preserve"> below for a discussion of how “urban areas” should be defined for this purpose.  We note that any provider that itself offers the same service plan for the same rate in a supported area and in an urban area would be able to meet this requirement.  </w:t>
      </w:r>
    </w:p>
  </w:footnote>
  <w:footnote w:id="93">
    <w:p w:rsidR="00AF59AC" w:rsidRDefault="00AF59AC">
      <w:pPr>
        <w:pStyle w:val="FootnoteText"/>
      </w:pPr>
      <w:r>
        <w:rPr>
          <w:rStyle w:val="FootnoteReference"/>
        </w:rPr>
        <w:footnoteRef/>
      </w:r>
      <w:r>
        <w:t xml:space="preserve"> Adopting this approach for purposes of Tribal Mobility Fund Phase I does not prejudge the approach to be taken with respect to Phase II of the Mobility Fund or the Connect America Fund generally.  We note that in line with the approach in Auction 901, we do not propose to adopt an urban rate floor for recipients of Tribal Mobility Fund Phase I support.  </w:t>
      </w:r>
      <w:r>
        <w:rPr>
          <w:i/>
        </w:rPr>
        <w:t xml:space="preserve">See </w:t>
      </w:r>
      <w:r w:rsidRPr="009963B2">
        <w:t xml:space="preserve">Mobility Fund Phase I Auction Scheduled for September 27, 2012; </w:t>
      </w:r>
      <w:r>
        <w:t>Comment Sought on Competitive Bidding Procedures for Auction 901 and Certain Program Requirements</w:t>
      </w:r>
      <w:r w:rsidRPr="009963B2">
        <w:t xml:space="preserve">, </w:t>
      </w:r>
      <w:r w:rsidRPr="009963B2">
        <w:rPr>
          <w:i/>
          <w:iCs/>
        </w:rPr>
        <w:t>Public Notice</w:t>
      </w:r>
      <w:r w:rsidRPr="009963B2">
        <w:t>, AU Docket No. 12-25, DA 12-</w:t>
      </w:r>
      <w:r>
        <w:t>121</w:t>
      </w:r>
      <w:r w:rsidRPr="009963B2">
        <w:t xml:space="preserve">, 27 FCC Rcd </w:t>
      </w:r>
      <w:r>
        <w:t>530, 547-48, para. 67 n.75</w:t>
      </w:r>
      <w:r w:rsidRPr="009963B2">
        <w:t xml:space="preserve"> (2012)</w:t>
      </w:r>
      <w:r>
        <w:t xml:space="preserve">; </w:t>
      </w:r>
      <w:r>
        <w:rPr>
          <w:i/>
        </w:rPr>
        <w:t>cf. USF/ICC Transformation Order</w:t>
      </w:r>
      <w:r>
        <w:t>, 26 FCC Rcd</w:t>
      </w:r>
      <w:r>
        <w:rPr>
          <w:i/>
        </w:rPr>
        <w:t xml:space="preserve"> </w:t>
      </w:r>
      <w:r>
        <w:t xml:space="preserve">at 17749-51, paras. 235-238 (limiting high-cost support where local end-user rates plus state regulated fees do not meet an urban rate floor representing the national average of local rates plus such state regulated fees).  </w:t>
      </w:r>
    </w:p>
  </w:footnote>
  <w:footnote w:id="94">
    <w:p w:rsidR="00AF59AC" w:rsidRDefault="00AF59AC" w:rsidP="00151ABA">
      <w:pPr>
        <w:pStyle w:val="FootnoteText"/>
      </w:pPr>
      <w:r>
        <w:rPr>
          <w:rStyle w:val="FootnoteReference"/>
        </w:rPr>
        <w:footnoteRef/>
      </w:r>
      <w:r>
        <w:t xml:space="preserve"> Most consumers in the 100 most populated CMAs in the country are covered by between four to six mobile wireless providers</w:t>
      </w:r>
      <w:r w:rsidRPr="006F345F">
        <w:t xml:space="preserve">.  Commission analysis of </w:t>
      </w:r>
      <w:r>
        <w:t>October 2011</w:t>
      </w:r>
      <w:r w:rsidRPr="006F345F">
        <w:t xml:space="preserve"> Mosaik</w:t>
      </w:r>
      <w:r>
        <w:t xml:space="preserve"> (then American Roamer)</w:t>
      </w:r>
      <w:r w:rsidRPr="006F345F">
        <w:t xml:space="preserve"> coverage maps and Census 2010 block data.</w:t>
      </w:r>
      <w:r>
        <w:t xml:space="preserve"> </w:t>
      </w:r>
    </w:p>
  </w:footnote>
  <w:footnote w:id="95">
    <w:p w:rsidR="00AF59AC" w:rsidRDefault="00AF59AC" w:rsidP="00151ABA">
      <w:pPr>
        <w:pStyle w:val="FootnoteText"/>
      </w:pPr>
      <w:r>
        <w:rPr>
          <w:rStyle w:val="FootnoteReference"/>
        </w:rPr>
        <w:footnoteRef/>
      </w:r>
      <w:r>
        <w:t xml:space="preserve"> Under this approach, the supported party must offer services at rates within the range but that do not exceed one particular rate that is presumed to be a part of that range.  </w:t>
      </w:r>
      <w:r w:rsidRPr="00A057BB">
        <w:rPr>
          <w:rFonts w:cs="Courier New"/>
        </w:rPr>
        <w:t xml:space="preserve">Previously, rates for supported services in </w:t>
      </w:r>
      <w:r>
        <w:rPr>
          <w:rFonts w:cs="Courier New"/>
        </w:rPr>
        <w:t xml:space="preserve">high-cost, insular and </w:t>
      </w:r>
      <w:r w:rsidRPr="00A057BB">
        <w:rPr>
          <w:rFonts w:cs="Courier New"/>
        </w:rPr>
        <w:t xml:space="preserve">rural areas served by non-rural carriers were presumed to be reasonably comparable to urban rates nationwide if they fell </w:t>
      </w:r>
      <w:r>
        <w:rPr>
          <w:rFonts w:cs="Courier New"/>
        </w:rPr>
        <w:t>below</w:t>
      </w:r>
      <w:r w:rsidRPr="00A057BB">
        <w:rPr>
          <w:rFonts w:cs="Courier New"/>
        </w:rPr>
        <w:t xml:space="preserve"> the national rate benchmark, which was set at two standard deviations above the average urban rate as reported in an annual rate survey published by the Wireline Competition Bureau.</w:t>
      </w:r>
      <w:r>
        <w:rPr>
          <w:rFonts w:cs="Courier New"/>
        </w:rPr>
        <w:t xml:space="preserve">  </w:t>
      </w:r>
      <w:r w:rsidRPr="00934964">
        <w:rPr>
          <w:rFonts w:cs="Courier New"/>
          <w:i/>
          <w:iCs/>
        </w:rPr>
        <w:t xml:space="preserve">See </w:t>
      </w:r>
      <w:r w:rsidRPr="00B00B79">
        <w:rPr>
          <w:rFonts w:cs="Courier New"/>
          <w:iCs/>
        </w:rPr>
        <w:t>High-Cost Universal Service Support</w:t>
      </w:r>
      <w:r w:rsidRPr="00934964">
        <w:rPr>
          <w:rFonts w:cs="Courier New"/>
        </w:rPr>
        <w:t xml:space="preserve">, WC Docket No. 05-337, </w:t>
      </w:r>
      <w:r w:rsidRPr="00B00B79">
        <w:rPr>
          <w:rFonts w:cs="Courier New"/>
          <w:iCs/>
        </w:rPr>
        <w:t xml:space="preserve">Federal-State Joint Board on Universal Service, </w:t>
      </w:r>
      <w:r w:rsidRPr="00934964">
        <w:rPr>
          <w:rFonts w:cs="Courier New"/>
        </w:rPr>
        <w:t xml:space="preserve">CC Docket No. 96-45, </w:t>
      </w:r>
      <w:r w:rsidRPr="00B00B79">
        <w:rPr>
          <w:rFonts w:cs="Courier New"/>
          <w:i/>
        </w:rPr>
        <w:t>Order on Remand and</w:t>
      </w:r>
      <w:r w:rsidRPr="003433B2">
        <w:rPr>
          <w:rFonts w:cs="Courier New"/>
          <w:i/>
          <w:iCs/>
        </w:rPr>
        <w:t xml:space="preserve"> </w:t>
      </w:r>
      <w:r w:rsidRPr="00B00B79">
        <w:rPr>
          <w:rFonts w:cs="Courier New"/>
          <w:i/>
        </w:rPr>
        <w:t>Memorandum Opinion and Order</w:t>
      </w:r>
      <w:r w:rsidRPr="00934964">
        <w:rPr>
          <w:rFonts w:cs="Courier New"/>
        </w:rPr>
        <w:t xml:space="preserve">, </w:t>
      </w:r>
      <w:r>
        <w:rPr>
          <w:rFonts w:cs="Courier New"/>
        </w:rPr>
        <w:t xml:space="preserve">FCC 10-56, </w:t>
      </w:r>
      <w:r w:rsidRPr="00934964">
        <w:rPr>
          <w:rFonts w:cs="Courier New"/>
        </w:rPr>
        <w:t>25 FCC Rcd 4072, 40</w:t>
      </w:r>
      <w:r>
        <w:rPr>
          <w:rFonts w:cs="Courier New"/>
        </w:rPr>
        <w:t>76</w:t>
      </w:r>
      <w:r w:rsidRPr="00934964">
        <w:rPr>
          <w:rFonts w:cs="Courier New"/>
        </w:rPr>
        <w:t>, para. 8 (2010)</w:t>
      </w:r>
      <w:r>
        <w:rPr>
          <w:rFonts w:cs="Courier New"/>
        </w:rPr>
        <w:t xml:space="preserve">, </w:t>
      </w:r>
      <w:r>
        <w:rPr>
          <w:rFonts w:cs="Courier New"/>
          <w:i/>
        </w:rPr>
        <w:t>pet. for review den’d</w:t>
      </w:r>
      <w:r w:rsidRPr="00FA035A">
        <w:rPr>
          <w:rFonts w:cs="Courier New"/>
        </w:rPr>
        <w:t>,</w:t>
      </w:r>
      <w:r>
        <w:rPr>
          <w:rFonts w:cs="Courier New"/>
        </w:rPr>
        <w:t xml:space="preserve"> </w:t>
      </w:r>
      <w:r>
        <w:rPr>
          <w:rFonts w:cs="Courier New"/>
          <w:i/>
        </w:rPr>
        <w:t>Vermont Public Service Bd. v. F.C.C.</w:t>
      </w:r>
      <w:r>
        <w:rPr>
          <w:rFonts w:cs="Courier New"/>
        </w:rPr>
        <w:t xml:space="preserve">, 661 F.3d 54 (D.C. Cir. 2011).  </w:t>
      </w:r>
      <w:r>
        <w:t xml:space="preserve">Thus, while the approaches differ, both serve to assure that rates for supported services are reasonably comparable to rates in urban areas. </w:t>
      </w:r>
    </w:p>
  </w:footnote>
  <w:footnote w:id="96">
    <w:p w:rsidR="00AF59AC" w:rsidRDefault="00AF59AC">
      <w:pPr>
        <w:pStyle w:val="FootnoteText"/>
      </w:pPr>
      <w:r>
        <w:rPr>
          <w:rStyle w:val="FootnoteReference"/>
        </w:rPr>
        <w:footnoteRef/>
      </w:r>
      <w:r>
        <w:t xml:space="preserve"> A supported provider using its own urban rates would have little trouble making such a demonstration.  However, would other supported providers find the range of urban plans with publicly available subscriber data by plan too limited?  Are there alternative criteria that urban plans should meet before their rates may be used for comparison?</w:t>
      </w:r>
    </w:p>
  </w:footnote>
  <w:footnote w:id="97">
    <w:p w:rsidR="00AF59AC" w:rsidRDefault="00AF59AC" w:rsidP="00151ABA">
      <w:pPr>
        <w:pStyle w:val="FootnoteText"/>
      </w:pPr>
      <w:r>
        <w:rPr>
          <w:rStyle w:val="FootnoteReference"/>
        </w:rPr>
        <w:footnoteRef/>
      </w:r>
      <w:r>
        <w:t xml:space="preserve"> A list of the top 100 CMAs by population is included in Attachment B. </w:t>
      </w:r>
    </w:p>
  </w:footnote>
  <w:footnote w:id="98">
    <w:p w:rsidR="00AF59AC" w:rsidRDefault="00AF59AC" w:rsidP="002E6E50">
      <w:pPr>
        <w:pStyle w:val="FootnoteText"/>
      </w:pPr>
      <w:r>
        <w:rPr>
          <w:rStyle w:val="FootnoteReference"/>
        </w:rPr>
        <w:footnoteRef/>
      </w:r>
      <w:r>
        <w:t xml:space="preserve"> Commission analysis of October 2011 Mosaik (then American Roamer) coverage maps and Census 2010 block data. </w:t>
      </w:r>
    </w:p>
  </w:footnote>
  <w:footnote w:id="99">
    <w:p w:rsidR="00AF59AC" w:rsidRDefault="00AF59AC">
      <w:pPr>
        <w:pStyle w:val="FootnoteText"/>
      </w:pPr>
      <w:r>
        <w:rPr>
          <w:rStyle w:val="FootnoteReference"/>
        </w:rPr>
        <w:footnoteRef/>
      </w:r>
      <w:r>
        <w:t xml:space="preserve"> </w:t>
      </w:r>
      <w:r>
        <w:rPr>
          <w:i/>
        </w:rPr>
        <w:t xml:space="preserve">See </w:t>
      </w:r>
      <w:r w:rsidRPr="009963B2">
        <w:rPr>
          <w:i/>
          <w:iCs/>
        </w:rPr>
        <w:t>Auction 901 Procedures Public Notice</w:t>
      </w:r>
      <w:r>
        <w:rPr>
          <w:iCs/>
        </w:rPr>
        <w:t xml:space="preserve">, 27 FCC Rcd at 4774, para. 179. </w:t>
      </w:r>
    </w:p>
  </w:footnote>
  <w:footnote w:id="100">
    <w:p w:rsidR="00AF59AC" w:rsidRPr="008D3DB0" w:rsidRDefault="00AF59AC">
      <w:pPr>
        <w:pStyle w:val="FootnoteText"/>
      </w:pPr>
      <w:r>
        <w:rPr>
          <w:rStyle w:val="FootnoteReference"/>
        </w:rPr>
        <w:footnoteRef/>
      </w:r>
      <w:r>
        <w:t xml:space="preserve"> </w:t>
      </w:r>
      <w:r>
        <w:rPr>
          <w:i/>
        </w:rPr>
        <w:t>Id.</w:t>
      </w:r>
    </w:p>
  </w:footnote>
  <w:footnote w:id="101">
    <w:p w:rsidR="00AF59AC" w:rsidRDefault="00AF59AC" w:rsidP="002A74FE">
      <w:pPr>
        <w:pStyle w:val="FootnoteText"/>
        <w:rPr>
          <w:i/>
          <w:iCs/>
        </w:rPr>
      </w:pPr>
      <w:r>
        <w:rPr>
          <w:rStyle w:val="FootnoteReference"/>
        </w:rPr>
        <w:footnoteRef/>
      </w:r>
      <w:r>
        <w:t xml:space="preserve"> 47 C.F.R. §§ 1.1200 </w:t>
      </w:r>
      <w:r>
        <w:rPr>
          <w:i/>
          <w:iCs/>
        </w:rPr>
        <w:t>et seq.</w:t>
      </w:r>
    </w:p>
    <w:p w:rsidR="00AF59AC" w:rsidRPr="00E169D5" w:rsidRDefault="00AF59AC" w:rsidP="002A74FE">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75" w:rsidRDefault="006A6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C" w:rsidRPr="001E1083" w:rsidRDefault="00AF59AC" w:rsidP="00151ABA">
    <w:pPr>
      <w:pStyle w:val="Header"/>
      <w:pBdr>
        <w:bottom w:val="single" w:sz="4" w:space="1" w:color="auto"/>
      </w:pBdr>
      <w:ind w:firstLine="0"/>
      <w:rPr>
        <w:rFonts w:ascii="Times New Roman" w:hAnsi="Times New Roman"/>
        <w:b/>
        <w:sz w:val="22"/>
        <w:szCs w:val="22"/>
      </w:rPr>
    </w:pPr>
    <w:r w:rsidRPr="001E1083">
      <w:rPr>
        <w:rFonts w:ascii="Times New Roman" w:hAnsi="Times New Roman"/>
        <w:b/>
        <w:sz w:val="22"/>
        <w:szCs w:val="22"/>
      </w:rPr>
      <w:tab/>
      <w:t>Federal Communications Commission</w:t>
    </w:r>
    <w:r w:rsidRPr="001E1083">
      <w:rPr>
        <w:rFonts w:ascii="Times New Roman" w:hAnsi="Times New Roman"/>
        <w:b/>
        <w:sz w:val="22"/>
        <w:szCs w:val="22"/>
      </w:rPr>
      <w:tab/>
      <w:t>DA 1</w:t>
    </w:r>
    <w:r>
      <w:rPr>
        <w:rFonts w:ascii="Times New Roman" w:hAnsi="Times New Roman"/>
        <w:b/>
        <w:sz w:val="22"/>
        <w:szCs w:val="22"/>
      </w:rPr>
      <w:t>3</w:t>
    </w:r>
    <w:r w:rsidRPr="001E1083">
      <w:rPr>
        <w:rFonts w:ascii="Times New Roman" w:hAnsi="Times New Roman"/>
        <w:b/>
        <w:sz w:val="22"/>
        <w:szCs w:val="22"/>
      </w:rPr>
      <w:t>-</w:t>
    </w:r>
    <w:r>
      <w:rPr>
        <w:rFonts w:ascii="Times New Roman" w:hAnsi="Times New Roman"/>
        <w:b/>
        <w:sz w:val="22"/>
        <w:szCs w:val="22"/>
      </w:rPr>
      <w:t>323</w:t>
    </w:r>
  </w:p>
  <w:p w:rsidR="00AF59AC" w:rsidRPr="00016280" w:rsidRDefault="00AF59AC" w:rsidP="00151ABA">
    <w:pPr>
      <w:pStyle w:val="Header"/>
      <w:ind w:firstLine="0"/>
      <w:rPr>
        <w:rFonts w:ascii="Times New Roman" w:hAnsi="Times New Roman"/>
        <w:sz w:val="22"/>
        <w:szCs w:val="22"/>
      </w:rPr>
    </w:pPr>
  </w:p>
  <w:p w:rsidR="00AF59AC" w:rsidRPr="00016280" w:rsidRDefault="00AF59AC" w:rsidP="00151ABA">
    <w:pPr>
      <w:tabs>
        <w:tab w:val="left" w:pos="-720"/>
      </w:tabs>
      <w:suppressAutoHyphens/>
      <w:spacing w:line="19" w:lineRule="exac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C" w:rsidRPr="001F0D57" w:rsidRDefault="00AF59AC" w:rsidP="00151ABA">
    <w:pPr>
      <w:pStyle w:val="Header"/>
      <w:rPr>
        <w:rFonts w:ascii="Arial" w:hAnsi="Arial" w:cs="Arial"/>
        <w:b/>
      </w:rPr>
    </w:pPr>
    <w:r>
      <w:rPr>
        <w:noProof/>
        <w:snapToGrid/>
      </w:rPr>
      <w:drawing>
        <wp:anchor distT="0" distB="0" distL="114300" distR="114300" simplePos="0" relativeHeight="251658752" behindDoc="0" locked="0" layoutInCell="0" allowOverlap="1" wp14:anchorId="5355114E" wp14:editId="0185B741">
          <wp:simplePos x="0" y="0"/>
          <wp:positionH relativeFrom="column">
            <wp:posOffset>30480</wp:posOffset>
          </wp:positionH>
          <wp:positionV relativeFrom="paragraph">
            <wp:posOffset>107950</wp:posOffset>
          </wp:positionV>
          <wp:extent cx="530225" cy="530225"/>
          <wp:effectExtent l="0" t="0" r="3175" b="3175"/>
          <wp:wrapTopAndBottom/>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D57">
      <w:rPr>
        <w:rFonts w:ascii="Arial" w:hAnsi="Arial" w:cs="Arial"/>
        <w:b/>
      </w:rPr>
      <w:t>PUBLIC NOTICE</w:t>
    </w:r>
  </w:p>
  <w:p w:rsidR="00AF59AC" w:rsidRPr="005D32C7" w:rsidRDefault="00AF59AC" w:rsidP="00151ABA">
    <w:pPr>
      <w:pStyle w:val="Header"/>
      <w:pBdr>
        <w:bottom w:val="single" w:sz="4" w:space="1" w:color="000000"/>
      </w:pBdr>
      <w:spacing w:line="1040" w:lineRule="exact"/>
      <w:ind w:firstLine="0"/>
      <w:rPr>
        <w:rFonts w:ascii="Arial" w:hAnsi="Arial" w:cs="Arial"/>
        <w:sz w:val="22"/>
        <w:szCs w:val="22"/>
      </w:rPr>
    </w:pPr>
    <w:r>
      <w:rPr>
        <w:noProof/>
        <w:snapToGrid/>
      </w:rPr>
      <mc:AlternateContent>
        <mc:Choice Requires="wps">
          <w:drawing>
            <wp:anchor distT="0" distB="0" distL="114300" distR="114300" simplePos="0" relativeHeight="251656704" behindDoc="0" locked="0" layoutInCell="0" allowOverlap="1" wp14:anchorId="425ED377" wp14:editId="4AE34403">
              <wp:simplePos x="0" y="0"/>
              <wp:positionH relativeFrom="column">
                <wp:posOffset>604299</wp:posOffset>
              </wp:positionH>
              <wp:positionV relativeFrom="paragraph">
                <wp:posOffset>33407</wp:posOffset>
              </wp:positionV>
              <wp:extent cx="3108960" cy="61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1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AC" w:rsidRDefault="00AF59AC" w:rsidP="00151ABA">
                          <w:pPr>
                            <w:rPr>
                              <w:rFonts w:ascii="Arial" w:hAnsi="Arial"/>
                              <w:b/>
                            </w:rPr>
                          </w:pPr>
                          <w:r>
                            <w:rPr>
                              <w:rFonts w:ascii="Arial" w:hAnsi="Arial"/>
                              <w:b/>
                            </w:rPr>
                            <w:t>Federal Communications Commission</w:t>
                          </w:r>
                        </w:p>
                        <w:p w:rsidR="00AF59AC" w:rsidRDefault="00AF59AC" w:rsidP="00151A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59AC" w:rsidRDefault="00AF59AC" w:rsidP="00151A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pt;margin-top:2.65pt;width:244.8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" o:allowincell="f" stroked="f">
              <v:textbox>
                <w:txbxContent>
                  <w:p w:rsidR="00AF59AC" w:rsidRDefault="00AF59AC" w:rsidP="00151ABA">
                    <w:pPr>
                      <w:rPr>
                        <w:rFonts w:ascii="Arial" w:hAnsi="Arial"/>
                        <w:b/>
                      </w:rPr>
                    </w:pPr>
                    <w:r>
                      <w:rPr>
                        <w:rFonts w:ascii="Arial" w:hAnsi="Arial"/>
                        <w:b/>
                      </w:rPr>
                      <w:t>Federal Communications Commission</w:t>
                    </w:r>
                  </w:p>
                  <w:p w:rsidR="00AF59AC" w:rsidRDefault="00AF59AC" w:rsidP="00151A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59AC" w:rsidRDefault="00AF59AC" w:rsidP="00151ABA">
                    <w:pPr>
                      <w:rPr>
                        <w:rFonts w:ascii="Arial" w:hAnsi="Arial"/>
                        <w:sz w:val="24"/>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7728" behindDoc="0" locked="0" layoutInCell="1" allowOverlap="1">
              <wp:simplePos x="0" y="0"/>
              <wp:positionH relativeFrom="column">
                <wp:posOffset>3867785</wp:posOffset>
              </wp:positionH>
              <wp:positionV relativeFrom="paragraph">
                <wp:posOffset>130175</wp:posOffset>
              </wp:positionV>
              <wp:extent cx="2057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AC" w:rsidRDefault="00AF59AC" w:rsidP="00151ABA">
                          <w:pPr>
                            <w:jc w:val="right"/>
                            <w:rPr>
                              <w:rFonts w:ascii="Arial" w:hAnsi="Arial"/>
                              <w:b/>
                              <w:sz w:val="16"/>
                            </w:rPr>
                          </w:pPr>
                          <w:r>
                            <w:rPr>
                              <w:rFonts w:ascii="Arial" w:hAnsi="Arial"/>
                              <w:b/>
                              <w:sz w:val="16"/>
                            </w:rPr>
                            <w:t>News Media Information 202 / 418-0500</w:t>
                          </w:r>
                        </w:p>
                        <w:p w:rsidR="00AF59AC" w:rsidRDefault="00AF59AC" w:rsidP="00151ABA">
                          <w:pPr>
                            <w:jc w:val="right"/>
                            <w:rPr>
                              <w:rFonts w:ascii="Arial" w:hAnsi="Arial"/>
                              <w:b/>
                              <w:sz w:val="16"/>
                            </w:rPr>
                          </w:pPr>
                          <w:r>
                            <w:rPr>
                              <w:rFonts w:ascii="Arial" w:hAnsi="Arial"/>
                              <w:b/>
                              <w:sz w:val="16"/>
                            </w:rPr>
                            <w:tab/>
                            <w:t xml:space="preserve">Internet: </w:t>
                          </w:r>
                          <w:bookmarkStart w:id="277" w:name="_Hlt233824"/>
                          <w:r>
                            <w:rPr>
                              <w:rFonts w:ascii="Arial" w:hAnsi="Arial"/>
                              <w:b/>
                              <w:sz w:val="16"/>
                            </w:rPr>
                            <w:t>h</w:t>
                          </w:r>
                          <w:bookmarkEnd w:id="277"/>
                          <w:r>
                            <w:rPr>
                              <w:rFonts w:ascii="Arial" w:hAnsi="Arial"/>
                              <w:b/>
                              <w:sz w:val="16"/>
                            </w:rPr>
                            <w:t>ttp://www.fcc.gov</w:t>
                          </w:r>
                        </w:p>
                        <w:p w:rsidR="00AF59AC" w:rsidRPr="006C3D36" w:rsidRDefault="00AF59AC" w:rsidP="00151ABA">
                          <w:pPr>
                            <w:jc w:val="right"/>
                            <w:rPr>
                              <w:rFonts w:ascii="Arial" w:hAnsi="Arial"/>
                              <w:b/>
                              <w:sz w:val="16"/>
                            </w:rPr>
                          </w:pPr>
                          <w:r>
                            <w:rPr>
                              <w:rFonts w:ascii="Arial" w:hAnsi="Arial"/>
                              <w:b/>
                              <w:sz w:val="16"/>
                            </w:rPr>
                            <w:t>TTY: 1-888-835-5322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4.55pt;margin-top:10.25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" stroked="f">
              <v:textbox inset="0,0,0,0">
                <w:txbxContent>
                  <w:p w:rsidR="00AF59AC" w:rsidRDefault="00AF59AC" w:rsidP="00151ABA">
                    <w:pPr>
                      <w:jc w:val="right"/>
                      <w:rPr>
                        <w:rFonts w:ascii="Arial" w:hAnsi="Arial"/>
                        <w:b/>
                        <w:sz w:val="16"/>
                      </w:rPr>
                    </w:pPr>
                    <w:r>
                      <w:rPr>
                        <w:rFonts w:ascii="Arial" w:hAnsi="Arial"/>
                        <w:b/>
                        <w:sz w:val="16"/>
                      </w:rPr>
                      <w:t>News Media Information 202 / 418-0500</w:t>
                    </w:r>
                  </w:p>
                  <w:p w:rsidR="00AF59AC" w:rsidRDefault="00AF59AC" w:rsidP="00151ABA">
                    <w:pPr>
                      <w:jc w:val="right"/>
                      <w:rPr>
                        <w:rFonts w:ascii="Arial" w:hAnsi="Arial"/>
                        <w:b/>
                        <w:sz w:val="16"/>
                      </w:rPr>
                    </w:pPr>
                    <w:r>
                      <w:rPr>
                        <w:rFonts w:ascii="Arial" w:hAnsi="Arial"/>
                        <w:b/>
                        <w:sz w:val="16"/>
                      </w:rPr>
                      <w:tab/>
                      <w:t xml:space="preserve">Internet: </w:t>
                    </w:r>
                    <w:bookmarkStart w:id="508" w:name="_Hlt233824"/>
                    <w:r>
                      <w:rPr>
                        <w:rFonts w:ascii="Arial" w:hAnsi="Arial"/>
                        <w:b/>
                        <w:sz w:val="16"/>
                      </w:rPr>
                      <w:t>h</w:t>
                    </w:r>
                    <w:bookmarkEnd w:id="508"/>
                    <w:r>
                      <w:rPr>
                        <w:rFonts w:ascii="Arial" w:hAnsi="Arial"/>
                        <w:b/>
                        <w:sz w:val="16"/>
                      </w:rPr>
                      <w:t>ttp://www.fcc.gov</w:t>
                    </w:r>
                  </w:p>
                  <w:p w:rsidR="00AF59AC" w:rsidRPr="006C3D36" w:rsidRDefault="00AF59AC" w:rsidP="00151ABA">
                    <w:pPr>
                      <w:jc w:val="right"/>
                      <w:rPr>
                        <w:rFonts w:ascii="Arial" w:hAnsi="Arial"/>
                        <w:b/>
                        <w:sz w:val="16"/>
                      </w:rPr>
                    </w:pPr>
                    <w:r>
                      <w:rPr>
                        <w:rFonts w:ascii="Arial" w:hAnsi="Arial"/>
                        <w:b/>
                        <w:sz w:val="16"/>
                      </w:rPr>
                      <w:t>TTY: 1-888-835-5322</w:t>
                    </w:r>
                  </w:p>
                </w:txbxContent>
              </v:textbox>
            </v:shape>
          </w:pict>
        </mc:Fallback>
      </mc:AlternateContent>
    </w:r>
  </w:p>
  <w:p w:rsidR="00AF59AC" w:rsidRPr="005D32C7" w:rsidRDefault="00AF59AC" w:rsidP="00151ABA">
    <w:pPr>
      <w:pStyle w:val="Header"/>
      <w:spacing w:line="240" w:lineRule="exact"/>
      <w:ind w:firstLine="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997"/>
    <w:multiLevelType w:val="hybridMultilevel"/>
    <w:tmpl w:val="6E486220"/>
    <w:lvl w:ilvl="0" w:tplc="D46A6F9E">
      <w:numFmt w:val="bullet"/>
      <w:lvlText w:val="-"/>
      <w:lvlJc w:val="left"/>
      <w:pPr>
        <w:tabs>
          <w:tab w:val="num" w:pos="2040"/>
        </w:tabs>
        <w:ind w:left="2040" w:hanging="720"/>
      </w:pPr>
      <w:rPr>
        <w:rFonts w:ascii="Arial" w:eastAsia="Times New Roman" w:hAnsi="Arial" w:cs="Wingdings" w:hint="default"/>
      </w:rPr>
    </w:lvl>
    <w:lvl w:ilvl="1" w:tplc="04090003"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DB53EF"/>
    <w:multiLevelType w:val="hybridMultilevel"/>
    <w:tmpl w:val="8966AA6C"/>
    <w:lvl w:ilvl="0" w:tplc="74649CE0">
      <w:start w:val="1"/>
      <w:numFmt w:val="bullet"/>
      <w:lvlText w:val=""/>
      <w:lvlJc w:val="left"/>
      <w:pPr>
        <w:tabs>
          <w:tab w:val="num" w:pos="1680"/>
        </w:tabs>
        <w:ind w:left="1680" w:hanging="360"/>
      </w:pPr>
      <w:rPr>
        <w:rFonts w:ascii="Symbol" w:hAnsi="Symbol" w:hint="default"/>
      </w:rPr>
    </w:lvl>
    <w:lvl w:ilvl="1" w:tplc="35904AA4"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4FB68C3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4450261"/>
    <w:multiLevelType w:val="hybridMultilevel"/>
    <w:tmpl w:val="26088D28"/>
    <w:lvl w:ilvl="0" w:tplc="CCD6BE42">
      <w:start w:val="1"/>
      <w:numFmt w:val="bullet"/>
      <w:lvlText w:val=""/>
      <w:lvlJc w:val="left"/>
      <w:pPr>
        <w:tabs>
          <w:tab w:val="num" w:pos="1440"/>
        </w:tabs>
        <w:ind w:left="1440" w:hanging="360"/>
      </w:pPr>
      <w:rPr>
        <w:rFonts w:ascii="Symbol" w:hAnsi="Symbol" w:hint="default"/>
      </w:rPr>
    </w:lvl>
    <w:lvl w:ilvl="1" w:tplc="6598F984" w:tentative="1">
      <w:start w:val="1"/>
      <w:numFmt w:val="bullet"/>
      <w:lvlText w:val="o"/>
      <w:lvlJc w:val="left"/>
      <w:pPr>
        <w:tabs>
          <w:tab w:val="num" w:pos="2160"/>
        </w:tabs>
        <w:ind w:left="2160" w:hanging="360"/>
      </w:pPr>
      <w:rPr>
        <w:rFonts w:ascii="Courier New" w:hAnsi="Courier New" w:cs="Arial" w:hint="default"/>
      </w:rPr>
    </w:lvl>
    <w:lvl w:ilvl="2" w:tplc="C0EA430E" w:tentative="1">
      <w:start w:val="1"/>
      <w:numFmt w:val="bullet"/>
      <w:lvlText w:val=""/>
      <w:lvlJc w:val="left"/>
      <w:pPr>
        <w:tabs>
          <w:tab w:val="num" w:pos="2880"/>
        </w:tabs>
        <w:ind w:left="2880" w:hanging="360"/>
      </w:pPr>
      <w:rPr>
        <w:rFonts w:ascii="Wingdings" w:hAnsi="Wingdings" w:hint="default"/>
      </w:rPr>
    </w:lvl>
    <w:lvl w:ilvl="3" w:tplc="DF5C505C" w:tentative="1">
      <w:start w:val="1"/>
      <w:numFmt w:val="bullet"/>
      <w:lvlText w:val=""/>
      <w:lvlJc w:val="left"/>
      <w:pPr>
        <w:tabs>
          <w:tab w:val="num" w:pos="3600"/>
        </w:tabs>
        <w:ind w:left="3600" w:hanging="360"/>
      </w:pPr>
      <w:rPr>
        <w:rFonts w:ascii="Symbol" w:hAnsi="Symbol" w:hint="default"/>
      </w:rPr>
    </w:lvl>
    <w:lvl w:ilvl="4" w:tplc="54CEE2D4" w:tentative="1">
      <w:start w:val="1"/>
      <w:numFmt w:val="bullet"/>
      <w:lvlText w:val="o"/>
      <w:lvlJc w:val="left"/>
      <w:pPr>
        <w:tabs>
          <w:tab w:val="num" w:pos="4320"/>
        </w:tabs>
        <w:ind w:left="4320" w:hanging="360"/>
      </w:pPr>
      <w:rPr>
        <w:rFonts w:ascii="Courier New" w:hAnsi="Courier New" w:cs="Arial" w:hint="default"/>
      </w:rPr>
    </w:lvl>
    <w:lvl w:ilvl="5" w:tplc="7AB280A4" w:tentative="1">
      <w:start w:val="1"/>
      <w:numFmt w:val="bullet"/>
      <w:lvlText w:val=""/>
      <w:lvlJc w:val="left"/>
      <w:pPr>
        <w:tabs>
          <w:tab w:val="num" w:pos="5040"/>
        </w:tabs>
        <w:ind w:left="5040" w:hanging="360"/>
      </w:pPr>
      <w:rPr>
        <w:rFonts w:ascii="Wingdings" w:hAnsi="Wingdings" w:hint="default"/>
      </w:rPr>
    </w:lvl>
    <w:lvl w:ilvl="6" w:tplc="8460E72E" w:tentative="1">
      <w:start w:val="1"/>
      <w:numFmt w:val="bullet"/>
      <w:lvlText w:val=""/>
      <w:lvlJc w:val="left"/>
      <w:pPr>
        <w:tabs>
          <w:tab w:val="num" w:pos="5760"/>
        </w:tabs>
        <w:ind w:left="5760" w:hanging="360"/>
      </w:pPr>
      <w:rPr>
        <w:rFonts w:ascii="Symbol" w:hAnsi="Symbol" w:hint="default"/>
      </w:rPr>
    </w:lvl>
    <w:lvl w:ilvl="7" w:tplc="7D2A3DAC" w:tentative="1">
      <w:start w:val="1"/>
      <w:numFmt w:val="bullet"/>
      <w:lvlText w:val="o"/>
      <w:lvlJc w:val="left"/>
      <w:pPr>
        <w:tabs>
          <w:tab w:val="num" w:pos="6480"/>
        </w:tabs>
        <w:ind w:left="6480" w:hanging="360"/>
      </w:pPr>
      <w:rPr>
        <w:rFonts w:ascii="Courier New" w:hAnsi="Courier New" w:cs="Arial" w:hint="default"/>
      </w:rPr>
    </w:lvl>
    <w:lvl w:ilvl="8" w:tplc="658C3AF2" w:tentative="1">
      <w:start w:val="1"/>
      <w:numFmt w:val="bullet"/>
      <w:lvlText w:val=""/>
      <w:lvlJc w:val="left"/>
      <w:pPr>
        <w:tabs>
          <w:tab w:val="num" w:pos="7200"/>
        </w:tabs>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40383128"/>
    <w:lvl w:ilvl="0">
      <w:start w:val="1"/>
      <w:numFmt w:val="decimal"/>
      <w:pStyle w:val="ParaNum"/>
      <w:lvlText w:val="%1."/>
      <w:lvlJc w:val="left"/>
      <w:pPr>
        <w:tabs>
          <w:tab w:val="num" w:pos="1080"/>
        </w:tabs>
        <w:ind w:left="0" w:firstLine="720"/>
      </w:pPr>
      <w:rPr>
        <w:b w:val="0"/>
        <w:i w:val="0"/>
      </w:rPr>
    </w:lvl>
  </w:abstractNum>
  <w:abstractNum w:abstractNumId="9">
    <w:nsid w:val="6497386E"/>
    <w:multiLevelType w:val="multilevel"/>
    <w:tmpl w:val="6E486220"/>
    <w:lvl w:ilvl="0">
      <w:numFmt w:val="bullet"/>
      <w:lvlText w:val="-"/>
      <w:lvlJc w:val="left"/>
      <w:pPr>
        <w:tabs>
          <w:tab w:val="num" w:pos="2040"/>
        </w:tabs>
        <w:ind w:left="2040" w:hanging="720"/>
      </w:pPr>
      <w:rPr>
        <w:rFonts w:ascii="Arial" w:eastAsia="Times New Roman" w:hAnsi="Arial" w:cs="Wingdings" w:hint="default"/>
      </w:rPr>
    </w:lvl>
    <w:lvl w:ilvl="1">
      <w:start w:val="1"/>
      <w:numFmt w:val="bullet"/>
      <w:lvlText w:val="o"/>
      <w:lvlJc w:val="left"/>
      <w:pPr>
        <w:tabs>
          <w:tab w:val="num" w:pos="2400"/>
        </w:tabs>
        <w:ind w:left="2400" w:hanging="360"/>
      </w:pPr>
      <w:rPr>
        <w:rFonts w:ascii="Courier New" w:hAnsi="Courier New" w:cs="Aria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Arial"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Arial" w:hint="default"/>
      </w:rPr>
    </w:lvl>
    <w:lvl w:ilvl="8">
      <w:start w:val="1"/>
      <w:numFmt w:val="bullet"/>
      <w:lvlText w:val=""/>
      <w:lvlJc w:val="left"/>
      <w:pPr>
        <w:tabs>
          <w:tab w:val="num" w:pos="7440"/>
        </w:tabs>
        <w:ind w:left="744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6"/>
  </w:num>
  <w:num w:numId="8">
    <w:abstractNumId w:val="0"/>
  </w:num>
  <w:num w:numId="9">
    <w:abstractNumId w:val="9"/>
  </w:num>
  <w:num w:numId="10">
    <w:abstractNumId w:val="2"/>
  </w:num>
  <w:num w:numId="11">
    <w:abstractNumId w:val="8"/>
  </w:num>
  <w:num w:numId="12">
    <w:abstractNumId w:val="5"/>
  </w:num>
  <w:num w:numId="13">
    <w:abstractNumId w:val="5"/>
  </w:num>
  <w:num w:numId="14">
    <w:abstractNumId w:val="5"/>
  </w:num>
  <w:num w:numId="15">
    <w:abstractNumId w:val="5"/>
  </w:num>
  <w:num w:numId="16">
    <w:abstractNumId w:val="5"/>
  </w:num>
  <w:num w:numId="17">
    <w:abstractNumId w:val="8"/>
  </w:num>
  <w:num w:numId="18">
    <w:abstractNumId w:val="5"/>
  </w:num>
  <w:num w:numId="19">
    <w:abstractNumId w:val="8"/>
  </w:num>
  <w:num w:numId="20">
    <w:abstractNumId w:val="8"/>
  </w:num>
  <w:num w:numId="21">
    <w:abstractNumId w:val="8"/>
  </w:num>
  <w:num w:numId="22">
    <w:abstractNumId w:val="8"/>
  </w:num>
  <w:num w:numId="23">
    <w:abstractNumId w:val="8"/>
  </w:num>
  <w:num w:numId="24">
    <w:abstractNumId w:val="8"/>
  </w:num>
  <w:num w:numId="25">
    <w:abstractNumId w:val="5"/>
  </w:num>
  <w:num w:numId="26">
    <w:abstractNumId w:val="5"/>
  </w:num>
  <w:num w:numId="27">
    <w:abstractNumId w:val="8"/>
  </w:num>
  <w:num w:numId="28">
    <w:abstractNumId w:val="5"/>
  </w:num>
  <w:num w:numId="29">
    <w:abstractNumId w:val="8"/>
  </w:num>
  <w:num w:numId="30">
    <w:abstractNumId w:val="8"/>
  </w:num>
  <w:num w:numId="31">
    <w:abstractNumId w:val="8"/>
  </w:num>
  <w:num w:numId="32">
    <w:abstractNumId w:val="8"/>
  </w:num>
  <w:num w:numId="33">
    <w:abstractNumId w:val="8"/>
  </w:num>
  <w:num w:numId="34">
    <w:abstractNumId w:val="5"/>
  </w:num>
  <w:num w:numId="35">
    <w:abstractNumId w:val="5"/>
  </w:num>
  <w:num w:numId="36">
    <w:abstractNumId w:val="5"/>
  </w:num>
  <w:num w:numId="37">
    <w:abstractNumId w:val="5"/>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3B"/>
    <w:rsid w:val="00002AF7"/>
    <w:rsid w:val="000058B3"/>
    <w:rsid w:val="000059E8"/>
    <w:rsid w:val="00010A9C"/>
    <w:rsid w:val="000146A5"/>
    <w:rsid w:val="00015672"/>
    <w:rsid w:val="0001790E"/>
    <w:rsid w:val="000209F5"/>
    <w:rsid w:val="00021BAB"/>
    <w:rsid w:val="00021EF8"/>
    <w:rsid w:val="000229A6"/>
    <w:rsid w:val="00022A34"/>
    <w:rsid w:val="00024F58"/>
    <w:rsid w:val="000270E9"/>
    <w:rsid w:val="000312A1"/>
    <w:rsid w:val="00032EDC"/>
    <w:rsid w:val="0003446B"/>
    <w:rsid w:val="00040496"/>
    <w:rsid w:val="00042E10"/>
    <w:rsid w:val="00043C7C"/>
    <w:rsid w:val="00045DC9"/>
    <w:rsid w:val="00046E1F"/>
    <w:rsid w:val="00047FB4"/>
    <w:rsid w:val="000505F4"/>
    <w:rsid w:val="000516B7"/>
    <w:rsid w:val="00051727"/>
    <w:rsid w:val="00053459"/>
    <w:rsid w:val="00054783"/>
    <w:rsid w:val="00054E3F"/>
    <w:rsid w:val="00055A71"/>
    <w:rsid w:val="0006258F"/>
    <w:rsid w:val="00062C1C"/>
    <w:rsid w:val="000650ED"/>
    <w:rsid w:val="00067717"/>
    <w:rsid w:val="000715FF"/>
    <w:rsid w:val="000720D0"/>
    <w:rsid w:val="0007267B"/>
    <w:rsid w:val="000727CF"/>
    <w:rsid w:val="00073967"/>
    <w:rsid w:val="00073E43"/>
    <w:rsid w:val="00074136"/>
    <w:rsid w:val="00074FD1"/>
    <w:rsid w:val="00080128"/>
    <w:rsid w:val="0008034E"/>
    <w:rsid w:val="00082904"/>
    <w:rsid w:val="00083019"/>
    <w:rsid w:val="000836BF"/>
    <w:rsid w:val="00083FB0"/>
    <w:rsid w:val="00086D6C"/>
    <w:rsid w:val="00087545"/>
    <w:rsid w:val="00087D95"/>
    <w:rsid w:val="000901F8"/>
    <w:rsid w:val="000973DB"/>
    <w:rsid w:val="000A0B37"/>
    <w:rsid w:val="000A5466"/>
    <w:rsid w:val="000A587D"/>
    <w:rsid w:val="000A6E61"/>
    <w:rsid w:val="000B171E"/>
    <w:rsid w:val="000B2F31"/>
    <w:rsid w:val="000B330A"/>
    <w:rsid w:val="000B58AC"/>
    <w:rsid w:val="000B6951"/>
    <w:rsid w:val="000C2632"/>
    <w:rsid w:val="000D2063"/>
    <w:rsid w:val="000D22EA"/>
    <w:rsid w:val="000D33E3"/>
    <w:rsid w:val="000D3D00"/>
    <w:rsid w:val="000D4567"/>
    <w:rsid w:val="000D47D2"/>
    <w:rsid w:val="000D4967"/>
    <w:rsid w:val="000E1897"/>
    <w:rsid w:val="000E196D"/>
    <w:rsid w:val="000E1B3C"/>
    <w:rsid w:val="000F06AD"/>
    <w:rsid w:val="000F26EF"/>
    <w:rsid w:val="000F3390"/>
    <w:rsid w:val="000F6C98"/>
    <w:rsid w:val="000F79CD"/>
    <w:rsid w:val="00106260"/>
    <w:rsid w:val="001107D0"/>
    <w:rsid w:val="00111114"/>
    <w:rsid w:val="001127C3"/>
    <w:rsid w:val="00112AC8"/>
    <w:rsid w:val="001131AA"/>
    <w:rsid w:val="0011415E"/>
    <w:rsid w:val="00114E3B"/>
    <w:rsid w:val="00117D66"/>
    <w:rsid w:val="00117F95"/>
    <w:rsid w:val="001260EF"/>
    <w:rsid w:val="001302FD"/>
    <w:rsid w:val="00130F31"/>
    <w:rsid w:val="00130FD6"/>
    <w:rsid w:val="00131227"/>
    <w:rsid w:val="00131BCF"/>
    <w:rsid w:val="00132184"/>
    <w:rsid w:val="0013338A"/>
    <w:rsid w:val="001356DC"/>
    <w:rsid w:val="0014358C"/>
    <w:rsid w:val="00144006"/>
    <w:rsid w:val="0014404E"/>
    <w:rsid w:val="00144A79"/>
    <w:rsid w:val="00144F21"/>
    <w:rsid w:val="001453C8"/>
    <w:rsid w:val="00145C2C"/>
    <w:rsid w:val="00146B4E"/>
    <w:rsid w:val="00151410"/>
    <w:rsid w:val="00151ABA"/>
    <w:rsid w:val="001531C6"/>
    <w:rsid w:val="00157578"/>
    <w:rsid w:val="001577D5"/>
    <w:rsid w:val="00157830"/>
    <w:rsid w:val="00163437"/>
    <w:rsid w:val="001677C0"/>
    <w:rsid w:val="00167B55"/>
    <w:rsid w:val="00171207"/>
    <w:rsid w:val="00172651"/>
    <w:rsid w:val="0017281A"/>
    <w:rsid w:val="001739A0"/>
    <w:rsid w:val="00181F7E"/>
    <w:rsid w:val="00185C06"/>
    <w:rsid w:val="00186564"/>
    <w:rsid w:val="00190440"/>
    <w:rsid w:val="001926EA"/>
    <w:rsid w:val="00192972"/>
    <w:rsid w:val="00193658"/>
    <w:rsid w:val="001A2844"/>
    <w:rsid w:val="001A5294"/>
    <w:rsid w:val="001A577A"/>
    <w:rsid w:val="001A5D43"/>
    <w:rsid w:val="001A7759"/>
    <w:rsid w:val="001A7A0D"/>
    <w:rsid w:val="001A7B4D"/>
    <w:rsid w:val="001B016B"/>
    <w:rsid w:val="001B0F79"/>
    <w:rsid w:val="001B1037"/>
    <w:rsid w:val="001B67B2"/>
    <w:rsid w:val="001D24A8"/>
    <w:rsid w:val="001D3FC3"/>
    <w:rsid w:val="001E0408"/>
    <w:rsid w:val="001E07BA"/>
    <w:rsid w:val="001E1083"/>
    <w:rsid w:val="001E6B3D"/>
    <w:rsid w:val="001F1CAF"/>
    <w:rsid w:val="001F5265"/>
    <w:rsid w:val="001F5BD0"/>
    <w:rsid w:val="001F7115"/>
    <w:rsid w:val="00200CAB"/>
    <w:rsid w:val="0020154C"/>
    <w:rsid w:val="0020190E"/>
    <w:rsid w:val="00201A9F"/>
    <w:rsid w:val="002047D8"/>
    <w:rsid w:val="002051ED"/>
    <w:rsid w:val="002060DF"/>
    <w:rsid w:val="00206323"/>
    <w:rsid w:val="0021297F"/>
    <w:rsid w:val="00212D8C"/>
    <w:rsid w:val="00216303"/>
    <w:rsid w:val="00217B29"/>
    <w:rsid w:val="00220B26"/>
    <w:rsid w:val="00223052"/>
    <w:rsid w:val="0022550A"/>
    <w:rsid w:val="0023177A"/>
    <w:rsid w:val="002325E6"/>
    <w:rsid w:val="0023497D"/>
    <w:rsid w:val="00236E98"/>
    <w:rsid w:val="00237B19"/>
    <w:rsid w:val="002403B0"/>
    <w:rsid w:val="002412B4"/>
    <w:rsid w:val="002419DE"/>
    <w:rsid w:val="00244B44"/>
    <w:rsid w:val="00244C38"/>
    <w:rsid w:val="00251890"/>
    <w:rsid w:val="002538E4"/>
    <w:rsid w:val="0026045B"/>
    <w:rsid w:val="002610BD"/>
    <w:rsid w:val="00262480"/>
    <w:rsid w:val="00264733"/>
    <w:rsid w:val="00265CA7"/>
    <w:rsid w:val="002663CA"/>
    <w:rsid w:val="00271F4D"/>
    <w:rsid w:val="002725D9"/>
    <w:rsid w:val="00272EC5"/>
    <w:rsid w:val="00273335"/>
    <w:rsid w:val="00273682"/>
    <w:rsid w:val="002739D7"/>
    <w:rsid w:val="00276198"/>
    <w:rsid w:val="00280960"/>
    <w:rsid w:val="002827B9"/>
    <w:rsid w:val="00287672"/>
    <w:rsid w:val="0028772F"/>
    <w:rsid w:val="002912E4"/>
    <w:rsid w:val="00291D56"/>
    <w:rsid w:val="00293621"/>
    <w:rsid w:val="002A0973"/>
    <w:rsid w:val="002A4DA4"/>
    <w:rsid w:val="002A4E74"/>
    <w:rsid w:val="002A74FE"/>
    <w:rsid w:val="002B17F7"/>
    <w:rsid w:val="002B25DF"/>
    <w:rsid w:val="002B498A"/>
    <w:rsid w:val="002C106E"/>
    <w:rsid w:val="002C1873"/>
    <w:rsid w:val="002C20E6"/>
    <w:rsid w:val="002C5612"/>
    <w:rsid w:val="002C714C"/>
    <w:rsid w:val="002D003B"/>
    <w:rsid w:val="002D0AC8"/>
    <w:rsid w:val="002D19B6"/>
    <w:rsid w:val="002D5DBF"/>
    <w:rsid w:val="002E00EE"/>
    <w:rsid w:val="002E01D0"/>
    <w:rsid w:val="002E3A8C"/>
    <w:rsid w:val="002E456D"/>
    <w:rsid w:val="002E6911"/>
    <w:rsid w:val="002E6E50"/>
    <w:rsid w:val="002E7852"/>
    <w:rsid w:val="002F1D96"/>
    <w:rsid w:val="002F5E47"/>
    <w:rsid w:val="002F6108"/>
    <w:rsid w:val="002F6820"/>
    <w:rsid w:val="002F6837"/>
    <w:rsid w:val="00302074"/>
    <w:rsid w:val="00303568"/>
    <w:rsid w:val="003055EA"/>
    <w:rsid w:val="00305BA2"/>
    <w:rsid w:val="003075AC"/>
    <w:rsid w:val="00310129"/>
    <w:rsid w:val="00311890"/>
    <w:rsid w:val="003121B2"/>
    <w:rsid w:val="00314BE5"/>
    <w:rsid w:val="003217E4"/>
    <w:rsid w:val="0033000F"/>
    <w:rsid w:val="003303A3"/>
    <w:rsid w:val="003335CC"/>
    <w:rsid w:val="00335842"/>
    <w:rsid w:val="00340A7B"/>
    <w:rsid w:val="003411D6"/>
    <w:rsid w:val="003433B2"/>
    <w:rsid w:val="00351175"/>
    <w:rsid w:val="00355B5D"/>
    <w:rsid w:val="0035667D"/>
    <w:rsid w:val="0035728F"/>
    <w:rsid w:val="00360FB1"/>
    <w:rsid w:val="00364751"/>
    <w:rsid w:val="003651F3"/>
    <w:rsid w:val="00366B25"/>
    <w:rsid w:val="00370954"/>
    <w:rsid w:val="00373582"/>
    <w:rsid w:val="00373F04"/>
    <w:rsid w:val="00385096"/>
    <w:rsid w:val="00386F9B"/>
    <w:rsid w:val="00391C68"/>
    <w:rsid w:val="003933D8"/>
    <w:rsid w:val="003A0157"/>
    <w:rsid w:val="003A5B54"/>
    <w:rsid w:val="003A5D3A"/>
    <w:rsid w:val="003B0CE9"/>
    <w:rsid w:val="003B154B"/>
    <w:rsid w:val="003B2FFF"/>
    <w:rsid w:val="003B5054"/>
    <w:rsid w:val="003C0E0B"/>
    <w:rsid w:val="003C255C"/>
    <w:rsid w:val="003C42F3"/>
    <w:rsid w:val="003C561C"/>
    <w:rsid w:val="003C67E4"/>
    <w:rsid w:val="003C6CD3"/>
    <w:rsid w:val="003D0216"/>
    <w:rsid w:val="003D022B"/>
    <w:rsid w:val="003D4FC8"/>
    <w:rsid w:val="003E4AE2"/>
    <w:rsid w:val="003E6186"/>
    <w:rsid w:val="003E78EE"/>
    <w:rsid w:val="003F24B9"/>
    <w:rsid w:val="003F4A72"/>
    <w:rsid w:val="003F5F9A"/>
    <w:rsid w:val="003F7369"/>
    <w:rsid w:val="00403460"/>
    <w:rsid w:val="0040669A"/>
    <w:rsid w:val="00411BC7"/>
    <w:rsid w:val="00413438"/>
    <w:rsid w:val="00417DD3"/>
    <w:rsid w:val="0042054A"/>
    <w:rsid w:val="00430B81"/>
    <w:rsid w:val="00432A3D"/>
    <w:rsid w:val="00443C25"/>
    <w:rsid w:val="00450207"/>
    <w:rsid w:val="00450743"/>
    <w:rsid w:val="00451F6B"/>
    <w:rsid w:val="004540BB"/>
    <w:rsid w:val="00467938"/>
    <w:rsid w:val="0047279D"/>
    <w:rsid w:val="0047398B"/>
    <w:rsid w:val="00474E5B"/>
    <w:rsid w:val="00476D29"/>
    <w:rsid w:val="00480641"/>
    <w:rsid w:val="00482DB7"/>
    <w:rsid w:val="00484AD1"/>
    <w:rsid w:val="00486566"/>
    <w:rsid w:val="00487A00"/>
    <w:rsid w:val="0049095E"/>
    <w:rsid w:val="00494A4B"/>
    <w:rsid w:val="004957EB"/>
    <w:rsid w:val="004A07F5"/>
    <w:rsid w:val="004A0DBD"/>
    <w:rsid w:val="004A2D14"/>
    <w:rsid w:val="004A3E95"/>
    <w:rsid w:val="004B157F"/>
    <w:rsid w:val="004B4576"/>
    <w:rsid w:val="004B68B7"/>
    <w:rsid w:val="004B6910"/>
    <w:rsid w:val="004B7F74"/>
    <w:rsid w:val="004C0D9B"/>
    <w:rsid w:val="004C4AE1"/>
    <w:rsid w:val="004C5371"/>
    <w:rsid w:val="004C7C6F"/>
    <w:rsid w:val="004D041A"/>
    <w:rsid w:val="004D64AE"/>
    <w:rsid w:val="004D6BC3"/>
    <w:rsid w:val="004D779F"/>
    <w:rsid w:val="004F0F20"/>
    <w:rsid w:val="004F1133"/>
    <w:rsid w:val="004F4EC5"/>
    <w:rsid w:val="004F5DE5"/>
    <w:rsid w:val="005012C8"/>
    <w:rsid w:val="00501DB1"/>
    <w:rsid w:val="00502C66"/>
    <w:rsid w:val="005038D0"/>
    <w:rsid w:val="005076BC"/>
    <w:rsid w:val="00510080"/>
    <w:rsid w:val="00511B7B"/>
    <w:rsid w:val="005147DC"/>
    <w:rsid w:val="00516C58"/>
    <w:rsid w:val="00525AFC"/>
    <w:rsid w:val="00526FF3"/>
    <w:rsid w:val="0052714A"/>
    <w:rsid w:val="0053036D"/>
    <w:rsid w:val="00530577"/>
    <w:rsid w:val="00530D1F"/>
    <w:rsid w:val="0054393F"/>
    <w:rsid w:val="005508C5"/>
    <w:rsid w:val="0055108B"/>
    <w:rsid w:val="00551E35"/>
    <w:rsid w:val="00554576"/>
    <w:rsid w:val="00555842"/>
    <w:rsid w:val="00557D63"/>
    <w:rsid w:val="005610DF"/>
    <w:rsid w:val="005644F7"/>
    <w:rsid w:val="00565321"/>
    <w:rsid w:val="00567DC2"/>
    <w:rsid w:val="00575AF9"/>
    <w:rsid w:val="00580489"/>
    <w:rsid w:val="00583FD5"/>
    <w:rsid w:val="00590B67"/>
    <w:rsid w:val="00590BB2"/>
    <w:rsid w:val="005943D7"/>
    <w:rsid w:val="00594D25"/>
    <w:rsid w:val="005956BB"/>
    <w:rsid w:val="005978E2"/>
    <w:rsid w:val="005A2E15"/>
    <w:rsid w:val="005A47E0"/>
    <w:rsid w:val="005A5583"/>
    <w:rsid w:val="005A5E71"/>
    <w:rsid w:val="005A798C"/>
    <w:rsid w:val="005B3C19"/>
    <w:rsid w:val="005B5D8D"/>
    <w:rsid w:val="005C031A"/>
    <w:rsid w:val="005C1A82"/>
    <w:rsid w:val="005C1AE2"/>
    <w:rsid w:val="005C4C86"/>
    <w:rsid w:val="005D0F47"/>
    <w:rsid w:val="005D1013"/>
    <w:rsid w:val="005D138C"/>
    <w:rsid w:val="005D248A"/>
    <w:rsid w:val="005D6F1B"/>
    <w:rsid w:val="005D78DD"/>
    <w:rsid w:val="005E2633"/>
    <w:rsid w:val="005E36F5"/>
    <w:rsid w:val="005F0427"/>
    <w:rsid w:val="005F0839"/>
    <w:rsid w:val="005F09E9"/>
    <w:rsid w:val="005F6169"/>
    <w:rsid w:val="005F62E2"/>
    <w:rsid w:val="005F66E5"/>
    <w:rsid w:val="0060200D"/>
    <w:rsid w:val="006021CE"/>
    <w:rsid w:val="0060658C"/>
    <w:rsid w:val="00607087"/>
    <w:rsid w:val="00607166"/>
    <w:rsid w:val="0061036E"/>
    <w:rsid w:val="0061361C"/>
    <w:rsid w:val="00613994"/>
    <w:rsid w:val="00615D12"/>
    <w:rsid w:val="006166B0"/>
    <w:rsid w:val="00616E93"/>
    <w:rsid w:val="00617346"/>
    <w:rsid w:val="0062115F"/>
    <w:rsid w:val="006220E5"/>
    <w:rsid w:val="006231C3"/>
    <w:rsid w:val="00630C04"/>
    <w:rsid w:val="0063144E"/>
    <w:rsid w:val="00631722"/>
    <w:rsid w:val="00633AB2"/>
    <w:rsid w:val="00634222"/>
    <w:rsid w:val="00634D2B"/>
    <w:rsid w:val="0063545F"/>
    <w:rsid w:val="00637616"/>
    <w:rsid w:val="006400AA"/>
    <w:rsid w:val="00640FD2"/>
    <w:rsid w:val="00641487"/>
    <w:rsid w:val="00644912"/>
    <w:rsid w:val="00661944"/>
    <w:rsid w:val="00663FF7"/>
    <w:rsid w:val="00665364"/>
    <w:rsid w:val="00672EA6"/>
    <w:rsid w:val="00674FC7"/>
    <w:rsid w:val="006763B8"/>
    <w:rsid w:val="00677246"/>
    <w:rsid w:val="0068419E"/>
    <w:rsid w:val="00686090"/>
    <w:rsid w:val="00687352"/>
    <w:rsid w:val="006901CF"/>
    <w:rsid w:val="00691B49"/>
    <w:rsid w:val="00691ED3"/>
    <w:rsid w:val="00696A1A"/>
    <w:rsid w:val="006A1E96"/>
    <w:rsid w:val="006A39A5"/>
    <w:rsid w:val="006A61B8"/>
    <w:rsid w:val="006A6375"/>
    <w:rsid w:val="006A7200"/>
    <w:rsid w:val="006B0F3A"/>
    <w:rsid w:val="006B1178"/>
    <w:rsid w:val="006B1E8C"/>
    <w:rsid w:val="006B1F66"/>
    <w:rsid w:val="006B52D1"/>
    <w:rsid w:val="006B7BED"/>
    <w:rsid w:val="006C03DC"/>
    <w:rsid w:val="006C35E2"/>
    <w:rsid w:val="006D32E2"/>
    <w:rsid w:val="006D63C7"/>
    <w:rsid w:val="006D7BAF"/>
    <w:rsid w:val="006E1914"/>
    <w:rsid w:val="006E2585"/>
    <w:rsid w:val="006E3198"/>
    <w:rsid w:val="006E5BD7"/>
    <w:rsid w:val="006F2FC7"/>
    <w:rsid w:val="006F345F"/>
    <w:rsid w:val="006F66B1"/>
    <w:rsid w:val="007015F1"/>
    <w:rsid w:val="00701C0D"/>
    <w:rsid w:val="00701E00"/>
    <w:rsid w:val="00702215"/>
    <w:rsid w:val="00702878"/>
    <w:rsid w:val="00707267"/>
    <w:rsid w:val="00710EE7"/>
    <w:rsid w:val="00711113"/>
    <w:rsid w:val="007118C3"/>
    <w:rsid w:val="00712C5E"/>
    <w:rsid w:val="00714419"/>
    <w:rsid w:val="007144E1"/>
    <w:rsid w:val="00716CDA"/>
    <w:rsid w:val="00721044"/>
    <w:rsid w:val="00721E2E"/>
    <w:rsid w:val="0072392E"/>
    <w:rsid w:val="00723D7F"/>
    <w:rsid w:val="00726A5E"/>
    <w:rsid w:val="007328B0"/>
    <w:rsid w:val="00733B91"/>
    <w:rsid w:val="00741D57"/>
    <w:rsid w:val="0074646B"/>
    <w:rsid w:val="00752BD9"/>
    <w:rsid w:val="00753AB1"/>
    <w:rsid w:val="00753D21"/>
    <w:rsid w:val="00754A2D"/>
    <w:rsid w:val="0076072E"/>
    <w:rsid w:val="00761B89"/>
    <w:rsid w:val="00763789"/>
    <w:rsid w:val="00765818"/>
    <w:rsid w:val="007662BE"/>
    <w:rsid w:val="007705E3"/>
    <w:rsid w:val="00770B18"/>
    <w:rsid w:val="0077107A"/>
    <w:rsid w:val="00771690"/>
    <w:rsid w:val="00772232"/>
    <w:rsid w:val="007737BC"/>
    <w:rsid w:val="007750D0"/>
    <w:rsid w:val="00776AC2"/>
    <w:rsid w:val="00776AFC"/>
    <w:rsid w:val="00780A2F"/>
    <w:rsid w:val="00782740"/>
    <w:rsid w:val="00786F2D"/>
    <w:rsid w:val="007916AB"/>
    <w:rsid w:val="00793D1F"/>
    <w:rsid w:val="00796CDC"/>
    <w:rsid w:val="007A1039"/>
    <w:rsid w:val="007A137C"/>
    <w:rsid w:val="007A176F"/>
    <w:rsid w:val="007A3534"/>
    <w:rsid w:val="007A5456"/>
    <w:rsid w:val="007B023E"/>
    <w:rsid w:val="007B1913"/>
    <w:rsid w:val="007B2A58"/>
    <w:rsid w:val="007B61A6"/>
    <w:rsid w:val="007B63D7"/>
    <w:rsid w:val="007B7AEA"/>
    <w:rsid w:val="007C3419"/>
    <w:rsid w:val="007C342B"/>
    <w:rsid w:val="007C59FE"/>
    <w:rsid w:val="007D032F"/>
    <w:rsid w:val="007D059F"/>
    <w:rsid w:val="007D161A"/>
    <w:rsid w:val="007D39B5"/>
    <w:rsid w:val="007D4D6D"/>
    <w:rsid w:val="007D7D50"/>
    <w:rsid w:val="007E1AAC"/>
    <w:rsid w:val="007E2BAD"/>
    <w:rsid w:val="007E39A6"/>
    <w:rsid w:val="007E4740"/>
    <w:rsid w:val="007E47E1"/>
    <w:rsid w:val="007E6187"/>
    <w:rsid w:val="007E7C95"/>
    <w:rsid w:val="007F4193"/>
    <w:rsid w:val="007F5DE5"/>
    <w:rsid w:val="007F75E4"/>
    <w:rsid w:val="008004EC"/>
    <w:rsid w:val="008030BD"/>
    <w:rsid w:val="00804C1C"/>
    <w:rsid w:val="00804E54"/>
    <w:rsid w:val="00807811"/>
    <w:rsid w:val="0081067F"/>
    <w:rsid w:val="0081382A"/>
    <w:rsid w:val="008142EB"/>
    <w:rsid w:val="00815180"/>
    <w:rsid w:val="0081738B"/>
    <w:rsid w:val="00820AF4"/>
    <w:rsid w:val="00824575"/>
    <w:rsid w:val="00825A3E"/>
    <w:rsid w:val="0082662B"/>
    <w:rsid w:val="00827A50"/>
    <w:rsid w:val="0083499C"/>
    <w:rsid w:val="008372A6"/>
    <w:rsid w:val="00846207"/>
    <w:rsid w:val="008515CB"/>
    <w:rsid w:val="00852CAB"/>
    <w:rsid w:val="008533B2"/>
    <w:rsid w:val="008548EB"/>
    <w:rsid w:val="00855992"/>
    <w:rsid w:val="008578A5"/>
    <w:rsid w:val="00860E24"/>
    <w:rsid w:val="008629D0"/>
    <w:rsid w:val="00870209"/>
    <w:rsid w:val="00871225"/>
    <w:rsid w:val="008776A6"/>
    <w:rsid w:val="008806E5"/>
    <w:rsid w:val="00880D51"/>
    <w:rsid w:val="00881701"/>
    <w:rsid w:val="00882999"/>
    <w:rsid w:val="00882E6D"/>
    <w:rsid w:val="00884683"/>
    <w:rsid w:val="00886765"/>
    <w:rsid w:val="00886B52"/>
    <w:rsid w:val="0089074A"/>
    <w:rsid w:val="0089222B"/>
    <w:rsid w:val="008939DC"/>
    <w:rsid w:val="00893D9C"/>
    <w:rsid w:val="0089401B"/>
    <w:rsid w:val="008A004D"/>
    <w:rsid w:val="008A1ACB"/>
    <w:rsid w:val="008A1EFD"/>
    <w:rsid w:val="008A22AD"/>
    <w:rsid w:val="008A24ED"/>
    <w:rsid w:val="008A28AB"/>
    <w:rsid w:val="008A2A10"/>
    <w:rsid w:val="008B340E"/>
    <w:rsid w:val="008C4854"/>
    <w:rsid w:val="008C5CA6"/>
    <w:rsid w:val="008C62E5"/>
    <w:rsid w:val="008C729F"/>
    <w:rsid w:val="008C7C9C"/>
    <w:rsid w:val="008D2530"/>
    <w:rsid w:val="008D3DB0"/>
    <w:rsid w:val="008D4325"/>
    <w:rsid w:val="008E1330"/>
    <w:rsid w:val="008E2005"/>
    <w:rsid w:val="008E20BC"/>
    <w:rsid w:val="008E2D46"/>
    <w:rsid w:val="008E2DA5"/>
    <w:rsid w:val="008E2FD6"/>
    <w:rsid w:val="008E3809"/>
    <w:rsid w:val="008F28C3"/>
    <w:rsid w:val="008F37D2"/>
    <w:rsid w:val="008F6E07"/>
    <w:rsid w:val="009003F1"/>
    <w:rsid w:val="009013A7"/>
    <w:rsid w:val="00905D78"/>
    <w:rsid w:val="0090796D"/>
    <w:rsid w:val="00907D3B"/>
    <w:rsid w:val="00912CF9"/>
    <w:rsid w:val="00916C93"/>
    <w:rsid w:val="00917C24"/>
    <w:rsid w:val="00917E56"/>
    <w:rsid w:val="00921B0D"/>
    <w:rsid w:val="00922C78"/>
    <w:rsid w:val="009260F0"/>
    <w:rsid w:val="00926297"/>
    <w:rsid w:val="00934620"/>
    <w:rsid w:val="00934D65"/>
    <w:rsid w:val="00934E3D"/>
    <w:rsid w:val="00934EAD"/>
    <w:rsid w:val="00936422"/>
    <w:rsid w:val="0094199C"/>
    <w:rsid w:val="00942A5E"/>
    <w:rsid w:val="00944644"/>
    <w:rsid w:val="0094548F"/>
    <w:rsid w:val="00945EF6"/>
    <w:rsid w:val="00947453"/>
    <w:rsid w:val="00947B9B"/>
    <w:rsid w:val="00953879"/>
    <w:rsid w:val="00955DAD"/>
    <w:rsid w:val="00956A80"/>
    <w:rsid w:val="00970016"/>
    <w:rsid w:val="0097070E"/>
    <w:rsid w:val="00973A1E"/>
    <w:rsid w:val="009753F9"/>
    <w:rsid w:val="0097607B"/>
    <w:rsid w:val="00977575"/>
    <w:rsid w:val="009902A2"/>
    <w:rsid w:val="00990F04"/>
    <w:rsid w:val="0099129D"/>
    <w:rsid w:val="00991EF4"/>
    <w:rsid w:val="00996167"/>
    <w:rsid w:val="009963B2"/>
    <w:rsid w:val="0099786C"/>
    <w:rsid w:val="009A1305"/>
    <w:rsid w:val="009A1ACA"/>
    <w:rsid w:val="009A2B40"/>
    <w:rsid w:val="009A3340"/>
    <w:rsid w:val="009A34C1"/>
    <w:rsid w:val="009A48E6"/>
    <w:rsid w:val="009B118E"/>
    <w:rsid w:val="009B19BF"/>
    <w:rsid w:val="009B420F"/>
    <w:rsid w:val="009B4F3A"/>
    <w:rsid w:val="009B58D6"/>
    <w:rsid w:val="009C66D8"/>
    <w:rsid w:val="009D1FC7"/>
    <w:rsid w:val="009D2FBE"/>
    <w:rsid w:val="009D4625"/>
    <w:rsid w:val="009D4D60"/>
    <w:rsid w:val="009D6A36"/>
    <w:rsid w:val="009D6FA5"/>
    <w:rsid w:val="009E1D0E"/>
    <w:rsid w:val="009E2C19"/>
    <w:rsid w:val="009E46EC"/>
    <w:rsid w:val="009E6DE3"/>
    <w:rsid w:val="009E6FA3"/>
    <w:rsid w:val="009F4D4E"/>
    <w:rsid w:val="009F5313"/>
    <w:rsid w:val="00A00970"/>
    <w:rsid w:val="00A02536"/>
    <w:rsid w:val="00A027B6"/>
    <w:rsid w:val="00A03004"/>
    <w:rsid w:val="00A042AA"/>
    <w:rsid w:val="00A068D3"/>
    <w:rsid w:val="00A06F2F"/>
    <w:rsid w:val="00A157FF"/>
    <w:rsid w:val="00A15E68"/>
    <w:rsid w:val="00A16E0D"/>
    <w:rsid w:val="00A17B28"/>
    <w:rsid w:val="00A2124B"/>
    <w:rsid w:val="00A22685"/>
    <w:rsid w:val="00A23F71"/>
    <w:rsid w:val="00A34BF8"/>
    <w:rsid w:val="00A34CC0"/>
    <w:rsid w:val="00A42EC1"/>
    <w:rsid w:val="00A4423A"/>
    <w:rsid w:val="00A45497"/>
    <w:rsid w:val="00A45EA7"/>
    <w:rsid w:val="00A4675B"/>
    <w:rsid w:val="00A469B4"/>
    <w:rsid w:val="00A510D2"/>
    <w:rsid w:val="00A5472B"/>
    <w:rsid w:val="00A54AC5"/>
    <w:rsid w:val="00A56971"/>
    <w:rsid w:val="00A5740E"/>
    <w:rsid w:val="00A57504"/>
    <w:rsid w:val="00A6095E"/>
    <w:rsid w:val="00A62EAE"/>
    <w:rsid w:val="00A710D5"/>
    <w:rsid w:val="00A718EF"/>
    <w:rsid w:val="00A719FA"/>
    <w:rsid w:val="00A727BF"/>
    <w:rsid w:val="00A74B80"/>
    <w:rsid w:val="00A81715"/>
    <w:rsid w:val="00A82061"/>
    <w:rsid w:val="00A823E5"/>
    <w:rsid w:val="00A85F88"/>
    <w:rsid w:val="00A861CE"/>
    <w:rsid w:val="00A87391"/>
    <w:rsid w:val="00A90DF3"/>
    <w:rsid w:val="00A914E2"/>
    <w:rsid w:val="00A944BB"/>
    <w:rsid w:val="00A94694"/>
    <w:rsid w:val="00A9512C"/>
    <w:rsid w:val="00A956B2"/>
    <w:rsid w:val="00AA44BE"/>
    <w:rsid w:val="00AB0090"/>
    <w:rsid w:val="00AB13D4"/>
    <w:rsid w:val="00AB1F2F"/>
    <w:rsid w:val="00AB3316"/>
    <w:rsid w:val="00AB41BE"/>
    <w:rsid w:val="00AB4896"/>
    <w:rsid w:val="00AB607A"/>
    <w:rsid w:val="00AC1BED"/>
    <w:rsid w:val="00AC6FB7"/>
    <w:rsid w:val="00AD660F"/>
    <w:rsid w:val="00AD79B4"/>
    <w:rsid w:val="00AE0217"/>
    <w:rsid w:val="00AF09FC"/>
    <w:rsid w:val="00AF2628"/>
    <w:rsid w:val="00AF56E8"/>
    <w:rsid w:val="00AF59AC"/>
    <w:rsid w:val="00AF7E5F"/>
    <w:rsid w:val="00B00B79"/>
    <w:rsid w:val="00B01F3C"/>
    <w:rsid w:val="00B03EBD"/>
    <w:rsid w:val="00B0412B"/>
    <w:rsid w:val="00B076E8"/>
    <w:rsid w:val="00B10541"/>
    <w:rsid w:val="00B12E62"/>
    <w:rsid w:val="00B2107C"/>
    <w:rsid w:val="00B21178"/>
    <w:rsid w:val="00B249CF"/>
    <w:rsid w:val="00B250F7"/>
    <w:rsid w:val="00B34694"/>
    <w:rsid w:val="00B410C6"/>
    <w:rsid w:val="00B42D5A"/>
    <w:rsid w:val="00B45C8E"/>
    <w:rsid w:val="00B52543"/>
    <w:rsid w:val="00B604D1"/>
    <w:rsid w:val="00B60619"/>
    <w:rsid w:val="00B6488D"/>
    <w:rsid w:val="00B669C1"/>
    <w:rsid w:val="00B73517"/>
    <w:rsid w:val="00B74664"/>
    <w:rsid w:val="00B74F7C"/>
    <w:rsid w:val="00B764CF"/>
    <w:rsid w:val="00B777F7"/>
    <w:rsid w:val="00B80044"/>
    <w:rsid w:val="00B81FE4"/>
    <w:rsid w:val="00B8513F"/>
    <w:rsid w:val="00B90C92"/>
    <w:rsid w:val="00B90F48"/>
    <w:rsid w:val="00B93BA4"/>
    <w:rsid w:val="00B94592"/>
    <w:rsid w:val="00B96B10"/>
    <w:rsid w:val="00BA1290"/>
    <w:rsid w:val="00BA6714"/>
    <w:rsid w:val="00BA7902"/>
    <w:rsid w:val="00BB13CD"/>
    <w:rsid w:val="00BB29BC"/>
    <w:rsid w:val="00BB2DBD"/>
    <w:rsid w:val="00BB433A"/>
    <w:rsid w:val="00BB4608"/>
    <w:rsid w:val="00BC1AB4"/>
    <w:rsid w:val="00BC32CD"/>
    <w:rsid w:val="00BC7A0F"/>
    <w:rsid w:val="00BD006C"/>
    <w:rsid w:val="00BD244F"/>
    <w:rsid w:val="00BD4FCC"/>
    <w:rsid w:val="00BE0D98"/>
    <w:rsid w:val="00BE4972"/>
    <w:rsid w:val="00BE4E45"/>
    <w:rsid w:val="00BF018A"/>
    <w:rsid w:val="00BF1E75"/>
    <w:rsid w:val="00BF526F"/>
    <w:rsid w:val="00BF647F"/>
    <w:rsid w:val="00C00F18"/>
    <w:rsid w:val="00C01FD2"/>
    <w:rsid w:val="00C04AFE"/>
    <w:rsid w:val="00C05697"/>
    <w:rsid w:val="00C069C2"/>
    <w:rsid w:val="00C07A2F"/>
    <w:rsid w:val="00C107CD"/>
    <w:rsid w:val="00C1246D"/>
    <w:rsid w:val="00C16F2F"/>
    <w:rsid w:val="00C209A6"/>
    <w:rsid w:val="00C20DB1"/>
    <w:rsid w:val="00C233B0"/>
    <w:rsid w:val="00C27AF2"/>
    <w:rsid w:val="00C31D87"/>
    <w:rsid w:val="00C31E56"/>
    <w:rsid w:val="00C31F62"/>
    <w:rsid w:val="00C3552D"/>
    <w:rsid w:val="00C36570"/>
    <w:rsid w:val="00C376DD"/>
    <w:rsid w:val="00C4209E"/>
    <w:rsid w:val="00C44949"/>
    <w:rsid w:val="00C451CA"/>
    <w:rsid w:val="00C465D4"/>
    <w:rsid w:val="00C46F76"/>
    <w:rsid w:val="00C51D37"/>
    <w:rsid w:val="00C52615"/>
    <w:rsid w:val="00C578EE"/>
    <w:rsid w:val="00C6265C"/>
    <w:rsid w:val="00C67237"/>
    <w:rsid w:val="00C70257"/>
    <w:rsid w:val="00C736EE"/>
    <w:rsid w:val="00C75C33"/>
    <w:rsid w:val="00C76E95"/>
    <w:rsid w:val="00C80E5D"/>
    <w:rsid w:val="00C813B5"/>
    <w:rsid w:val="00C827FB"/>
    <w:rsid w:val="00C82FA6"/>
    <w:rsid w:val="00C873B1"/>
    <w:rsid w:val="00C906DB"/>
    <w:rsid w:val="00C907D1"/>
    <w:rsid w:val="00C92C9D"/>
    <w:rsid w:val="00C96A4C"/>
    <w:rsid w:val="00CA2C2C"/>
    <w:rsid w:val="00CA4276"/>
    <w:rsid w:val="00CA514C"/>
    <w:rsid w:val="00CA6AD5"/>
    <w:rsid w:val="00CB0772"/>
    <w:rsid w:val="00CB1534"/>
    <w:rsid w:val="00CB17AF"/>
    <w:rsid w:val="00CB47BC"/>
    <w:rsid w:val="00CB7306"/>
    <w:rsid w:val="00CB7D56"/>
    <w:rsid w:val="00CC3891"/>
    <w:rsid w:val="00CC3F20"/>
    <w:rsid w:val="00CD3ABC"/>
    <w:rsid w:val="00CD42B9"/>
    <w:rsid w:val="00CD502B"/>
    <w:rsid w:val="00CE1CED"/>
    <w:rsid w:val="00CE20F8"/>
    <w:rsid w:val="00CE5924"/>
    <w:rsid w:val="00CE73E1"/>
    <w:rsid w:val="00D04B03"/>
    <w:rsid w:val="00D05A3F"/>
    <w:rsid w:val="00D0640A"/>
    <w:rsid w:val="00D07435"/>
    <w:rsid w:val="00D077B4"/>
    <w:rsid w:val="00D12348"/>
    <w:rsid w:val="00D15D47"/>
    <w:rsid w:val="00D16E5E"/>
    <w:rsid w:val="00D171DB"/>
    <w:rsid w:val="00D2001D"/>
    <w:rsid w:val="00D22175"/>
    <w:rsid w:val="00D2428E"/>
    <w:rsid w:val="00D26B17"/>
    <w:rsid w:val="00D27EBD"/>
    <w:rsid w:val="00D33F10"/>
    <w:rsid w:val="00D35C4A"/>
    <w:rsid w:val="00D40243"/>
    <w:rsid w:val="00D4076E"/>
    <w:rsid w:val="00D4251C"/>
    <w:rsid w:val="00D53006"/>
    <w:rsid w:val="00D53FE1"/>
    <w:rsid w:val="00D54572"/>
    <w:rsid w:val="00D617B3"/>
    <w:rsid w:val="00D64140"/>
    <w:rsid w:val="00D72864"/>
    <w:rsid w:val="00D75C36"/>
    <w:rsid w:val="00D76A5D"/>
    <w:rsid w:val="00D84395"/>
    <w:rsid w:val="00D90004"/>
    <w:rsid w:val="00D90456"/>
    <w:rsid w:val="00D91770"/>
    <w:rsid w:val="00D931A3"/>
    <w:rsid w:val="00D9548D"/>
    <w:rsid w:val="00D9628D"/>
    <w:rsid w:val="00D962E1"/>
    <w:rsid w:val="00DA21C2"/>
    <w:rsid w:val="00DA377A"/>
    <w:rsid w:val="00DA43CC"/>
    <w:rsid w:val="00DA6922"/>
    <w:rsid w:val="00DA6C5D"/>
    <w:rsid w:val="00DB229F"/>
    <w:rsid w:val="00DB5D91"/>
    <w:rsid w:val="00DB6818"/>
    <w:rsid w:val="00DB7169"/>
    <w:rsid w:val="00DC1A7B"/>
    <w:rsid w:val="00DC27D1"/>
    <w:rsid w:val="00DC7BC0"/>
    <w:rsid w:val="00DD11EC"/>
    <w:rsid w:val="00DD3374"/>
    <w:rsid w:val="00DD4FCF"/>
    <w:rsid w:val="00DD5CFC"/>
    <w:rsid w:val="00DD73B8"/>
    <w:rsid w:val="00DE04D3"/>
    <w:rsid w:val="00DE6A6B"/>
    <w:rsid w:val="00DE73DF"/>
    <w:rsid w:val="00DF1E0A"/>
    <w:rsid w:val="00E01F08"/>
    <w:rsid w:val="00E02A99"/>
    <w:rsid w:val="00E04BDD"/>
    <w:rsid w:val="00E16708"/>
    <w:rsid w:val="00E22C7B"/>
    <w:rsid w:val="00E250FA"/>
    <w:rsid w:val="00E27D43"/>
    <w:rsid w:val="00E310EB"/>
    <w:rsid w:val="00E350B8"/>
    <w:rsid w:val="00E35A92"/>
    <w:rsid w:val="00E35FA3"/>
    <w:rsid w:val="00E4366C"/>
    <w:rsid w:val="00E43741"/>
    <w:rsid w:val="00E439FA"/>
    <w:rsid w:val="00E45E82"/>
    <w:rsid w:val="00E46050"/>
    <w:rsid w:val="00E462B4"/>
    <w:rsid w:val="00E47272"/>
    <w:rsid w:val="00E478C3"/>
    <w:rsid w:val="00E516D6"/>
    <w:rsid w:val="00E5555B"/>
    <w:rsid w:val="00E565CC"/>
    <w:rsid w:val="00E61FA7"/>
    <w:rsid w:val="00E627C5"/>
    <w:rsid w:val="00E640E5"/>
    <w:rsid w:val="00E6557E"/>
    <w:rsid w:val="00E678F0"/>
    <w:rsid w:val="00E7354E"/>
    <w:rsid w:val="00E74689"/>
    <w:rsid w:val="00E7697A"/>
    <w:rsid w:val="00E80846"/>
    <w:rsid w:val="00E844CA"/>
    <w:rsid w:val="00E902CB"/>
    <w:rsid w:val="00E904F6"/>
    <w:rsid w:val="00E90DB5"/>
    <w:rsid w:val="00E9218F"/>
    <w:rsid w:val="00E95CD8"/>
    <w:rsid w:val="00EA0C91"/>
    <w:rsid w:val="00EA1DBD"/>
    <w:rsid w:val="00EA3CB8"/>
    <w:rsid w:val="00EA6A76"/>
    <w:rsid w:val="00EA7247"/>
    <w:rsid w:val="00EB1739"/>
    <w:rsid w:val="00EB5178"/>
    <w:rsid w:val="00EB579B"/>
    <w:rsid w:val="00EB5990"/>
    <w:rsid w:val="00EB5AE7"/>
    <w:rsid w:val="00EB66C7"/>
    <w:rsid w:val="00EB71D9"/>
    <w:rsid w:val="00EB7D77"/>
    <w:rsid w:val="00EC0908"/>
    <w:rsid w:val="00EC34D0"/>
    <w:rsid w:val="00EC54AB"/>
    <w:rsid w:val="00EC5F34"/>
    <w:rsid w:val="00ED0FCF"/>
    <w:rsid w:val="00EE437A"/>
    <w:rsid w:val="00EF3832"/>
    <w:rsid w:val="00EF428F"/>
    <w:rsid w:val="00F06724"/>
    <w:rsid w:val="00F11135"/>
    <w:rsid w:val="00F15499"/>
    <w:rsid w:val="00F16701"/>
    <w:rsid w:val="00F22D79"/>
    <w:rsid w:val="00F25D00"/>
    <w:rsid w:val="00F263D9"/>
    <w:rsid w:val="00F31B1C"/>
    <w:rsid w:val="00F32293"/>
    <w:rsid w:val="00F34A71"/>
    <w:rsid w:val="00F377B5"/>
    <w:rsid w:val="00F37E46"/>
    <w:rsid w:val="00F404FA"/>
    <w:rsid w:val="00F42A1B"/>
    <w:rsid w:val="00F46D82"/>
    <w:rsid w:val="00F47C5C"/>
    <w:rsid w:val="00F50AC6"/>
    <w:rsid w:val="00F517EE"/>
    <w:rsid w:val="00F5195A"/>
    <w:rsid w:val="00F56148"/>
    <w:rsid w:val="00F577DC"/>
    <w:rsid w:val="00F614DC"/>
    <w:rsid w:val="00F63268"/>
    <w:rsid w:val="00F66806"/>
    <w:rsid w:val="00F668D7"/>
    <w:rsid w:val="00F7013F"/>
    <w:rsid w:val="00F74D9D"/>
    <w:rsid w:val="00F766C9"/>
    <w:rsid w:val="00F76CDE"/>
    <w:rsid w:val="00F77252"/>
    <w:rsid w:val="00F80895"/>
    <w:rsid w:val="00F836F5"/>
    <w:rsid w:val="00F87205"/>
    <w:rsid w:val="00F9135A"/>
    <w:rsid w:val="00F92796"/>
    <w:rsid w:val="00F92E07"/>
    <w:rsid w:val="00FA035A"/>
    <w:rsid w:val="00FA0F59"/>
    <w:rsid w:val="00FA1CA7"/>
    <w:rsid w:val="00FA2E1A"/>
    <w:rsid w:val="00FA3A86"/>
    <w:rsid w:val="00FA3BEF"/>
    <w:rsid w:val="00FA5E4C"/>
    <w:rsid w:val="00FB1DDC"/>
    <w:rsid w:val="00FB25A5"/>
    <w:rsid w:val="00FB46D1"/>
    <w:rsid w:val="00FB62A2"/>
    <w:rsid w:val="00FB73D6"/>
    <w:rsid w:val="00FC1FBC"/>
    <w:rsid w:val="00FC7402"/>
    <w:rsid w:val="00FD06B1"/>
    <w:rsid w:val="00FD23E0"/>
    <w:rsid w:val="00FD4F70"/>
    <w:rsid w:val="00FD5316"/>
    <w:rsid w:val="00FD7DE7"/>
    <w:rsid w:val="00FE0CBB"/>
    <w:rsid w:val="00FE1B1A"/>
    <w:rsid w:val="00FE1F9E"/>
    <w:rsid w:val="00FE240D"/>
    <w:rsid w:val="00FE2CE0"/>
    <w:rsid w:val="00FE6456"/>
    <w:rsid w:val="00FE71D5"/>
    <w:rsid w:val="00FF156F"/>
    <w:rsid w:val="00FF1B82"/>
    <w:rsid w:val="00FF3C02"/>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DC1586"/>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rsid w:val="00DC1586"/>
    <w:pPr>
      <w:keepNext/>
      <w:numPr>
        <w:ilvl w:val="1"/>
        <w:numId w:val="3"/>
      </w:numPr>
      <w:spacing w:before="120"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DC1586"/>
    <w:pPr>
      <w:keepNext/>
      <w:numPr>
        <w:ilvl w:val="2"/>
        <w:numId w:val="3"/>
      </w:numPr>
      <w:spacing w:before="120"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sid w:val="003E4AE2"/>
    <w:rPr>
      <w:sz w:val="20"/>
    </w:rPr>
  </w:style>
  <w:style w:type="character" w:styleId="EndnoteReference">
    <w:name w:val="endnote reference"/>
    <w:semiHidden/>
    <w:rsid w:val="003E4AE2"/>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rsid w:val="000E3D42"/>
    <w:pPr>
      <w:spacing w:after="120"/>
    </w:pPr>
  </w:style>
  <w:style w:type="character" w:styleId="FootnoteReference">
    <w:name w:val="footnote reference"/>
    <w:aliases w:val="Appel note de bas de p,Style 12,(NECG) Footnote Reference,Style 124,Style 13,fr,o,Style 3,FR,Style 17,Footnote Reference/,Style 6"/>
    <w:semiHidden/>
    <w:rsid w:val="003E4AE2"/>
    <w:rPr>
      <w:rFonts w:ascii="Times New Roman" w:hAnsi="Times New Roman"/>
      <w:dstrike w:val="0"/>
      <w:color w:val="auto"/>
      <w:sz w:val="22"/>
      <w:vertAlign w:val="superscript"/>
    </w:rPr>
  </w:style>
  <w:style w:type="paragraph" w:styleId="TOC1">
    <w:name w:val="toc 1"/>
    <w:basedOn w:val="Normal"/>
    <w:next w:val="Normal"/>
    <w:uiPriority w:val="39"/>
    <w:rsid w:val="003E4AE2"/>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3E4AE2"/>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3E4A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4A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4A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4A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4A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4A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4A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4AE2"/>
    <w:pPr>
      <w:tabs>
        <w:tab w:val="right" w:pos="9360"/>
      </w:tabs>
      <w:suppressAutoHyphens/>
    </w:pPr>
  </w:style>
  <w:style w:type="character" w:customStyle="1" w:styleId="EquationCaption">
    <w:name w:val="_Equation Caption"/>
    <w:rsid w:val="003E4AE2"/>
  </w:style>
  <w:style w:type="paragraph" w:styleId="Header">
    <w:name w:val="header"/>
    <w:basedOn w:val="Normal"/>
    <w:rsid w:val="000E5884"/>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3E4AE2"/>
    <w:pPr>
      <w:tabs>
        <w:tab w:val="center" w:pos="4320"/>
        <w:tab w:val="right" w:pos="8640"/>
      </w:tabs>
    </w:pPr>
  </w:style>
  <w:style w:type="character" w:styleId="PageNumber">
    <w:name w:val="page number"/>
    <w:basedOn w:val="DefaultParagraphFont"/>
    <w:rsid w:val="003E4AE2"/>
  </w:style>
  <w:style w:type="paragraph" w:styleId="BlockText">
    <w:name w:val="Block Text"/>
    <w:basedOn w:val="Normal"/>
    <w:rsid w:val="003E4AE2"/>
    <w:pPr>
      <w:spacing w:after="240"/>
      <w:ind w:left="1440" w:right="1440"/>
    </w:pPr>
  </w:style>
  <w:style w:type="paragraph" w:customStyle="1" w:styleId="Paratitle">
    <w:name w:val="Para title"/>
    <w:basedOn w:val="Normal"/>
    <w:rsid w:val="003E4AE2"/>
    <w:pPr>
      <w:tabs>
        <w:tab w:val="center" w:pos="9270"/>
      </w:tabs>
      <w:spacing w:after="240"/>
    </w:pPr>
    <w:rPr>
      <w:spacing w:val="-2"/>
    </w:rPr>
  </w:style>
  <w:style w:type="paragraph" w:customStyle="1" w:styleId="Bullet">
    <w:name w:val="Bullet"/>
    <w:basedOn w:val="Normal"/>
    <w:rsid w:val="003E4AE2"/>
    <w:pPr>
      <w:numPr>
        <w:numId w:val="1"/>
      </w:numPr>
      <w:tabs>
        <w:tab w:val="clear" w:pos="360"/>
        <w:tab w:val="left" w:pos="2160"/>
      </w:tabs>
      <w:spacing w:after="220"/>
      <w:ind w:left="2160" w:hanging="720"/>
    </w:pPr>
  </w:style>
  <w:style w:type="paragraph" w:customStyle="1" w:styleId="TableFormat">
    <w:name w:val="TableFormat"/>
    <w:basedOn w:val="Bullet"/>
    <w:rsid w:val="003E4AE2"/>
    <w:pPr>
      <w:numPr>
        <w:numId w:val="0"/>
      </w:numPr>
      <w:tabs>
        <w:tab w:val="clear" w:pos="2160"/>
        <w:tab w:val="left" w:pos="5040"/>
      </w:tabs>
      <w:ind w:left="5040" w:hanging="3600"/>
    </w:pPr>
  </w:style>
  <w:style w:type="paragraph" w:customStyle="1" w:styleId="TOCTitle">
    <w:name w:val="TOC Title"/>
    <w:basedOn w:val="Normal"/>
    <w:rsid w:val="003E4A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2D003B"/>
    <w:rPr>
      <w:noProof w:val="0"/>
      <w:lang w:val="en-US" w:eastAsia="en-US" w:bidi="ar-SA"/>
    </w:rPr>
  </w:style>
  <w:style w:type="character" w:customStyle="1" w:styleId="a">
    <w:name w:val="_"/>
    <w:rsid w:val="002D003B"/>
    <w:rPr>
      <w:rFonts w:ascii="Times New Roman" w:hAnsi="Times New Roman"/>
      <w:sz w:val="24"/>
    </w:rPr>
  </w:style>
  <w:style w:type="character" w:customStyle="1" w:styleId="FootnoteTextChar2">
    <w:name w:val="Footnote Text Char2"/>
    <w:aliases w:val="Footnote Text Char1 Char,Footnote Text Char Char Char2,Footnote Text Char5 Char Char Char,Footnote Text Char Char Char Char Char,Footnote Text Char4 Char Char1 Char Char Char,Footnote Text Char2 Char Char2 Char2 Char Char Char"/>
    <w:link w:val="FootnoteText"/>
    <w:semiHidden/>
    <w:rsid w:val="002D003B"/>
    <w:rPr>
      <w:lang w:val="en-US" w:eastAsia="en-US" w:bidi="ar-SA"/>
    </w:rPr>
  </w:style>
  <w:style w:type="character" w:customStyle="1" w:styleId="FootnoteTextChar2Char1">
    <w:name w:val="Footnote Text Char2 Char1"/>
    <w:aliases w:val="Footnote Text Char Char Char,Footnote Text Char1 Char1 Char Char1,Footnote Text Char4 Char Char Char Char1,Footnote Text Char3 Char1 Char Char Char Char1,Footnote Text Char Char3 Char Char Char Char Char1,f Char,fn Char Char"/>
    <w:semiHidden/>
    <w:rsid w:val="00671F98"/>
    <w:rPr>
      <w:lang w:val="en-US" w:eastAsia="en-US" w:bidi="ar-SA"/>
    </w:rPr>
  </w:style>
  <w:style w:type="paragraph" w:styleId="BalloonText">
    <w:name w:val="Balloon Text"/>
    <w:basedOn w:val="Normal"/>
    <w:semiHidden/>
    <w:rsid w:val="0052620C"/>
    <w:rPr>
      <w:rFonts w:ascii="Tahoma" w:hAnsi="Tahoma" w:cs="Tahoma"/>
      <w:sz w:val="16"/>
      <w:szCs w:val="16"/>
    </w:rPr>
  </w:style>
  <w:style w:type="character" w:styleId="CommentReference">
    <w:name w:val="annotation reference"/>
    <w:semiHidden/>
    <w:rsid w:val="004A2B07"/>
    <w:rPr>
      <w:sz w:val="16"/>
      <w:szCs w:val="16"/>
    </w:rPr>
  </w:style>
  <w:style w:type="paragraph" w:styleId="CommentText">
    <w:name w:val="annotation text"/>
    <w:basedOn w:val="Normal"/>
    <w:link w:val="CommentTextChar"/>
    <w:semiHidden/>
    <w:rsid w:val="006A7200"/>
    <w:rPr>
      <w:rFonts w:ascii="Arial" w:hAnsi="Arial"/>
      <w:sz w:val="20"/>
    </w:rPr>
  </w:style>
  <w:style w:type="character" w:customStyle="1" w:styleId="ParaNumCharChar1">
    <w:name w:val="ParaNum Char Char1"/>
    <w:link w:val="ParaNum"/>
    <w:locked/>
    <w:rsid w:val="002E1F7F"/>
    <w:rPr>
      <w:snapToGrid w:val="0"/>
      <w:kern w:val="28"/>
      <w:sz w:val="22"/>
      <w:lang w:val="en-US" w:eastAsia="en-US" w:bidi="ar-SA"/>
    </w:rPr>
  </w:style>
  <w:style w:type="paragraph" w:styleId="CommentSubject">
    <w:name w:val="annotation subject"/>
    <w:basedOn w:val="CommentText"/>
    <w:next w:val="CommentText"/>
    <w:semiHidden/>
    <w:rsid w:val="00A97DD0"/>
    <w:rPr>
      <w:b/>
      <w:bCs/>
    </w:rPr>
  </w:style>
  <w:style w:type="character" w:customStyle="1" w:styleId="CommentTextChar">
    <w:name w:val="Comment Text Char"/>
    <w:link w:val="CommentText"/>
    <w:semiHidden/>
    <w:rsid w:val="006A7200"/>
    <w:rPr>
      <w:rFonts w:ascii="Arial" w:hAnsi="Arial"/>
      <w:snapToGrid w:val="0"/>
      <w:kern w:val="28"/>
    </w:rPr>
  </w:style>
  <w:style w:type="character" w:customStyle="1" w:styleId="CharChar3">
    <w:name w:val="Char Char3"/>
    <w:semiHidden/>
    <w:locked/>
    <w:rsid w:val="000139FE"/>
    <w:rPr>
      <w:rFonts w:cs="Times New Roman"/>
    </w:rPr>
  </w:style>
  <w:style w:type="paragraph" w:styleId="Revision">
    <w:name w:val="Revision"/>
    <w:hidden/>
    <w:uiPriority w:val="99"/>
    <w:semiHidden/>
    <w:rsid w:val="00A54F67"/>
    <w:rPr>
      <w:snapToGrid w:val="0"/>
      <w:kern w:val="28"/>
      <w:sz w:val="22"/>
    </w:rPr>
  </w:style>
  <w:style w:type="character" w:customStyle="1" w:styleId="FooterChar">
    <w:name w:val="Footer Char"/>
    <w:link w:val="Footer"/>
    <w:uiPriority w:val="99"/>
    <w:rsid w:val="00691B49"/>
    <w:rPr>
      <w:snapToGrid w:val="0"/>
      <w:kern w:val="28"/>
      <w:sz w:val="22"/>
    </w:rPr>
  </w:style>
  <w:style w:type="character" w:customStyle="1" w:styleId="sayurirajapakse">
    <w:name w:val="sayuri.rajapakse"/>
    <w:semiHidden/>
    <w:rsid w:val="00616E93"/>
    <w:rPr>
      <w:rFonts w:ascii="Arial" w:hAnsi="Arial" w:cs="Arial"/>
      <w:color w:val="000080"/>
      <w:sz w:val="20"/>
      <w:szCs w:val="20"/>
    </w:rPr>
  </w:style>
  <w:style w:type="character" w:styleId="FollowedHyperlink">
    <w:name w:val="FollowedHyperlink"/>
    <w:rsid w:val="007C34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DC1586"/>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rsid w:val="00DC1586"/>
    <w:pPr>
      <w:keepNext/>
      <w:numPr>
        <w:ilvl w:val="1"/>
        <w:numId w:val="3"/>
      </w:numPr>
      <w:spacing w:before="120"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DC1586"/>
    <w:pPr>
      <w:keepNext/>
      <w:numPr>
        <w:ilvl w:val="2"/>
        <w:numId w:val="3"/>
      </w:numPr>
      <w:spacing w:before="120"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sid w:val="003E4AE2"/>
    <w:rPr>
      <w:sz w:val="20"/>
    </w:rPr>
  </w:style>
  <w:style w:type="character" w:styleId="EndnoteReference">
    <w:name w:val="endnote reference"/>
    <w:semiHidden/>
    <w:rsid w:val="003E4AE2"/>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rsid w:val="000E3D42"/>
    <w:pPr>
      <w:spacing w:after="120"/>
    </w:pPr>
  </w:style>
  <w:style w:type="character" w:styleId="FootnoteReference">
    <w:name w:val="footnote reference"/>
    <w:aliases w:val="Appel note de bas de p,Style 12,(NECG) Footnote Reference,Style 124,Style 13,fr,o,Style 3,FR,Style 17,Footnote Reference/,Style 6"/>
    <w:semiHidden/>
    <w:rsid w:val="003E4AE2"/>
    <w:rPr>
      <w:rFonts w:ascii="Times New Roman" w:hAnsi="Times New Roman"/>
      <w:dstrike w:val="0"/>
      <w:color w:val="auto"/>
      <w:sz w:val="22"/>
      <w:vertAlign w:val="superscript"/>
    </w:rPr>
  </w:style>
  <w:style w:type="paragraph" w:styleId="TOC1">
    <w:name w:val="toc 1"/>
    <w:basedOn w:val="Normal"/>
    <w:next w:val="Normal"/>
    <w:uiPriority w:val="39"/>
    <w:rsid w:val="003E4AE2"/>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3E4AE2"/>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3E4A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4A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4A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4A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4A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4A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4A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4AE2"/>
    <w:pPr>
      <w:tabs>
        <w:tab w:val="right" w:pos="9360"/>
      </w:tabs>
      <w:suppressAutoHyphens/>
    </w:pPr>
  </w:style>
  <w:style w:type="character" w:customStyle="1" w:styleId="EquationCaption">
    <w:name w:val="_Equation Caption"/>
    <w:rsid w:val="003E4AE2"/>
  </w:style>
  <w:style w:type="paragraph" w:styleId="Header">
    <w:name w:val="header"/>
    <w:basedOn w:val="Normal"/>
    <w:rsid w:val="000E5884"/>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3E4AE2"/>
    <w:pPr>
      <w:tabs>
        <w:tab w:val="center" w:pos="4320"/>
        <w:tab w:val="right" w:pos="8640"/>
      </w:tabs>
    </w:pPr>
  </w:style>
  <w:style w:type="character" w:styleId="PageNumber">
    <w:name w:val="page number"/>
    <w:basedOn w:val="DefaultParagraphFont"/>
    <w:rsid w:val="003E4AE2"/>
  </w:style>
  <w:style w:type="paragraph" w:styleId="BlockText">
    <w:name w:val="Block Text"/>
    <w:basedOn w:val="Normal"/>
    <w:rsid w:val="003E4AE2"/>
    <w:pPr>
      <w:spacing w:after="240"/>
      <w:ind w:left="1440" w:right="1440"/>
    </w:pPr>
  </w:style>
  <w:style w:type="paragraph" w:customStyle="1" w:styleId="Paratitle">
    <w:name w:val="Para title"/>
    <w:basedOn w:val="Normal"/>
    <w:rsid w:val="003E4AE2"/>
    <w:pPr>
      <w:tabs>
        <w:tab w:val="center" w:pos="9270"/>
      </w:tabs>
      <w:spacing w:after="240"/>
    </w:pPr>
    <w:rPr>
      <w:spacing w:val="-2"/>
    </w:rPr>
  </w:style>
  <w:style w:type="paragraph" w:customStyle="1" w:styleId="Bullet">
    <w:name w:val="Bullet"/>
    <w:basedOn w:val="Normal"/>
    <w:rsid w:val="003E4AE2"/>
    <w:pPr>
      <w:numPr>
        <w:numId w:val="1"/>
      </w:numPr>
      <w:tabs>
        <w:tab w:val="clear" w:pos="360"/>
        <w:tab w:val="left" w:pos="2160"/>
      </w:tabs>
      <w:spacing w:after="220"/>
      <w:ind w:left="2160" w:hanging="720"/>
    </w:pPr>
  </w:style>
  <w:style w:type="paragraph" w:customStyle="1" w:styleId="TableFormat">
    <w:name w:val="TableFormat"/>
    <w:basedOn w:val="Bullet"/>
    <w:rsid w:val="003E4AE2"/>
    <w:pPr>
      <w:numPr>
        <w:numId w:val="0"/>
      </w:numPr>
      <w:tabs>
        <w:tab w:val="clear" w:pos="2160"/>
        <w:tab w:val="left" w:pos="5040"/>
      </w:tabs>
      <w:ind w:left="5040" w:hanging="3600"/>
    </w:pPr>
  </w:style>
  <w:style w:type="paragraph" w:customStyle="1" w:styleId="TOCTitle">
    <w:name w:val="TOC Title"/>
    <w:basedOn w:val="Normal"/>
    <w:rsid w:val="003E4A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2D003B"/>
    <w:rPr>
      <w:noProof w:val="0"/>
      <w:lang w:val="en-US" w:eastAsia="en-US" w:bidi="ar-SA"/>
    </w:rPr>
  </w:style>
  <w:style w:type="character" w:customStyle="1" w:styleId="a">
    <w:name w:val="_"/>
    <w:rsid w:val="002D003B"/>
    <w:rPr>
      <w:rFonts w:ascii="Times New Roman" w:hAnsi="Times New Roman"/>
      <w:sz w:val="24"/>
    </w:rPr>
  </w:style>
  <w:style w:type="character" w:customStyle="1" w:styleId="FootnoteTextChar2">
    <w:name w:val="Footnote Text Char2"/>
    <w:aliases w:val="Footnote Text Char1 Char,Footnote Text Char Char Char2,Footnote Text Char5 Char Char Char,Footnote Text Char Char Char Char Char,Footnote Text Char4 Char Char1 Char Char Char,Footnote Text Char2 Char Char2 Char2 Char Char Char"/>
    <w:link w:val="FootnoteText"/>
    <w:semiHidden/>
    <w:rsid w:val="002D003B"/>
    <w:rPr>
      <w:lang w:val="en-US" w:eastAsia="en-US" w:bidi="ar-SA"/>
    </w:rPr>
  </w:style>
  <w:style w:type="character" w:customStyle="1" w:styleId="FootnoteTextChar2Char1">
    <w:name w:val="Footnote Text Char2 Char1"/>
    <w:aliases w:val="Footnote Text Char Char Char,Footnote Text Char1 Char1 Char Char1,Footnote Text Char4 Char Char Char Char1,Footnote Text Char3 Char1 Char Char Char Char1,Footnote Text Char Char3 Char Char Char Char Char1,f Char,fn Char Char"/>
    <w:semiHidden/>
    <w:rsid w:val="00671F98"/>
    <w:rPr>
      <w:lang w:val="en-US" w:eastAsia="en-US" w:bidi="ar-SA"/>
    </w:rPr>
  </w:style>
  <w:style w:type="paragraph" w:styleId="BalloonText">
    <w:name w:val="Balloon Text"/>
    <w:basedOn w:val="Normal"/>
    <w:semiHidden/>
    <w:rsid w:val="0052620C"/>
    <w:rPr>
      <w:rFonts w:ascii="Tahoma" w:hAnsi="Tahoma" w:cs="Tahoma"/>
      <w:sz w:val="16"/>
      <w:szCs w:val="16"/>
    </w:rPr>
  </w:style>
  <w:style w:type="character" w:styleId="CommentReference">
    <w:name w:val="annotation reference"/>
    <w:semiHidden/>
    <w:rsid w:val="004A2B07"/>
    <w:rPr>
      <w:sz w:val="16"/>
      <w:szCs w:val="16"/>
    </w:rPr>
  </w:style>
  <w:style w:type="paragraph" w:styleId="CommentText">
    <w:name w:val="annotation text"/>
    <w:basedOn w:val="Normal"/>
    <w:link w:val="CommentTextChar"/>
    <w:semiHidden/>
    <w:rsid w:val="006A7200"/>
    <w:rPr>
      <w:rFonts w:ascii="Arial" w:hAnsi="Arial"/>
      <w:sz w:val="20"/>
    </w:rPr>
  </w:style>
  <w:style w:type="character" w:customStyle="1" w:styleId="ParaNumCharChar1">
    <w:name w:val="ParaNum Char Char1"/>
    <w:link w:val="ParaNum"/>
    <w:locked/>
    <w:rsid w:val="002E1F7F"/>
    <w:rPr>
      <w:snapToGrid w:val="0"/>
      <w:kern w:val="28"/>
      <w:sz w:val="22"/>
      <w:lang w:val="en-US" w:eastAsia="en-US" w:bidi="ar-SA"/>
    </w:rPr>
  </w:style>
  <w:style w:type="paragraph" w:styleId="CommentSubject">
    <w:name w:val="annotation subject"/>
    <w:basedOn w:val="CommentText"/>
    <w:next w:val="CommentText"/>
    <w:semiHidden/>
    <w:rsid w:val="00A97DD0"/>
    <w:rPr>
      <w:b/>
      <w:bCs/>
    </w:rPr>
  </w:style>
  <w:style w:type="character" w:customStyle="1" w:styleId="CommentTextChar">
    <w:name w:val="Comment Text Char"/>
    <w:link w:val="CommentText"/>
    <w:semiHidden/>
    <w:rsid w:val="006A7200"/>
    <w:rPr>
      <w:rFonts w:ascii="Arial" w:hAnsi="Arial"/>
      <w:snapToGrid w:val="0"/>
      <w:kern w:val="28"/>
    </w:rPr>
  </w:style>
  <w:style w:type="character" w:customStyle="1" w:styleId="CharChar3">
    <w:name w:val="Char Char3"/>
    <w:semiHidden/>
    <w:locked/>
    <w:rsid w:val="000139FE"/>
    <w:rPr>
      <w:rFonts w:cs="Times New Roman"/>
    </w:rPr>
  </w:style>
  <w:style w:type="paragraph" w:styleId="Revision">
    <w:name w:val="Revision"/>
    <w:hidden/>
    <w:uiPriority w:val="99"/>
    <w:semiHidden/>
    <w:rsid w:val="00A54F67"/>
    <w:rPr>
      <w:snapToGrid w:val="0"/>
      <w:kern w:val="28"/>
      <w:sz w:val="22"/>
    </w:rPr>
  </w:style>
  <w:style w:type="character" w:customStyle="1" w:styleId="FooterChar">
    <w:name w:val="Footer Char"/>
    <w:link w:val="Footer"/>
    <w:uiPriority w:val="99"/>
    <w:rsid w:val="00691B49"/>
    <w:rPr>
      <w:snapToGrid w:val="0"/>
      <w:kern w:val="28"/>
      <w:sz w:val="22"/>
    </w:rPr>
  </w:style>
  <w:style w:type="character" w:customStyle="1" w:styleId="sayurirajapakse">
    <w:name w:val="sayuri.rajapakse"/>
    <w:semiHidden/>
    <w:rsid w:val="00616E93"/>
    <w:rPr>
      <w:rFonts w:ascii="Arial" w:hAnsi="Arial" w:cs="Arial"/>
      <w:color w:val="000080"/>
      <w:sz w:val="20"/>
      <w:szCs w:val="20"/>
    </w:rPr>
  </w:style>
  <w:style w:type="character" w:styleId="FollowedHyperlink">
    <w:name w:val="FollowedHyperlink"/>
    <w:rsid w:val="007C34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0480">
      <w:bodyDiv w:val="1"/>
      <w:marLeft w:val="0"/>
      <w:marRight w:val="0"/>
      <w:marTop w:val="0"/>
      <w:marBottom w:val="0"/>
      <w:divBdr>
        <w:top w:val="none" w:sz="0" w:space="0" w:color="auto"/>
        <w:left w:val="none" w:sz="0" w:space="0" w:color="auto"/>
        <w:bottom w:val="none" w:sz="0" w:space="0" w:color="auto"/>
        <w:right w:val="none" w:sz="0" w:space="0" w:color="auto"/>
      </w:divBdr>
      <w:divsChild>
        <w:div w:id="942760571">
          <w:marLeft w:val="0"/>
          <w:marRight w:val="0"/>
          <w:marTop w:val="0"/>
          <w:marBottom w:val="0"/>
          <w:divBdr>
            <w:top w:val="none" w:sz="0" w:space="0" w:color="auto"/>
            <w:left w:val="none" w:sz="0" w:space="0" w:color="auto"/>
            <w:bottom w:val="none" w:sz="0" w:space="0" w:color="auto"/>
            <w:right w:val="none" w:sz="0" w:space="0" w:color="auto"/>
          </w:divBdr>
          <w:divsChild>
            <w:div w:id="1763334308">
              <w:marLeft w:val="0"/>
              <w:marRight w:val="0"/>
              <w:marTop w:val="0"/>
              <w:marBottom w:val="0"/>
              <w:divBdr>
                <w:top w:val="none" w:sz="0" w:space="0" w:color="auto"/>
                <w:left w:val="none" w:sz="0" w:space="0" w:color="auto"/>
                <w:bottom w:val="none" w:sz="0" w:space="0" w:color="auto"/>
                <w:right w:val="none" w:sz="0" w:space="0" w:color="auto"/>
              </w:divBdr>
              <w:divsChild>
                <w:div w:id="1120415193">
                  <w:marLeft w:val="0"/>
                  <w:marRight w:val="0"/>
                  <w:marTop w:val="0"/>
                  <w:marBottom w:val="0"/>
                  <w:divBdr>
                    <w:top w:val="none" w:sz="0" w:space="0" w:color="auto"/>
                    <w:left w:val="none" w:sz="0" w:space="0" w:color="auto"/>
                    <w:bottom w:val="none" w:sz="0" w:space="0" w:color="auto"/>
                    <w:right w:val="none" w:sz="0" w:space="0" w:color="auto"/>
                  </w:divBdr>
                  <w:divsChild>
                    <w:div w:id="1243680914">
                      <w:marLeft w:val="0"/>
                      <w:marRight w:val="0"/>
                      <w:marTop w:val="0"/>
                      <w:marBottom w:val="180"/>
                      <w:divBdr>
                        <w:top w:val="none" w:sz="0" w:space="0" w:color="auto"/>
                        <w:left w:val="none" w:sz="0" w:space="0" w:color="auto"/>
                        <w:bottom w:val="none" w:sz="0" w:space="0" w:color="auto"/>
                        <w:right w:val="none" w:sz="0" w:space="0" w:color="auto"/>
                      </w:divBdr>
                      <w:divsChild>
                        <w:div w:id="1169323202">
                          <w:marLeft w:val="0"/>
                          <w:marRight w:val="0"/>
                          <w:marTop w:val="0"/>
                          <w:marBottom w:val="0"/>
                          <w:divBdr>
                            <w:top w:val="none" w:sz="0" w:space="0" w:color="auto"/>
                            <w:left w:val="none" w:sz="0" w:space="0" w:color="auto"/>
                            <w:bottom w:val="none" w:sz="0" w:space="0" w:color="auto"/>
                            <w:right w:val="none" w:sz="0" w:space="0" w:color="auto"/>
                          </w:divBdr>
                        </w:div>
                        <w:div w:id="16529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62">
      <w:bodyDiv w:val="1"/>
      <w:marLeft w:val="0"/>
      <w:marRight w:val="0"/>
      <w:marTop w:val="0"/>
      <w:marBottom w:val="0"/>
      <w:divBdr>
        <w:top w:val="none" w:sz="0" w:space="0" w:color="auto"/>
        <w:left w:val="none" w:sz="0" w:space="0" w:color="auto"/>
        <w:bottom w:val="none" w:sz="0" w:space="0" w:color="auto"/>
        <w:right w:val="none" w:sz="0" w:space="0" w:color="auto"/>
      </w:divBdr>
    </w:div>
    <w:div w:id="1918830055">
      <w:bodyDiv w:val="1"/>
      <w:marLeft w:val="0"/>
      <w:marRight w:val="0"/>
      <w:marTop w:val="0"/>
      <w:marBottom w:val="0"/>
      <w:divBdr>
        <w:top w:val="none" w:sz="0" w:space="0" w:color="auto"/>
        <w:left w:val="none" w:sz="0" w:space="0" w:color="auto"/>
        <w:bottom w:val="none" w:sz="0" w:space="0" w:color="auto"/>
        <w:right w:val="none" w:sz="0" w:space="0" w:color="auto"/>
      </w:divBdr>
    </w:div>
    <w:div w:id="20603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902/" TargetMode="External"/><Relationship Id="rId13" Type="http://schemas.openxmlformats.org/officeDocument/2006/relationships/hyperlink" Target="mailto:fcc504@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ction902@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cfs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ireless.fcc.gov/auctions/90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ireless.fcc.gov/auctions/90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geo/reference/gtc/gtc_aiannha.html" TargetMode="External"/><Relationship Id="rId2" Type="http://schemas.openxmlformats.org/officeDocument/2006/relationships/hyperlink" Target="http://www.mosaik.com/" TargetMode="External"/><Relationship Id="rId1" Type="http://schemas.openxmlformats.org/officeDocument/2006/relationships/hyperlink" Target="http://wireless.fcc.gov/auctions/901" TargetMode="External"/><Relationship Id="rId6" Type="http://schemas.openxmlformats.org/officeDocument/2006/relationships/hyperlink" Target="mailto:auction902@fcc.gov" TargetMode="External"/><Relationship Id="rId5" Type="http://schemas.openxmlformats.org/officeDocument/2006/relationships/hyperlink" Target="http://www.bcpiweb.com/" TargetMode="External"/><Relationship Id="rId4" Type="http://schemas.openxmlformats.org/officeDocument/2006/relationships/hyperlink" Target="http://lehd.did.census.gov/led/library/doc/PuttingItTogether_201008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9961</Words>
  <Characters>53766</Characters>
  <Application>Microsoft Office Word</Application>
  <DocSecurity>0</DocSecurity>
  <Lines>719</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63942</CharactersWithSpaces>
  <SharedDoc>false</SharedDoc>
  <HyperlinkBase> </HyperlinkBase>
  <HLinks>
    <vt:vector size="66" baseType="variant">
      <vt:variant>
        <vt:i4>3473482</vt:i4>
      </vt:variant>
      <vt:variant>
        <vt:i4>15</vt:i4>
      </vt:variant>
      <vt:variant>
        <vt:i4>0</vt:i4>
      </vt:variant>
      <vt:variant>
        <vt:i4>5</vt:i4>
      </vt:variant>
      <vt:variant>
        <vt:lpwstr>mailto:fcc504@fcc.gov</vt:lpwstr>
      </vt:variant>
      <vt:variant>
        <vt:lpwstr/>
      </vt:variant>
      <vt:variant>
        <vt:i4>3473485</vt:i4>
      </vt:variant>
      <vt:variant>
        <vt:i4>12</vt:i4>
      </vt:variant>
      <vt:variant>
        <vt:i4>0</vt:i4>
      </vt:variant>
      <vt:variant>
        <vt:i4>5</vt:i4>
      </vt:variant>
      <vt:variant>
        <vt:lpwstr>mailto:auction902@fcc.gov</vt:lpwstr>
      </vt:variant>
      <vt:variant>
        <vt:lpwstr/>
      </vt:variant>
      <vt:variant>
        <vt:i4>7929897</vt:i4>
      </vt:variant>
      <vt:variant>
        <vt:i4>9</vt:i4>
      </vt:variant>
      <vt:variant>
        <vt:i4>0</vt:i4>
      </vt:variant>
      <vt:variant>
        <vt:i4>5</vt:i4>
      </vt:variant>
      <vt:variant>
        <vt:lpwstr>http://fjallfoss.fcc.gov/ecfs2/</vt:lpwstr>
      </vt:variant>
      <vt:variant>
        <vt:lpwstr/>
      </vt:variant>
      <vt:variant>
        <vt:i4>262173</vt:i4>
      </vt:variant>
      <vt:variant>
        <vt:i4>6</vt:i4>
      </vt:variant>
      <vt:variant>
        <vt:i4>0</vt:i4>
      </vt:variant>
      <vt:variant>
        <vt:i4>5</vt:i4>
      </vt:variant>
      <vt:variant>
        <vt:lpwstr>http://wireless.fcc.gov/auctions/902/</vt:lpwstr>
      </vt:variant>
      <vt:variant>
        <vt:lpwstr/>
      </vt:variant>
      <vt:variant>
        <vt:i4>262173</vt:i4>
      </vt:variant>
      <vt:variant>
        <vt:i4>3</vt:i4>
      </vt:variant>
      <vt:variant>
        <vt:i4>0</vt:i4>
      </vt:variant>
      <vt:variant>
        <vt:i4>5</vt:i4>
      </vt:variant>
      <vt:variant>
        <vt:lpwstr>http://wireless.fcc.gov/auctions/902/</vt:lpwstr>
      </vt:variant>
      <vt:variant>
        <vt:lpwstr/>
      </vt:variant>
      <vt:variant>
        <vt:i4>262173</vt:i4>
      </vt:variant>
      <vt:variant>
        <vt:i4>0</vt:i4>
      </vt:variant>
      <vt:variant>
        <vt:i4>0</vt:i4>
      </vt:variant>
      <vt:variant>
        <vt:i4>5</vt:i4>
      </vt:variant>
      <vt:variant>
        <vt:lpwstr>http://wireless.fcc.gov/auctions/902/</vt:lpwstr>
      </vt:variant>
      <vt:variant>
        <vt:lpwstr/>
      </vt:variant>
      <vt:variant>
        <vt:i4>3473485</vt:i4>
      </vt:variant>
      <vt:variant>
        <vt:i4>12</vt:i4>
      </vt:variant>
      <vt:variant>
        <vt:i4>0</vt:i4>
      </vt:variant>
      <vt:variant>
        <vt:i4>5</vt:i4>
      </vt:variant>
      <vt:variant>
        <vt:lpwstr>mailto:auction902@fcc.gov</vt:lpwstr>
      </vt:variant>
      <vt:variant>
        <vt:lpwstr/>
      </vt:variant>
      <vt:variant>
        <vt:i4>2228350</vt:i4>
      </vt:variant>
      <vt:variant>
        <vt:i4>9</vt:i4>
      </vt:variant>
      <vt:variant>
        <vt:i4>0</vt:i4>
      </vt:variant>
      <vt:variant>
        <vt:i4>5</vt:i4>
      </vt:variant>
      <vt:variant>
        <vt:lpwstr>http://www.bcpiweb.com/</vt:lpwstr>
      </vt:variant>
      <vt:variant>
        <vt:lpwstr/>
      </vt:variant>
      <vt:variant>
        <vt:i4>852086</vt:i4>
      </vt:variant>
      <vt:variant>
        <vt:i4>6</vt:i4>
      </vt:variant>
      <vt:variant>
        <vt:i4>0</vt:i4>
      </vt:variant>
      <vt:variant>
        <vt:i4>5</vt:i4>
      </vt:variant>
      <vt:variant>
        <vt:lpwstr>http://lehd.did.census.gov/led/library/doc/PuttingItTogether_20100817.pdf</vt:lpwstr>
      </vt:variant>
      <vt:variant>
        <vt:lpwstr/>
      </vt:variant>
      <vt:variant>
        <vt:i4>6946908</vt:i4>
      </vt:variant>
      <vt:variant>
        <vt:i4>3</vt:i4>
      </vt:variant>
      <vt:variant>
        <vt:i4>0</vt:i4>
      </vt:variant>
      <vt:variant>
        <vt:i4>5</vt:i4>
      </vt:variant>
      <vt:variant>
        <vt:lpwstr>http://www.census.gov/geo/reference/gtc/gtc_aiannha.html</vt:lpwstr>
      </vt:variant>
      <vt:variant>
        <vt:lpwstr>anvsa</vt:lpwstr>
      </vt:variant>
      <vt:variant>
        <vt:i4>3276859</vt:i4>
      </vt:variant>
      <vt:variant>
        <vt:i4>0</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2013-03-29T21:32:00Z</cp:lastPrinted>
  <dcterms:created xsi:type="dcterms:W3CDTF">2013-04-24T15:33:00Z</dcterms:created>
  <dcterms:modified xsi:type="dcterms:W3CDTF">2013-04-24T15:33:00Z</dcterms:modified>
  <cp:category> </cp:category>
  <cp:contentStatus> </cp:contentStatus>
</cp:coreProperties>
</file>