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47435C" w:rsidRPr="00604B08">
        <w:rPr>
          <w:b/>
          <w:szCs w:val="22"/>
        </w:rPr>
        <w:t>13</w:t>
      </w:r>
      <w:r w:rsidR="00E86027" w:rsidRPr="00604B08">
        <w:rPr>
          <w:b/>
          <w:szCs w:val="22"/>
        </w:rPr>
        <w:t>-</w:t>
      </w:r>
      <w:r w:rsidR="00F343E6">
        <w:rPr>
          <w:b/>
          <w:szCs w:val="22"/>
        </w:rPr>
        <w:t>427</w:t>
      </w:r>
    </w:p>
    <w:p w:rsidR="004C6410" w:rsidRPr="00B446F9" w:rsidRDefault="009806CC" w:rsidP="00B446F9">
      <w:pPr>
        <w:jc w:val="right"/>
      </w:pPr>
      <w:r>
        <w:rPr>
          <w:b/>
          <w:szCs w:val="22"/>
        </w:rPr>
        <w:t>March</w:t>
      </w:r>
      <w:r w:rsidR="0047435C" w:rsidRPr="00604B08">
        <w:rPr>
          <w:b/>
          <w:szCs w:val="22"/>
        </w:rPr>
        <w:t xml:space="preserve"> </w:t>
      </w:r>
      <w:r w:rsidR="00257819">
        <w:rPr>
          <w:b/>
          <w:szCs w:val="22"/>
        </w:rPr>
        <w:t>14</w:t>
      </w:r>
      <w:r w:rsidR="0047435C" w:rsidRPr="00604B08">
        <w:rPr>
          <w:b/>
          <w:szCs w:val="22"/>
        </w:rPr>
        <w:t>, 2013</w:t>
      </w:r>
    </w:p>
    <w:p w:rsidR="004C6410" w:rsidRDefault="004C6410" w:rsidP="00F34B2C">
      <w:pPr>
        <w:rPr>
          <w:szCs w:val="22"/>
        </w:rPr>
      </w:pPr>
    </w:p>
    <w:p w:rsidR="004C6410" w:rsidRPr="00B446F9" w:rsidRDefault="004C6410" w:rsidP="00B446F9"/>
    <w:p w:rsidR="006375A6" w:rsidRDefault="006375A6" w:rsidP="00B446F9">
      <w:pPr>
        <w:jc w:val="center"/>
        <w:rPr>
          <w:b/>
          <w:sz w:val="28"/>
        </w:rPr>
      </w:pPr>
      <w:r>
        <w:rPr>
          <w:b/>
          <w:sz w:val="28"/>
        </w:rPr>
        <w:t>MEDIA BUREA</w:t>
      </w:r>
      <w:r w:rsidR="00640062">
        <w:rPr>
          <w:b/>
          <w:sz w:val="28"/>
        </w:rPr>
        <w:t>U</w:t>
      </w:r>
      <w:r>
        <w:rPr>
          <w:b/>
          <w:sz w:val="28"/>
        </w:rPr>
        <w:t xml:space="preserve"> ANNOUNCES </w:t>
      </w:r>
      <w:r w:rsidR="009806CC">
        <w:rPr>
          <w:b/>
          <w:sz w:val="28"/>
        </w:rPr>
        <w:t xml:space="preserve">APRIL 1 – APRIL 19 FILING WINDOW FOR </w:t>
      </w:r>
      <w:r>
        <w:rPr>
          <w:b/>
          <w:sz w:val="28"/>
        </w:rPr>
        <w:t xml:space="preserve">FM </w:t>
      </w:r>
      <w:r w:rsidR="005065D4">
        <w:rPr>
          <w:b/>
          <w:sz w:val="28"/>
        </w:rPr>
        <w:t>TRANSLATOR</w:t>
      </w:r>
      <w:r w:rsidR="009806CC">
        <w:rPr>
          <w:b/>
          <w:sz w:val="28"/>
        </w:rPr>
        <w:t xml:space="preserve"> </w:t>
      </w:r>
      <w:r>
        <w:rPr>
          <w:b/>
          <w:sz w:val="28"/>
        </w:rPr>
        <w:t>AUCTION 83</w:t>
      </w:r>
      <w:r w:rsidR="005065D4">
        <w:rPr>
          <w:b/>
          <w:sz w:val="28"/>
        </w:rPr>
        <w:t xml:space="preserve"> </w:t>
      </w:r>
      <w:r w:rsidR="009806CC">
        <w:rPr>
          <w:b/>
          <w:sz w:val="28"/>
        </w:rPr>
        <w:t>PRECLUSION SHOWINGS</w:t>
      </w:r>
      <w:r>
        <w:rPr>
          <w:b/>
          <w:sz w:val="28"/>
        </w:rPr>
        <w:t xml:space="preserve"> </w:t>
      </w:r>
    </w:p>
    <w:p w:rsidR="006375A6" w:rsidRDefault="006375A6" w:rsidP="00B446F9">
      <w:pPr>
        <w:jc w:val="center"/>
        <w:rPr>
          <w:b/>
          <w:sz w:val="28"/>
        </w:rPr>
      </w:pPr>
    </w:p>
    <w:p w:rsidR="009806CC" w:rsidRDefault="00825608" w:rsidP="00B446F9">
      <w:pPr>
        <w:jc w:val="center"/>
        <w:rPr>
          <w:b/>
          <w:szCs w:val="22"/>
        </w:rPr>
      </w:pPr>
      <w:r>
        <w:rPr>
          <w:b/>
          <w:szCs w:val="22"/>
        </w:rPr>
        <w:t xml:space="preserve">Filing Deadline </w:t>
      </w:r>
      <w:r w:rsidR="00CA3847">
        <w:rPr>
          <w:b/>
          <w:szCs w:val="22"/>
        </w:rPr>
        <w:t>A</w:t>
      </w:r>
      <w:r>
        <w:rPr>
          <w:b/>
          <w:szCs w:val="22"/>
        </w:rPr>
        <w:t xml:space="preserve">pplies to all Tech Box </w:t>
      </w:r>
      <w:r w:rsidR="00BD2400">
        <w:rPr>
          <w:b/>
          <w:szCs w:val="22"/>
        </w:rPr>
        <w:t>Proposals</w:t>
      </w:r>
      <w:r w:rsidR="005065D4">
        <w:rPr>
          <w:b/>
          <w:szCs w:val="22"/>
        </w:rPr>
        <w:t xml:space="preserve"> </w:t>
      </w:r>
      <w:r w:rsidR="009806CC">
        <w:rPr>
          <w:b/>
          <w:szCs w:val="22"/>
        </w:rPr>
        <w:t xml:space="preserve">Within </w:t>
      </w:r>
    </w:p>
    <w:p w:rsidR="005065D4" w:rsidRDefault="009806CC" w:rsidP="00B446F9">
      <w:pPr>
        <w:jc w:val="center"/>
        <w:rPr>
          <w:b/>
          <w:szCs w:val="22"/>
        </w:rPr>
      </w:pPr>
      <w:r>
        <w:rPr>
          <w:b/>
          <w:szCs w:val="22"/>
        </w:rPr>
        <w:t xml:space="preserve">Spectrum Limited Markets and/or Within 39 km of Spectrum Limited </w:t>
      </w:r>
      <w:r w:rsidR="00825608">
        <w:rPr>
          <w:b/>
          <w:szCs w:val="22"/>
        </w:rPr>
        <w:t xml:space="preserve">Market </w:t>
      </w:r>
      <w:r>
        <w:rPr>
          <w:b/>
          <w:szCs w:val="22"/>
        </w:rPr>
        <w:t>Grids</w:t>
      </w:r>
      <w:r w:rsidR="00825608">
        <w:rPr>
          <w:b/>
          <w:szCs w:val="22"/>
        </w:rPr>
        <w:t>;</w:t>
      </w:r>
    </w:p>
    <w:p w:rsidR="00825608" w:rsidRPr="006375A6" w:rsidRDefault="00825608" w:rsidP="00B446F9">
      <w:pPr>
        <w:jc w:val="center"/>
        <w:rPr>
          <w:b/>
          <w:szCs w:val="22"/>
        </w:rPr>
      </w:pPr>
      <w:r>
        <w:rPr>
          <w:b/>
          <w:szCs w:val="22"/>
        </w:rPr>
        <w:t>Minor Technical Amendments Permitted</w:t>
      </w:r>
    </w:p>
    <w:p w:rsidR="006375A6" w:rsidRDefault="006375A6" w:rsidP="00B446F9">
      <w:pPr>
        <w:jc w:val="center"/>
        <w:rPr>
          <w:b/>
          <w:sz w:val="28"/>
        </w:rPr>
      </w:pPr>
    </w:p>
    <w:p w:rsidR="004C6410" w:rsidRPr="00604B08" w:rsidRDefault="004C6410" w:rsidP="00B446F9">
      <w:pPr>
        <w:jc w:val="center"/>
        <w:rPr>
          <w:szCs w:val="22"/>
        </w:rPr>
      </w:pPr>
    </w:p>
    <w:p w:rsidR="004C6410" w:rsidRDefault="004C6410" w:rsidP="004C6410">
      <w:r>
        <w:tab/>
      </w:r>
      <w:r w:rsidRPr="00D90240">
        <w:t xml:space="preserve">Today, the Media Bureau (Bureau) </w:t>
      </w:r>
      <w:r w:rsidR="009806CC">
        <w:t>announces</w:t>
      </w:r>
      <w:r w:rsidRPr="00DA65D8">
        <w:t xml:space="preserve"> </w:t>
      </w:r>
      <w:r>
        <w:t>a</w:t>
      </w:r>
      <w:r w:rsidR="00825608">
        <w:t>n April 1 – April 19</w:t>
      </w:r>
      <w:r w:rsidRPr="00DA65D8">
        <w:t xml:space="preserve"> window for the filing of </w:t>
      </w:r>
      <w:r w:rsidR="00185F0F">
        <w:t>P</w:t>
      </w:r>
      <w:r w:rsidR="009806CC">
        <w:t xml:space="preserve">reclusion </w:t>
      </w:r>
      <w:r w:rsidR="00185F0F">
        <w:t>S</w:t>
      </w:r>
      <w:r w:rsidR="009806CC">
        <w:t xml:space="preserve">howings </w:t>
      </w:r>
      <w:r>
        <w:t xml:space="preserve">for the </w:t>
      </w:r>
      <w:r w:rsidR="000C700E" w:rsidRPr="009F127C">
        <w:t>6</w:t>
      </w:r>
      <w:r w:rsidR="009F127C">
        <w:t>39</w:t>
      </w:r>
      <w:r w:rsidRPr="000C700E">
        <w:t xml:space="preserve"> </w:t>
      </w:r>
      <w:r>
        <w:t xml:space="preserve">“tech box” proposals listed in Attachment A.  This action continues the Bureau’s expedited Auction 83 licensing initiative in accordance with the procedures adopted in </w:t>
      </w:r>
      <w:r w:rsidRPr="00DA65D8">
        <w:t xml:space="preserve">the </w:t>
      </w:r>
      <w:r w:rsidRPr="00DA65D8">
        <w:rPr>
          <w:i/>
        </w:rPr>
        <w:t>Fifth Order On Reconsideration</w:t>
      </w:r>
      <w:r w:rsidRPr="00DA65D8">
        <w:t xml:space="preserve"> in the low power FM</w:t>
      </w:r>
      <w:r w:rsidR="00B446F9">
        <w:t xml:space="preserve"> (LPFM)</w:t>
      </w:r>
      <w:r w:rsidRPr="00DA65D8">
        <w:t xml:space="preserve"> proceeding.</w:t>
      </w:r>
      <w:r w:rsidRPr="00DA65D8">
        <w:rPr>
          <w:rStyle w:val="FootnoteReference"/>
        </w:rPr>
        <w:footnoteReference w:id="2"/>
      </w:r>
      <w:r w:rsidRPr="00DA65D8">
        <w:t xml:space="preserve"> </w:t>
      </w:r>
      <w:r w:rsidRPr="00D90240">
        <w:t xml:space="preserve"> This window is limited to </w:t>
      </w:r>
      <w:r w:rsidRPr="00DA65D8">
        <w:t xml:space="preserve">timely filed </w:t>
      </w:r>
      <w:r w:rsidR="00523EAC">
        <w:t>Auction 83 Filing Window</w:t>
      </w:r>
      <w:r w:rsidR="00523EAC">
        <w:rPr>
          <w:rStyle w:val="FootnoteReference"/>
        </w:rPr>
        <w:footnoteReference w:id="3"/>
      </w:r>
      <w:r w:rsidR="00523EAC">
        <w:t xml:space="preserve"> proposals</w:t>
      </w:r>
      <w:r w:rsidR="00523EAC" w:rsidRPr="00D90240">
        <w:t xml:space="preserve"> </w:t>
      </w:r>
      <w:r w:rsidRPr="00D90240">
        <w:t xml:space="preserve">which </w:t>
      </w:r>
      <w:r w:rsidR="006B1389">
        <w:t>specif</w:t>
      </w:r>
      <w:r w:rsidR="000C700E">
        <w:t>y</w:t>
      </w:r>
      <w:r w:rsidR="006B1389">
        <w:t xml:space="preserve"> </w:t>
      </w:r>
      <w:r>
        <w:t>transmitter site</w:t>
      </w:r>
      <w:r w:rsidR="006C5C6E">
        <w:t xml:space="preserve"> location</w:t>
      </w:r>
      <w:r>
        <w:t xml:space="preserve">s </w:t>
      </w:r>
      <w:r w:rsidR="009806CC">
        <w:t>that</w:t>
      </w:r>
      <w:r>
        <w:t xml:space="preserve"> are (1) </w:t>
      </w:r>
      <w:r w:rsidR="009806CC">
        <w:t xml:space="preserve">inside a </w:t>
      </w:r>
      <w:r>
        <w:t xml:space="preserve">Spectrum Limited </w:t>
      </w:r>
      <w:r w:rsidRPr="00D90240">
        <w:t>market</w:t>
      </w:r>
      <w:r w:rsidR="00DC36E8">
        <w:rPr>
          <w:rStyle w:val="FootnoteReference"/>
        </w:rPr>
        <w:footnoteReference w:id="4"/>
      </w:r>
      <w:r w:rsidR="009806CC">
        <w:t xml:space="preserve"> and/or</w:t>
      </w:r>
      <w:r w:rsidRPr="00D90240">
        <w:t xml:space="preserve"> (2) within 39 km of any Spectrum Limited </w:t>
      </w:r>
      <w:r w:rsidR="00DC36E8">
        <w:t>M</w:t>
      </w:r>
      <w:r w:rsidRPr="00D90240">
        <w:t xml:space="preserve">arket </w:t>
      </w:r>
      <w:r w:rsidR="00DC36E8">
        <w:t>G</w:t>
      </w:r>
      <w:r w:rsidRPr="00D90240">
        <w:t>rid.</w:t>
      </w:r>
      <w:r w:rsidRPr="00D90240">
        <w:rPr>
          <w:rStyle w:val="FootnoteReference"/>
        </w:rPr>
        <w:footnoteReference w:id="5"/>
      </w:r>
      <w:r w:rsidRPr="00DA65D8">
        <w:t xml:space="preserve">  </w:t>
      </w:r>
      <w:r w:rsidR="00487449">
        <w:t xml:space="preserve">Auction 83 Filing Window proposals identified in Attachment A </w:t>
      </w:r>
      <w:r w:rsidR="00450EAD">
        <w:t xml:space="preserve">must be amended </w:t>
      </w:r>
      <w:r w:rsidR="00FA5014">
        <w:t>with</w:t>
      </w:r>
      <w:r w:rsidR="00450EAD">
        <w:t xml:space="preserve"> a complete Preclusion Showing</w:t>
      </w:r>
      <w:r w:rsidR="006F2D67">
        <w:rPr>
          <w:rStyle w:val="FootnoteReference"/>
        </w:rPr>
        <w:footnoteReference w:id="6"/>
      </w:r>
      <w:r w:rsidR="00450EAD">
        <w:t xml:space="preserve"> </w:t>
      </w:r>
      <w:r w:rsidR="006152CC">
        <w:t>in order</w:t>
      </w:r>
      <w:r w:rsidR="00450EAD">
        <w:t xml:space="preserve"> to be </w:t>
      </w:r>
      <w:r w:rsidR="00BD3B8B">
        <w:t xml:space="preserve">processed </w:t>
      </w:r>
      <w:r w:rsidR="006152CC">
        <w:t>further</w:t>
      </w:r>
      <w:r w:rsidR="00450EAD">
        <w:t xml:space="preserve">.  </w:t>
      </w:r>
      <w:r w:rsidRPr="00DA65D8">
        <w:t xml:space="preserve">  </w:t>
      </w:r>
    </w:p>
    <w:p w:rsidR="004C6410" w:rsidRPr="00DA65D8" w:rsidRDefault="004C6410" w:rsidP="004C6410">
      <w:pPr>
        <w:rPr>
          <w:szCs w:val="22"/>
        </w:rPr>
      </w:pPr>
    </w:p>
    <w:p w:rsidR="004C6410" w:rsidRPr="00381EFC" w:rsidRDefault="004C6410" w:rsidP="004C6410">
      <w:pPr>
        <w:ind w:firstLine="720"/>
        <w:rPr>
          <w:strike/>
        </w:rPr>
      </w:pPr>
      <w:r w:rsidRPr="00D90240">
        <w:rPr>
          <w:b/>
          <w:i/>
        </w:rPr>
        <w:t xml:space="preserve">Required </w:t>
      </w:r>
      <w:r w:rsidR="00450EAD">
        <w:rPr>
          <w:b/>
          <w:i/>
        </w:rPr>
        <w:t>Filing</w:t>
      </w:r>
      <w:r w:rsidRPr="00D90240">
        <w:rPr>
          <w:b/>
          <w:i/>
        </w:rPr>
        <w:t xml:space="preserve">:  </w:t>
      </w:r>
      <w:r w:rsidR="00964D67">
        <w:rPr>
          <w:b/>
        </w:rPr>
        <w:t>Each</w:t>
      </w:r>
      <w:r w:rsidRPr="00D90240">
        <w:rPr>
          <w:b/>
        </w:rPr>
        <w:t xml:space="preserve"> </w:t>
      </w:r>
      <w:r w:rsidR="00DC36E8">
        <w:rPr>
          <w:b/>
        </w:rPr>
        <w:t xml:space="preserve">tech box proposal listed in Attachment A must be amended to include </w:t>
      </w:r>
      <w:r w:rsidR="00C40925">
        <w:rPr>
          <w:b/>
        </w:rPr>
        <w:t>the required</w:t>
      </w:r>
      <w:r w:rsidR="00450EAD">
        <w:rPr>
          <w:b/>
        </w:rPr>
        <w:t xml:space="preserve"> Preclusion Showing during a filing window that ends on April </w:t>
      </w:r>
      <w:r w:rsidR="009408E7">
        <w:rPr>
          <w:b/>
        </w:rPr>
        <w:t>19</w:t>
      </w:r>
      <w:r w:rsidR="00450EAD">
        <w:rPr>
          <w:b/>
        </w:rPr>
        <w:t xml:space="preserve">, 2013 </w:t>
      </w:r>
      <w:r w:rsidRPr="00D90240">
        <w:rPr>
          <w:b/>
        </w:rPr>
        <w:t>(the “</w:t>
      </w:r>
      <w:r w:rsidR="00450EAD">
        <w:rPr>
          <w:b/>
        </w:rPr>
        <w:t>Preclusion Showing D</w:t>
      </w:r>
      <w:r w:rsidRPr="00D90240">
        <w:rPr>
          <w:b/>
        </w:rPr>
        <w:t>eadline”).</w:t>
      </w:r>
      <w:r>
        <w:t xml:space="preserve">    </w:t>
      </w:r>
    </w:p>
    <w:p w:rsidR="004C6410" w:rsidRDefault="004C6410" w:rsidP="004C6410"/>
    <w:p w:rsidR="004C6410" w:rsidRDefault="004C6410" w:rsidP="004C6410">
      <w:r>
        <w:tab/>
      </w:r>
      <w:r>
        <w:rPr>
          <w:b/>
          <w:i/>
        </w:rPr>
        <w:t xml:space="preserve">How to File:  </w:t>
      </w:r>
      <w:r>
        <w:t xml:space="preserve">Applicants must file </w:t>
      </w:r>
      <w:r w:rsidR="00CA3847">
        <w:t xml:space="preserve">a tech box amendment </w:t>
      </w:r>
      <w:r w:rsidR="00C40925">
        <w:t xml:space="preserve">on FCC Form </w:t>
      </w:r>
      <w:r>
        <w:t xml:space="preserve">349 </w:t>
      </w:r>
      <w:r>
        <w:rPr>
          <w:b/>
        </w:rPr>
        <w:t>electronically</w:t>
      </w:r>
      <w:r>
        <w:t xml:space="preserve"> through the Bureau’s Consolidated Database System (CDBS) online electronic forms filing system.  When filing </w:t>
      </w:r>
      <w:r w:rsidR="00C40925">
        <w:t>an amendment,</w:t>
      </w:r>
      <w:r>
        <w:t xml:space="preserve"> applicants must select “</w:t>
      </w:r>
      <w:r w:rsidR="00C40925">
        <w:t>Amendment to Short F</w:t>
      </w:r>
      <w:r>
        <w:t xml:space="preserve">orm </w:t>
      </w:r>
      <w:r w:rsidR="009F127C">
        <w:t>a</w:t>
      </w:r>
      <w:r>
        <w:t>pplication</w:t>
      </w:r>
      <w:r w:rsidR="009F127C">
        <w:t xml:space="preserve"> for FM Translator Auction Window 83</w:t>
      </w:r>
      <w:r w:rsidR="00C40925">
        <w:t xml:space="preserve">” </w:t>
      </w:r>
      <w:r>
        <w:t xml:space="preserve">on the Pre-form for Form 349 (Question 2 – Application Purpose).  In addition, </w:t>
      </w:r>
      <w:r w:rsidR="00964D67">
        <w:t xml:space="preserve">applicants must enter </w:t>
      </w:r>
      <w:r>
        <w:t xml:space="preserve">the CDBS file number previously issued to </w:t>
      </w:r>
      <w:r w:rsidR="007A3C0A">
        <w:t>the associated</w:t>
      </w:r>
      <w:r>
        <w:t xml:space="preserve"> Form 349 tech box </w:t>
      </w:r>
      <w:r w:rsidR="00964D67">
        <w:t>proposal</w:t>
      </w:r>
      <w:r>
        <w:t xml:space="preserve"> in the field “Eng. Proposal File Number.”  </w:t>
      </w:r>
      <w:r w:rsidR="00FF46CC">
        <w:t xml:space="preserve">Applicants must submit all required Preclusion Showings as Exhibit 1 (Section 1, Question 5) of Form 349.  </w:t>
      </w:r>
      <w:r>
        <w:t xml:space="preserve">Instructions </w:t>
      </w:r>
      <w:r w:rsidR="009170D0">
        <w:t>on using</w:t>
      </w:r>
      <w:r>
        <w:t xml:space="preserve"> the electronic filing system are available in the CDBS User’s Guide, which can be accessed from the electronic filing web site at:  </w:t>
      </w:r>
    </w:p>
    <w:p w:rsidR="004C6410" w:rsidRDefault="004C6410" w:rsidP="004C6410"/>
    <w:p w:rsidR="004C6410" w:rsidRDefault="004C6410" w:rsidP="004C6410">
      <w:pPr>
        <w:jc w:val="center"/>
      </w:pPr>
      <w:r>
        <w:t>http: //www.fcc.gov/online-filing</w:t>
      </w:r>
    </w:p>
    <w:p w:rsidR="004C6410" w:rsidRDefault="004C6410" w:rsidP="004C6410">
      <w:pPr>
        <w:jc w:val="center"/>
      </w:pPr>
    </w:p>
    <w:p w:rsidR="004C6410" w:rsidRDefault="004C6410" w:rsidP="006375A6">
      <w:r>
        <w:t>For technical assistance with electronic filing, call the Bureau CDBS Help Desk at (202) 418-2662.</w:t>
      </w:r>
    </w:p>
    <w:p w:rsidR="004C6410" w:rsidRDefault="004C6410" w:rsidP="004C6410">
      <w:pPr>
        <w:ind w:firstLine="720"/>
      </w:pPr>
    </w:p>
    <w:p w:rsidR="00DC36E8" w:rsidRDefault="004C6410" w:rsidP="004C6410">
      <w:pPr>
        <w:ind w:firstLine="720"/>
      </w:pPr>
      <w:r w:rsidRPr="002D09E8">
        <w:rPr>
          <w:b/>
          <w:i/>
        </w:rPr>
        <w:t xml:space="preserve">Minor </w:t>
      </w:r>
      <w:r>
        <w:rPr>
          <w:b/>
          <w:i/>
        </w:rPr>
        <w:t>Amendments</w:t>
      </w:r>
      <w:r w:rsidRPr="002D09E8">
        <w:rPr>
          <w:b/>
          <w:i/>
        </w:rPr>
        <w:t>.</w:t>
      </w:r>
      <w:r>
        <w:t xml:space="preserve">  </w:t>
      </w:r>
      <w:r w:rsidR="002A6CEF">
        <w:t xml:space="preserve">The Commission determined that applicants with proposals in Spectrum Limited markets </w:t>
      </w:r>
      <w:r w:rsidR="00032684">
        <w:t xml:space="preserve">should </w:t>
      </w:r>
      <w:r w:rsidR="002A6CEF">
        <w:t xml:space="preserve">be given an opportunity to </w:t>
      </w:r>
      <w:r w:rsidR="008312F2">
        <w:t xml:space="preserve">file minor technical amendments </w:t>
      </w:r>
      <w:r w:rsidR="00763192">
        <w:t xml:space="preserve">(“Technical Amendments”) </w:t>
      </w:r>
      <w:r w:rsidR="008312F2">
        <w:t xml:space="preserve">to their Auction 83 Filing Window tech box proposals </w:t>
      </w:r>
      <w:r w:rsidR="002A6CEF">
        <w:t xml:space="preserve">to eliminate preclusive impacts </w:t>
      </w:r>
      <w:r w:rsidR="00BD3B8B">
        <w:t>to</w:t>
      </w:r>
      <w:r w:rsidR="002A6CEF">
        <w:t xml:space="preserve"> protected LPFM channel/point combinations.</w:t>
      </w:r>
      <w:r w:rsidR="00FA5014">
        <w:rPr>
          <w:rStyle w:val="FootnoteReference"/>
        </w:rPr>
        <w:footnoteReference w:id="7"/>
      </w:r>
      <w:r w:rsidR="002A6CEF">
        <w:t xml:space="preserve">  </w:t>
      </w:r>
      <w:r w:rsidR="008F269B" w:rsidRPr="00F6116E">
        <w:t>Acceptabl</w:t>
      </w:r>
      <w:r w:rsidR="00F6116E">
        <w:t xml:space="preserve">e </w:t>
      </w:r>
      <w:r w:rsidR="0018145D">
        <w:t>T</w:t>
      </w:r>
      <w:r w:rsidR="00F6116E">
        <w:t xml:space="preserve">echnical </w:t>
      </w:r>
      <w:r w:rsidR="0018145D">
        <w:t>A</w:t>
      </w:r>
      <w:r w:rsidR="00F6116E">
        <w:t xml:space="preserve">mendments include, </w:t>
      </w:r>
      <w:r w:rsidRPr="00F6116E">
        <w:t xml:space="preserve">but </w:t>
      </w:r>
      <w:r w:rsidR="008F269B" w:rsidRPr="00F6116E">
        <w:t>are</w:t>
      </w:r>
      <w:r w:rsidRPr="00F6116E">
        <w:t xml:space="preserve"> not</w:t>
      </w:r>
      <w:r w:rsidRPr="003416FA">
        <w:t xml:space="preserve"> limited to, changes </w:t>
      </w:r>
      <w:r w:rsidR="0018145D">
        <w:t>in</w:t>
      </w:r>
      <w:r w:rsidRPr="003416FA">
        <w:t xml:space="preserve"> </w:t>
      </w:r>
      <w:r w:rsidR="00096964">
        <w:t xml:space="preserve">channel, site, </w:t>
      </w:r>
      <w:r w:rsidRPr="003416FA">
        <w:t>p</w:t>
      </w:r>
      <w:r w:rsidR="00096964">
        <w:t>ower, height</w:t>
      </w:r>
      <w:r w:rsidRPr="003416FA">
        <w:t xml:space="preserve"> </w:t>
      </w:r>
      <w:r w:rsidR="00096964">
        <w:t>and antenna</w:t>
      </w:r>
      <w:r w:rsidRPr="003416FA">
        <w:t xml:space="preserve"> pattern that are considered </w:t>
      </w:r>
      <w:r w:rsidR="00BD237C">
        <w:t>“</w:t>
      </w:r>
      <w:r w:rsidRPr="003416FA">
        <w:t xml:space="preserve">minor </w:t>
      </w:r>
      <w:r w:rsidR="00BD237C">
        <w:t>changes.”</w:t>
      </w:r>
      <w:r>
        <w:rPr>
          <w:rStyle w:val="FootnoteReference"/>
        </w:rPr>
        <w:footnoteReference w:id="8"/>
      </w:r>
      <w:r w:rsidRPr="003416FA">
        <w:t xml:space="preserve">  </w:t>
      </w:r>
      <w:r w:rsidR="001C4344">
        <w:t>A</w:t>
      </w:r>
      <w:r w:rsidR="00BD3B8B">
        <w:t xml:space="preserve"> Technical A</w:t>
      </w:r>
      <w:r w:rsidR="00C40925">
        <w:t xml:space="preserve">mendment </w:t>
      </w:r>
      <w:r w:rsidRPr="003416FA">
        <w:t xml:space="preserve">may not create </w:t>
      </w:r>
      <w:r w:rsidR="00B446F9">
        <w:t xml:space="preserve">a </w:t>
      </w:r>
      <w:r w:rsidRPr="003416FA">
        <w:t xml:space="preserve">new conflict </w:t>
      </w:r>
      <w:r w:rsidR="00B446F9">
        <w:t>to</w:t>
      </w:r>
      <w:r w:rsidRPr="003416FA">
        <w:t xml:space="preserve"> any pending Auction 83 </w:t>
      </w:r>
      <w:r w:rsidR="00B446F9">
        <w:t>tech box proposal</w:t>
      </w:r>
      <w:r w:rsidRPr="003416FA">
        <w:t xml:space="preserve">.  </w:t>
      </w:r>
      <w:r w:rsidR="0018145D">
        <w:t>A</w:t>
      </w:r>
      <w:r w:rsidR="00C40925">
        <w:t xml:space="preserve">ny </w:t>
      </w:r>
      <w:r w:rsidR="008F269B">
        <w:t xml:space="preserve">applicant filing a </w:t>
      </w:r>
      <w:r w:rsidR="00763192">
        <w:t>T</w:t>
      </w:r>
      <w:r w:rsidR="008F269B">
        <w:t xml:space="preserve">echnical </w:t>
      </w:r>
      <w:r w:rsidR="00763192">
        <w:t>A</w:t>
      </w:r>
      <w:r w:rsidR="00C40925">
        <w:t>mendment pr</w:t>
      </w:r>
      <w:r w:rsidRPr="003416FA">
        <w:t>opos</w:t>
      </w:r>
      <w:r w:rsidR="008F269B">
        <w:t>ing</w:t>
      </w:r>
      <w:r w:rsidRPr="003416FA">
        <w:t xml:space="preserve"> a transmitter site </w:t>
      </w:r>
      <w:r>
        <w:t>(</w:t>
      </w:r>
      <w:r w:rsidR="00517D1D">
        <w:t>1</w:t>
      </w:r>
      <w:r>
        <w:t xml:space="preserve">) </w:t>
      </w:r>
      <w:r w:rsidR="00FD62FC">
        <w:t xml:space="preserve">at a location </w:t>
      </w:r>
      <w:r w:rsidRPr="003416FA">
        <w:t xml:space="preserve">within the 39 km buffer of </w:t>
      </w:r>
      <w:r w:rsidR="00517D1D">
        <w:t>AN</w:t>
      </w:r>
      <w:r w:rsidR="00517D1D" w:rsidRPr="003416FA">
        <w:t>Y</w:t>
      </w:r>
      <w:r w:rsidR="00517D1D">
        <w:t xml:space="preserve"> </w:t>
      </w:r>
      <w:r w:rsidR="00763192">
        <w:rPr>
          <w:szCs w:val="22"/>
        </w:rPr>
        <w:t xml:space="preserve">Spectrum Available or Spectrum Limited </w:t>
      </w:r>
      <w:r w:rsidR="00517D1D">
        <w:t>M</w:t>
      </w:r>
      <w:r w:rsidRPr="00D90240">
        <w:t xml:space="preserve">arket </w:t>
      </w:r>
      <w:r w:rsidR="00517D1D">
        <w:t>G</w:t>
      </w:r>
      <w:r w:rsidRPr="003416FA">
        <w:t>rid</w:t>
      </w:r>
      <w:r>
        <w:t xml:space="preserve"> </w:t>
      </w:r>
      <w:r w:rsidR="00517D1D">
        <w:t xml:space="preserve">and/or (2) </w:t>
      </w:r>
      <w:r w:rsidR="00F42AC0">
        <w:t>at a</w:t>
      </w:r>
      <w:r w:rsidR="0085590B">
        <w:t>n out-of</w:t>
      </w:r>
      <w:r w:rsidR="00F42AC0">
        <w:t xml:space="preserve">-grid location </w:t>
      </w:r>
      <w:r w:rsidR="00CE5002">
        <w:t>with</w:t>
      </w:r>
      <w:r w:rsidR="00517D1D">
        <w:t>in a Top</w:t>
      </w:r>
      <w:r w:rsidR="00F42AC0">
        <w:t>-</w:t>
      </w:r>
      <w:r w:rsidR="00517D1D">
        <w:t xml:space="preserve">50 Spectrum Limited Market </w:t>
      </w:r>
      <w:r>
        <w:t xml:space="preserve">must </w:t>
      </w:r>
      <w:r w:rsidR="008F269B">
        <w:t xml:space="preserve">also </w:t>
      </w:r>
      <w:r>
        <w:t xml:space="preserve">file a </w:t>
      </w:r>
      <w:r w:rsidR="00032684">
        <w:t>P</w:t>
      </w:r>
      <w:r>
        <w:t xml:space="preserve">reclusion </w:t>
      </w:r>
      <w:r w:rsidR="00032684">
        <w:t>S</w:t>
      </w:r>
      <w:r w:rsidRPr="003416FA">
        <w:t>howing</w:t>
      </w:r>
      <w:r>
        <w:t xml:space="preserve"> as described in Attachment B</w:t>
      </w:r>
      <w:r w:rsidRPr="003416FA">
        <w:t>.</w:t>
      </w:r>
      <w:r w:rsidR="0018145D">
        <w:t xml:space="preserve">  A Preclusion Showing with regard to a Spectrum Available Market Grid less than 39 km from a proposed transmitter site is only required if the applicant submits a Techn</w:t>
      </w:r>
      <w:r w:rsidR="001C4344">
        <w:t>i</w:t>
      </w:r>
      <w:r w:rsidR="0018145D">
        <w:t xml:space="preserve">cal Amendment.  See Attachment B, Example C. </w:t>
      </w:r>
      <w:r w:rsidR="00763192">
        <w:t xml:space="preserve">  </w:t>
      </w:r>
      <w:r w:rsidRPr="00D90240">
        <w:t xml:space="preserve">  </w:t>
      </w:r>
    </w:p>
    <w:p w:rsidR="00DC36E8" w:rsidRDefault="00DC36E8" w:rsidP="004C6410">
      <w:pPr>
        <w:ind w:firstLine="720"/>
      </w:pPr>
    </w:p>
    <w:p w:rsidR="004C6410" w:rsidRPr="006375A6" w:rsidRDefault="00DC36E8" w:rsidP="004C6410">
      <w:pPr>
        <w:ind w:firstLine="720"/>
        <w:rPr>
          <w:b/>
        </w:rPr>
      </w:pPr>
      <w:r>
        <w:rPr>
          <w:b/>
          <w:i/>
        </w:rPr>
        <w:t xml:space="preserve">Preclusion Showings.  </w:t>
      </w:r>
      <w:r w:rsidR="00032684">
        <w:t>Preclusion S</w:t>
      </w:r>
      <w:r w:rsidR="004C6410" w:rsidRPr="00D90240">
        <w:t>howing</w:t>
      </w:r>
      <w:r>
        <w:t>s</w:t>
      </w:r>
      <w:r w:rsidR="004C6410" w:rsidRPr="003416FA">
        <w:t xml:space="preserve"> must comply with the requirements delineated in Section II.B of the </w:t>
      </w:r>
      <w:r w:rsidR="004C6410" w:rsidRPr="003416FA">
        <w:rPr>
          <w:i/>
        </w:rPr>
        <w:t>Fourth Report and Order</w:t>
      </w:r>
      <w:r w:rsidR="004C6410" w:rsidRPr="003416FA">
        <w:t>.</w:t>
      </w:r>
      <w:r w:rsidR="004C6410" w:rsidRPr="00D90240">
        <w:rPr>
          <w:rStyle w:val="FootnoteReference"/>
        </w:rPr>
        <w:footnoteReference w:id="9"/>
      </w:r>
      <w:r w:rsidR="004C6410" w:rsidRPr="003416FA">
        <w:t xml:space="preserve">  </w:t>
      </w:r>
      <w:r w:rsidR="00CE5002">
        <w:t>Applicants must submit a</w:t>
      </w:r>
      <w:r w:rsidR="004C6410">
        <w:t xml:space="preserve">ll required </w:t>
      </w:r>
      <w:r w:rsidR="00032684">
        <w:t>Preclusion S</w:t>
      </w:r>
      <w:r w:rsidR="004C6410">
        <w:t xml:space="preserve">howings as Exhibit 1 </w:t>
      </w:r>
      <w:r w:rsidR="00F8531B">
        <w:t xml:space="preserve">(Section 1, Question 5) </w:t>
      </w:r>
      <w:r w:rsidR="004C6410">
        <w:t>of Form 349.  Attachment</w:t>
      </w:r>
      <w:r w:rsidR="004C6410" w:rsidRPr="003416FA">
        <w:t xml:space="preserve"> </w:t>
      </w:r>
      <w:r w:rsidR="004C6410">
        <w:t>B</w:t>
      </w:r>
      <w:r w:rsidR="004C6410" w:rsidRPr="003416FA">
        <w:t xml:space="preserve"> </w:t>
      </w:r>
      <w:r w:rsidR="004C6410">
        <w:t>of this Public Notice</w:t>
      </w:r>
      <w:r w:rsidR="00F8531B">
        <w:t xml:space="preserve"> provides instructions for preparing </w:t>
      </w:r>
      <w:r w:rsidR="004C6410" w:rsidRPr="003416FA">
        <w:t xml:space="preserve">the required </w:t>
      </w:r>
      <w:r w:rsidR="00032684">
        <w:t>Preclusion S</w:t>
      </w:r>
      <w:r w:rsidR="004C6410" w:rsidRPr="003416FA">
        <w:t>howings.</w:t>
      </w:r>
      <w:r w:rsidR="004C6410">
        <w:t xml:space="preserve">  Applicants </w:t>
      </w:r>
      <w:r w:rsidR="00FD62FC">
        <w:t>should</w:t>
      </w:r>
      <w:r w:rsidR="004C6410">
        <w:t xml:space="preserve"> review their </w:t>
      </w:r>
      <w:r w:rsidR="00032684">
        <w:t>Preclusion S</w:t>
      </w:r>
      <w:r w:rsidR="004C6410">
        <w:t xml:space="preserve">howings thoroughly before submission.  </w:t>
      </w:r>
      <w:r w:rsidR="00640062">
        <w:t>A</w:t>
      </w:r>
      <w:r w:rsidR="004C6410">
        <w:t xml:space="preserve">mendments </w:t>
      </w:r>
      <w:r w:rsidR="00640062">
        <w:t xml:space="preserve">to </w:t>
      </w:r>
      <w:r w:rsidR="00032684">
        <w:t>Preclusion S</w:t>
      </w:r>
      <w:r w:rsidR="00640062">
        <w:t xml:space="preserve">howings </w:t>
      </w:r>
      <w:r w:rsidR="004C6410">
        <w:t xml:space="preserve">will </w:t>
      </w:r>
      <w:r w:rsidR="008F269B">
        <w:t xml:space="preserve">only </w:t>
      </w:r>
      <w:r w:rsidR="004C6410">
        <w:t>be permitted during the filing window</w:t>
      </w:r>
      <w:r w:rsidR="004C6410">
        <w:rPr>
          <w:szCs w:val="22"/>
        </w:rPr>
        <w:t xml:space="preserve">, provided that the final </w:t>
      </w:r>
      <w:r w:rsidR="00FD62FC">
        <w:rPr>
          <w:szCs w:val="22"/>
        </w:rPr>
        <w:t>application amendment</w:t>
      </w:r>
      <w:r w:rsidR="004C6410">
        <w:rPr>
          <w:szCs w:val="22"/>
        </w:rPr>
        <w:t xml:space="preserve"> </w:t>
      </w:r>
      <w:r w:rsidR="00FD62FC">
        <w:rPr>
          <w:szCs w:val="22"/>
        </w:rPr>
        <w:t>does</w:t>
      </w:r>
      <w:r w:rsidR="004C6410">
        <w:rPr>
          <w:szCs w:val="22"/>
        </w:rPr>
        <w:t xml:space="preserve"> not </w:t>
      </w:r>
      <w:r w:rsidR="00FD62FC">
        <w:rPr>
          <w:szCs w:val="22"/>
        </w:rPr>
        <w:t>specify</w:t>
      </w:r>
      <w:r w:rsidR="004C6410">
        <w:rPr>
          <w:szCs w:val="22"/>
        </w:rPr>
        <w:t xml:space="preserve"> a </w:t>
      </w:r>
      <w:r w:rsidR="00F8531B">
        <w:rPr>
          <w:szCs w:val="22"/>
        </w:rPr>
        <w:t>“</w:t>
      </w:r>
      <w:r w:rsidR="004C6410">
        <w:rPr>
          <w:szCs w:val="22"/>
        </w:rPr>
        <w:t>major change</w:t>
      </w:r>
      <w:r w:rsidR="00F8531B">
        <w:rPr>
          <w:szCs w:val="22"/>
        </w:rPr>
        <w:t>”</w:t>
      </w:r>
      <w:r w:rsidR="004C6410">
        <w:rPr>
          <w:szCs w:val="22"/>
        </w:rPr>
        <w:t xml:space="preserve"> from the original </w:t>
      </w:r>
      <w:r w:rsidR="00032684">
        <w:rPr>
          <w:szCs w:val="22"/>
        </w:rPr>
        <w:t xml:space="preserve">Auction 83 Filing Window </w:t>
      </w:r>
      <w:r w:rsidR="00F8531B">
        <w:rPr>
          <w:szCs w:val="22"/>
        </w:rPr>
        <w:t>tech box</w:t>
      </w:r>
      <w:r w:rsidR="004C6410">
        <w:rPr>
          <w:szCs w:val="22"/>
        </w:rPr>
        <w:t xml:space="preserve"> proposal.</w:t>
      </w:r>
      <w:r w:rsidR="00BD237C">
        <w:rPr>
          <w:rStyle w:val="FootnoteReference"/>
          <w:szCs w:val="22"/>
        </w:rPr>
        <w:footnoteReference w:id="10"/>
      </w:r>
      <w:r w:rsidR="00764B6B">
        <w:rPr>
          <w:szCs w:val="22"/>
        </w:rPr>
        <w:t xml:space="preserve">  </w:t>
      </w:r>
      <w:r w:rsidR="00640062">
        <w:rPr>
          <w:szCs w:val="22"/>
        </w:rPr>
        <w:t xml:space="preserve">An amended </w:t>
      </w:r>
      <w:r w:rsidR="00032684">
        <w:rPr>
          <w:szCs w:val="22"/>
        </w:rPr>
        <w:t>P</w:t>
      </w:r>
      <w:r w:rsidR="0085590B">
        <w:rPr>
          <w:szCs w:val="22"/>
        </w:rPr>
        <w:t xml:space="preserve">reclusion </w:t>
      </w:r>
      <w:r w:rsidR="00032684">
        <w:rPr>
          <w:szCs w:val="22"/>
        </w:rPr>
        <w:t>S</w:t>
      </w:r>
      <w:r w:rsidR="00764B6B">
        <w:rPr>
          <w:szCs w:val="22"/>
        </w:rPr>
        <w:t xml:space="preserve">howing must </w:t>
      </w:r>
      <w:r w:rsidR="00640062">
        <w:rPr>
          <w:szCs w:val="22"/>
        </w:rPr>
        <w:t xml:space="preserve">be complete and sufficient.  </w:t>
      </w:r>
      <w:r w:rsidR="00764B6B">
        <w:rPr>
          <w:szCs w:val="22"/>
        </w:rPr>
        <w:t>The staff will review only the last-filed</w:t>
      </w:r>
      <w:r w:rsidR="00640062">
        <w:rPr>
          <w:szCs w:val="22"/>
        </w:rPr>
        <w:t xml:space="preserve"> </w:t>
      </w:r>
      <w:r w:rsidR="00032684">
        <w:rPr>
          <w:szCs w:val="22"/>
        </w:rPr>
        <w:t>P</w:t>
      </w:r>
      <w:r w:rsidR="00640062">
        <w:rPr>
          <w:szCs w:val="22"/>
        </w:rPr>
        <w:t xml:space="preserve">reclusion </w:t>
      </w:r>
      <w:r w:rsidR="00032684">
        <w:rPr>
          <w:szCs w:val="22"/>
        </w:rPr>
        <w:t>S</w:t>
      </w:r>
      <w:r w:rsidR="00640062">
        <w:rPr>
          <w:szCs w:val="22"/>
        </w:rPr>
        <w:t xml:space="preserve">howing </w:t>
      </w:r>
      <w:r w:rsidR="00764B6B">
        <w:rPr>
          <w:szCs w:val="22"/>
        </w:rPr>
        <w:t xml:space="preserve">to </w:t>
      </w:r>
      <w:r w:rsidR="00764B6B">
        <w:rPr>
          <w:szCs w:val="22"/>
        </w:rPr>
        <w:lastRenderedPageBreak/>
        <w:t xml:space="preserve">determine compliance with all </w:t>
      </w:r>
      <w:r w:rsidR="0085590B">
        <w:rPr>
          <w:szCs w:val="22"/>
        </w:rPr>
        <w:t xml:space="preserve">application </w:t>
      </w:r>
      <w:r w:rsidR="00764B6B">
        <w:rPr>
          <w:szCs w:val="22"/>
        </w:rPr>
        <w:t>filing requirements.</w:t>
      </w:r>
      <w:r w:rsidR="0042623C">
        <w:rPr>
          <w:szCs w:val="22"/>
        </w:rPr>
        <w:t xml:space="preserve">  </w:t>
      </w:r>
      <w:r w:rsidR="00A76DB8" w:rsidRPr="006375A6">
        <w:rPr>
          <w:b/>
        </w:rPr>
        <w:t xml:space="preserve">A </w:t>
      </w:r>
      <w:r w:rsidR="00032684">
        <w:rPr>
          <w:b/>
        </w:rPr>
        <w:t>P</w:t>
      </w:r>
      <w:r w:rsidR="00F8531B" w:rsidRPr="006C5C6E">
        <w:rPr>
          <w:b/>
        </w:rPr>
        <w:t>reclusion</w:t>
      </w:r>
      <w:r w:rsidR="00F8531B" w:rsidRPr="00DB686C">
        <w:rPr>
          <w:b/>
        </w:rPr>
        <w:t xml:space="preserve"> </w:t>
      </w:r>
      <w:r w:rsidR="00032684">
        <w:rPr>
          <w:b/>
        </w:rPr>
        <w:t>S</w:t>
      </w:r>
      <w:r w:rsidR="00F8531B" w:rsidRPr="00DB686C">
        <w:rPr>
          <w:b/>
        </w:rPr>
        <w:t>howing</w:t>
      </w:r>
      <w:r w:rsidR="00F8531B">
        <w:rPr>
          <w:b/>
        </w:rPr>
        <w:t xml:space="preserve"> </w:t>
      </w:r>
      <w:r w:rsidR="00F8531B" w:rsidRPr="00DB686C">
        <w:rPr>
          <w:b/>
        </w:rPr>
        <w:t xml:space="preserve">may not be submitted, amended, corrected, </w:t>
      </w:r>
      <w:r w:rsidR="0085590B">
        <w:rPr>
          <w:b/>
        </w:rPr>
        <w:t xml:space="preserve">completed, </w:t>
      </w:r>
      <w:r w:rsidR="00F8531B" w:rsidRPr="00DB686C">
        <w:rPr>
          <w:b/>
        </w:rPr>
        <w:t xml:space="preserve">or resubmitted for further consideration after the </w:t>
      </w:r>
      <w:r w:rsidR="00C40925">
        <w:rPr>
          <w:b/>
        </w:rPr>
        <w:t>Preclusion Showing</w:t>
      </w:r>
      <w:r w:rsidR="00F8531B" w:rsidRPr="00DB686C">
        <w:rPr>
          <w:b/>
        </w:rPr>
        <w:t xml:space="preserve"> Deadline.  </w:t>
      </w:r>
      <w:r w:rsidR="0085590B">
        <w:rPr>
          <w:b/>
        </w:rPr>
        <w:t>Moreover, a</w:t>
      </w:r>
      <w:r w:rsidR="00F8531B" w:rsidRPr="00DB686C">
        <w:rPr>
          <w:b/>
        </w:rPr>
        <w:t xml:space="preserve"> </w:t>
      </w:r>
      <w:r w:rsidR="00032684">
        <w:rPr>
          <w:b/>
        </w:rPr>
        <w:t>P</w:t>
      </w:r>
      <w:r w:rsidR="00F8531B" w:rsidRPr="00DB686C">
        <w:rPr>
          <w:b/>
        </w:rPr>
        <w:t xml:space="preserve">reclusion </w:t>
      </w:r>
      <w:r w:rsidR="00032684">
        <w:rPr>
          <w:b/>
        </w:rPr>
        <w:t>S</w:t>
      </w:r>
      <w:r w:rsidR="00F8531B" w:rsidRPr="00DB686C">
        <w:rPr>
          <w:b/>
        </w:rPr>
        <w:t xml:space="preserve">howing will </w:t>
      </w:r>
      <w:r w:rsidR="00F8531B">
        <w:rPr>
          <w:b/>
        </w:rPr>
        <w:t xml:space="preserve">not </w:t>
      </w:r>
      <w:r w:rsidR="00F8531B" w:rsidRPr="00DB686C">
        <w:rPr>
          <w:b/>
        </w:rPr>
        <w:t>be treated as a matter subject to amendment</w:t>
      </w:r>
      <w:r w:rsidR="00F8531B">
        <w:rPr>
          <w:b/>
        </w:rPr>
        <w:t xml:space="preserve"> pursuant to</w:t>
      </w:r>
      <w:r w:rsidR="00F8531B" w:rsidRPr="00DB686C">
        <w:rPr>
          <w:b/>
        </w:rPr>
        <w:t xml:space="preserve"> </w:t>
      </w:r>
      <w:r w:rsidR="00F8531B" w:rsidRPr="006375A6">
        <w:rPr>
          <w:b/>
        </w:rPr>
        <w:t>Section 73.3522(a) of the Rules</w:t>
      </w:r>
      <w:r w:rsidR="00F8531B" w:rsidRPr="006375A6">
        <w:rPr>
          <w:rStyle w:val="FootnoteReference"/>
          <w:b/>
        </w:rPr>
        <w:footnoteReference w:id="11"/>
      </w:r>
      <w:r w:rsidR="0085590B" w:rsidRPr="006375A6">
        <w:rPr>
          <w:b/>
        </w:rPr>
        <w:t xml:space="preserve"> after the </w:t>
      </w:r>
      <w:r w:rsidR="00C40925">
        <w:rPr>
          <w:b/>
        </w:rPr>
        <w:t>Preclusion Showing</w:t>
      </w:r>
      <w:r w:rsidR="0085590B" w:rsidRPr="006375A6">
        <w:rPr>
          <w:b/>
        </w:rPr>
        <w:t xml:space="preserve"> Deadline. </w:t>
      </w:r>
      <w:r w:rsidR="00F8531B" w:rsidRPr="006375A6">
        <w:rPr>
          <w:b/>
        </w:rPr>
        <w:t xml:space="preserve">  </w:t>
      </w:r>
      <w:r w:rsidR="00FF46CC">
        <w:t>T</w:t>
      </w:r>
      <w:r w:rsidR="008F269B">
        <w:t xml:space="preserve">echnical </w:t>
      </w:r>
      <w:r w:rsidR="00763192">
        <w:t>A</w:t>
      </w:r>
      <w:r w:rsidR="00FF46CC">
        <w:t xml:space="preserve">mendments </w:t>
      </w:r>
      <w:r w:rsidR="0055737A">
        <w:t>will be processed on a first-come, first-served basis</w:t>
      </w:r>
      <w:r w:rsidR="00555967">
        <w:t xml:space="preserve">.  Preclusion Showings also will be processed on </w:t>
      </w:r>
      <w:r w:rsidR="00257819">
        <w:t xml:space="preserve">a </w:t>
      </w:r>
      <w:r w:rsidR="00555967">
        <w:t xml:space="preserve">first-come, first served basis </w:t>
      </w:r>
      <w:r w:rsidR="0055737A">
        <w:t xml:space="preserve">for the purpose of determining whether an additional LPFM channel remains available at a specific out-of-grid location in a Top-50 Spectrum </w:t>
      </w:r>
      <w:r w:rsidR="00243302">
        <w:t>L</w:t>
      </w:r>
      <w:r w:rsidR="0055737A">
        <w:t>imited market.</w:t>
      </w:r>
      <w:r w:rsidR="00FF46CC">
        <w:rPr>
          <w:rStyle w:val="FootnoteReference"/>
        </w:rPr>
        <w:footnoteReference w:id="12"/>
      </w:r>
      <w:r w:rsidR="00FF46CC">
        <w:t xml:space="preserve">  </w:t>
      </w:r>
    </w:p>
    <w:p w:rsidR="00764B6B" w:rsidRDefault="00764B6B" w:rsidP="004C6410">
      <w:pPr>
        <w:ind w:firstLine="720"/>
      </w:pPr>
    </w:p>
    <w:p w:rsidR="00764B6B" w:rsidRPr="003416FA" w:rsidRDefault="00764B6B" w:rsidP="004C6410">
      <w:pPr>
        <w:ind w:firstLine="720"/>
      </w:pPr>
      <w:r>
        <w:rPr>
          <w:b/>
          <w:i/>
        </w:rPr>
        <w:t xml:space="preserve">Application Dismissals.  </w:t>
      </w:r>
      <w:r>
        <w:t>The staff will</w:t>
      </w:r>
      <w:r w:rsidR="00B73A78">
        <w:t xml:space="preserve"> dismiss </w:t>
      </w:r>
      <w:r w:rsidR="00BD3B8B">
        <w:t xml:space="preserve">Preclusion Showings, Technical Amendments, </w:t>
      </w:r>
      <w:r w:rsidR="00B73A78">
        <w:t>and</w:t>
      </w:r>
      <w:r>
        <w:t xml:space="preserve"> </w:t>
      </w:r>
      <w:r w:rsidR="00B73A78">
        <w:t>associated tech box proposals for any filing that is</w:t>
      </w:r>
      <w:r w:rsidR="00C40925">
        <w:t xml:space="preserve"> </w:t>
      </w:r>
      <w:r>
        <w:t xml:space="preserve">not submitted in accordance with the procedures described above.  </w:t>
      </w:r>
      <w:r w:rsidR="00B73A78">
        <w:t>The staff will also dismiss any tech box proposal associated with any</w:t>
      </w:r>
      <w:r w:rsidR="00C40925">
        <w:t xml:space="preserve"> </w:t>
      </w:r>
      <w:r w:rsidR="00BD3B8B">
        <w:t>Technical A</w:t>
      </w:r>
      <w:r w:rsidR="00C40925">
        <w:t xml:space="preserve">mendment </w:t>
      </w:r>
      <w:r>
        <w:t xml:space="preserve">that, as of the </w:t>
      </w:r>
      <w:r w:rsidR="00C40925">
        <w:t xml:space="preserve">Preclusion Showing </w:t>
      </w:r>
      <w:r>
        <w:t xml:space="preserve">Deadline, </w:t>
      </w:r>
      <w:r w:rsidR="00A76DB8">
        <w:t>specifies</w:t>
      </w:r>
      <w:r>
        <w:t xml:space="preserve"> a “major change”</w:t>
      </w:r>
      <w:r w:rsidR="009C7950">
        <w:rPr>
          <w:rStyle w:val="FootnoteReference"/>
        </w:rPr>
        <w:footnoteReference w:id="13"/>
      </w:r>
      <w:r w:rsidR="007A3C0A">
        <w:t xml:space="preserve"> to the facilities specified in the </w:t>
      </w:r>
      <w:r w:rsidR="00C76E42">
        <w:t>Auction 83 Filing Window</w:t>
      </w:r>
      <w:r w:rsidR="007A3C0A">
        <w:t xml:space="preserve"> tech box and/or creates</w:t>
      </w:r>
      <w:r w:rsidR="009C7950">
        <w:t xml:space="preserve"> a</w:t>
      </w:r>
      <w:r w:rsidR="007A3C0A">
        <w:t xml:space="preserve"> </w:t>
      </w:r>
      <w:r w:rsidR="009C7950">
        <w:t>new conflict to a pending Auction 83 tech box.</w:t>
      </w:r>
      <w:r>
        <w:rPr>
          <w:rStyle w:val="FootnoteReference"/>
        </w:rPr>
        <w:footnoteReference w:id="14"/>
      </w:r>
      <w:r>
        <w:t xml:space="preserve">  The staff also will dismiss, without further processing, any </w:t>
      </w:r>
      <w:r w:rsidR="006F06BC">
        <w:t xml:space="preserve">Auction 83 Filing Window </w:t>
      </w:r>
      <w:r>
        <w:t xml:space="preserve">tech box </w:t>
      </w:r>
      <w:r w:rsidR="00964D67">
        <w:t xml:space="preserve">proposal </w:t>
      </w:r>
      <w:r>
        <w:t>listed in Attachment A if the applicant f</w:t>
      </w:r>
      <w:r w:rsidR="00C40925">
        <w:t xml:space="preserve">ails to electronically submit an amended tech box </w:t>
      </w:r>
      <w:r w:rsidR="006F06BC">
        <w:t xml:space="preserve">with the required </w:t>
      </w:r>
      <w:r w:rsidR="0029436B">
        <w:t>P</w:t>
      </w:r>
      <w:r w:rsidR="00F6116E">
        <w:t xml:space="preserve">reclusion Showing </w:t>
      </w:r>
      <w:r>
        <w:t>by</w:t>
      </w:r>
      <w:r>
        <w:rPr>
          <w:b/>
        </w:rPr>
        <w:t xml:space="preserve"> </w:t>
      </w:r>
      <w:r>
        <w:t xml:space="preserve">the </w:t>
      </w:r>
      <w:r w:rsidR="00236DA3">
        <w:t>Preclusion Showing</w:t>
      </w:r>
      <w:r>
        <w:t xml:space="preserve"> Deadline.  The </w:t>
      </w:r>
      <w:r w:rsidR="00236DA3">
        <w:t>Preclusion Showing</w:t>
      </w:r>
      <w:r>
        <w:t xml:space="preserve"> Deadline will be strictly enforced.</w:t>
      </w:r>
      <w:r>
        <w:rPr>
          <w:rStyle w:val="FootnoteReference"/>
        </w:rPr>
        <w:footnoteReference w:id="15"/>
      </w:r>
      <w:r>
        <w:t xml:space="preserve">  </w:t>
      </w:r>
    </w:p>
    <w:p w:rsidR="004C6410" w:rsidRDefault="004C6410" w:rsidP="004C6410"/>
    <w:p w:rsidR="004C6410" w:rsidRDefault="004C6410" w:rsidP="00F6116E">
      <w:r>
        <w:tab/>
      </w:r>
      <w:r w:rsidR="000C700E">
        <w:t xml:space="preserve">Only those </w:t>
      </w:r>
      <w:r w:rsidR="0002461F">
        <w:t>applicants</w:t>
      </w:r>
      <w:r w:rsidR="000C700E">
        <w:t xml:space="preserve"> listed in Attachment A will be able to </w:t>
      </w:r>
      <w:r w:rsidR="00763192">
        <w:t xml:space="preserve">electronically </w:t>
      </w:r>
      <w:r w:rsidR="000C700E">
        <w:t xml:space="preserve">submit </w:t>
      </w:r>
      <w:r w:rsidR="00BD3B8B">
        <w:t>Preclusion Showings and Technical Am</w:t>
      </w:r>
      <w:r w:rsidR="000C700E">
        <w:t xml:space="preserve">endments </w:t>
      </w:r>
      <w:r w:rsidR="00BD3B8B">
        <w:t>during the window</w:t>
      </w:r>
      <w:r w:rsidR="000C700E">
        <w:t xml:space="preserve">.  </w:t>
      </w:r>
      <w:r w:rsidR="00F6116E">
        <w:t xml:space="preserve">If an applicant believes </w:t>
      </w:r>
      <w:r w:rsidR="000C700E">
        <w:t>its A</w:t>
      </w:r>
      <w:r w:rsidR="00F6116E">
        <w:t xml:space="preserve">uction 83 Filing Window tech box has been erroneously excluded </w:t>
      </w:r>
      <w:r w:rsidR="000C700E">
        <w:t xml:space="preserve">from </w:t>
      </w:r>
      <w:r w:rsidR="00F6116E">
        <w:t xml:space="preserve">or </w:t>
      </w:r>
      <w:r w:rsidR="000C700E">
        <w:t xml:space="preserve">erroneously </w:t>
      </w:r>
      <w:r w:rsidR="00F6116E">
        <w:t xml:space="preserve">included in Attachment A, please immediately contact James Bradshaw of the Audio Division at (202) 418-2700.  </w:t>
      </w:r>
      <w:r>
        <w:t>For additional information, contact Rob Gates or Larry Hannif-Ali of the Audio Division at (202) 418-2700.</w:t>
      </w:r>
    </w:p>
    <w:p w:rsidR="00362C04" w:rsidRDefault="00362C04" w:rsidP="004C6410">
      <w:pPr>
        <w:rPr>
          <w:b/>
          <w:i/>
        </w:rPr>
      </w:pPr>
    </w:p>
    <w:p w:rsidR="00362C04" w:rsidRDefault="00362C04" w:rsidP="004C6410">
      <w:pPr>
        <w:rPr>
          <w:b/>
          <w:i/>
        </w:rPr>
      </w:pPr>
    </w:p>
    <w:p w:rsidR="004C6410" w:rsidRDefault="004C6410" w:rsidP="004C6410">
      <w:pPr>
        <w:rPr>
          <w:b/>
          <w:i/>
        </w:rPr>
      </w:pPr>
      <w:r>
        <w:rPr>
          <w:b/>
          <w:i/>
        </w:rPr>
        <w:t>This Public Notice contains the following Attachments:</w:t>
      </w:r>
    </w:p>
    <w:p w:rsidR="004C6410" w:rsidRDefault="004C6410" w:rsidP="004C6410">
      <w:pPr>
        <w:rPr>
          <w:b/>
          <w:i/>
        </w:rPr>
      </w:pPr>
    </w:p>
    <w:p w:rsidR="004C6410" w:rsidRDefault="004C6410" w:rsidP="004C6410">
      <w:r w:rsidRPr="00D90240">
        <w:rPr>
          <w:b/>
        </w:rPr>
        <w:t xml:space="preserve">Attachment A: </w:t>
      </w:r>
      <w:r>
        <w:t xml:space="preserve"> </w:t>
      </w:r>
      <w:r w:rsidR="006C5C6E">
        <w:t xml:space="preserve">Tech Box Proposals Subject to </w:t>
      </w:r>
      <w:r w:rsidR="00236DA3">
        <w:t>April 1 – April 19 Filing Window</w:t>
      </w:r>
    </w:p>
    <w:p w:rsidR="004C6410" w:rsidRDefault="004C6410" w:rsidP="004C6410">
      <w:r w:rsidRPr="003416FA">
        <w:rPr>
          <w:b/>
        </w:rPr>
        <w:t>Attachment B:</w:t>
      </w:r>
      <w:r>
        <w:t xml:space="preserve">  </w:t>
      </w:r>
      <w:r w:rsidR="0085590B">
        <w:t xml:space="preserve">Preclusion </w:t>
      </w:r>
      <w:r w:rsidR="00236DA3">
        <w:t>Showings</w:t>
      </w:r>
      <w:r w:rsidR="0085590B">
        <w:t xml:space="preserve"> for Certain Translator Applications</w:t>
      </w:r>
      <w:r w:rsidR="00C76E42">
        <w:t>:  T</w:t>
      </w:r>
      <w:r w:rsidR="00236DA3">
        <w:t xml:space="preserve">he Grid Test and the Top-50 </w:t>
      </w:r>
      <w:r w:rsidR="00236DA3">
        <w:tab/>
      </w:r>
      <w:r w:rsidR="00236DA3">
        <w:tab/>
      </w:r>
      <w:r w:rsidR="00C76E42">
        <w:t>Transmitter Site Test</w:t>
      </w:r>
    </w:p>
    <w:p w:rsidR="00362C04" w:rsidRDefault="00362C04" w:rsidP="004C6410"/>
    <w:p w:rsidR="00362C04" w:rsidRDefault="00362C04" w:rsidP="004C6410"/>
    <w:p w:rsidR="00362C04" w:rsidRDefault="00362C04" w:rsidP="00362C04">
      <w:pPr>
        <w:jc w:val="center"/>
      </w:pPr>
      <w:r>
        <w:t>-FCC-</w:t>
      </w:r>
    </w:p>
    <w:p w:rsidR="004C6410" w:rsidRDefault="004C6410" w:rsidP="00362C04">
      <w:pPr>
        <w:jc w:val="center"/>
      </w:pPr>
    </w:p>
    <w:sectPr w:rsidR="004C6410" w:rsidSect="00C76E42">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3E" w:rsidRDefault="00974B3E">
      <w:r>
        <w:separator/>
      </w:r>
    </w:p>
  </w:endnote>
  <w:endnote w:type="continuationSeparator" w:id="0">
    <w:p w:rsidR="00974B3E" w:rsidRDefault="00974B3E">
      <w:r>
        <w:continuationSeparator/>
      </w:r>
    </w:p>
  </w:endnote>
  <w:endnote w:type="continuationNotice" w:id="1">
    <w:p w:rsidR="00974B3E" w:rsidRDefault="0097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2674B6">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A" w:rsidRDefault="007C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3E" w:rsidRDefault="00974B3E">
      <w:r>
        <w:separator/>
      </w:r>
    </w:p>
  </w:footnote>
  <w:footnote w:type="continuationSeparator" w:id="0">
    <w:p w:rsidR="00974B3E" w:rsidRDefault="00974B3E">
      <w:r>
        <w:continuationSeparator/>
      </w:r>
    </w:p>
  </w:footnote>
  <w:footnote w:type="continuationNotice" w:id="1">
    <w:p w:rsidR="00974B3E" w:rsidRDefault="00974B3E"/>
  </w:footnote>
  <w:footnote w:id="2">
    <w:p w:rsidR="004C6410" w:rsidRPr="00B446F9" w:rsidRDefault="004C6410" w:rsidP="00BA176C">
      <w:pPr>
        <w:pStyle w:val="FootnoteText"/>
        <w:rPr>
          <w:sz w:val="20"/>
        </w:rPr>
      </w:pPr>
      <w:r w:rsidRPr="00E07DBC">
        <w:rPr>
          <w:rStyle w:val="FootnoteReference"/>
        </w:rPr>
        <w:footnoteRef/>
      </w:r>
      <w:r w:rsidRPr="00E07DBC">
        <w:t xml:space="preserve"> </w:t>
      </w:r>
      <w:r w:rsidRPr="00B446F9">
        <w:rPr>
          <w:i/>
          <w:sz w:val="20"/>
        </w:rPr>
        <w:t>See Creation of a Low Power Radio Service</w:t>
      </w:r>
      <w:r w:rsidRPr="00B446F9">
        <w:rPr>
          <w:sz w:val="20"/>
        </w:rPr>
        <w:t>, Fifth Order on Reconsideration and Sixth Report and Order, 27 FCC Rcd 15402 (2012) (“</w:t>
      </w:r>
      <w:r w:rsidRPr="00B446F9">
        <w:rPr>
          <w:i/>
          <w:sz w:val="20"/>
        </w:rPr>
        <w:t>Fifth Order</w:t>
      </w:r>
      <w:r w:rsidRPr="00B446F9">
        <w:rPr>
          <w:sz w:val="20"/>
        </w:rPr>
        <w:t>”).</w:t>
      </w:r>
    </w:p>
  </w:footnote>
  <w:footnote w:id="3">
    <w:p w:rsidR="00523EAC" w:rsidRPr="00C540AC" w:rsidRDefault="00523EAC" w:rsidP="00523EAC">
      <w:pPr>
        <w:pStyle w:val="FootnoteText"/>
        <w:rPr>
          <w:sz w:val="20"/>
        </w:rPr>
      </w:pPr>
      <w:r w:rsidRPr="00C540AC">
        <w:rPr>
          <w:rStyle w:val="FootnoteReference"/>
          <w:sz w:val="20"/>
        </w:rPr>
        <w:footnoteRef/>
      </w:r>
      <w:r w:rsidRPr="00C540AC">
        <w:rPr>
          <w:sz w:val="20"/>
        </w:rPr>
        <w:t xml:space="preserve"> </w:t>
      </w:r>
      <w:r w:rsidRPr="00C540AC">
        <w:rPr>
          <w:i/>
          <w:sz w:val="20"/>
        </w:rPr>
        <w:t>See FM Translator Auction Filing Window and Application Freeze</w:t>
      </w:r>
      <w:r w:rsidRPr="00C540AC">
        <w:rPr>
          <w:sz w:val="20"/>
        </w:rPr>
        <w:t xml:space="preserve">, DA 03-359, Public Notice, 18 FCC Rcd 1565 (MB/WTB 2003).  The filing window was subsequently extended to </w:t>
      </w:r>
      <w:r>
        <w:rPr>
          <w:sz w:val="20"/>
        </w:rPr>
        <w:t>M</w:t>
      </w:r>
      <w:r w:rsidRPr="00C540AC">
        <w:rPr>
          <w:sz w:val="20"/>
        </w:rPr>
        <w:t xml:space="preserve">arch 17, 2003.  </w:t>
      </w:r>
      <w:r w:rsidRPr="00C540AC">
        <w:rPr>
          <w:i/>
          <w:sz w:val="20"/>
        </w:rPr>
        <w:t>FM Translator Auction Filing Window and Application Freeze Extended to March 17, 2003</w:t>
      </w:r>
      <w:r w:rsidRPr="00C540AC">
        <w:rPr>
          <w:sz w:val="20"/>
        </w:rPr>
        <w:t>, Public Notice, 18 FCC Rcd 3275 (MB/WTB 2003) (“Auction 83 Filing Window”).</w:t>
      </w:r>
    </w:p>
  </w:footnote>
  <w:footnote w:id="4">
    <w:p w:rsidR="00DC36E8" w:rsidRDefault="00DC36E8">
      <w:pPr>
        <w:pStyle w:val="FootnoteText"/>
      </w:pPr>
      <w:r>
        <w:rPr>
          <w:rStyle w:val="FootnoteReference"/>
        </w:rPr>
        <w:footnoteRef/>
      </w:r>
      <w:r>
        <w:t xml:space="preserve"> </w:t>
      </w:r>
      <w:r w:rsidRPr="00D90240">
        <w:rPr>
          <w:i/>
          <w:sz w:val="20"/>
        </w:rPr>
        <w:t>See Creation of a Low Power Radio Service</w:t>
      </w:r>
      <w:r w:rsidRPr="00D90240">
        <w:rPr>
          <w:sz w:val="20"/>
        </w:rPr>
        <w:t>, FCC 12-29, Fourth Report and Order and Third Order on Reconsideration, 27 FCC Rcd 3364</w:t>
      </w:r>
      <w:r>
        <w:rPr>
          <w:sz w:val="20"/>
        </w:rPr>
        <w:t>, 3398-3406</w:t>
      </w:r>
      <w:r w:rsidRPr="00D90240">
        <w:rPr>
          <w:sz w:val="20"/>
        </w:rPr>
        <w:t xml:space="preserve"> (2012) (“</w:t>
      </w:r>
      <w:r w:rsidRPr="00D90240">
        <w:rPr>
          <w:i/>
          <w:sz w:val="20"/>
        </w:rPr>
        <w:t>Fourth Report and Order</w:t>
      </w:r>
      <w:r w:rsidRPr="00D90240">
        <w:rPr>
          <w:sz w:val="20"/>
        </w:rPr>
        <w:t>”)</w:t>
      </w:r>
      <w:r>
        <w:rPr>
          <w:sz w:val="20"/>
        </w:rPr>
        <w:t xml:space="preserve"> (classifying each of 156 studied markets listed in Appendix A as “Spectrum Limited” or “Spectrum Available”)</w:t>
      </w:r>
      <w:r w:rsidRPr="00D90240">
        <w:rPr>
          <w:sz w:val="20"/>
        </w:rPr>
        <w:t>.</w:t>
      </w:r>
    </w:p>
  </w:footnote>
  <w:footnote w:id="5">
    <w:p w:rsidR="00CA00D3" w:rsidRDefault="004C6410" w:rsidP="00CA00D3">
      <w:pPr>
        <w:pStyle w:val="FootnoteText"/>
        <w:spacing w:after="120"/>
        <w:rPr>
          <w:sz w:val="20"/>
        </w:rPr>
      </w:pPr>
      <w:r w:rsidRPr="00B446F9">
        <w:rPr>
          <w:rStyle w:val="FootnoteReference"/>
          <w:sz w:val="20"/>
        </w:rPr>
        <w:footnoteRef/>
      </w:r>
      <w:r w:rsidRPr="00B446F9">
        <w:rPr>
          <w:sz w:val="20"/>
        </w:rPr>
        <w:t xml:space="preserve"> </w:t>
      </w:r>
      <w:r w:rsidR="00DC36E8" w:rsidRPr="00567C33">
        <w:rPr>
          <w:sz w:val="20"/>
        </w:rPr>
        <w:t xml:space="preserve">All markets identified on Appendix A as “Spectrum Limited” </w:t>
      </w:r>
      <w:r w:rsidR="00DC36E8">
        <w:rPr>
          <w:sz w:val="20"/>
        </w:rPr>
        <w:t>have</w:t>
      </w:r>
      <w:r w:rsidR="00DC36E8" w:rsidRPr="00567C33">
        <w:rPr>
          <w:sz w:val="20"/>
        </w:rPr>
        <w:t xml:space="preserve"> 30x30 minute </w:t>
      </w:r>
      <w:r w:rsidR="00DC36E8">
        <w:rPr>
          <w:sz w:val="20"/>
        </w:rPr>
        <w:t>Market G</w:t>
      </w:r>
      <w:r w:rsidR="00DC36E8" w:rsidRPr="00567C33">
        <w:rPr>
          <w:sz w:val="20"/>
        </w:rPr>
        <w:t>rid</w:t>
      </w:r>
      <w:r w:rsidR="00DC36E8">
        <w:rPr>
          <w:sz w:val="20"/>
        </w:rPr>
        <w:t>s</w:t>
      </w:r>
      <w:r w:rsidR="00DC36E8" w:rsidRPr="00567C33">
        <w:rPr>
          <w:sz w:val="20"/>
        </w:rPr>
        <w:t>.  All other Appendix A Markets used a grid size of either 30x30 minutes or 20x20 minutes, as shown in the far right column of Appendix B.</w:t>
      </w:r>
      <w:r w:rsidR="00DC36E8">
        <w:rPr>
          <w:sz w:val="20"/>
        </w:rPr>
        <w:t xml:space="preserve">  The term “Market Grid” is the 30x30 or 20x20 minute grid specified in Appendices A and B for each studied market.  </w:t>
      </w:r>
      <w:r w:rsidR="00DC36E8">
        <w:rPr>
          <w:i/>
          <w:sz w:val="20"/>
        </w:rPr>
        <w:t xml:space="preserve">See Fourth Report and </w:t>
      </w:r>
      <w:r w:rsidR="00DC36E8" w:rsidRPr="00CE5002">
        <w:rPr>
          <w:i/>
          <w:sz w:val="20"/>
        </w:rPr>
        <w:t>Order</w:t>
      </w:r>
      <w:r w:rsidR="00DC36E8">
        <w:rPr>
          <w:sz w:val="20"/>
        </w:rPr>
        <w:t xml:space="preserve">, </w:t>
      </w:r>
      <w:r w:rsidR="00DC36E8" w:rsidRPr="00D90240">
        <w:rPr>
          <w:sz w:val="20"/>
        </w:rPr>
        <w:t xml:space="preserve">27 FCC Rcd </w:t>
      </w:r>
      <w:r w:rsidR="00DC36E8">
        <w:rPr>
          <w:sz w:val="20"/>
        </w:rPr>
        <w:t xml:space="preserve">at 3398-3406.  </w:t>
      </w:r>
    </w:p>
  </w:footnote>
  <w:footnote w:id="6">
    <w:p w:rsidR="006F2D67" w:rsidRPr="006F2D67" w:rsidRDefault="006F2D67">
      <w:pPr>
        <w:pStyle w:val="FootnoteText"/>
        <w:rPr>
          <w:sz w:val="20"/>
        </w:rPr>
      </w:pPr>
      <w:r w:rsidRPr="006F2D67">
        <w:rPr>
          <w:rStyle w:val="FootnoteReference"/>
          <w:sz w:val="20"/>
        </w:rPr>
        <w:footnoteRef/>
      </w:r>
      <w:r w:rsidRPr="006F2D67">
        <w:rPr>
          <w:sz w:val="20"/>
        </w:rPr>
        <w:t xml:space="preserve"> A Preclusion Showing demonstrates that the FM Translator application, if granted, will not preclude any </w:t>
      </w:r>
      <w:r w:rsidR="00DC36E8">
        <w:rPr>
          <w:sz w:val="20"/>
        </w:rPr>
        <w:t xml:space="preserve">protected </w:t>
      </w:r>
      <w:r w:rsidRPr="006F2D67">
        <w:rPr>
          <w:sz w:val="20"/>
        </w:rPr>
        <w:t xml:space="preserve">LPFM licensing opportunities.  </w:t>
      </w:r>
      <w:r w:rsidR="00FF46CC" w:rsidRPr="00FF46CC">
        <w:rPr>
          <w:i/>
          <w:sz w:val="20"/>
        </w:rPr>
        <w:t>See Fourth Report and Order</w:t>
      </w:r>
      <w:r w:rsidR="00FF46CC">
        <w:rPr>
          <w:sz w:val="20"/>
        </w:rPr>
        <w:t xml:space="preserve">, 27 FCC Rcd at </w:t>
      </w:r>
      <w:r w:rsidR="0029436B">
        <w:rPr>
          <w:sz w:val="20"/>
        </w:rPr>
        <w:t>3385-86</w:t>
      </w:r>
      <w:r w:rsidR="00FF46CC">
        <w:rPr>
          <w:sz w:val="20"/>
        </w:rPr>
        <w:t xml:space="preserve">.  </w:t>
      </w:r>
      <w:r w:rsidRPr="006F2D67">
        <w:rPr>
          <w:sz w:val="20"/>
        </w:rPr>
        <w:t xml:space="preserve">Attachment B of this Public Notice provides instructions for preparing the required showings. </w:t>
      </w:r>
    </w:p>
  </w:footnote>
  <w:footnote w:id="7">
    <w:p w:rsidR="00FA5014" w:rsidRPr="006F2D67" w:rsidRDefault="00FA5014" w:rsidP="00FA5014">
      <w:pPr>
        <w:pStyle w:val="FootnoteText"/>
        <w:rPr>
          <w:sz w:val="20"/>
        </w:rPr>
      </w:pPr>
      <w:r w:rsidRPr="006F2D67">
        <w:rPr>
          <w:rStyle w:val="FootnoteReference"/>
          <w:sz w:val="20"/>
        </w:rPr>
        <w:footnoteRef/>
      </w:r>
      <w:r w:rsidRPr="006F2D67">
        <w:rPr>
          <w:sz w:val="20"/>
        </w:rPr>
        <w:t xml:space="preserve"> </w:t>
      </w:r>
      <w:r w:rsidRPr="00FA5014">
        <w:rPr>
          <w:i/>
          <w:sz w:val="20"/>
        </w:rPr>
        <w:t>Id.,</w:t>
      </w:r>
      <w:r>
        <w:rPr>
          <w:sz w:val="20"/>
        </w:rPr>
        <w:t xml:space="preserve"> 27 FCC Rcd at 3387-88, ¶48.</w:t>
      </w:r>
      <w:r w:rsidRPr="006F2D67">
        <w:rPr>
          <w:sz w:val="20"/>
        </w:rPr>
        <w:t xml:space="preserve"> </w:t>
      </w:r>
    </w:p>
  </w:footnote>
  <w:footnote w:id="8">
    <w:p w:rsidR="00764B6B" w:rsidRPr="00B446F9" w:rsidRDefault="004C6410" w:rsidP="00C76E42">
      <w:pPr>
        <w:pStyle w:val="FootnoteText"/>
        <w:rPr>
          <w:sz w:val="20"/>
        </w:rPr>
      </w:pPr>
      <w:r w:rsidRPr="00B446F9">
        <w:rPr>
          <w:rStyle w:val="FootnoteReference"/>
          <w:sz w:val="20"/>
        </w:rPr>
        <w:footnoteRef/>
      </w:r>
      <w:r w:rsidRPr="00B446F9">
        <w:rPr>
          <w:sz w:val="20"/>
        </w:rPr>
        <w:t xml:space="preserve"> 47 C.F.R. § 74.1233</w:t>
      </w:r>
      <w:r w:rsidR="00BD237C">
        <w:rPr>
          <w:sz w:val="20"/>
        </w:rPr>
        <w:t>(a)</w:t>
      </w:r>
      <w:r w:rsidRPr="00B446F9">
        <w:rPr>
          <w:sz w:val="20"/>
        </w:rPr>
        <w:t>.</w:t>
      </w:r>
    </w:p>
  </w:footnote>
  <w:footnote w:id="9">
    <w:p w:rsidR="004C6410" w:rsidRPr="00B446F9" w:rsidRDefault="004C6410" w:rsidP="00B446F9">
      <w:pPr>
        <w:pStyle w:val="FootnoteText"/>
        <w:rPr>
          <w:sz w:val="20"/>
        </w:rPr>
      </w:pPr>
      <w:r w:rsidRPr="00B446F9">
        <w:rPr>
          <w:rStyle w:val="FootnoteReference"/>
          <w:sz w:val="20"/>
        </w:rPr>
        <w:footnoteRef/>
      </w:r>
      <w:r w:rsidRPr="00B446F9">
        <w:rPr>
          <w:sz w:val="20"/>
        </w:rPr>
        <w:t xml:space="preserve"> </w:t>
      </w:r>
      <w:r w:rsidRPr="00D90240">
        <w:rPr>
          <w:i/>
          <w:sz w:val="20"/>
        </w:rPr>
        <w:t>Id.</w:t>
      </w:r>
      <w:r w:rsidRPr="00D90240">
        <w:rPr>
          <w:sz w:val="20"/>
        </w:rPr>
        <w:t>,</w:t>
      </w:r>
      <w:r w:rsidRPr="00B446F9">
        <w:rPr>
          <w:sz w:val="20"/>
        </w:rPr>
        <w:t xml:space="preserve"> 27 FCC Rcd </w:t>
      </w:r>
      <w:r w:rsidRPr="00D90240">
        <w:rPr>
          <w:sz w:val="20"/>
        </w:rPr>
        <w:t>at</w:t>
      </w:r>
      <w:r w:rsidRPr="00B446F9">
        <w:rPr>
          <w:sz w:val="20"/>
        </w:rPr>
        <w:t xml:space="preserve"> 3376-88, ¶¶ 28-49 (implementing Section 5 of the LCRA</w:t>
      </w:r>
      <w:r w:rsidRPr="00D90240">
        <w:rPr>
          <w:sz w:val="20"/>
        </w:rPr>
        <w:t xml:space="preserve"> with a</w:t>
      </w:r>
      <w:r w:rsidRPr="00B446F9">
        <w:rPr>
          <w:sz w:val="20"/>
        </w:rPr>
        <w:t xml:space="preserve"> market-based processing policy).</w:t>
      </w:r>
    </w:p>
  </w:footnote>
  <w:footnote w:id="10">
    <w:p w:rsidR="00BD237C" w:rsidRPr="00567C33" w:rsidRDefault="00BD237C">
      <w:pPr>
        <w:pStyle w:val="FootnoteText"/>
        <w:rPr>
          <w:sz w:val="20"/>
        </w:rPr>
      </w:pPr>
      <w:r w:rsidRPr="00567C33">
        <w:rPr>
          <w:rStyle w:val="FootnoteReference"/>
          <w:sz w:val="20"/>
        </w:rPr>
        <w:footnoteRef/>
      </w:r>
      <w:r w:rsidRPr="00567C33">
        <w:rPr>
          <w:sz w:val="20"/>
        </w:rPr>
        <w:t xml:space="preserve"> 47 C.F.R. § 74.1233(a).</w:t>
      </w:r>
    </w:p>
  </w:footnote>
  <w:footnote w:id="11">
    <w:p w:rsidR="00F8531B" w:rsidRPr="00B446F9" w:rsidRDefault="00F8531B" w:rsidP="00F8531B">
      <w:pPr>
        <w:pStyle w:val="FootnoteText"/>
        <w:rPr>
          <w:sz w:val="20"/>
        </w:rPr>
      </w:pPr>
      <w:r w:rsidRPr="00B446F9">
        <w:rPr>
          <w:rStyle w:val="FootnoteReference"/>
          <w:sz w:val="20"/>
        </w:rPr>
        <w:footnoteRef/>
      </w:r>
      <w:r w:rsidRPr="00B446F9">
        <w:rPr>
          <w:sz w:val="20"/>
        </w:rPr>
        <w:t xml:space="preserve"> </w:t>
      </w:r>
      <w:r w:rsidR="00B60208" w:rsidRPr="00B60208">
        <w:rPr>
          <w:sz w:val="20"/>
        </w:rPr>
        <w:t>47 C.F.R.</w:t>
      </w:r>
      <w:r w:rsidR="00B60208">
        <w:rPr>
          <w:sz w:val="20"/>
        </w:rPr>
        <w:t xml:space="preserve"> </w:t>
      </w:r>
      <w:r w:rsidRPr="00B446F9">
        <w:rPr>
          <w:sz w:val="20"/>
        </w:rPr>
        <w:t xml:space="preserve">§ 73.3522(a). </w:t>
      </w:r>
    </w:p>
  </w:footnote>
  <w:footnote w:id="12">
    <w:p w:rsidR="00FF46CC" w:rsidRDefault="00FF46CC" w:rsidP="00FF46CC">
      <w:pPr>
        <w:pStyle w:val="FootnoteText"/>
      </w:pPr>
      <w:r>
        <w:rPr>
          <w:rStyle w:val="FootnoteReference"/>
        </w:rPr>
        <w:footnoteRef/>
      </w:r>
      <w:r>
        <w:t xml:space="preserve"> </w:t>
      </w:r>
      <w:r w:rsidRPr="00BA176C">
        <w:rPr>
          <w:i/>
          <w:sz w:val="20"/>
        </w:rPr>
        <w:t xml:space="preserve">See </w:t>
      </w:r>
      <w:r w:rsidR="0055737A">
        <w:rPr>
          <w:i/>
          <w:sz w:val="20"/>
        </w:rPr>
        <w:t xml:space="preserve">Fourth Report and </w:t>
      </w:r>
      <w:r w:rsidR="0055737A" w:rsidRPr="0055737A">
        <w:rPr>
          <w:i/>
          <w:sz w:val="20"/>
        </w:rPr>
        <w:t>Order</w:t>
      </w:r>
      <w:r w:rsidR="0055737A">
        <w:rPr>
          <w:sz w:val="20"/>
        </w:rPr>
        <w:t>, 27 FCC Rcd at 3387 and n.141</w:t>
      </w:r>
      <w:r w:rsidRPr="00BA176C">
        <w:rPr>
          <w:sz w:val="20"/>
        </w:rPr>
        <w:t>.</w:t>
      </w:r>
    </w:p>
  </w:footnote>
  <w:footnote w:id="13">
    <w:p w:rsidR="009C7950" w:rsidRDefault="009C7950">
      <w:pPr>
        <w:pStyle w:val="FootnoteText"/>
      </w:pPr>
      <w:r>
        <w:rPr>
          <w:rStyle w:val="FootnoteReference"/>
        </w:rPr>
        <w:footnoteRef/>
      </w:r>
      <w:r>
        <w:t xml:space="preserve"> </w:t>
      </w:r>
      <w:r w:rsidR="00B60208" w:rsidRPr="00B60208">
        <w:rPr>
          <w:sz w:val="20"/>
        </w:rPr>
        <w:t>47 C.F.R.</w:t>
      </w:r>
      <w:r w:rsidR="00B60208">
        <w:rPr>
          <w:sz w:val="20"/>
        </w:rPr>
        <w:t xml:space="preserve"> </w:t>
      </w:r>
      <w:r w:rsidRPr="00B446F9">
        <w:rPr>
          <w:sz w:val="20"/>
        </w:rPr>
        <w:t>§ 74.1233</w:t>
      </w:r>
      <w:r>
        <w:rPr>
          <w:sz w:val="20"/>
        </w:rPr>
        <w:t>(a)</w:t>
      </w:r>
      <w:r w:rsidRPr="00B446F9">
        <w:rPr>
          <w:sz w:val="20"/>
        </w:rPr>
        <w:t>.</w:t>
      </w:r>
    </w:p>
  </w:footnote>
  <w:footnote w:id="14">
    <w:p w:rsidR="00764B6B" w:rsidRDefault="00764B6B" w:rsidP="00764B6B">
      <w:pPr>
        <w:pStyle w:val="FootnoteText"/>
      </w:pPr>
      <w:r w:rsidRPr="00B446F9">
        <w:rPr>
          <w:rStyle w:val="FootnoteReference"/>
          <w:sz w:val="20"/>
        </w:rPr>
        <w:footnoteRef/>
      </w:r>
      <w:r w:rsidRPr="00B446F9">
        <w:rPr>
          <w:sz w:val="20"/>
        </w:rPr>
        <w:t xml:space="preserve"> </w:t>
      </w:r>
      <w:r w:rsidR="009C7950" w:rsidRPr="009C7950">
        <w:rPr>
          <w:i/>
          <w:sz w:val="20"/>
        </w:rPr>
        <w:t xml:space="preserve"> </w:t>
      </w:r>
      <w:r w:rsidR="009C7950" w:rsidRPr="00BA176C">
        <w:rPr>
          <w:i/>
          <w:sz w:val="20"/>
        </w:rPr>
        <w:t xml:space="preserve">See </w:t>
      </w:r>
      <w:r w:rsidR="00820781">
        <w:rPr>
          <w:i/>
          <w:iCs/>
          <w:sz w:val="20"/>
        </w:rPr>
        <w:t xml:space="preserve">Implementation of Section 309(j) of the Communications Act -- Competitive Bidding </w:t>
      </w:r>
      <w:r w:rsidR="00820781">
        <w:rPr>
          <w:sz w:val="20"/>
        </w:rPr>
        <w:t>for</w:t>
      </w:r>
      <w:r w:rsidR="00820781">
        <w:rPr>
          <w:i/>
          <w:iCs/>
          <w:sz w:val="20"/>
        </w:rPr>
        <w:t xml:space="preserve"> Commercial Broadcast and Instructional Television Fixed Service Licenses</w:t>
      </w:r>
      <w:r w:rsidR="00820781">
        <w:rPr>
          <w:sz w:val="20"/>
        </w:rPr>
        <w:t>, First Report and Order, 13 FCC Rcd 15920, 15991 (1998) Memorandum Opinion and Order, 14 FCC Rcd 8724 (1999), Memorandum Opinion and Order, 14 FCC Rcd 12541 (1999)</w:t>
      </w:r>
      <w:r w:rsidR="009C7950" w:rsidRPr="00BA176C">
        <w:rPr>
          <w:sz w:val="20"/>
        </w:rPr>
        <w:t>.</w:t>
      </w:r>
      <w:r w:rsidR="00C76E42">
        <w:t xml:space="preserve"> </w:t>
      </w:r>
    </w:p>
  </w:footnote>
  <w:footnote w:id="15">
    <w:p w:rsidR="00764B6B" w:rsidRPr="00BA176C" w:rsidRDefault="00764B6B"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47 C.F.R. §§ 73.5005, 74.1233(d).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A" w:rsidRDefault="007C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A" w:rsidRDefault="007C0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DDFD234" wp14:editId="2E8FC64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5CB61371" wp14:editId="5014AFBD">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4A6CFC2" wp14:editId="4E7D271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2522AA6" wp14:editId="153AF51A">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4"/>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111DB"/>
    <w:rsid w:val="00011710"/>
    <w:rsid w:val="00016E94"/>
    <w:rsid w:val="00016F8B"/>
    <w:rsid w:val="0002461F"/>
    <w:rsid w:val="00032684"/>
    <w:rsid w:val="00033E76"/>
    <w:rsid w:val="000346F3"/>
    <w:rsid w:val="00034AA1"/>
    <w:rsid w:val="00042CDD"/>
    <w:rsid w:val="00046E6C"/>
    <w:rsid w:val="00055970"/>
    <w:rsid w:val="00055F7C"/>
    <w:rsid w:val="000620D1"/>
    <w:rsid w:val="00066C2F"/>
    <w:rsid w:val="00082683"/>
    <w:rsid w:val="00090147"/>
    <w:rsid w:val="00092390"/>
    <w:rsid w:val="00096964"/>
    <w:rsid w:val="000A02D3"/>
    <w:rsid w:val="000C2417"/>
    <w:rsid w:val="000C6650"/>
    <w:rsid w:val="000C700E"/>
    <w:rsid w:val="000E6C87"/>
    <w:rsid w:val="000F272A"/>
    <w:rsid w:val="0010320F"/>
    <w:rsid w:val="00117042"/>
    <w:rsid w:val="00120099"/>
    <w:rsid w:val="00122D9D"/>
    <w:rsid w:val="0012356F"/>
    <w:rsid w:val="00126A40"/>
    <w:rsid w:val="001319D8"/>
    <w:rsid w:val="00146453"/>
    <w:rsid w:val="00157A80"/>
    <w:rsid w:val="00180B14"/>
    <w:rsid w:val="0018145D"/>
    <w:rsid w:val="0018160D"/>
    <w:rsid w:val="00185F0F"/>
    <w:rsid w:val="001922A9"/>
    <w:rsid w:val="001A0B0F"/>
    <w:rsid w:val="001C4344"/>
    <w:rsid w:val="001D184F"/>
    <w:rsid w:val="001D33EF"/>
    <w:rsid w:val="001D58B2"/>
    <w:rsid w:val="001E558D"/>
    <w:rsid w:val="001E55C1"/>
    <w:rsid w:val="001E64B7"/>
    <w:rsid w:val="00222F7F"/>
    <w:rsid w:val="00234D85"/>
    <w:rsid w:val="00236DA3"/>
    <w:rsid w:val="00243302"/>
    <w:rsid w:val="00257819"/>
    <w:rsid w:val="002600B5"/>
    <w:rsid w:val="002674B6"/>
    <w:rsid w:val="00273BCA"/>
    <w:rsid w:val="0027697F"/>
    <w:rsid w:val="00282BB0"/>
    <w:rsid w:val="00287A4C"/>
    <w:rsid w:val="00294026"/>
    <w:rsid w:val="0029436B"/>
    <w:rsid w:val="002960B9"/>
    <w:rsid w:val="002A0D95"/>
    <w:rsid w:val="002A4AB7"/>
    <w:rsid w:val="002A6CEF"/>
    <w:rsid w:val="002B24F8"/>
    <w:rsid w:val="002B2C50"/>
    <w:rsid w:val="002B50ED"/>
    <w:rsid w:val="002B5BB2"/>
    <w:rsid w:val="002B7DF4"/>
    <w:rsid w:val="002D09E8"/>
    <w:rsid w:val="002E1DB8"/>
    <w:rsid w:val="002E6FA1"/>
    <w:rsid w:val="002F0DA3"/>
    <w:rsid w:val="002F1F13"/>
    <w:rsid w:val="002F328B"/>
    <w:rsid w:val="00302929"/>
    <w:rsid w:val="0030292B"/>
    <w:rsid w:val="00320BB5"/>
    <w:rsid w:val="00334D94"/>
    <w:rsid w:val="003416FA"/>
    <w:rsid w:val="00350F97"/>
    <w:rsid w:val="00362C04"/>
    <w:rsid w:val="00372B83"/>
    <w:rsid w:val="003740C1"/>
    <w:rsid w:val="00374293"/>
    <w:rsid w:val="00381EFC"/>
    <w:rsid w:val="0039049F"/>
    <w:rsid w:val="003B24FF"/>
    <w:rsid w:val="003B6C40"/>
    <w:rsid w:val="003B7039"/>
    <w:rsid w:val="003D3C24"/>
    <w:rsid w:val="00407ABB"/>
    <w:rsid w:val="00410FF1"/>
    <w:rsid w:val="00424449"/>
    <w:rsid w:val="0042623C"/>
    <w:rsid w:val="00446E5D"/>
    <w:rsid w:val="00450EAD"/>
    <w:rsid w:val="0047435C"/>
    <w:rsid w:val="00482B42"/>
    <w:rsid w:val="004847DB"/>
    <w:rsid w:val="00487449"/>
    <w:rsid w:val="00490F0F"/>
    <w:rsid w:val="004917A2"/>
    <w:rsid w:val="00495F6C"/>
    <w:rsid w:val="004A1FFA"/>
    <w:rsid w:val="004B171D"/>
    <w:rsid w:val="004C1BB2"/>
    <w:rsid w:val="004C4A72"/>
    <w:rsid w:val="004C6410"/>
    <w:rsid w:val="004E081E"/>
    <w:rsid w:val="004E37E2"/>
    <w:rsid w:val="005007AF"/>
    <w:rsid w:val="00505B9D"/>
    <w:rsid w:val="005065D4"/>
    <w:rsid w:val="0051481B"/>
    <w:rsid w:val="00514EEC"/>
    <w:rsid w:val="005154A9"/>
    <w:rsid w:val="00517D1D"/>
    <w:rsid w:val="00520178"/>
    <w:rsid w:val="00523EAC"/>
    <w:rsid w:val="00545771"/>
    <w:rsid w:val="005514C5"/>
    <w:rsid w:val="00555967"/>
    <w:rsid w:val="0055737A"/>
    <w:rsid w:val="0056139C"/>
    <w:rsid w:val="00564986"/>
    <w:rsid w:val="00567C33"/>
    <w:rsid w:val="00581C83"/>
    <w:rsid w:val="005855A4"/>
    <w:rsid w:val="00586915"/>
    <w:rsid w:val="00590801"/>
    <w:rsid w:val="005B7337"/>
    <w:rsid w:val="005C08F2"/>
    <w:rsid w:val="005C286E"/>
    <w:rsid w:val="005D3E9B"/>
    <w:rsid w:val="005D48BA"/>
    <w:rsid w:val="005E1665"/>
    <w:rsid w:val="005E29A5"/>
    <w:rsid w:val="005E3466"/>
    <w:rsid w:val="005E4E7F"/>
    <w:rsid w:val="005E562A"/>
    <w:rsid w:val="00604B08"/>
    <w:rsid w:val="00610461"/>
    <w:rsid w:val="00610C1B"/>
    <w:rsid w:val="006152CC"/>
    <w:rsid w:val="006249EC"/>
    <w:rsid w:val="00625A6F"/>
    <w:rsid w:val="006357A0"/>
    <w:rsid w:val="00636AE8"/>
    <w:rsid w:val="006375A6"/>
    <w:rsid w:val="00640062"/>
    <w:rsid w:val="00652FB5"/>
    <w:rsid w:val="00653650"/>
    <w:rsid w:val="00663013"/>
    <w:rsid w:val="006637A3"/>
    <w:rsid w:val="00664E6D"/>
    <w:rsid w:val="00671EB0"/>
    <w:rsid w:val="00675918"/>
    <w:rsid w:val="006876FF"/>
    <w:rsid w:val="006966ED"/>
    <w:rsid w:val="006A00C5"/>
    <w:rsid w:val="006A0F66"/>
    <w:rsid w:val="006B1389"/>
    <w:rsid w:val="006B4555"/>
    <w:rsid w:val="006C594F"/>
    <w:rsid w:val="006C5C6E"/>
    <w:rsid w:val="006D0634"/>
    <w:rsid w:val="006D0BE6"/>
    <w:rsid w:val="006D3929"/>
    <w:rsid w:val="006D739F"/>
    <w:rsid w:val="006E492E"/>
    <w:rsid w:val="006F02C4"/>
    <w:rsid w:val="006F06BC"/>
    <w:rsid w:val="006F2D67"/>
    <w:rsid w:val="00702914"/>
    <w:rsid w:val="00703957"/>
    <w:rsid w:val="0071000B"/>
    <w:rsid w:val="00712F98"/>
    <w:rsid w:val="00713F78"/>
    <w:rsid w:val="007140E2"/>
    <w:rsid w:val="007159B0"/>
    <w:rsid w:val="00725C8A"/>
    <w:rsid w:val="00727BE9"/>
    <w:rsid w:val="00733028"/>
    <w:rsid w:val="007364D6"/>
    <w:rsid w:val="00763192"/>
    <w:rsid w:val="007640DC"/>
    <w:rsid w:val="00764B6B"/>
    <w:rsid w:val="00766A0F"/>
    <w:rsid w:val="007754F9"/>
    <w:rsid w:val="00775E54"/>
    <w:rsid w:val="0077661C"/>
    <w:rsid w:val="00791716"/>
    <w:rsid w:val="007A1D13"/>
    <w:rsid w:val="007A3C0A"/>
    <w:rsid w:val="007A7C51"/>
    <w:rsid w:val="007C022A"/>
    <w:rsid w:val="007D324B"/>
    <w:rsid w:val="007E5AEA"/>
    <w:rsid w:val="007F1D29"/>
    <w:rsid w:val="007F675F"/>
    <w:rsid w:val="008037BB"/>
    <w:rsid w:val="00817AF5"/>
    <w:rsid w:val="00820781"/>
    <w:rsid w:val="00820D73"/>
    <w:rsid w:val="00824D77"/>
    <w:rsid w:val="00825608"/>
    <w:rsid w:val="008312F2"/>
    <w:rsid w:val="008373AB"/>
    <w:rsid w:val="008458A8"/>
    <w:rsid w:val="00853A7F"/>
    <w:rsid w:val="0085590B"/>
    <w:rsid w:val="00861B5F"/>
    <w:rsid w:val="00880B5D"/>
    <w:rsid w:val="008A0BC8"/>
    <w:rsid w:val="008A351F"/>
    <w:rsid w:val="008B0B3C"/>
    <w:rsid w:val="008B672C"/>
    <w:rsid w:val="008C2C1B"/>
    <w:rsid w:val="008D1E53"/>
    <w:rsid w:val="008F12BB"/>
    <w:rsid w:val="008F269B"/>
    <w:rsid w:val="008F4B46"/>
    <w:rsid w:val="00905F11"/>
    <w:rsid w:val="009129EA"/>
    <w:rsid w:val="009170BA"/>
    <w:rsid w:val="009170D0"/>
    <w:rsid w:val="00922B3D"/>
    <w:rsid w:val="00926F6B"/>
    <w:rsid w:val="00937F58"/>
    <w:rsid w:val="009408E7"/>
    <w:rsid w:val="00954C3D"/>
    <w:rsid w:val="00962369"/>
    <w:rsid w:val="0096377B"/>
    <w:rsid w:val="00964D67"/>
    <w:rsid w:val="009730F4"/>
    <w:rsid w:val="00974B3E"/>
    <w:rsid w:val="00975738"/>
    <w:rsid w:val="0097731E"/>
    <w:rsid w:val="009806CC"/>
    <w:rsid w:val="0098180E"/>
    <w:rsid w:val="00983CE6"/>
    <w:rsid w:val="00987917"/>
    <w:rsid w:val="009912F1"/>
    <w:rsid w:val="009B2E74"/>
    <w:rsid w:val="009C5FD3"/>
    <w:rsid w:val="009C7950"/>
    <w:rsid w:val="009D330C"/>
    <w:rsid w:val="009F127C"/>
    <w:rsid w:val="009F4D30"/>
    <w:rsid w:val="009F6563"/>
    <w:rsid w:val="009F73E5"/>
    <w:rsid w:val="009F780D"/>
    <w:rsid w:val="00A01E58"/>
    <w:rsid w:val="00A1570F"/>
    <w:rsid w:val="00A157D9"/>
    <w:rsid w:val="00A16BB8"/>
    <w:rsid w:val="00A21415"/>
    <w:rsid w:val="00A27A1C"/>
    <w:rsid w:val="00A4059F"/>
    <w:rsid w:val="00A4773F"/>
    <w:rsid w:val="00A542FB"/>
    <w:rsid w:val="00A67B9C"/>
    <w:rsid w:val="00A76DB8"/>
    <w:rsid w:val="00A7761F"/>
    <w:rsid w:val="00A77F40"/>
    <w:rsid w:val="00A925D3"/>
    <w:rsid w:val="00A9690C"/>
    <w:rsid w:val="00A9775F"/>
    <w:rsid w:val="00AA5089"/>
    <w:rsid w:val="00AC1A38"/>
    <w:rsid w:val="00AD03FA"/>
    <w:rsid w:val="00AD61C0"/>
    <w:rsid w:val="00B00A2A"/>
    <w:rsid w:val="00B07FC3"/>
    <w:rsid w:val="00B27B9D"/>
    <w:rsid w:val="00B446F9"/>
    <w:rsid w:val="00B4733B"/>
    <w:rsid w:val="00B47CBB"/>
    <w:rsid w:val="00B54D88"/>
    <w:rsid w:val="00B60208"/>
    <w:rsid w:val="00B71686"/>
    <w:rsid w:val="00B73A78"/>
    <w:rsid w:val="00B75B7F"/>
    <w:rsid w:val="00B76D47"/>
    <w:rsid w:val="00B80001"/>
    <w:rsid w:val="00B90CE7"/>
    <w:rsid w:val="00BA176C"/>
    <w:rsid w:val="00BB2760"/>
    <w:rsid w:val="00BC39D8"/>
    <w:rsid w:val="00BD237C"/>
    <w:rsid w:val="00BD2400"/>
    <w:rsid w:val="00BD3B8B"/>
    <w:rsid w:val="00BE08A7"/>
    <w:rsid w:val="00BF4AE9"/>
    <w:rsid w:val="00C05553"/>
    <w:rsid w:val="00C109A9"/>
    <w:rsid w:val="00C2146E"/>
    <w:rsid w:val="00C22815"/>
    <w:rsid w:val="00C22C79"/>
    <w:rsid w:val="00C40925"/>
    <w:rsid w:val="00C540AC"/>
    <w:rsid w:val="00C543FF"/>
    <w:rsid w:val="00C55332"/>
    <w:rsid w:val="00C5680D"/>
    <w:rsid w:val="00C578DD"/>
    <w:rsid w:val="00C60C9F"/>
    <w:rsid w:val="00C71B0C"/>
    <w:rsid w:val="00C76E42"/>
    <w:rsid w:val="00C801E1"/>
    <w:rsid w:val="00C8250A"/>
    <w:rsid w:val="00C97A3B"/>
    <w:rsid w:val="00C97B86"/>
    <w:rsid w:val="00CA00D3"/>
    <w:rsid w:val="00CA2164"/>
    <w:rsid w:val="00CA3847"/>
    <w:rsid w:val="00CA4463"/>
    <w:rsid w:val="00CB13F4"/>
    <w:rsid w:val="00CB36A4"/>
    <w:rsid w:val="00CC0F30"/>
    <w:rsid w:val="00CC20DC"/>
    <w:rsid w:val="00CC2999"/>
    <w:rsid w:val="00CC614D"/>
    <w:rsid w:val="00CD115F"/>
    <w:rsid w:val="00CE1976"/>
    <w:rsid w:val="00CE32B4"/>
    <w:rsid w:val="00CE483F"/>
    <w:rsid w:val="00CE5002"/>
    <w:rsid w:val="00CE793D"/>
    <w:rsid w:val="00CF06FD"/>
    <w:rsid w:val="00CF727E"/>
    <w:rsid w:val="00D17280"/>
    <w:rsid w:val="00D274B7"/>
    <w:rsid w:val="00D34F9D"/>
    <w:rsid w:val="00D40EE1"/>
    <w:rsid w:val="00D41177"/>
    <w:rsid w:val="00D42722"/>
    <w:rsid w:val="00D5032E"/>
    <w:rsid w:val="00D57BEC"/>
    <w:rsid w:val="00D80DA9"/>
    <w:rsid w:val="00D85874"/>
    <w:rsid w:val="00D90240"/>
    <w:rsid w:val="00D904B3"/>
    <w:rsid w:val="00D96C42"/>
    <w:rsid w:val="00DA65D8"/>
    <w:rsid w:val="00DB686C"/>
    <w:rsid w:val="00DC36E8"/>
    <w:rsid w:val="00DC56F6"/>
    <w:rsid w:val="00DD177C"/>
    <w:rsid w:val="00DD25F7"/>
    <w:rsid w:val="00DF57A2"/>
    <w:rsid w:val="00DF66A8"/>
    <w:rsid w:val="00DF7C92"/>
    <w:rsid w:val="00E07DBC"/>
    <w:rsid w:val="00E106E6"/>
    <w:rsid w:val="00E109E5"/>
    <w:rsid w:val="00E15D5B"/>
    <w:rsid w:val="00E22911"/>
    <w:rsid w:val="00E34240"/>
    <w:rsid w:val="00E831B4"/>
    <w:rsid w:val="00E8471B"/>
    <w:rsid w:val="00E86027"/>
    <w:rsid w:val="00E919B3"/>
    <w:rsid w:val="00E927C8"/>
    <w:rsid w:val="00E940FA"/>
    <w:rsid w:val="00E946BC"/>
    <w:rsid w:val="00E949E3"/>
    <w:rsid w:val="00E96A90"/>
    <w:rsid w:val="00EB6D79"/>
    <w:rsid w:val="00EB72EE"/>
    <w:rsid w:val="00EC58B1"/>
    <w:rsid w:val="00ED40DB"/>
    <w:rsid w:val="00EE0D30"/>
    <w:rsid w:val="00EE6413"/>
    <w:rsid w:val="00F01FEC"/>
    <w:rsid w:val="00F104FC"/>
    <w:rsid w:val="00F10A16"/>
    <w:rsid w:val="00F123DD"/>
    <w:rsid w:val="00F1372B"/>
    <w:rsid w:val="00F206AC"/>
    <w:rsid w:val="00F22F46"/>
    <w:rsid w:val="00F316B3"/>
    <w:rsid w:val="00F343E6"/>
    <w:rsid w:val="00F34B2C"/>
    <w:rsid w:val="00F42AC0"/>
    <w:rsid w:val="00F44354"/>
    <w:rsid w:val="00F574CB"/>
    <w:rsid w:val="00F6116E"/>
    <w:rsid w:val="00F617E7"/>
    <w:rsid w:val="00F6231E"/>
    <w:rsid w:val="00F636E6"/>
    <w:rsid w:val="00F67105"/>
    <w:rsid w:val="00F74F28"/>
    <w:rsid w:val="00F754DC"/>
    <w:rsid w:val="00F815A3"/>
    <w:rsid w:val="00F8531B"/>
    <w:rsid w:val="00F854EC"/>
    <w:rsid w:val="00F86436"/>
    <w:rsid w:val="00F940BB"/>
    <w:rsid w:val="00FA2E20"/>
    <w:rsid w:val="00FA5014"/>
    <w:rsid w:val="00FA7AD0"/>
    <w:rsid w:val="00FC79E4"/>
    <w:rsid w:val="00FD62FC"/>
    <w:rsid w:val="00FF23B7"/>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5383</Characters>
  <Application>Microsoft Office Word</Application>
  <DocSecurity>0</DocSecurity>
  <Lines>95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2013-03-14T12:43:00Z</dcterms:created>
  <dcterms:modified xsi:type="dcterms:W3CDTF">2013-03-14T12:43:00Z</dcterms:modified>
  <cp:category> </cp:category>
  <cp:contentStatus> </cp:contentStatus>
</cp:coreProperties>
</file>