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C1" w:rsidRPr="009267D8" w:rsidRDefault="008B73C1">
      <w:pPr>
        <w:jc w:val="center"/>
        <w:rPr>
          <w:b/>
          <w:szCs w:val="22"/>
        </w:rPr>
      </w:pPr>
      <w:bookmarkStart w:id="0" w:name="_GoBack"/>
      <w:bookmarkEnd w:id="0"/>
      <w:r w:rsidRPr="009267D8">
        <w:rPr>
          <w:b/>
          <w:szCs w:val="22"/>
        </w:rPr>
        <w:t>Before the</w:t>
      </w:r>
    </w:p>
    <w:p w:rsidR="004B7183" w:rsidRPr="009267D8" w:rsidRDefault="004B7183">
      <w:pPr>
        <w:jc w:val="center"/>
        <w:rPr>
          <w:b/>
          <w:szCs w:val="22"/>
        </w:rPr>
      </w:pPr>
      <w:r w:rsidRPr="009267D8">
        <w:rPr>
          <w:b/>
          <w:szCs w:val="22"/>
        </w:rPr>
        <w:t>Federal Communications Commission</w:t>
      </w:r>
    </w:p>
    <w:p w:rsidR="004B7183" w:rsidRPr="009267D8" w:rsidRDefault="004B7183">
      <w:pPr>
        <w:jc w:val="center"/>
        <w:rPr>
          <w:b/>
          <w:szCs w:val="22"/>
        </w:rPr>
      </w:pPr>
      <w:smartTag w:uri="urn:schemas-microsoft-com:office:smarttags" w:element="place">
        <w:smartTag w:uri="urn:schemas-microsoft-com:office:smarttags" w:element="City">
          <w:r w:rsidRPr="009267D8">
            <w:rPr>
              <w:b/>
              <w:szCs w:val="22"/>
            </w:rPr>
            <w:t>Washington</w:t>
          </w:r>
        </w:smartTag>
        <w:r w:rsidRPr="009267D8">
          <w:rPr>
            <w:b/>
            <w:szCs w:val="22"/>
          </w:rPr>
          <w:t xml:space="preserve">, </w:t>
        </w:r>
        <w:smartTag w:uri="urn:schemas-microsoft-com:office:smarttags" w:element="State">
          <w:r w:rsidRPr="009267D8">
            <w:rPr>
              <w:b/>
              <w:szCs w:val="22"/>
            </w:rPr>
            <w:t>D.C.</w:t>
          </w:r>
        </w:smartTag>
        <w:r w:rsidRPr="009267D8">
          <w:rPr>
            <w:b/>
            <w:szCs w:val="22"/>
          </w:rPr>
          <w:t xml:space="preserve"> </w:t>
        </w:r>
        <w:smartTag w:uri="urn:schemas-microsoft-com:office:smarttags" w:element="PostalCode">
          <w:r w:rsidRPr="009267D8">
            <w:rPr>
              <w:b/>
              <w:szCs w:val="22"/>
            </w:rPr>
            <w:t>20554</w:t>
          </w:r>
        </w:smartTag>
      </w:smartTag>
    </w:p>
    <w:p w:rsidR="004B7183" w:rsidRDefault="004B7183">
      <w:pPr>
        <w:rPr>
          <w:szCs w:val="22"/>
        </w:rPr>
      </w:pPr>
    </w:p>
    <w:p w:rsidR="00251653" w:rsidRPr="009267D8" w:rsidRDefault="00251653">
      <w:pPr>
        <w:rPr>
          <w:szCs w:val="22"/>
        </w:rPr>
      </w:pPr>
    </w:p>
    <w:tbl>
      <w:tblPr>
        <w:tblW w:w="9648" w:type="dxa"/>
        <w:tblLayout w:type="fixed"/>
        <w:tblLook w:val="0000" w:firstRow="0" w:lastRow="0" w:firstColumn="0" w:lastColumn="0" w:noHBand="0" w:noVBand="0"/>
      </w:tblPr>
      <w:tblGrid>
        <w:gridCol w:w="4698"/>
        <w:gridCol w:w="720"/>
        <w:gridCol w:w="4230"/>
      </w:tblGrid>
      <w:tr w:rsidR="004B7183" w:rsidRPr="009267D8">
        <w:tc>
          <w:tcPr>
            <w:tcW w:w="4698" w:type="dxa"/>
          </w:tcPr>
          <w:p w:rsidR="004B7183" w:rsidRPr="009267D8" w:rsidRDefault="004B7183">
            <w:pPr>
              <w:ind w:right="-18"/>
              <w:rPr>
                <w:szCs w:val="22"/>
              </w:rPr>
            </w:pPr>
            <w:r w:rsidRPr="009267D8">
              <w:rPr>
                <w:szCs w:val="22"/>
              </w:rPr>
              <w:t xml:space="preserve">In </w:t>
            </w:r>
            <w:r w:rsidR="00F8279A" w:rsidRPr="009267D8">
              <w:rPr>
                <w:szCs w:val="22"/>
              </w:rPr>
              <w:t xml:space="preserve">the Matter of </w:t>
            </w:r>
            <w:r w:rsidR="001917C4" w:rsidRPr="009267D8">
              <w:rPr>
                <w:szCs w:val="22"/>
              </w:rPr>
              <w:t xml:space="preserve"> </w:t>
            </w:r>
          </w:p>
          <w:p w:rsidR="004B7183" w:rsidRPr="009267D8" w:rsidRDefault="004B7183">
            <w:pPr>
              <w:ind w:right="-18"/>
              <w:rPr>
                <w:szCs w:val="22"/>
              </w:rPr>
            </w:pPr>
          </w:p>
          <w:p w:rsidR="004B7183" w:rsidRPr="009267D8" w:rsidRDefault="00396319">
            <w:pPr>
              <w:ind w:right="-18"/>
              <w:rPr>
                <w:b/>
                <w:szCs w:val="22"/>
              </w:rPr>
            </w:pPr>
            <w:r>
              <w:rPr>
                <w:szCs w:val="22"/>
              </w:rPr>
              <w:t>Saga Radio Networks, LLC</w:t>
            </w:r>
          </w:p>
          <w:p w:rsidR="00E51A6C" w:rsidRPr="009267D8" w:rsidRDefault="00396319">
            <w:pPr>
              <w:ind w:right="-18"/>
              <w:rPr>
                <w:b/>
                <w:szCs w:val="22"/>
              </w:rPr>
            </w:pPr>
            <w:r>
              <w:rPr>
                <w:szCs w:val="22"/>
              </w:rPr>
              <w:t>Satellite Earth Station, Call Sign E872070</w:t>
            </w:r>
            <w:r w:rsidR="001917C4" w:rsidRPr="009267D8">
              <w:rPr>
                <w:b/>
                <w:szCs w:val="22"/>
              </w:rPr>
              <w:t xml:space="preserve"> </w:t>
            </w:r>
          </w:p>
          <w:p w:rsidR="00642433" w:rsidRPr="009267D8" w:rsidRDefault="00396319">
            <w:pPr>
              <w:ind w:right="-18"/>
              <w:rPr>
                <w:b/>
                <w:szCs w:val="22"/>
              </w:rPr>
            </w:pPr>
            <w:smartTag w:uri="urn:schemas-microsoft-com:office:smarttags" w:element="place">
              <w:smartTag w:uri="urn:schemas-microsoft-com:office:smarttags" w:element="City">
                <w:r>
                  <w:rPr>
                    <w:szCs w:val="22"/>
                  </w:rPr>
                  <w:t>Grosse Pointe Farms</w:t>
                </w:r>
              </w:smartTag>
              <w:r>
                <w:rPr>
                  <w:szCs w:val="22"/>
                </w:rPr>
                <w:t xml:space="preserve">, </w:t>
              </w:r>
              <w:smartTag w:uri="urn:schemas-microsoft-com:office:smarttags" w:element="State">
                <w:r>
                  <w:rPr>
                    <w:szCs w:val="22"/>
                  </w:rPr>
                  <w:t>Michigan</w:t>
                </w:r>
              </w:smartTag>
            </w:smartTag>
          </w:p>
        </w:tc>
        <w:tc>
          <w:tcPr>
            <w:tcW w:w="720" w:type="dxa"/>
          </w:tcPr>
          <w:p w:rsidR="004B7183" w:rsidRPr="009267D8" w:rsidRDefault="004B7183">
            <w:pPr>
              <w:rPr>
                <w:b/>
                <w:szCs w:val="22"/>
              </w:rPr>
            </w:pPr>
            <w:r w:rsidRPr="009267D8">
              <w:rPr>
                <w:b/>
                <w:szCs w:val="22"/>
              </w:rPr>
              <w:t>)</w:t>
            </w:r>
          </w:p>
          <w:p w:rsidR="004B7183" w:rsidRPr="009267D8" w:rsidRDefault="004B7183">
            <w:pPr>
              <w:rPr>
                <w:b/>
                <w:szCs w:val="22"/>
              </w:rPr>
            </w:pPr>
            <w:r w:rsidRPr="009267D8">
              <w:rPr>
                <w:b/>
                <w:szCs w:val="22"/>
              </w:rPr>
              <w:t>)</w:t>
            </w:r>
          </w:p>
          <w:p w:rsidR="004B7183" w:rsidRPr="009267D8" w:rsidRDefault="004B7183">
            <w:pPr>
              <w:rPr>
                <w:b/>
                <w:szCs w:val="22"/>
              </w:rPr>
            </w:pPr>
            <w:r w:rsidRPr="009267D8">
              <w:rPr>
                <w:b/>
                <w:szCs w:val="22"/>
              </w:rPr>
              <w:t>)</w:t>
            </w:r>
          </w:p>
          <w:p w:rsidR="004B7183" w:rsidRPr="009267D8" w:rsidRDefault="004B7183">
            <w:pPr>
              <w:rPr>
                <w:b/>
                <w:szCs w:val="22"/>
              </w:rPr>
            </w:pPr>
            <w:r w:rsidRPr="009267D8">
              <w:rPr>
                <w:b/>
                <w:szCs w:val="22"/>
              </w:rPr>
              <w:t>)</w:t>
            </w:r>
          </w:p>
          <w:p w:rsidR="004B7183" w:rsidRPr="009267D8" w:rsidRDefault="004B7183">
            <w:pPr>
              <w:rPr>
                <w:b/>
                <w:szCs w:val="22"/>
              </w:rPr>
            </w:pPr>
            <w:r w:rsidRPr="009267D8">
              <w:rPr>
                <w:b/>
                <w:szCs w:val="22"/>
              </w:rPr>
              <w:t>)</w:t>
            </w:r>
          </w:p>
          <w:p w:rsidR="006C6037" w:rsidRPr="009267D8" w:rsidRDefault="006C6037">
            <w:pPr>
              <w:rPr>
                <w:b/>
                <w:szCs w:val="22"/>
              </w:rPr>
            </w:pPr>
          </w:p>
        </w:tc>
        <w:tc>
          <w:tcPr>
            <w:tcW w:w="4230" w:type="dxa"/>
          </w:tcPr>
          <w:p w:rsidR="00F312E1" w:rsidRPr="009267D8" w:rsidRDefault="00F312E1" w:rsidP="00F312E1">
            <w:pPr>
              <w:rPr>
                <w:b/>
                <w:szCs w:val="22"/>
              </w:rPr>
            </w:pPr>
            <w:r>
              <w:rPr>
                <w:szCs w:val="22"/>
              </w:rPr>
              <w:t>File No.:  EB-08-SE-543</w:t>
            </w:r>
          </w:p>
          <w:p w:rsidR="004B7183" w:rsidRPr="009267D8" w:rsidRDefault="004B7183">
            <w:pPr>
              <w:rPr>
                <w:szCs w:val="22"/>
              </w:rPr>
            </w:pPr>
          </w:p>
          <w:p w:rsidR="00F312E1" w:rsidRDefault="00F312E1" w:rsidP="00F312E1">
            <w:pPr>
              <w:rPr>
                <w:szCs w:val="22"/>
              </w:rPr>
            </w:pPr>
            <w:r w:rsidRPr="009267D8">
              <w:rPr>
                <w:szCs w:val="22"/>
              </w:rPr>
              <w:t>NAL/Acct. No.</w:t>
            </w:r>
            <w:r>
              <w:rPr>
                <w:szCs w:val="22"/>
              </w:rPr>
              <w:t>:  200832100063</w:t>
            </w:r>
            <w:r w:rsidRPr="009267D8">
              <w:rPr>
                <w:szCs w:val="22"/>
              </w:rPr>
              <w:t xml:space="preserve"> </w:t>
            </w:r>
          </w:p>
          <w:p w:rsidR="00F312E1" w:rsidRDefault="00F312E1" w:rsidP="00F312E1">
            <w:pPr>
              <w:rPr>
                <w:szCs w:val="22"/>
              </w:rPr>
            </w:pPr>
          </w:p>
          <w:p w:rsidR="00F312E1" w:rsidRPr="009267D8" w:rsidRDefault="00F312E1" w:rsidP="00F312E1">
            <w:pPr>
              <w:rPr>
                <w:szCs w:val="22"/>
              </w:rPr>
            </w:pPr>
            <w:r w:rsidRPr="009267D8">
              <w:rPr>
                <w:szCs w:val="22"/>
              </w:rPr>
              <w:t xml:space="preserve">FRN:  </w:t>
            </w:r>
            <w:r>
              <w:rPr>
                <w:szCs w:val="22"/>
              </w:rPr>
              <w:t>0009112400</w:t>
            </w:r>
          </w:p>
          <w:p w:rsidR="00F312E1" w:rsidRPr="009267D8" w:rsidRDefault="00F312E1" w:rsidP="00F312E1">
            <w:pPr>
              <w:rPr>
                <w:szCs w:val="22"/>
              </w:rPr>
            </w:pPr>
          </w:p>
          <w:p w:rsidR="00B5418F" w:rsidRPr="009267D8" w:rsidRDefault="00B5418F">
            <w:pPr>
              <w:rPr>
                <w:szCs w:val="22"/>
              </w:rPr>
            </w:pPr>
          </w:p>
        </w:tc>
      </w:tr>
    </w:tbl>
    <w:p w:rsidR="004B7183" w:rsidRPr="009267D8" w:rsidRDefault="004B7183">
      <w:pPr>
        <w:rPr>
          <w:szCs w:val="22"/>
        </w:rPr>
      </w:pPr>
    </w:p>
    <w:p w:rsidR="00642433" w:rsidRPr="009267D8" w:rsidRDefault="003672A5" w:rsidP="00642433">
      <w:pPr>
        <w:jc w:val="center"/>
        <w:rPr>
          <w:b/>
          <w:szCs w:val="22"/>
        </w:rPr>
      </w:pPr>
      <w:r>
        <w:rPr>
          <w:b/>
          <w:spacing w:val="-2"/>
          <w:szCs w:val="22"/>
        </w:rPr>
        <w:t xml:space="preserve">MEMORANDUM OPINION AND </w:t>
      </w:r>
      <w:r w:rsidR="00396319">
        <w:rPr>
          <w:b/>
          <w:spacing w:val="-2"/>
          <w:szCs w:val="22"/>
        </w:rPr>
        <w:t>ORDER</w:t>
      </w:r>
    </w:p>
    <w:p w:rsidR="00251653" w:rsidRPr="009267D8" w:rsidRDefault="00251653">
      <w:pPr>
        <w:rPr>
          <w:szCs w:val="22"/>
        </w:rPr>
      </w:pPr>
    </w:p>
    <w:p w:rsidR="004B7183" w:rsidRPr="009267D8" w:rsidRDefault="004B7183">
      <w:pPr>
        <w:tabs>
          <w:tab w:val="left" w:pos="5760"/>
        </w:tabs>
        <w:rPr>
          <w:b/>
          <w:szCs w:val="22"/>
        </w:rPr>
      </w:pPr>
      <w:r w:rsidRPr="009267D8">
        <w:rPr>
          <w:b/>
          <w:szCs w:val="22"/>
        </w:rPr>
        <w:t>Adopted:</w:t>
      </w:r>
      <w:r w:rsidR="000A71C0">
        <w:rPr>
          <w:b/>
          <w:szCs w:val="22"/>
        </w:rPr>
        <w:t xml:space="preserve">  May 15</w:t>
      </w:r>
      <w:r w:rsidR="00276712">
        <w:rPr>
          <w:b/>
          <w:szCs w:val="22"/>
        </w:rPr>
        <w:t>,</w:t>
      </w:r>
      <w:r w:rsidR="001B48A4" w:rsidRPr="009267D8">
        <w:rPr>
          <w:b/>
          <w:szCs w:val="22"/>
        </w:rPr>
        <w:t xml:space="preserve"> 20</w:t>
      </w:r>
      <w:r w:rsidR="00A00F4D">
        <w:rPr>
          <w:b/>
          <w:szCs w:val="22"/>
        </w:rPr>
        <w:t>13</w:t>
      </w:r>
      <w:r w:rsidR="00642433" w:rsidRPr="009267D8">
        <w:rPr>
          <w:b/>
          <w:szCs w:val="22"/>
        </w:rPr>
        <w:tab/>
      </w:r>
      <w:r w:rsidR="00276712">
        <w:rPr>
          <w:b/>
          <w:szCs w:val="22"/>
        </w:rPr>
        <w:tab/>
      </w:r>
      <w:r w:rsidRPr="009267D8">
        <w:rPr>
          <w:b/>
          <w:szCs w:val="22"/>
        </w:rPr>
        <w:t>Released:</w:t>
      </w:r>
      <w:r w:rsidR="00276712">
        <w:rPr>
          <w:b/>
          <w:szCs w:val="22"/>
        </w:rPr>
        <w:t xml:space="preserve">  May 1</w:t>
      </w:r>
      <w:r w:rsidR="000A71C0">
        <w:rPr>
          <w:b/>
          <w:szCs w:val="22"/>
        </w:rPr>
        <w:t>5</w:t>
      </w:r>
      <w:r w:rsidR="00276712">
        <w:rPr>
          <w:b/>
          <w:szCs w:val="22"/>
        </w:rPr>
        <w:t>, 2013</w:t>
      </w:r>
    </w:p>
    <w:p w:rsidR="004B7183" w:rsidRPr="009267D8" w:rsidRDefault="004B7183">
      <w:pPr>
        <w:tabs>
          <w:tab w:val="left" w:pos="5760"/>
        </w:tabs>
        <w:rPr>
          <w:b/>
          <w:szCs w:val="22"/>
        </w:rPr>
      </w:pPr>
    </w:p>
    <w:p w:rsidR="004B7183" w:rsidRPr="009267D8" w:rsidRDefault="004B7183">
      <w:pPr>
        <w:tabs>
          <w:tab w:val="left" w:pos="5760"/>
        </w:tabs>
        <w:rPr>
          <w:spacing w:val="-2"/>
          <w:szCs w:val="22"/>
        </w:rPr>
      </w:pPr>
      <w:r w:rsidRPr="009267D8">
        <w:rPr>
          <w:szCs w:val="22"/>
        </w:rPr>
        <w:t xml:space="preserve">By the </w:t>
      </w:r>
      <w:r w:rsidR="005633DE" w:rsidRPr="009267D8">
        <w:rPr>
          <w:szCs w:val="22"/>
        </w:rPr>
        <w:t xml:space="preserve">Chief, </w:t>
      </w:r>
      <w:r w:rsidR="00396319">
        <w:rPr>
          <w:szCs w:val="22"/>
        </w:rPr>
        <w:t>Enforcement</w:t>
      </w:r>
      <w:r w:rsidR="005633DE" w:rsidRPr="009267D8">
        <w:rPr>
          <w:szCs w:val="22"/>
        </w:rPr>
        <w:t xml:space="preserve"> Bureau</w:t>
      </w:r>
      <w:r w:rsidRPr="009267D8">
        <w:rPr>
          <w:spacing w:val="-2"/>
          <w:szCs w:val="22"/>
        </w:rPr>
        <w:t>:</w:t>
      </w:r>
    </w:p>
    <w:p w:rsidR="00642433" w:rsidRPr="009267D8" w:rsidRDefault="00642433">
      <w:pPr>
        <w:tabs>
          <w:tab w:val="left" w:pos="5760"/>
        </w:tabs>
        <w:rPr>
          <w:szCs w:val="22"/>
        </w:rPr>
      </w:pPr>
    </w:p>
    <w:p w:rsidR="00642433" w:rsidRPr="009267D8" w:rsidRDefault="00642433" w:rsidP="008B73C1">
      <w:pPr>
        <w:tabs>
          <w:tab w:val="left" w:pos="5760"/>
        </w:tabs>
        <w:rPr>
          <w:b/>
          <w:szCs w:val="22"/>
        </w:rPr>
      </w:pPr>
      <w:r w:rsidRPr="009267D8">
        <w:rPr>
          <w:b/>
          <w:szCs w:val="22"/>
        </w:rPr>
        <w:t xml:space="preserve">I.  </w:t>
      </w:r>
      <w:r w:rsidR="008B73C1" w:rsidRPr="009267D8">
        <w:rPr>
          <w:b/>
          <w:szCs w:val="22"/>
        </w:rPr>
        <w:t xml:space="preserve">    IN</w:t>
      </w:r>
      <w:r w:rsidRPr="009267D8">
        <w:rPr>
          <w:b/>
          <w:szCs w:val="22"/>
        </w:rPr>
        <w:t>TRODUCTION</w:t>
      </w:r>
    </w:p>
    <w:p w:rsidR="00642433" w:rsidRPr="009267D8" w:rsidRDefault="00642433" w:rsidP="00642433">
      <w:pPr>
        <w:tabs>
          <w:tab w:val="left" w:pos="5760"/>
        </w:tabs>
        <w:jc w:val="center"/>
        <w:rPr>
          <w:b/>
          <w:szCs w:val="22"/>
        </w:rPr>
      </w:pPr>
    </w:p>
    <w:p w:rsidR="000C2EFA" w:rsidRPr="009267D8" w:rsidRDefault="00DC2010" w:rsidP="00EE4F45">
      <w:pPr>
        <w:pStyle w:val="ParaNum"/>
        <w:tabs>
          <w:tab w:val="clear" w:pos="1170"/>
        </w:tabs>
        <w:ind w:left="0"/>
        <w:jc w:val="left"/>
        <w:rPr>
          <w:szCs w:val="22"/>
        </w:rPr>
      </w:pPr>
      <w:r w:rsidRPr="009267D8">
        <w:rPr>
          <w:szCs w:val="22"/>
        </w:rPr>
        <w:t xml:space="preserve">In this </w:t>
      </w:r>
      <w:r w:rsidR="006D5DCA" w:rsidRPr="00036EAB">
        <w:rPr>
          <w:szCs w:val="22"/>
        </w:rPr>
        <w:t xml:space="preserve">Memorandum Opinion and </w:t>
      </w:r>
      <w:r w:rsidR="00396319" w:rsidRPr="00036EAB">
        <w:rPr>
          <w:spacing w:val="-2"/>
        </w:rPr>
        <w:t>Order</w:t>
      </w:r>
      <w:r w:rsidR="006D5DCA">
        <w:rPr>
          <w:i/>
          <w:spacing w:val="-2"/>
        </w:rPr>
        <w:t xml:space="preserve"> </w:t>
      </w:r>
      <w:r w:rsidR="00396319">
        <w:rPr>
          <w:spacing w:val="-2"/>
        </w:rPr>
        <w:t>(</w:t>
      </w:r>
      <w:r w:rsidR="00396319" w:rsidRPr="00036EAB">
        <w:rPr>
          <w:spacing w:val="-2"/>
        </w:rPr>
        <w:t>Order</w:t>
      </w:r>
      <w:r w:rsidR="00396319">
        <w:rPr>
          <w:spacing w:val="-2"/>
        </w:rPr>
        <w:t xml:space="preserve">), we deny a </w:t>
      </w:r>
      <w:r w:rsidR="001D4D82">
        <w:rPr>
          <w:spacing w:val="-2"/>
        </w:rPr>
        <w:t>P</w:t>
      </w:r>
      <w:r w:rsidR="00396319">
        <w:rPr>
          <w:spacing w:val="-2"/>
        </w:rPr>
        <w:t xml:space="preserve">etition for </w:t>
      </w:r>
      <w:r w:rsidR="001D4D82">
        <w:rPr>
          <w:spacing w:val="-2"/>
        </w:rPr>
        <w:t>R</w:t>
      </w:r>
      <w:r w:rsidR="00396319">
        <w:rPr>
          <w:spacing w:val="-2"/>
        </w:rPr>
        <w:t>econsideration filed by Saga Radio Networks, LLC (Saga)</w:t>
      </w:r>
      <w:r w:rsidR="00717DF3">
        <w:rPr>
          <w:spacing w:val="-2"/>
        </w:rPr>
        <w:t>,</w:t>
      </w:r>
      <w:r w:rsidR="00A02765">
        <w:rPr>
          <w:rStyle w:val="FootnoteReference"/>
          <w:spacing w:val="-2"/>
        </w:rPr>
        <w:footnoteReference w:id="2"/>
      </w:r>
      <w:r w:rsidR="00717DF3">
        <w:rPr>
          <w:spacing w:val="-2"/>
        </w:rPr>
        <w:t xml:space="preserve"> licensee of </w:t>
      </w:r>
      <w:r w:rsidR="000B206D">
        <w:rPr>
          <w:spacing w:val="-2"/>
        </w:rPr>
        <w:t>s</w:t>
      </w:r>
      <w:r w:rsidR="00717DF3">
        <w:rPr>
          <w:spacing w:val="-2"/>
        </w:rPr>
        <w:t xml:space="preserve">atellite </w:t>
      </w:r>
      <w:r w:rsidR="000B206D">
        <w:rPr>
          <w:spacing w:val="-2"/>
        </w:rPr>
        <w:t>e</w:t>
      </w:r>
      <w:r w:rsidR="00717DF3">
        <w:rPr>
          <w:spacing w:val="-2"/>
        </w:rPr>
        <w:t xml:space="preserve">arth </w:t>
      </w:r>
      <w:r w:rsidR="000B206D">
        <w:rPr>
          <w:spacing w:val="-2"/>
        </w:rPr>
        <w:t>s</w:t>
      </w:r>
      <w:r w:rsidR="00717DF3">
        <w:rPr>
          <w:spacing w:val="-2"/>
        </w:rPr>
        <w:t xml:space="preserve">tation E872070, </w:t>
      </w:r>
      <w:smartTag w:uri="urn:schemas-microsoft-com:office:smarttags" w:element="place">
        <w:smartTag w:uri="urn:schemas-microsoft-com:office:smarttags" w:element="City">
          <w:r w:rsidR="00717DF3">
            <w:rPr>
              <w:spacing w:val="-2"/>
            </w:rPr>
            <w:t>Grosse Pointe Farms</w:t>
          </w:r>
        </w:smartTag>
        <w:r w:rsidR="00717DF3">
          <w:rPr>
            <w:spacing w:val="-2"/>
          </w:rPr>
          <w:t xml:space="preserve">, </w:t>
        </w:r>
        <w:smartTag w:uri="urn:schemas-microsoft-com:office:smarttags" w:element="State">
          <w:r w:rsidR="00717DF3">
            <w:rPr>
              <w:spacing w:val="-2"/>
            </w:rPr>
            <w:t>Michigan</w:t>
          </w:r>
        </w:smartTag>
      </w:smartTag>
      <w:r w:rsidR="00396319">
        <w:rPr>
          <w:spacing w:val="-2"/>
        </w:rPr>
        <w:t xml:space="preserve">.  Saga seeks reconsideration of a </w:t>
      </w:r>
      <w:r w:rsidR="00396319" w:rsidRPr="00E45D37">
        <w:rPr>
          <w:i/>
          <w:spacing w:val="-2"/>
        </w:rPr>
        <w:t>Forfeiture Order</w:t>
      </w:r>
      <w:r w:rsidR="00396319">
        <w:rPr>
          <w:rStyle w:val="FootnoteReference"/>
          <w:spacing w:val="-2"/>
        </w:rPr>
        <w:footnoteReference w:id="3"/>
      </w:r>
      <w:r w:rsidR="00396319">
        <w:rPr>
          <w:spacing w:val="-2"/>
        </w:rPr>
        <w:t xml:space="preserve"> issued by the Spectrum Enforcement Division </w:t>
      </w:r>
      <w:r w:rsidR="00A00F4D">
        <w:rPr>
          <w:spacing w:val="-2"/>
        </w:rPr>
        <w:t>(Division)</w:t>
      </w:r>
      <w:r w:rsidR="00396319">
        <w:rPr>
          <w:spacing w:val="-2"/>
        </w:rPr>
        <w:t xml:space="preserve"> of the Enforcement Bureau</w:t>
      </w:r>
      <w:r w:rsidR="0073455B">
        <w:rPr>
          <w:spacing w:val="-2"/>
        </w:rPr>
        <w:t xml:space="preserve"> (Bureau)</w:t>
      </w:r>
      <w:r w:rsidR="00396319">
        <w:rPr>
          <w:spacing w:val="-2"/>
        </w:rPr>
        <w:t xml:space="preserve"> in the amount of five thousand two hundred dollars ($5,200) for the willful and repeated violation of </w:t>
      </w:r>
      <w:r w:rsidR="00A00F4D">
        <w:rPr>
          <w:spacing w:val="-2"/>
        </w:rPr>
        <w:t>S</w:t>
      </w:r>
      <w:r w:rsidR="00396319">
        <w:rPr>
          <w:spacing w:val="-2"/>
        </w:rPr>
        <w:t>ection 301 of the Communications Act of 1934, as amended</w:t>
      </w:r>
      <w:r w:rsidR="00A00F4D">
        <w:rPr>
          <w:spacing w:val="-2"/>
        </w:rPr>
        <w:t xml:space="preserve"> (Act)</w:t>
      </w:r>
      <w:r w:rsidR="00141EC9">
        <w:rPr>
          <w:spacing w:val="-2"/>
        </w:rPr>
        <w:t>,</w:t>
      </w:r>
      <w:r w:rsidR="00396319">
        <w:rPr>
          <w:spacing w:val="-2"/>
        </w:rPr>
        <w:t xml:space="preserve"> and </w:t>
      </w:r>
      <w:r w:rsidR="00A00F4D">
        <w:rPr>
          <w:spacing w:val="-2"/>
        </w:rPr>
        <w:t>S</w:t>
      </w:r>
      <w:r w:rsidR="00396319">
        <w:rPr>
          <w:spacing w:val="-2"/>
        </w:rPr>
        <w:t xml:space="preserve">ection 25.102(a) of the Commission’s </w:t>
      </w:r>
      <w:r w:rsidR="0073455B">
        <w:rPr>
          <w:spacing w:val="-2"/>
        </w:rPr>
        <w:t>r</w:t>
      </w:r>
      <w:r w:rsidR="00396319">
        <w:rPr>
          <w:spacing w:val="-2"/>
        </w:rPr>
        <w:t xml:space="preserve">ules (Rules), and for the willful violation of </w:t>
      </w:r>
      <w:r w:rsidR="00A00F4D">
        <w:rPr>
          <w:spacing w:val="-2"/>
        </w:rPr>
        <w:t>S</w:t>
      </w:r>
      <w:r w:rsidR="00396319">
        <w:rPr>
          <w:spacing w:val="-2"/>
        </w:rPr>
        <w:t>ection 25.121(e) of the Rules.</w:t>
      </w:r>
      <w:r w:rsidR="00396319">
        <w:rPr>
          <w:rStyle w:val="FootnoteReference"/>
          <w:spacing w:val="-2"/>
        </w:rPr>
        <w:footnoteReference w:id="4"/>
      </w:r>
      <w:r w:rsidR="00396319">
        <w:rPr>
          <w:spacing w:val="-2"/>
        </w:rPr>
        <w:t xml:space="preserve">  The noted violations involve Saga’s operation of earth station </w:t>
      </w:r>
      <w:r w:rsidR="00C33B3F">
        <w:rPr>
          <w:spacing w:val="-2"/>
        </w:rPr>
        <w:t xml:space="preserve">E872070 </w:t>
      </w:r>
      <w:r w:rsidR="00396319">
        <w:rPr>
          <w:spacing w:val="-2"/>
        </w:rPr>
        <w:t xml:space="preserve">without Commission authority, and </w:t>
      </w:r>
      <w:r w:rsidR="00493CC3">
        <w:rPr>
          <w:spacing w:val="-2"/>
        </w:rPr>
        <w:t xml:space="preserve">the </w:t>
      </w:r>
      <w:r w:rsidR="00396319">
        <w:rPr>
          <w:spacing w:val="-2"/>
        </w:rPr>
        <w:t>failure to file a timely application</w:t>
      </w:r>
      <w:r w:rsidR="00510954">
        <w:rPr>
          <w:spacing w:val="-2"/>
        </w:rPr>
        <w:t xml:space="preserve"> for </w:t>
      </w:r>
      <w:r w:rsidR="00493CC3">
        <w:rPr>
          <w:spacing w:val="-2"/>
        </w:rPr>
        <w:t>authority to continue operation of the</w:t>
      </w:r>
      <w:r w:rsidR="00510954">
        <w:rPr>
          <w:spacing w:val="-2"/>
        </w:rPr>
        <w:t xml:space="preserve"> earth station</w:t>
      </w:r>
      <w:r w:rsidR="00396319">
        <w:rPr>
          <w:spacing w:val="-2"/>
        </w:rPr>
        <w:t>.</w:t>
      </w:r>
    </w:p>
    <w:p w:rsidR="000C2EFA" w:rsidRPr="009267D8" w:rsidRDefault="000C2EFA" w:rsidP="008B73C1">
      <w:pPr>
        <w:rPr>
          <w:b/>
          <w:szCs w:val="22"/>
        </w:rPr>
      </w:pPr>
      <w:r w:rsidRPr="009267D8">
        <w:rPr>
          <w:b/>
          <w:szCs w:val="22"/>
        </w:rPr>
        <w:t xml:space="preserve">II.  </w:t>
      </w:r>
      <w:r w:rsidR="008B73C1" w:rsidRPr="009267D8">
        <w:rPr>
          <w:b/>
          <w:szCs w:val="22"/>
        </w:rPr>
        <w:t xml:space="preserve">   </w:t>
      </w:r>
      <w:r w:rsidRPr="009267D8">
        <w:rPr>
          <w:b/>
          <w:szCs w:val="22"/>
        </w:rPr>
        <w:t>BACKGROUND</w:t>
      </w:r>
    </w:p>
    <w:p w:rsidR="000C2EFA" w:rsidRPr="009267D8" w:rsidRDefault="000C2EFA" w:rsidP="000C2EFA">
      <w:pPr>
        <w:jc w:val="center"/>
        <w:rPr>
          <w:b/>
          <w:szCs w:val="22"/>
        </w:rPr>
      </w:pPr>
    </w:p>
    <w:p w:rsidR="00396319" w:rsidRDefault="00396319" w:rsidP="00EE4F45">
      <w:pPr>
        <w:pStyle w:val="ParaNum"/>
        <w:tabs>
          <w:tab w:val="clear" w:pos="1170"/>
          <w:tab w:val="num" w:pos="1440"/>
        </w:tabs>
        <w:ind w:left="0"/>
        <w:jc w:val="left"/>
      </w:pPr>
      <w:r>
        <w:t xml:space="preserve">On August </w:t>
      </w:r>
      <w:r w:rsidR="00141EC9">
        <w:t>15</w:t>
      </w:r>
      <w:r>
        <w:t xml:space="preserve">, </w:t>
      </w:r>
      <w:r w:rsidR="00141EC9">
        <w:t>199</w:t>
      </w:r>
      <w:r>
        <w:t xml:space="preserve">7, Saga was granted a </w:t>
      </w:r>
      <w:r w:rsidR="00141EC9">
        <w:t xml:space="preserve">renewal of its </w:t>
      </w:r>
      <w:r>
        <w:t xml:space="preserve">license to operate a Ku-band fixed satellite earth station under call sign E872070.  Under the terms of its license, Saga’s authorization for </w:t>
      </w:r>
      <w:r w:rsidR="006F0AA5">
        <w:t>the</w:t>
      </w:r>
      <w:r>
        <w:t xml:space="preserve"> earth station expired on August 28, 2007.</w:t>
      </w:r>
      <w:r>
        <w:rPr>
          <w:rStyle w:val="FootnoteReference"/>
        </w:rPr>
        <w:footnoteReference w:id="5"/>
      </w:r>
      <w:r>
        <w:t xml:space="preserve">  </w:t>
      </w:r>
      <w:r w:rsidR="00A00F4D">
        <w:t xml:space="preserve">Saga did not file a timely application to renew its earth station license.  </w:t>
      </w:r>
      <w:r>
        <w:t xml:space="preserve">On May 28, 2008, Saga filed a request with the International </w:t>
      </w:r>
      <w:r w:rsidR="00FB25EB">
        <w:t xml:space="preserve">Bureau </w:t>
      </w:r>
      <w:r w:rsidR="00510954">
        <w:t xml:space="preserve">for </w:t>
      </w:r>
      <w:r>
        <w:t xml:space="preserve">special temporary authority (STA) </w:t>
      </w:r>
      <w:r>
        <w:rPr>
          <w:rStyle w:val="FootnoteReference"/>
        </w:rPr>
        <w:t xml:space="preserve"> </w:t>
      </w:r>
      <w:r>
        <w:t xml:space="preserve">to operate earth station </w:t>
      </w:r>
      <w:r w:rsidR="000B206D">
        <w:rPr>
          <w:spacing w:val="-2"/>
        </w:rPr>
        <w:t xml:space="preserve">E872070 </w:t>
      </w:r>
      <w:r>
        <w:t>pending grant of an application for a new earth station license.</w:t>
      </w:r>
      <w:r>
        <w:rPr>
          <w:rStyle w:val="FootnoteReference"/>
        </w:rPr>
        <w:footnoteReference w:id="6"/>
      </w:r>
      <w:r>
        <w:t xml:space="preserve">  On June 13, 2008, Saga submitted </w:t>
      </w:r>
      <w:r w:rsidR="00141EC9">
        <w:t>its application for a new earth station license</w:t>
      </w:r>
      <w:r>
        <w:t>, and on July 29, 2008, the I</w:t>
      </w:r>
      <w:r w:rsidR="00A85A61">
        <w:t xml:space="preserve">nternational </w:t>
      </w:r>
      <w:r>
        <w:t>B</w:t>
      </w:r>
      <w:r w:rsidR="00A85A61">
        <w:t>ureau</w:t>
      </w:r>
      <w:r>
        <w:t xml:space="preserve"> granted Saga a new license for earth station E872070</w:t>
      </w:r>
      <w:r>
        <w:rPr>
          <w:rStyle w:val="FootnoteReference"/>
        </w:rPr>
        <w:footnoteReference w:id="7"/>
      </w:r>
      <w:r>
        <w:t xml:space="preserve"> and dismissed the STA request as moot.</w:t>
      </w:r>
    </w:p>
    <w:p w:rsidR="00396319" w:rsidRDefault="00396319" w:rsidP="00F94AC6">
      <w:pPr>
        <w:pStyle w:val="ParaNum"/>
        <w:widowControl/>
        <w:tabs>
          <w:tab w:val="clear" w:pos="1170"/>
          <w:tab w:val="num" w:pos="1440"/>
        </w:tabs>
        <w:ind w:left="0"/>
        <w:jc w:val="left"/>
      </w:pPr>
      <w:r>
        <w:lastRenderedPageBreak/>
        <w:t xml:space="preserve">Because it appeared that Saga may have operated earth station </w:t>
      </w:r>
      <w:r w:rsidR="006F0AA5">
        <w:t xml:space="preserve">E872070 </w:t>
      </w:r>
      <w:r>
        <w:t>without authority after the expiration of its license, the I</w:t>
      </w:r>
      <w:r w:rsidR="0073455B">
        <w:t xml:space="preserve">nternational </w:t>
      </w:r>
      <w:r>
        <w:t>B</w:t>
      </w:r>
      <w:r w:rsidR="0073455B">
        <w:t>ureau</w:t>
      </w:r>
      <w:r>
        <w:t xml:space="preserve"> referred this </w:t>
      </w:r>
      <w:r w:rsidR="000601E0">
        <w:t>matter</w:t>
      </w:r>
      <w:r>
        <w:t xml:space="preserve"> to the Enforcement Bureau for investigation and possible enforcement action.  On June 11, 2008, the </w:t>
      </w:r>
      <w:r w:rsidR="00FB25EB">
        <w:t>Division issued</w:t>
      </w:r>
      <w:r>
        <w:t xml:space="preserve"> a letter of inquiry</w:t>
      </w:r>
      <w:r w:rsidR="00913C3D">
        <w:t xml:space="preserve"> </w:t>
      </w:r>
      <w:r>
        <w:t>to Saga.</w:t>
      </w:r>
      <w:r>
        <w:rPr>
          <w:rStyle w:val="FootnoteReference"/>
        </w:rPr>
        <w:footnoteReference w:id="8"/>
      </w:r>
    </w:p>
    <w:p w:rsidR="00396319" w:rsidRDefault="00396319" w:rsidP="00EE4F45">
      <w:pPr>
        <w:pStyle w:val="ParaNum"/>
        <w:tabs>
          <w:tab w:val="clear" w:pos="1170"/>
        </w:tabs>
        <w:ind w:left="0"/>
        <w:jc w:val="left"/>
      </w:pPr>
      <w:r>
        <w:t>In its July 11, 2008 response to the LOI, Saga state</w:t>
      </w:r>
      <w:r w:rsidR="00913C3D">
        <w:t>d</w:t>
      </w:r>
      <w:r>
        <w:t xml:space="preserve"> that </w:t>
      </w:r>
      <w:r w:rsidR="006F0AA5">
        <w:t>it first became aware that the</w:t>
      </w:r>
      <w:r w:rsidR="00913C3D">
        <w:t xml:space="preserve"> license for earth station E872070 had expired </w:t>
      </w:r>
      <w:r w:rsidR="000B206D">
        <w:t>on May 14, 2008</w:t>
      </w:r>
      <w:r w:rsidR="00913C3D" w:rsidRPr="00913C3D">
        <w:t xml:space="preserve"> </w:t>
      </w:r>
      <w:r w:rsidR="00913C3D">
        <w:t>during a review of Saga’s authorizations database</w:t>
      </w:r>
      <w:r>
        <w:t>.</w:t>
      </w:r>
      <w:r>
        <w:rPr>
          <w:rStyle w:val="FootnoteReference"/>
        </w:rPr>
        <w:footnoteReference w:id="9"/>
      </w:r>
      <w:r w:rsidR="00913C3D">
        <w:t xml:space="preserve">  </w:t>
      </w:r>
      <w:r w:rsidR="00A00F4D">
        <w:t>Saga claim</w:t>
      </w:r>
      <w:r w:rsidR="00913C3D">
        <w:t>ed</w:t>
      </w:r>
      <w:r w:rsidR="00A00F4D">
        <w:t xml:space="preserve"> that </w:t>
      </w:r>
      <w:r w:rsidR="000B206D">
        <w:t>its</w:t>
      </w:r>
      <w:r>
        <w:t xml:space="preserve"> Business Manager immediately notified Saga’s Director of Engineering who, </w:t>
      </w:r>
      <w:r w:rsidR="00A00F4D">
        <w:t xml:space="preserve">according to Saga, </w:t>
      </w:r>
      <w:r>
        <w:t>promptly contacted the appropriate parties to remedy the situation.</w:t>
      </w:r>
      <w:r>
        <w:rPr>
          <w:rStyle w:val="FootnoteReference"/>
        </w:rPr>
        <w:footnoteReference w:id="10"/>
      </w:r>
      <w:r>
        <w:t xml:space="preserve">  In addition, Saga acknowledge</w:t>
      </w:r>
      <w:r w:rsidR="00913C3D">
        <w:t>d</w:t>
      </w:r>
      <w:r>
        <w:t xml:space="preserve"> that it operated earth station E872070 without authority after </w:t>
      </w:r>
      <w:r w:rsidR="000601E0">
        <w:t>the license’s</w:t>
      </w:r>
      <w:r w:rsidR="00A00F4D">
        <w:t xml:space="preserve"> </w:t>
      </w:r>
      <w:r>
        <w:t>August 28, 2007</w:t>
      </w:r>
      <w:r w:rsidR="00A00F4D">
        <w:t xml:space="preserve"> expiration date</w:t>
      </w:r>
      <w:r>
        <w:t>.</w:t>
      </w:r>
      <w:r>
        <w:rPr>
          <w:rStyle w:val="FootnoteReference"/>
        </w:rPr>
        <w:footnoteReference w:id="11"/>
      </w:r>
      <w:r>
        <w:t xml:space="preserve">    </w:t>
      </w:r>
    </w:p>
    <w:p w:rsidR="00396319" w:rsidRDefault="00396319" w:rsidP="00EE4F45">
      <w:pPr>
        <w:pStyle w:val="ParaNum"/>
        <w:tabs>
          <w:tab w:val="clear" w:pos="1170"/>
          <w:tab w:val="num" w:pos="1440"/>
        </w:tabs>
        <w:ind w:left="0"/>
        <w:jc w:val="left"/>
      </w:pPr>
      <w:r>
        <w:t>On July 30, 2008, the</w:t>
      </w:r>
      <w:r w:rsidR="00913C3D">
        <w:t xml:space="preserve"> Division</w:t>
      </w:r>
      <w:r>
        <w:t xml:space="preserve"> released </w:t>
      </w:r>
      <w:r>
        <w:rPr>
          <w:spacing w:val="-2"/>
        </w:rPr>
        <w:t xml:space="preserve">a </w:t>
      </w:r>
      <w:r>
        <w:rPr>
          <w:i/>
          <w:spacing w:val="-2"/>
        </w:rPr>
        <w:t>Notice of Apparent Liability for Forfeiture</w:t>
      </w:r>
      <w:r w:rsidR="00A00F4D">
        <w:rPr>
          <w:spacing w:val="-2"/>
        </w:rPr>
        <w:t xml:space="preserve"> against Saga</w:t>
      </w:r>
      <w:r>
        <w:rPr>
          <w:spacing w:val="-2"/>
        </w:rPr>
        <w:t xml:space="preserve">, finding that Saga operated earth station </w:t>
      </w:r>
      <w:r w:rsidR="006F0AA5">
        <w:t xml:space="preserve">E872070 </w:t>
      </w:r>
      <w:r>
        <w:rPr>
          <w:spacing w:val="-2"/>
        </w:rPr>
        <w:t xml:space="preserve">without Commission authority and </w:t>
      </w:r>
      <w:r w:rsidR="000B206D">
        <w:rPr>
          <w:spacing w:val="-2"/>
        </w:rPr>
        <w:t xml:space="preserve">failed to file a timely renewal application for the station </w:t>
      </w:r>
      <w:r>
        <w:rPr>
          <w:spacing w:val="-2"/>
        </w:rPr>
        <w:t xml:space="preserve">in apparent willful and repeated violation of </w:t>
      </w:r>
      <w:r w:rsidR="00A00F4D">
        <w:rPr>
          <w:spacing w:val="-2"/>
        </w:rPr>
        <w:t>S</w:t>
      </w:r>
      <w:r>
        <w:rPr>
          <w:spacing w:val="-2"/>
        </w:rPr>
        <w:t xml:space="preserve">ection 301 of the Act and </w:t>
      </w:r>
      <w:r w:rsidR="00A00F4D">
        <w:rPr>
          <w:spacing w:val="-2"/>
        </w:rPr>
        <w:t>S</w:t>
      </w:r>
      <w:r>
        <w:rPr>
          <w:spacing w:val="-2"/>
        </w:rPr>
        <w:t>ections 25.102(a) and 25.121(e) of the Rules.</w:t>
      </w:r>
      <w:r>
        <w:rPr>
          <w:rStyle w:val="FootnoteReference"/>
          <w:spacing w:val="-2"/>
        </w:rPr>
        <w:footnoteReference w:id="12"/>
      </w:r>
      <w:r>
        <w:rPr>
          <w:spacing w:val="-2"/>
        </w:rPr>
        <w:t xml:space="preserve">  </w:t>
      </w:r>
      <w:r w:rsidR="00A00F4D">
        <w:rPr>
          <w:spacing w:val="-2"/>
        </w:rPr>
        <w:t xml:space="preserve">Consistent with </w:t>
      </w:r>
      <w:r w:rsidR="00E26DF6">
        <w:rPr>
          <w:spacing w:val="-2"/>
        </w:rPr>
        <w:t xml:space="preserve">Bureau </w:t>
      </w:r>
      <w:r w:rsidR="00A00F4D">
        <w:rPr>
          <w:spacing w:val="-2"/>
        </w:rPr>
        <w:t xml:space="preserve">precedent at that time, </w:t>
      </w:r>
      <w:r w:rsidR="00E26DF6" w:rsidRPr="003E1424">
        <w:rPr>
          <w:szCs w:val="22"/>
        </w:rPr>
        <w:t xml:space="preserve">the Division reduced the base forfeiture for </w:t>
      </w:r>
      <w:r w:rsidR="00E26DF6">
        <w:rPr>
          <w:szCs w:val="22"/>
        </w:rPr>
        <w:t xml:space="preserve">Saga’s </w:t>
      </w:r>
      <w:r w:rsidR="00E26DF6" w:rsidRPr="003E1424">
        <w:rPr>
          <w:szCs w:val="22"/>
        </w:rPr>
        <w:t xml:space="preserve">unauthorized operation of </w:t>
      </w:r>
      <w:r w:rsidR="000B206D">
        <w:rPr>
          <w:szCs w:val="22"/>
        </w:rPr>
        <w:t xml:space="preserve">the </w:t>
      </w:r>
      <w:r w:rsidR="00E26DF6" w:rsidRPr="003E1424">
        <w:rPr>
          <w:szCs w:val="22"/>
        </w:rPr>
        <w:t xml:space="preserve">earth station from $10,000 to $5,000, and reduced the base forfeiture for </w:t>
      </w:r>
      <w:r w:rsidR="00E26DF6">
        <w:rPr>
          <w:szCs w:val="22"/>
        </w:rPr>
        <w:t xml:space="preserve">Saga’s </w:t>
      </w:r>
      <w:r w:rsidR="00E26DF6" w:rsidRPr="003E1424">
        <w:rPr>
          <w:szCs w:val="22"/>
        </w:rPr>
        <w:t>failure to file a timely renewal application from $3,000 to $1,500.</w:t>
      </w:r>
      <w:r w:rsidR="00E26DF6" w:rsidRPr="003E1424">
        <w:rPr>
          <w:rStyle w:val="FootnoteReference"/>
          <w:szCs w:val="22"/>
        </w:rPr>
        <w:footnoteReference w:id="13"/>
      </w:r>
      <w:r w:rsidR="00E26DF6" w:rsidRPr="003E1424">
        <w:rPr>
          <w:szCs w:val="22"/>
        </w:rPr>
        <w:t xml:space="preserve">  The Division further reduced the </w:t>
      </w:r>
      <w:r w:rsidR="00E26DF6">
        <w:rPr>
          <w:szCs w:val="22"/>
        </w:rPr>
        <w:t xml:space="preserve">aggregate </w:t>
      </w:r>
      <w:r w:rsidR="00E26DF6" w:rsidRPr="003E1424">
        <w:rPr>
          <w:szCs w:val="22"/>
        </w:rPr>
        <w:t xml:space="preserve">forfeiture from $6,500 to $5,200 based on </w:t>
      </w:r>
      <w:r w:rsidR="000B206D">
        <w:rPr>
          <w:szCs w:val="22"/>
        </w:rPr>
        <w:t xml:space="preserve">Saga’s </w:t>
      </w:r>
      <w:r w:rsidR="00E26DF6" w:rsidRPr="003E1424">
        <w:rPr>
          <w:szCs w:val="22"/>
        </w:rPr>
        <w:t>voluntary disclosure of the violation and corrective measures taken prior to any Commission inquiry or initiation of enforcement action</w:t>
      </w:r>
      <w:r w:rsidR="002A062A">
        <w:rPr>
          <w:spacing w:val="-2"/>
        </w:rPr>
        <w:t>.</w:t>
      </w:r>
      <w:r>
        <w:rPr>
          <w:rStyle w:val="FootnoteReference"/>
          <w:spacing w:val="-2"/>
        </w:rPr>
        <w:footnoteReference w:id="14"/>
      </w:r>
    </w:p>
    <w:p w:rsidR="00396319" w:rsidRPr="00215C01" w:rsidRDefault="00396319" w:rsidP="00EE4F45">
      <w:pPr>
        <w:pStyle w:val="ParaNum"/>
        <w:tabs>
          <w:tab w:val="clear" w:pos="1170"/>
        </w:tabs>
        <w:ind w:left="0"/>
        <w:jc w:val="left"/>
      </w:pPr>
      <w:r>
        <w:rPr>
          <w:spacing w:val="-2"/>
        </w:rPr>
        <w:lastRenderedPageBreak/>
        <w:t xml:space="preserve">In its response to the </w:t>
      </w:r>
      <w:r w:rsidRPr="00215C01">
        <w:rPr>
          <w:i/>
          <w:spacing w:val="-2"/>
        </w:rPr>
        <w:t>NAL</w:t>
      </w:r>
      <w:r>
        <w:rPr>
          <w:spacing w:val="-2"/>
        </w:rPr>
        <w:t>,</w:t>
      </w:r>
      <w:r>
        <w:rPr>
          <w:rStyle w:val="FootnoteReference"/>
          <w:spacing w:val="-2"/>
        </w:rPr>
        <w:footnoteReference w:id="15"/>
      </w:r>
      <w:r>
        <w:rPr>
          <w:spacing w:val="-2"/>
        </w:rPr>
        <w:t xml:space="preserve"> Saga sought cancellation or reduction of the proposed forfeiture amount</w:t>
      </w:r>
      <w:r w:rsidR="00E26DF6">
        <w:rPr>
          <w:spacing w:val="-2"/>
        </w:rPr>
        <w:t>,</w:t>
      </w:r>
      <w:r>
        <w:rPr>
          <w:spacing w:val="-2"/>
        </w:rPr>
        <w:t xml:space="preserve"> contending that its failure to file a timely renewal application was neither willful nor repeated,</w:t>
      </w:r>
      <w:r w:rsidR="00E26DF6">
        <w:rPr>
          <w:rStyle w:val="FootnoteReference"/>
          <w:spacing w:val="-2"/>
        </w:rPr>
        <w:footnoteReference w:id="16"/>
      </w:r>
      <w:r>
        <w:rPr>
          <w:spacing w:val="-2"/>
        </w:rPr>
        <w:t xml:space="preserve"> and </w:t>
      </w:r>
      <w:r w:rsidR="00A6353D">
        <w:rPr>
          <w:spacing w:val="-2"/>
        </w:rPr>
        <w:t>t</w:t>
      </w:r>
      <w:r>
        <w:rPr>
          <w:spacing w:val="-2"/>
        </w:rPr>
        <w:t xml:space="preserve">hat </w:t>
      </w:r>
      <w:r w:rsidR="00493CC3">
        <w:rPr>
          <w:spacing w:val="-2"/>
        </w:rPr>
        <w:t xml:space="preserve">even the reduced </w:t>
      </w:r>
      <w:r w:rsidR="00E26DF6">
        <w:rPr>
          <w:spacing w:val="-2"/>
        </w:rPr>
        <w:t xml:space="preserve">forfeiture </w:t>
      </w:r>
      <w:r w:rsidR="00EE4F45">
        <w:rPr>
          <w:spacing w:val="-2"/>
        </w:rPr>
        <w:t xml:space="preserve">proposed for that violation </w:t>
      </w:r>
      <w:r w:rsidR="00E26DF6">
        <w:rPr>
          <w:spacing w:val="-2"/>
        </w:rPr>
        <w:t>was excessive in light of prior Commission precedent</w:t>
      </w:r>
      <w:r>
        <w:rPr>
          <w:spacing w:val="-2"/>
        </w:rPr>
        <w:t>.</w:t>
      </w:r>
      <w:r w:rsidR="00E26DF6">
        <w:rPr>
          <w:rStyle w:val="FootnoteReference"/>
          <w:spacing w:val="-2"/>
        </w:rPr>
        <w:footnoteReference w:id="17"/>
      </w:r>
      <w:r>
        <w:rPr>
          <w:spacing w:val="-2"/>
        </w:rPr>
        <w:t xml:space="preserve">  In addition, Saga argue</w:t>
      </w:r>
      <w:r w:rsidR="0018450C">
        <w:rPr>
          <w:spacing w:val="-2"/>
        </w:rPr>
        <w:t>d</w:t>
      </w:r>
      <w:r>
        <w:rPr>
          <w:spacing w:val="-2"/>
        </w:rPr>
        <w:t xml:space="preserve"> that imposing the proposed forfeiture for operation of its earth station without a license would be contrary to the public interest.</w:t>
      </w:r>
      <w:r w:rsidR="00E26DF6">
        <w:rPr>
          <w:rStyle w:val="FootnoteReference"/>
          <w:spacing w:val="-2"/>
        </w:rPr>
        <w:footnoteReference w:id="18"/>
      </w:r>
    </w:p>
    <w:p w:rsidR="00396319" w:rsidRPr="00DF65ED" w:rsidRDefault="00396319" w:rsidP="00DF3670">
      <w:pPr>
        <w:pStyle w:val="ParaNum"/>
        <w:widowControl/>
        <w:tabs>
          <w:tab w:val="clear" w:pos="1170"/>
          <w:tab w:val="num" w:pos="1440"/>
        </w:tabs>
        <w:ind w:left="0"/>
        <w:jc w:val="left"/>
      </w:pPr>
      <w:r>
        <w:rPr>
          <w:spacing w:val="-2"/>
        </w:rPr>
        <w:t xml:space="preserve">On April 1, 2009, the </w:t>
      </w:r>
      <w:r w:rsidR="00FB77CB">
        <w:rPr>
          <w:spacing w:val="-2"/>
        </w:rPr>
        <w:t xml:space="preserve">Division </w:t>
      </w:r>
      <w:r>
        <w:rPr>
          <w:spacing w:val="-2"/>
        </w:rPr>
        <w:t xml:space="preserve">released </w:t>
      </w:r>
      <w:r w:rsidR="000B206D">
        <w:rPr>
          <w:spacing w:val="-2"/>
        </w:rPr>
        <w:t>the</w:t>
      </w:r>
      <w:r>
        <w:rPr>
          <w:spacing w:val="-2"/>
        </w:rPr>
        <w:t xml:space="preserve"> </w:t>
      </w:r>
      <w:r w:rsidRPr="00DA15B0">
        <w:rPr>
          <w:i/>
          <w:spacing w:val="-2"/>
        </w:rPr>
        <w:t>Forfeiture Order</w:t>
      </w:r>
      <w:r w:rsidR="000B206D" w:rsidRPr="000B206D">
        <w:rPr>
          <w:spacing w:val="-2"/>
        </w:rPr>
        <w:t>,</w:t>
      </w:r>
      <w:r>
        <w:rPr>
          <w:spacing w:val="-2"/>
        </w:rPr>
        <w:t xml:space="preserve"> </w:t>
      </w:r>
      <w:r w:rsidR="000B206D">
        <w:rPr>
          <w:spacing w:val="-2"/>
        </w:rPr>
        <w:t xml:space="preserve">which generally affirmed </w:t>
      </w:r>
      <w:r>
        <w:rPr>
          <w:spacing w:val="-2"/>
        </w:rPr>
        <w:t xml:space="preserve">the </w:t>
      </w:r>
      <w:r w:rsidRPr="00D31EF5">
        <w:rPr>
          <w:i/>
          <w:spacing w:val="-2"/>
        </w:rPr>
        <w:t>NAL</w:t>
      </w:r>
      <w:r>
        <w:rPr>
          <w:spacing w:val="-2"/>
        </w:rPr>
        <w:t xml:space="preserve"> and </w:t>
      </w:r>
      <w:r w:rsidR="000B206D">
        <w:rPr>
          <w:spacing w:val="-2"/>
        </w:rPr>
        <w:t>imposed</w:t>
      </w:r>
      <w:r>
        <w:rPr>
          <w:spacing w:val="-2"/>
        </w:rPr>
        <w:t xml:space="preserve"> </w:t>
      </w:r>
      <w:r w:rsidR="000B206D">
        <w:rPr>
          <w:spacing w:val="-2"/>
        </w:rPr>
        <w:t>the</w:t>
      </w:r>
      <w:r>
        <w:rPr>
          <w:spacing w:val="-2"/>
        </w:rPr>
        <w:t xml:space="preserve"> $5,200 forfeiture </w:t>
      </w:r>
      <w:r w:rsidR="000B206D">
        <w:rPr>
          <w:spacing w:val="-2"/>
        </w:rPr>
        <w:t xml:space="preserve">against Saga </w:t>
      </w:r>
      <w:r>
        <w:rPr>
          <w:spacing w:val="-2"/>
        </w:rPr>
        <w:t xml:space="preserve">for </w:t>
      </w:r>
      <w:r w:rsidR="00111ABF">
        <w:rPr>
          <w:spacing w:val="-2"/>
        </w:rPr>
        <w:t xml:space="preserve">its </w:t>
      </w:r>
      <w:r>
        <w:rPr>
          <w:spacing w:val="-2"/>
        </w:rPr>
        <w:t xml:space="preserve">willful and repeated violation of </w:t>
      </w:r>
      <w:r w:rsidR="00111ABF">
        <w:rPr>
          <w:spacing w:val="-2"/>
        </w:rPr>
        <w:t>S</w:t>
      </w:r>
      <w:r>
        <w:rPr>
          <w:spacing w:val="-2"/>
        </w:rPr>
        <w:t xml:space="preserve">ection 301 of the Act and </w:t>
      </w:r>
      <w:r w:rsidR="00111ABF">
        <w:rPr>
          <w:spacing w:val="-2"/>
        </w:rPr>
        <w:t>S</w:t>
      </w:r>
      <w:r>
        <w:rPr>
          <w:spacing w:val="-2"/>
        </w:rPr>
        <w:t xml:space="preserve">ection 25.102(a) </w:t>
      </w:r>
      <w:r w:rsidR="00A452E7">
        <w:rPr>
          <w:spacing w:val="-2"/>
        </w:rPr>
        <w:t xml:space="preserve">of the Rules, </w:t>
      </w:r>
      <w:r>
        <w:rPr>
          <w:spacing w:val="-2"/>
        </w:rPr>
        <w:t xml:space="preserve">and </w:t>
      </w:r>
      <w:r w:rsidR="00A452E7">
        <w:rPr>
          <w:spacing w:val="-2"/>
        </w:rPr>
        <w:t xml:space="preserve">for </w:t>
      </w:r>
      <w:r w:rsidR="00111ABF">
        <w:rPr>
          <w:spacing w:val="-2"/>
        </w:rPr>
        <w:t xml:space="preserve">its </w:t>
      </w:r>
      <w:r w:rsidR="00A452E7">
        <w:rPr>
          <w:spacing w:val="-2"/>
        </w:rPr>
        <w:t xml:space="preserve">willful violation of </w:t>
      </w:r>
      <w:r w:rsidR="00111ABF">
        <w:rPr>
          <w:spacing w:val="-2"/>
        </w:rPr>
        <w:t>S</w:t>
      </w:r>
      <w:r w:rsidR="00A452E7">
        <w:rPr>
          <w:spacing w:val="-2"/>
        </w:rPr>
        <w:t xml:space="preserve">ection </w:t>
      </w:r>
      <w:r>
        <w:rPr>
          <w:spacing w:val="-2"/>
        </w:rPr>
        <w:t>25.121(e) of the Rules.</w:t>
      </w:r>
      <w:r w:rsidR="00725969">
        <w:rPr>
          <w:rStyle w:val="FootnoteReference"/>
          <w:spacing w:val="-2"/>
        </w:rPr>
        <w:footnoteReference w:id="19"/>
      </w:r>
      <w:r>
        <w:rPr>
          <w:spacing w:val="-2"/>
        </w:rPr>
        <w:t xml:space="preserve">  The </w:t>
      </w:r>
      <w:r w:rsidRPr="00907D17">
        <w:rPr>
          <w:i/>
          <w:spacing w:val="-2"/>
        </w:rPr>
        <w:t>Forfeiture Order</w:t>
      </w:r>
      <w:r>
        <w:rPr>
          <w:spacing w:val="-2"/>
        </w:rPr>
        <w:t xml:space="preserve"> rejected Saga’s assertions that its failure to file a timely renewal application was not willful,</w:t>
      </w:r>
      <w:r w:rsidR="003978D9">
        <w:rPr>
          <w:rStyle w:val="FootnoteReference"/>
          <w:spacing w:val="-2"/>
        </w:rPr>
        <w:footnoteReference w:id="20"/>
      </w:r>
      <w:r>
        <w:rPr>
          <w:spacing w:val="-2"/>
        </w:rPr>
        <w:t xml:space="preserve"> that the proposed forfeiture for failure to file a timely renewal application is inconsistent with prior </w:t>
      </w:r>
      <w:r w:rsidR="00EE4F45">
        <w:rPr>
          <w:spacing w:val="-2"/>
        </w:rPr>
        <w:lastRenderedPageBreak/>
        <w:t>Commission precedent</w:t>
      </w:r>
      <w:r>
        <w:rPr>
          <w:spacing w:val="-2"/>
        </w:rPr>
        <w:t>,</w:t>
      </w:r>
      <w:r w:rsidR="003978D9">
        <w:rPr>
          <w:rStyle w:val="FootnoteReference"/>
          <w:spacing w:val="-2"/>
        </w:rPr>
        <w:footnoteReference w:id="21"/>
      </w:r>
      <w:r>
        <w:rPr>
          <w:spacing w:val="-2"/>
        </w:rPr>
        <w:t xml:space="preserve"> and that the proposed</w:t>
      </w:r>
      <w:r w:rsidR="006F0AA5">
        <w:rPr>
          <w:spacing w:val="-2"/>
        </w:rPr>
        <w:t xml:space="preserve"> </w:t>
      </w:r>
      <w:r>
        <w:rPr>
          <w:spacing w:val="-2"/>
        </w:rPr>
        <w:t>forfeiture for its unauthorized operation of the earth station should be cancelled on public interest grounds.</w:t>
      </w:r>
      <w:r w:rsidR="003978D9">
        <w:rPr>
          <w:rStyle w:val="FootnoteReference"/>
          <w:spacing w:val="-2"/>
        </w:rPr>
        <w:footnoteReference w:id="22"/>
      </w:r>
    </w:p>
    <w:p w:rsidR="00EB3EF5" w:rsidRPr="000B206D" w:rsidRDefault="00396319" w:rsidP="00EE4F45">
      <w:pPr>
        <w:pStyle w:val="ParaNum"/>
        <w:tabs>
          <w:tab w:val="clear" w:pos="1170"/>
        </w:tabs>
        <w:ind w:left="0"/>
        <w:jc w:val="left"/>
        <w:rPr>
          <w:b/>
          <w:szCs w:val="22"/>
        </w:rPr>
      </w:pPr>
      <w:r>
        <w:rPr>
          <w:spacing w:val="-2"/>
        </w:rPr>
        <w:t xml:space="preserve">On May 1, 2009, Saga filed </w:t>
      </w:r>
      <w:r w:rsidR="00FB77CB">
        <w:rPr>
          <w:spacing w:val="-2"/>
        </w:rPr>
        <w:t>the</w:t>
      </w:r>
      <w:r w:rsidR="008C0D37">
        <w:rPr>
          <w:spacing w:val="-2"/>
        </w:rPr>
        <w:t xml:space="preserve"> instant</w:t>
      </w:r>
      <w:r w:rsidR="00FB77CB">
        <w:rPr>
          <w:spacing w:val="-2"/>
        </w:rPr>
        <w:t xml:space="preserve"> Petition</w:t>
      </w:r>
      <w:r>
        <w:rPr>
          <w:spacing w:val="-2"/>
        </w:rPr>
        <w:t xml:space="preserve"> seeking cancellation of the forfeiture.  In its </w:t>
      </w:r>
      <w:r w:rsidR="00625EF1">
        <w:rPr>
          <w:spacing w:val="-2"/>
        </w:rPr>
        <w:t>P</w:t>
      </w:r>
      <w:r>
        <w:rPr>
          <w:spacing w:val="-2"/>
        </w:rPr>
        <w:t>etition, Saga</w:t>
      </w:r>
      <w:r w:rsidR="00EE4F45">
        <w:rPr>
          <w:spacing w:val="-2"/>
        </w:rPr>
        <w:t xml:space="preserve"> repeats arguments previously raised</w:t>
      </w:r>
      <w:r w:rsidR="000C3073">
        <w:rPr>
          <w:spacing w:val="-2"/>
        </w:rPr>
        <w:t>:</w:t>
      </w:r>
      <w:r w:rsidR="00EE4F45">
        <w:rPr>
          <w:spacing w:val="-2"/>
        </w:rPr>
        <w:t xml:space="preserve">  its failure to file a timely renewal application was not willful</w:t>
      </w:r>
      <w:r w:rsidR="000C3073">
        <w:rPr>
          <w:spacing w:val="-2"/>
        </w:rPr>
        <w:t>;</w:t>
      </w:r>
      <w:r w:rsidR="00E53177">
        <w:rPr>
          <w:rStyle w:val="FootnoteReference"/>
          <w:spacing w:val="-2"/>
        </w:rPr>
        <w:footnoteReference w:id="23"/>
      </w:r>
      <w:r w:rsidR="00EE4F45">
        <w:rPr>
          <w:spacing w:val="-2"/>
        </w:rPr>
        <w:t xml:space="preserve"> the forfeiture assessed for that violation </w:t>
      </w:r>
      <w:r w:rsidR="00202FEF">
        <w:rPr>
          <w:spacing w:val="-2"/>
        </w:rPr>
        <w:t>i</w:t>
      </w:r>
      <w:r w:rsidR="00EE4F45">
        <w:rPr>
          <w:spacing w:val="-2"/>
        </w:rPr>
        <w:t>s inconsistent with prior Commission precedent</w:t>
      </w:r>
      <w:r w:rsidR="000C3073">
        <w:rPr>
          <w:spacing w:val="-2"/>
        </w:rPr>
        <w:t>;</w:t>
      </w:r>
      <w:r w:rsidR="00E53177">
        <w:rPr>
          <w:rStyle w:val="FootnoteReference"/>
          <w:spacing w:val="-2"/>
        </w:rPr>
        <w:footnoteReference w:id="24"/>
      </w:r>
      <w:r>
        <w:rPr>
          <w:spacing w:val="-2"/>
        </w:rPr>
        <w:t xml:space="preserve"> </w:t>
      </w:r>
      <w:r w:rsidR="00EE4F45">
        <w:rPr>
          <w:spacing w:val="-2"/>
        </w:rPr>
        <w:t xml:space="preserve">and </w:t>
      </w:r>
      <w:r>
        <w:rPr>
          <w:spacing w:val="-2"/>
        </w:rPr>
        <w:t xml:space="preserve">the forfeiture </w:t>
      </w:r>
      <w:r w:rsidR="00EE4F45">
        <w:rPr>
          <w:spacing w:val="-2"/>
        </w:rPr>
        <w:t xml:space="preserve">imposed </w:t>
      </w:r>
      <w:r>
        <w:rPr>
          <w:spacing w:val="-2"/>
        </w:rPr>
        <w:t>for its unauthorized operation of the earth station should be cancel</w:t>
      </w:r>
      <w:r w:rsidR="00363E2E">
        <w:rPr>
          <w:spacing w:val="-2"/>
        </w:rPr>
        <w:t>led on public interest grounds.</w:t>
      </w:r>
      <w:r w:rsidR="00695750">
        <w:rPr>
          <w:rStyle w:val="FootnoteReference"/>
          <w:spacing w:val="-2"/>
        </w:rPr>
        <w:footnoteReference w:id="25"/>
      </w:r>
      <w:r w:rsidR="00363E2E">
        <w:rPr>
          <w:spacing w:val="-2"/>
        </w:rPr>
        <w:t xml:space="preserve">  </w:t>
      </w:r>
    </w:p>
    <w:p w:rsidR="000B206D" w:rsidRDefault="000B206D" w:rsidP="000B206D">
      <w:pPr>
        <w:rPr>
          <w:b/>
          <w:szCs w:val="22"/>
        </w:rPr>
      </w:pPr>
      <w:r w:rsidRPr="009267D8">
        <w:rPr>
          <w:b/>
          <w:szCs w:val="22"/>
        </w:rPr>
        <w:t>III.      DISCUSSION</w:t>
      </w:r>
    </w:p>
    <w:p w:rsidR="008700D2" w:rsidRPr="009267D8" w:rsidRDefault="008700D2" w:rsidP="000B206D">
      <w:pPr>
        <w:rPr>
          <w:b/>
          <w:szCs w:val="22"/>
        </w:rPr>
      </w:pPr>
    </w:p>
    <w:p w:rsidR="00EF6520" w:rsidRPr="009267D8" w:rsidRDefault="001363EC" w:rsidP="00EE4F45">
      <w:pPr>
        <w:pStyle w:val="ParaNum"/>
        <w:tabs>
          <w:tab w:val="clear" w:pos="1170"/>
        </w:tabs>
        <w:ind w:left="0"/>
        <w:jc w:val="left"/>
        <w:rPr>
          <w:b/>
          <w:szCs w:val="22"/>
        </w:rPr>
      </w:pPr>
      <w:r>
        <w:t xml:space="preserve">The arguments raised </w:t>
      </w:r>
      <w:r w:rsidR="000B206D">
        <w:t>by</w:t>
      </w:r>
      <w:r>
        <w:t xml:space="preserve"> Saga </w:t>
      </w:r>
      <w:r w:rsidR="000B206D">
        <w:t xml:space="preserve">in its </w:t>
      </w:r>
      <w:r>
        <w:t xml:space="preserve">Petition are merely reiterative of the arguments presented in its NAL Response that the Division fully considered and properly rejected in the </w:t>
      </w:r>
      <w:r>
        <w:rPr>
          <w:i/>
        </w:rPr>
        <w:t>Forfeiture Order.</w:t>
      </w:r>
      <w:r w:rsidRPr="00CB0209">
        <w:rPr>
          <w:rStyle w:val="FootnoteReference"/>
        </w:rPr>
        <w:footnoteReference w:id="26"/>
      </w:r>
      <w:r w:rsidRPr="00CB0209">
        <w:t xml:space="preserve">  </w:t>
      </w:r>
      <w:r>
        <w:t>W</w:t>
      </w:r>
      <w:r w:rsidRPr="00E8314E">
        <w:t xml:space="preserve">e </w:t>
      </w:r>
      <w:r>
        <w:t xml:space="preserve">therefore </w:t>
      </w:r>
      <w:r w:rsidRPr="00E8314E">
        <w:t xml:space="preserve">uphold the Division’s finding that </w:t>
      </w:r>
      <w:r>
        <w:t>Saga</w:t>
      </w:r>
      <w:r w:rsidRPr="00E8314E">
        <w:t xml:space="preserve"> willfully and repeatedly violated</w:t>
      </w:r>
      <w:r>
        <w:t xml:space="preserve"> </w:t>
      </w:r>
      <w:r>
        <w:rPr>
          <w:spacing w:val="-2"/>
        </w:rPr>
        <w:t>Section 301 of the Act</w:t>
      </w:r>
      <w:r w:rsidR="00493CC3">
        <w:rPr>
          <w:rStyle w:val="FootnoteReference"/>
          <w:spacing w:val="-2"/>
        </w:rPr>
        <w:footnoteReference w:id="27"/>
      </w:r>
      <w:r>
        <w:rPr>
          <w:spacing w:val="-2"/>
        </w:rPr>
        <w:t xml:space="preserve"> and Section 25.102(a) of the Rules,</w:t>
      </w:r>
      <w:r w:rsidR="00493CC3">
        <w:rPr>
          <w:rStyle w:val="FootnoteReference"/>
          <w:spacing w:val="-2"/>
        </w:rPr>
        <w:footnoteReference w:id="28"/>
      </w:r>
      <w:r>
        <w:rPr>
          <w:spacing w:val="-2"/>
        </w:rPr>
        <w:t xml:space="preserve"> and willfully violated Section 25.121(e) of the Rules,</w:t>
      </w:r>
      <w:r w:rsidR="00B756CC">
        <w:rPr>
          <w:rStyle w:val="FootnoteReference"/>
          <w:spacing w:val="-2"/>
        </w:rPr>
        <w:footnoteReference w:id="29"/>
      </w:r>
      <w:r>
        <w:rPr>
          <w:spacing w:val="-2"/>
        </w:rPr>
        <w:t xml:space="preserve"> and </w:t>
      </w:r>
      <w:r w:rsidRPr="00E8314E">
        <w:t>decline to further reduce the forfeiture amount</w:t>
      </w:r>
      <w:r>
        <w:rPr>
          <w:spacing w:val="-2"/>
        </w:rPr>
        <w:t>.</w:t>
      </w:r>
      <w:r w:rsidR="00423F83">
        <w:rPr>
          <w:rStyle w:val="FootnoteReference"/>
          <w:spacing w:val="-2"/>
        </w:rPr>
        <w:footnoteReference w:id="30"/>
      </w:r>
      <w:r>
        <w:rPr>
          <w:spacing w:val="-2"/>
        </w:rPr>
        <w:t xml:space="preserve">  </w:t>
      </w:r>
      <w:r w:rsidR="00493CC3">
        <w:rPr>
          <w:spacing w:val="-2"/>
        </w:rPr>
        <w:t>In this regard, we note that for the reasons described above the proposed forfeiture has already been significantly reduced, from $13,000 to $5,200—a 40 percent reduction of the base forfeiture amount.</w:t>
      </w:r>
    </w:p>
    <w:p w:rsidR="004558BB" w:rsidRPr="009267D8" w:rsidRDefault="004558BB" w:rsidP="008B73C1">
      <w:pPr>
        <w:rPr>
          <w:b/>
          <w:szCs w:val="22"/>
        </w:rPr>
      </w:pPr>
      <w:r w:rsidRPr="009267D8">
        <w:rPr>
          <w:b/>
          <w:szCs w:val="22"/>
        </w:rPr>
        <w:t xml:space="preserve">IV.  </w:t>
      </w:r>
      <w:r w:rsidR="008B73C1" w:rsidRPr="009267D8">
        <w:rPr>
          <w:b/>
          <w:szCs w:val="22"/>
        </w:rPr>
        <w:t xml:space="preserve">    </w:t>
      </w:r>
      <w:r w:rsidRPr="009267D8">
        <w:rPr>
          <w:b/>
          <w:szCs w:val="22"/>
        </w:rPr>
        <w:t>ORDERING CLAUSES</w:t>
      </w:r>
    </w:p>
    <w:p w:rsidR="004558BB" w:rsidRPr="009267D8" w:rsidRDefault="004558BB" w:rsidP="004558BB">
      <w:pPr>
        <w:jc w:val="center"/>
        <w:rPr>
          <w:b/>
          <w:szCs w:val="22"/>
        </w:rPr>
      </w:pPr>
    </w:p>
    <w:p w:rsidR="005B167A" w:rsidRPr="005B167A" w:rsidRDefault="009F7BD6" w:rsidP="00DF3670">
      <w:pPr>
        <w:pStyle w:val="ParaNum"/>
        <w:widowControl/>
        <w:tabs>
          <w:tab w:val="clear" w:pos="1170"/>
        </w:tabs>
        <w:ind w:left="0"/>
        <w:jc w:val="left"/>
        <w:rPr>
          <w:szCs w:val="22"/>
        </w:rPr>
      </w:pPr>
      <w:r w:rsidRPr="009F7BD6">
        <w:rPr>
          <w:szCs w:val="22"/>
        </w:rPr>
        <w:t xml:space="preserve">Accordingly, </w:t>
      </w:r>
      <w:r w:rsidRPr="009F7BD6">
        <w:rPr>
          <w:b/>
          <w:szCs w:val="22"/>
        </w:rPr>
        <w:t>IT IS ORDERED</w:t>
      </w:r>
      <w:r w:rsidRPr="009F7BD6">
        <w:rPr>
          <w:szCs w:val="22"/>
        </w:rPr>
        <w:t xml:space="preserve"> that, pursuant to </w:t>
      </w:r>
      <w:r w:rsidR="001D4D82">
        <w:rPr>
          <w:szCs w:val="22"/>
        </w:rPr>
        <w:t>S</w:t>
      </w:r>
      <w:r w:rsidRPr="009F7BD6">
        <w:rPr>
          <w:szCs w:val="22"/>
        </w:rPr>
        <w:t>ection</w:t>
      </w:r>
      <w:r w:rsidR="001D4D82">
        <w:rPr>
          <w:szCs w:val="22"/>
        </w:rPr>
        <w:t xml:space="preserve">s 4(i) and </w:t>
      </w:r>
      <w:r w:rsidRPr="009F7BD6">
        <w:rPr>
          <w:szCs w:val="22"/>
        </w:rPr>
        <w:t xml:space="preserve">405 of the </w:t>
      </w:r>
      <w:r w:rsidR="001D4D82">
        <w:rPr>
          <w:szCs w:val="22"/>
        </w:rPr>
        <w:t xml:space="preserve">Communications </w:t>
      </w:r>
      <w:r w:rsidRPr="009F7BD6">
        <w:rPr>
          <w:szCs w:val="22"/>
        </w:rPr>
        <w:t>Act</w:t>
      </w:r>
      <w:r w:rsidR="001D4D82">
        <w:rPr>
          <w:szCs w:val="22"/>
        </w:rPr>
        <w:t xml:space="preserve"> of 1934, as amended</w:t>
      </w:r>
      <w:r w:rsidRPr="009F7BD6">
        <w:rPr>
          <w:szCs w:val="22"/>
        </w:rPr>
        <w:t xml:space="preserve">, and </w:t>
      </w:r>
      <w:r w:rsidR="001D4D82">
        <w:t>S</w:t>
      </w:r>
      <w:r w:rsidR="00594B71">
        <w:t xml:space="preserve">ections 0.111, 0.311, and 1.106 of the </w:t>
      </w:r>
      <w:r w:rsidR="001D4D82">
        <w:t>Commission’s r</w:t>
      </w:r>
      <w:r w:rsidR="00594B71">
        <w:t>ules,</w:t>
      </w:r>
      <w:r w:rsidR="00594B71">
        <w:rPr>
          <w:rStyle w:val="FootnoteReference"/>
        </w:rPr>
        <w:footnoteReference w:id="31"/>
      </w:r>
      <w:r w:rsidR="00594B71">
        <w:t xml:space="preserve"> </w:t>
      </w:r>
      <w:r w:rsidRPr="009F7BD6">
        <w:rPr>
          <w:szCs w:val="22"/>
        </w:rPr>
        <w:t xml:space="preserve">the Petition for Reconsideration of the </w:t>
      </w:r>
      <w:r w:rsidRPr="009F7BD6">
        <w:rPr>
          <w:i/>
          <w:szCs w:val="22"/>
        </w:rPr>
        <w:t>Forfeiture Order</w:t>
      </w:r>
      <w:r w:rsidRPr="009F7BD6">
        <w:rPr>
          <w:szCs w:val="22"/>
        </w:rPr>
        <w:t xml:space="preserve"> filed </w:t>
      </w:r>
      <w:r w:rsidR="001D4D82">
        <w:rPr>
          <w:szCs w:val="22"/>
        </w:rPr>
        <w:t xml:space="preserve">on May 1, 2009 </w:t>
      </w:r>
      <w:r w:rsidRPr="009F7BD6">
        <w:rPr>
          <w:szCs w:val="22"/>
        </w:rPr>
        <w:t xml:space="preserve">by </w:t>
      </w:r>
      <w:r>
        <w:rPr>
          <w:szCs w:val="22"/>
        </w:rPr>
        <w:t>Saga Radio Networks, LLC</w:t>
      </w:r>
      <w:r w:rsidR="001D4D82">
        <w:rPr>
          <w:szCs w:val="22"/>
        </w:rPr>
        <w:t xml:space="preserve"> is hereby </w:t>
      </w:r>
      <w:r w:rsidRPr="009F7BD6">
        <w:rPr>
          <w:b/>
          <w:szCs w:val="22"/>
        </w:rPr>
        <w:t>DENIED</w:t>
      </w:r>
      <w:r w:rsidR="001D4D82">
        <w:rPr>
          <w:szCs w:val="22"/>
        </w:rPr>
        <w:t xml:space="preserve"> and the </w:t>
      </w:r>
      <w:r w:rsidR="001D4D82" w:rsidRPr="001D4D82">
        <w:rPr>
          <w:i/>
          <w:szCs w:val="22"/>
        </w:rPr>
        <w:t>Forfeiture Order</w:t>
      </w:r>
      <w:r w:rsidR="001D4D82">
        <w:rPr>
          <w:szCs w:val="22"/>
        </w:rPr>
        <w:t xml:space="preserve"> </w:t>
      </w:r>
      <w:r w:rsidR="001D4D82" w:rsidRPr="001D4D82">
        <w:rPr>
          <w:b/>
          <w:szCs w:val="22"/>
        </w:rPr>
        <w:t>IS AFFIRMED</w:t>
      </w:r>
      <w:r w:rsidRPr="009F7BD6">
        <w:rPr>
          <w:b/>
          <w:szCs w:val="22"/>
        </w:rPr>
        <w:t>.</w:t>
      </w:r>
    </w:p>
    <w:p w:rsidR="00EF2506" w:rsidRDefault="00141EC9" w:rsidP="00EF2506">
      <w:pPr>
        <w:pStyle w:val="ParaNum"/>
        <w:tabs>
          <w:tab w:val="clear" w:pos="1170"/>
        </w:tabs>
        <w:ind w:left="0"/>
        <w:jc w:val="left"/>
        <w:rPr>
          <w:szCs w:val="22"/>
        </w:rPr>
      </w:pPr>
      <w:r>
        <w:rPr>
          <w:b/>
          <w:szCs w:val="22"/>
        </w:rPr>
        <w:t xml:space="preserve"> </w:t>
      </w:r>
      <w:r w:rsidR="00EF2506">
        <w:rPr>
          <w:b/>
          <w:szCs w:val="22"/>
        </w:rPr>
        <w:t>IT IS FURTHER ORDERED</w:t>
      </w:r>
      <w:r w:rsidR="00EF2506">
        <w:rPr>
          <w:szCs w:val="22"/>
        </w:rPr>
        <w:t xml:space="preserve"> that, pursuant to Section 503(b) of the </w:t>
      </w:r>
      <w:r w:rsidR="001D4D82">
        <w:rPr>
          <w:szCs w:val="22"/>
        </w:rPr>
        <w:t xml:space="preserve">Communications </w:t>
      </w:r>
      <w:r w:rsidR="00EF2506">
        <w:rPr>
          <w:szCs w:val="22"/>
        </w:rPr>
        <w:t>Act</w:t>
      </w:r>
      <w:r w:rsidR="001D4D82">
        <w:rPr>
          <w:szCs w:val="22"/>
        </w:rPr>
        <w:t xml:space="preserve"> of 1934</w:t>
      </w:r>
      <w:r w:rsidR="00EF2506">
        <w:rPr>
          <w:szCs w:val="22"/>
        </w:rPr>
        <w:t>,</w:t>
      </w:r>
      <w:r w:rsidR="001D4D82">
        <w:rPr>
          <w:szCs w:val="22"/>
        </w:rPr>
        <w:t xml:space="preserve"> as amended,</w:t>
      </w:r>
      <w:r w:rsidR="00EF2506">
        <w:rPr>
          <w:szCs w:val="22"/>
        </w:rPr>
        <w:t xml:space="preserve"> and Sections 0.111, 0.311 and 1.80(f) of the </w:t>
      </w:r>
      <w:r w:rsidR="001D4D82">
        <w:rPr>
          <w:szCs w:val="22"/>
        </w:rPr>
        <w:t>Commission’s r</w:t>
      </w:r>
      <w:r w:rsidR="00EF2506">
        <w:rPr>
          <w:szCs w:val="22"/>
        </w:rPr>
        <w:t>ules,</w:t>
      </w:r>
      <w:r w:rsidR="00EF2506">
        <w:rPr>
          <w:rStyle w:val="FootnoteReference"/>
          <w:szCs w:val="22"/>
        </w:rPr>
        <w:footnoteReference w:id="32"/>
      </w:r>
      <w:r w:rsidR="00EF2506">
        <w:rPr>
          <w:szCs w:val="22"/>
        </w:rPr>
        <w:t xml:space="preserve"> Saga Radio Networks, LLC </w:t>
      </w:r>
      <w:r w:rsidR="00EF2506">
        <w:rPr>
          <w:b/>
          <w:szCs w:val="22"/>
        </w:rPr>
        <w:t>IS LIABLE FOR A MONETARY FORFEITURE</w:t>
      </w:r>
      <w:r w:rsidR="00EF2506">
        <w:rPr>
          <w:szCs w:val="22"/>
        </w:rPr>
        <w:t xml:space="preserve"> in the amount of five thousand two hundred dollars ($5,200) for willful and repeated violation of Section 301 of the </w:t>
      </w:r>
      <w:r w:rsidR="001D4D82">
        <w:rPr>
          <w:szCs w:val="22"/>
        </w:rPr>
        <w:t>Communications Act of 1934, as amended,</w:t>
      </w:r>
      <w:r w:rsidR="00EF2506">
        <w:rPr>
          <w:szCs w:val="22"/>
        </w:rPr>
        <w:t xml:space="preserve"> and Section 25.102(a) of the </w:t>
      </w:r>
      <w:r w:rsidR="00A75DA1">
        <w:rPr>
          <w:szCs w:val="22"/>
        </w:rPr>
        <w:t>Commission’s r</w:t>
      </w:r>
      <w:r w:rsidR="00EF2506">
        <w:rPr>
          <w:szCs w:val="22"/>
        </w:rPr>
        <w:t xml:space="preserve">ules, and willful violation of Section 25.121(e) of the </w:t>
      </w:r>
      <w:r w:rsidR="00A75DA1">
        <w:rPr>
          <w:szCs w:val="22"/>
        </w:rPr>
        <w:t>Commission’s r</w:t>
      </w:r>
      <w:r w:rsidR="00EF2506">
        <w:rPr>
          <w:szCs w:val="22"/>
        </w:rPr>
        <w:t>ules.</w:t>
      </w:r>
      <w:r w:rsidR="00EF2506">
        <w:rPr>
          <w:rStyle w:val="FootnoteReference"/>
          <w:szCs w:val="22"/>
        </w:rPr>
        <w:footnoteReference w:id="33"/>
      </w:r>
    </w:p>
    <w:p w:rsidR="00285507" w:rsidRPr="00BF0439" w:rsidRDefault="00285507" w:rsidP="00285507">
      <w:pPr>
        <w:pStyle w:val="ParaNum"/>
        <w:widowControl/>
        <w:tabs>
          <w:tab w:val="clear" w:pos="1170"/>
          <w:tab w:val="num" w:pos="1440"/>
        </w:tabs>
        <w:spacing w:after="120"/>
        <w:ind w:left="0"/>
        <w:jc w:val="left"/>
        <w:rPr>
          <w:rFonts w:eastAsia="MS Mincho"/>
          <w:color w:val="000000"/>
          <w:szCs w:val="22"/>
        </w:rPr>
      </w:pPr>
      <w:r w:rsidRPr="00626BA2">
        <w:rPr>
          <w:rFonts w:eastAsia="MS Mincho" w:cs="Arial"/>
        </w:rPr>
        <w:t xml:space="preserve">Payment of the forfeiture shall be made in the manner provided for in Section 1.80 of the Rules within </w:t>
      </w:r>
      <w:r w:rsidR="00493CC3">
        <w:rPr>
          <w:rFonts w:eastAsia="MS Mincho" w:cs="Arial"/>
        </w:rPr>
        <w:t>ten</w:t>
      </w:r>
      <w:r w:rsidR="00493CC3" w:rsidRPr="001D4D82">
        <w:rPr>
          <w:rFonts w:eastAsia="MS Mincho" w:cs="Arial"/>
        </w:rPr>
        <w:t xml:space="preserve"> </w:t>
      </w:r>
      <w:r w:rsidRPr="001D4D82">
        <w:rPr>
          <w:rFonts w:eastAsia="MS Mincho" w:cs="Arial"/>
        </w:rPr>
        <w:t>(</w:t>
      </w:r>
      <w:r w:rsidR="00493CC3">
        <w:rPr>
          <w:rFonts w:eastAsia="MS Mincho" w:cs="Arial"/>
        </w:rPr>
        <w:t>1</w:t>
      </w:r>
      <w:r w:rsidRPr="001D4D82">
        <w:rPr>
          <w:rFonts w:eastAsia="MS Mincho" w:cs="Arial"/>
        </w:rPr>
        <w:t>0)</w:t>
      </w:r>
      <w:r w:rsidRPr="00626BA2">
        <w:rPr>
          <w:rFonts w:eastAsia="MS Mincho" w:cs="Arial"/>
        </w:rPr>
        <w:t xml:space="preserve"> calendar days after the release date of this </w:t>
      </w:r>
      <w:r>
        <w:rPr>
          <w:rFonts w:eastAsia="MS Mincho" w:cs="Arial"/>
        </w:rPr>
        <w:t>Memorandum Opinion and Order</w:t>
      </w:r>
      <w:r w:rsidRPr="00626BA2">
        <w:rPr>
          <w:rFonts w:eastAsia="MS Mincho" w:cs="Arial"/>
        </w:rPr>
        <w:t>.</w:t>
      </w:r>
      <w:r>
        <w:rPr>
          <w:rStyle w:val="FootnoteReference"/>
          <w:rFonts w:eastAsia="MS Mincho" w:cs="Arial"/>
        </w:rPr>
        <w:footnoteReference w:id="34"/>
      </w:r>
      <w:r w:rsidRPr="00626BA2">
        <w:rPr>
          <w:rFonts w:eastAsia="MS Mincho" w:cs="Arial"/>
        </w:rPr>
        <w:t xml:space="preserve">  If the forfeiture is not paid within the period specified, the case may be referred to the U.S. Department of Justice for enforcement of the forfeiture pursuant to Section 504(a) of the Act.</w:t>
      </w:r>
      <w:r>
        <w:rPr>
          <w:rStyle w:val="FootnoteReference"/>
          <w:rFonts w:eastAsia="MS Mincho" w:cs="Arial"/>
        </w:rPr>
        <w:footnoteReference w:id="35"/>
      </w:r>
      <w:r w:rsidRPr="00626BA2">
        <w:rPr>
          <w:rFonts w:eastAsia="MS Mincho" w:cs="Arial"/>
        </w:rPr>
        <w:t xml:space="preserve">  </w:t>
      </w:r>
      <w:r w:rsidR="005B167A">
        <w:rPr>
          <w:rFonts w:eastAsia="MS Mincho" w:cs="Arial"/>
        </w:rPr>
        <w:t xml:space="preserve">Saga Radio Networks, LLC </w:t>
      </w:r>
      <w:r w:rsidRPr="00D72D84">
        <w:rPr>
          <w:rFonts w:eastAsia="MS Mincho" w:cs="Arial"/>
        </w:rPr>
        <w:t xml:space="preserve">shall send electronic notification </w:t>
      </w:r>
      <w:r>
        <w:rPr>
          <w:rFonts w:eastAsia="MS Mincho" w:cs="Arial"/>
        </w:rPr>
        <w:t xml:space="preserve">of payment </w:t>
      </w:r>
      <w:r w:rsidRPr="00D72D84">
        <w:rPr>
          <w:rFonts w:eastAsia="MS Mincho" w:cs="Arial"/>
        </w:rPr>
        <w:t xml:space="preserve">to </w:t>
      </w:r>
      <w:r w:rsidR="005B167A">
        <w:rPr>
          <w:rFonts w:eastAsia="MS Mincho" w:cs="Arial"/>
        </w:rPr>
        <w:t xml:space="preserve">Ricardo Durham at </w:t>
      </w:r>
      <w:r w:rsidR="005B167A" w:rsidRPr="005B167A">
        <w:rPr>
          <w:rFonts w:eastAsia="MS Mincho" w:cs="Arial"/>
        </w:rPr>
        <w:t>Ricardo.Durham@fcc.gov</w:t>
      </w:r>
      <w:r w:rsidR="005B167A">
        <w:rPr>
          <w:rFonts w:eastAsia="MS Mincho" w:cs="Arial"/>
        </w:rPr>
        <w:t xml:space="preserve">, Kathy Harvey at </w:t>
      </w:r>
      <w:r w:rsidR="005B167A" w:rsidRPr="005B167A">
        <w:rPr>
          <w:rFonts w:eastAsia="MS Mincho" w:cs="Arial"/>
        </w:rPr>
        <w:t>Kathy.Harvey@fcc.gov</w:t>
      </w:r>
      <w:r w:rsidR="005B167A">
        <w:rPr>
          <w:rFonts w:eastAsia="MS Mincho" w:cs="Arial"/>
        </w:rPr>
        <w:t xml:space="preserve">, and Samantha Peoples at </w:t>
      </w:r>
      <w:r w:rsidR="005B167A" w:rsidRPr="005B167A">
        <w:rPr>
          <w:rFonts w:eastAsia="MS Mincho" w:cs="Arial"/>
        </w:rPr>
        <w:t>Sam.Peoples@fcc.gov</w:t>
      </w:r>
      <w:r w:rsidR="005B167A">
        <w:rPr>
          <w:rFonts w:eastAsia="MS Mincho" w:cs="Arial"/>
        </w:rPr>
        <w:t xml:space="preserve"> </w:t>
      </w:r>
      <w:r w:rsidRPr="00D72D84">
        <w:rPr>
          <w:rFonts w:eastAsia="MS Mincho" w:cs="Arial"/>
        </w:rPr>
        <w:t>on the date said payment is made.</w:t>
      </w:r>
    </w:p>
    <w:p w:rsidR="00285507" w:rsidRPr="00626BA2" w:rsidRDefault="00285507" w:rsidP="00285507">
      <w:pPr>
        <w:pStyle w:val="ParaNum"/>
        <w:tabs>
          <w:tab w:val="clear" w:pos="1170"/>
          <w:tab w:val="num" w:pos="1440"/>
        </w:tabs>
        <w:spacing w:after="120"/>
        <w:ind w:left="0"/>
        <w:jc w:val="left"/>
        <w:rPr>
          <w:rFonts w:eastAsia="MS Mincho" w:cs="Arial"/>
        </w:rPr>
      </w:pPr>
      <w:r w:rsidRPr="00626BA2">
        <w:rPr>
          <w:rFonts w:eastAsia="MS Mincho" w:cs="Arial"/>
        </w:rPr>
        <w:t>The payment must be made by check or similar instrument, wire transfer, or credit card, and must include the NAL/Account number and FRN referenced above.</w:t>
      </w:r>
      <w:r>
        <w:rPr>
          <w:rFonts w:eastAsia="MS Mincho" w:cs="Arial"/>
        </w:rPr>
        <w:t xml:space="preserve">  </w:t>
      </w:r>
      <w:r w:rsidRPr="00626BA2">
        <w:rPr>
          <w:rFonts w:eastAsia="MS Mincho" w:cs="Arial"/>
        </w:rPr>
        <w:t xml:space="preserve">Regardless of the form of payment, a completed FCC Form 159 (Remittance Advice) must </w:t>
      </w:r>
      <w:r>
        <w:rPr>
          <w:rFonts w:eastAsia="MS Mincho" w:cs="Arial"/>
        </w:rPr>
        <w:t>be submitted.</w:t>
      </w:r>
      <w:r>
        <w:rPr>
          <w:rStyle w:val="FootnoteReference"/>
          <w:rFonts w:eastAsia="MS Mincho" w:cs="Arial"/>
        </w:rPr>
        <w:footnoteReference w:id="36"/>
      </w:r>
      <w:r>
        <w:rPr>
          <w:rFonts w:eastAsia="MS Mincho" w:cs="Arial"/>
        </w:rPr>
        <w:t xml:space="preserve">  </w:t>
      </w:r>
      <w:r w:rsidRPr="00626BA2">
        <w:rPr>
          <w:rFonts w:eastAsia="MS Mincho" w:cs="Arial"/>
        </w:rPr>
        <w:t>When completing the FCC Form 159, enter the Account Number in block number 23A (call sign/other ID) and enter the letters “FORF” in block number 24A (payment type code).  </w:t>
      </w:r>
      <w:r>
        <w:rPr>
          <w:rFonts w:eastAsia="MS Mincho" w:cs="Arial"/>
        </w:rPr>
        <w:t xml:space="preserve"> </w:t>
      </w:r>
      <w:r>
        <w:rPr>
          <w:color w:val="000000"/>
          <w:szCs w:val="22"/>
        </w:rPr>
        <w:t>Below are additional instructions you should follow based on the form of payment you select:</w:t>
      </w:r>
    </w:p>
    <w:p w:rsidR="00285507" w:rsidRPr="00626BA2" w:rsidRDefault="00285507" w:rsidP="00285507">
      <w:pPr>
        <w:pStyle w:val="ParaNum"/>
        <w:numPr>
          <w:ilvl w:val="0"/>
          <w:numId w:val="30"/>
        </w:numPr>
        <w:tabs>
          <w:tab w:val="clear" w:pos="1440"/>
        </w:tabs>
        <w:spacing w:after="120"/>
        <w:jc w:val="left"/>
        <w:rPr>
          <w:rFonts w:eastAsia="MS Mincho"/>
        </w:rPr>
      </w:pPr>
      <w:r>
        <w:rPr>
          <w:rFonts w:eastAsia="MS Mincho"/>
        </w:rPr>
        <w:t>P</w:t>
      </w:r>
      <w:r w:rsidRPr="00626BA2">
        <w:rPr>
          <w:rFonts w:eastAsia="MS Mincho"/>
        </w:rPr>
        <w:t>ayment by check or money order must be made payable to the order of the Federal Communications Commission.  Such payments (along with the completed Form 159) </w:t>
      </w:r>
      <w:r>
        <w:rPr>
          <w:rFonts w:eastAsia="MS Mincho"/>
        </w:rPr>
        <w:t>must</w:t>
      </w:r>
      <w:r w:rsidRPr="00626BA2">
        <w:rPr>
          <w:rFonts w:eastAsia="MS Mincho"/>
        </w:rPr>
        <w:t xml:space="preserve"> be mailed to Federal Communications Commission, </w:t>
      </w:r>
      <w:smartTag w:uri="urn:schemas-microsoft-com:office:smarttags" w:element="address">
        <w:smartTag w:uri="urn:schemas-microsoft-com:office:smarttags" w:element="Street">
          <w:r w:rsidRPr="00626BA2">
            <w:rPr>
              <w:rFonts w:eastAsia="MS Mincho"/>
            </w:rPr>
            <w:t>P.O. Box 979088</w:t>
          </w:r>
        </w:smartTag>
        <w:r w:rsidRPr="00626BA2">
          <w:rPr>
            <w:rFonts w:eastAsia="MS Mincho"/>
          </w:rPr>
          <w:t xml:space="preserve">, </w:t>
        </w:r>
        <w:smartTag w:uri="urn:schemas-microsoft-com:office:smarttags" w:element="City">
          <w:r w:rsidRPr="00626BA2">
            <w:rPr>
              <w:rFonts w:eastAsia="MS Mincho"/>
            </w:rPr>
            <w:t>St. Louis</w:t>
          </w:r>
        </w:smartTag>
        <w:r w:rsidRPr="00626BA2">
          <w:rPr>
            <w:rFonts w:eastAsia="MS Mincho"/>
          </w:rPr>
          <w:t xml:space="preserve">, </w:t>
        </w:r>
        <w:smartTag w:uri="urn:schemas-microsoft-com:office:smarttags" w:element="State">
          <w:r w:rsidRPr="00626BA2">
            <w:rPr>
              <w:rFonts w:eastAsia="MS Mincho"/>
            </w:rPr>
            <w:t>MO</w:t>
          </w:r>
        </w:smartTag>
        <w:r w:rsidRPr="00626BA2">
          <w:rPr>
            <w:rFonts w:eastAsia="MS Mincho"/>
          </w:rPr>
          <w:t xml:space="preserve"> </w:t>
        </w:r>
        <w:smartTag w:uri="urn:schemas-microsoft-com:office:smarttags" w:element="PostalCode">
          <w:r w:rsidRPr="00626BA2">
            <w:rPr>
              <w:rFonts w:eastAsia="MS Mincho"/>
            </w:rPr>
            <w:t>63197-9000</w:t>
          </w:r>
        </w:smartTag>
      </w:smartTag>
      <w:r w:rsidRPr="00626BA2">
        <w:rPr>
          <w:rFonts w:eastAsia="MS Mincho"/>
        </w:rPr>
        <w:t xml:space="preserve">, or sent via overnight mail to U.S. Bank – Government Lockbox #979088, SL-MO-C2-GL, 1005 </w:t>
      </w:r>
      <w:smartTag w:uri="urn:schemas-microsoft-com:office:smarttags" w:element="PlaceName">
        <w:r w:rsidRPr="00626BA2">
          <w:rPr>
            <w:rFonts w:eastAsia="MS Mincho"/>
          </w:rPr>
          <w:t>Convention</w:t>
        </w:r>
      </w:smartTag>
      <w:r w:rsidRPr="00626BA2">
        <w:rPr>
          <w:rFonts w:eastAsia="MS Mincho"/>
        </w:rPr>
        <w:t xml:space="preserve"> </w:t>
      </w:r>
      <w:smartTag w:uri="urn:schemas-microsoft-com:office:smarttags" w:element="PlaceType">
        <w:r w:rsidRPr="00626BA2">
          <w:rPr>
            <w:rFonts w:eastAsia="MS Mincho"/>
          </w:rPr>
          <w:t>Plaza</w:t>
        </w:r>
      </w:smartTag>
      <w:r w:rsidRPr="00626BA2">
        <w:rPr>
          <w:rFonts w:eastAsia="MS Mincho"/>
        </w:rPr>
        <w:t xml:space="preserve">, </w:t>
      </w:r>
      <w:smartTag w:uri="urn:schemas-microsoft-com:office:smarttags" w:element="place">
        <w:smartTag w:uri="urn:schemas-microsoft-com:office:smarttags" w:element="City">
          <w:r w:rsidRPr="00626BA2">
            <w:rPr>
              <w:rFonts w:eastAsia="MS Mincho"/>
            </w:rPr>
            <w:t>St. Louis</w:t>
          </w:r>
        </w:smartTag>
        <w:r w:rsidRPr="00626BA2">
          <w:rPr>
            <w:rFonts w:eastAsia="MS Mincho"/>
          </w:rPr>
          <w:t xml:space="preserve">, </w:t>
        </w:r>
        <w:smartTag w:uri="urn:schemas-microsoft-com:office:smarttags" w:element="State">
          <w:r w:rsidRPr="00626BA2">
            <w:rPr>
              <w:rFonts w:eastAsia="MS Mincho"/>
            </w:rPr>
            <w:t>MO</w:t>
          </w:r>
        </w:smartTag>
        <w:r w:rsidRPr="00626BA2">
          <w:rPr>
            <w:rFonts w:eastAsia="MS Mincho"/>
          </w:rPr>
          <w:t xml:space="preserve"> </w:t>
        </w:r>
        <w:smartTag w:uri="urn:schemas-microsoft-com:office:smarttags" w:element="PostalCode">
          <w:r w:rsidRPr="00626BA2">
            <w:rPr>
              <w:rFonts w:eastAsia="MS Mincho"/>
            </w:rPr>
            <w:t>63101</w:t>
          </w:r>
        </w:smartTag>
      </w:smartTag>
      <w:r w:rsidRPr="00626BA2">
        <w:rPr>
          <w:rFonts w:eastAsia="MS Mincho"/>
        </w:rPr>
        <w:t xml:space="preserve">.  </w:t>
      </w:r>
    </w:p>
    <w:p w:rsidR="00285507" w:rsidRPr="00626BA2" w:rsidRDefault="00285507" w:rsidP="00285507">
      <w:pPr>
        <w:pStyle w:val="ParaNum"/>
        <w:numPr>
          <w:ilvl w:val="0"/>
          <w:numId w:val="30"/>
        </w:numPr>
        <w:tabs>
          <w:tab w:val="clear" w:pos="1440"/>
        </w:tabs>
        <w:spacing w:after="120"/>
        <w:jc w:val="left"/>
        <w:rPr>
          <w:rFonts w:eastAsia="MS Mincho"/>
        </w:rPr>
      </w:pPr>
      <w:r>
        <w:rPr>
          <w:rFonts w:eastAsia="MS Mincho"/>
        </w:rPr>
        <w:t>Payment by wire transfer must</w:t>
      </w:r>
      <w:r w:rsidRPr="00626BA2">
        <w:rPr>
          <w:rFonts w:eastAsia="MS Mincho"/>
        </w:rPr>
        <w:t xml:space="preserve"> be made to ABA Number 021030004, receiving bank TREAS/NYC, and Account Number 27000001.  </w:t>
      </w:r>
      <w:r>
        <w:rPr>
          <w:rFonts w:eastAsia="MS Mincho"/>
        </w:rPr>
        <w:t xml:space="preserve">To complete the wire transfer and ensure appropriate crediting of the wired funds, a </w:t>
      </w:r>
      <w:r w:rsidRPr="00626BA2">
        <w:rPr>
          <w:rFonts w:eastAsia="MS Mincho"/>
        </w:rPr>
        <w:t>completed Form 159 must be faxed to U.S. Bank at (314) 418-4232</w:t>
      </w:r>
      <w:r>
        <w:rPr>
          <w:rFonts w:eastAsia="MS Mincho"/>
        </w:rPr>
        <w:t xml:space="preserve"> on</w:t>
      </w:r>
      <w:r w:rsidRPr="00626BA2">
        <w:rPr>
          <w:rFonts w:eastAsia="MS Mincho"/>
        </w:rPr>
        <w:t xml:space="preserve"> the same business day </w:t>
      </w:r>
      <w:r>
        <w:rPr>
          <w:rFonts w:eastAsia="MS Mincho"/>
        </w:rPr>
        <w:t>the wire transfer is initiated</w:t>
      </w:r>
      <w:r w:rsidRPr="00626BA2">
        <w:rPr>
          <w:rFonts w:eastAsia="MS Mincho"/>
        </w:rPr>
        <w:t xml:space="preserve">.  </w:t>
      </w:r>
    </w:p>
    <w:p w:rsidR="00285507" w:rsidRPr="00626BA2" w:rsidRDefault="00285507" w:rsidP="00285507">
      <w:pPr>
        <w:pStyle w:val="ParaNum"/>
        <w:numPr>
          <w:ilvl w:val="0"/>
          <w:numId w:val="30"/>
        </w:numPr>
        <w:tabs>
          <w:tab w:val="clear" w:pos="1440"/>
        </w:tabs>
        <w:spacing w:after="120"/>
        <w:jc w:val="left"/>
        <w:rPr>
          <w:rFonts w:eastAsia="MS Mincho"/>
        </w:rPr>
      </w:pPr>
      <w:r>
        <w:rPr>
          <w:rFonts w:eastAsia="MS Mincho"/>
        </w:rPr>
        <w:t>Payment by credit card must</w:t>
      </w:r>
      <w:r w:rsidRPr="00626BA2">
        <w:rPr>
          <w:rFonts w:eastAsia="MS Mincho"/>
        </w:rPr>
        <w:t xml:space="preserve"> be made by providing the required credit card information on FCC Form 159 and signing and dating the Form 159 to authorize the credit card payment.</w:t>
      </w:r>
      <w:r>
        <w:rPr>
          <w:rFonts w:eastAsia="MS Mincho"/>
        </w:rPr>
        <w:t xml:space="preserve">   </w:t>
      </w:r>
      <w:r w:rsidRPr="00626BA2">
        <w:rPr>
          <w:rFonts w:eastAsia="MS Mincho"/>
        </w:rPr>
        <w:t xml:space="preserve">The completed Form 159 </w:t>
      </w:r>
      <w:r>
        <w:rPr>
          <w:rFonts w:eastAsia="MS Mincho"/>
        </w:rPr>
        <w:t>must</w:t>
      </w:r>
      <w:r w:rsidRPr="00626BA2">
        <w:rPr>
          <w:rFonts w:eastAsia="MS Mincho"/>
        </w:rPr>
        <w:t xml:space="preserve"> then be mailed to Federal Communications Commission, </w:t>
      </w:r>
      <w:smartTag w:uri="urn:schemas-microsoft-com:office:smarttags" w:element="address">
        <w:smartTag w:uri="urn:schemas-microsoft-com:office:smarttags" w:element="Street">
          <w:r w:rsidRPr="00626BA2">
            <w:rPr>
              <w:rFonts w:eastAsia="MS Mincho"/>
            </w:rPr>
            <w:t>P.O. Box 979088</w:t>
          </w:r>
        </w:smartTag>
        <w:r w:rsidRPr="00626BA2">
          <w:rPr>
            <w:rFonts w:eastAsia="MS Mincho"/>
          </w:rPr>
          <w:t xml:space="preserve">, </w:t>
        </w:r>
        <w:smartTag w:uri="urn:schemas-microsoft-com:office:smarttags" w:element="City">
          <w:r w:rsidRPr="00626BA2">
            <w:rPr>
              <w:rFonts w:eastAsia="MS Mincho"/>
            </w:rPr>
            <w:t>St. Louis</w:t>
          </w:r>
        </w:smartTag>
        <w:r w:rsidRPr="00626BA2">
          <w:rPr>
            <w:rFonts w:eastAsia="MS Mincho"/>
          </w:rPr>
          <w:t xml:space="preserve">, </w:t>
        </w:r>
        <w:smartTag w:uri="urn:schemas-microsoft-com:office:smarttags" w:element="State">
          <w:r w:rsidRPr="00626BA2">
            <w:rPr>
              <w:rFonts w:eastAsia="MS Mincho"/>
            </w:rPr>
            <w:t>MO</w:t>
          </w:r>
        </w:smartTag>
        <w:r w:rsidRPr="00626BA2">
          <w:rPr>
            <w:rFonts w:eastAsia="MS Mincho"/>
          </w:rPr>
          <w:t xml:space="preserve"> </w:t>
        </w:r>
        <w:smartTag w:uri="urn:schemas-microsoft-com:office:smarttags" w:element="PostalCode">
          <w:r w:rsidRPr="00626BA2">
            <w:rPr>
              <w:rFonts w:eastAsia="MS Mincho"/>
            </w:rPr>
            <w:t>63197-9000</w:t>
          </w:r>
        </w:smartTag>
      </w:smartTag>
      <w:r w:rsidRPr="00626BA2">
        <w:rPr>
          <w:rFonts w:eastAsia="MS Mincho"/>
        </w:rPr>
        <w:t xml:space="preserve">, </w:t>
      </w:r>
      <w:r>
        <w:rPr>
          <w:rFonts w:eastAsia="MS Mincho"/>
        </w:rPr>
        <w:t xml:space="preserve">or </w:t>
      </w:r>
      <w:r w:rsidRPr="00626BA2">
        <w:rPr>
          <w:rFonts w:eastAsia="MS Mincho"/>
        </w:rPr>
        <w:t xml:space="preserve">sent via overnight mail to U.S. Bank – Government Lockbox #979088, SL-MO-C2-GL, 1005 </w:t>
      </w:r>
      <w:smartTag w:uri="urn:schemas-microsoft-com:office:smarttags" w:element="PlaceName">
        <w:r w:rsidRPr="00626BA2">
          <w:rPr>
            <w:rFonts w:eastAsia="MS Mincho"/>
          </w:rPr>
          <w:t>Convention</w:t>
        </w:r>
      </w:smartTag>
      <w:r w:rsidRPr="00626BA2">
        <w:rPr>
          <w:rFonts w:eastAsia="MS Mincho"/>
        </w:rPr>
        <w:t xml:space="preserve"> </w:t>
      </w:r>
      <w:smartTag w:uri="urn:schemas-microsoft-com:office:smarttags" w:element="PlaceType">
        <w:r w:rsidRPr="00626BA2">
          <w:rPr>
            <w:rFonts w:eastAsia="MS Mincho"/>
          </w:rPr>
          <w:t>Plaza</w:t>
        </w:r>
      </w:smartTag>
      <w:r w:rsidRPr="00626BA2">
        <w:rPr>
          <w:rFonts w:eastAsia="MS Mincho"/>
        </w:rPr>
        <w:t xml:space="preserve">, </w:t>
      </w:r>
      <w:smartTag w:uri="urn:schemas-microsoft-com:office:smarttags" w:element="place">
        <w:smartTag w:uri="urn:schemas-microsoft-com:office:smarttags" w:element="City">
          <w:r w:rsidRPr="00626BA2">
            <w:rPr>
              <w:rFonts w:eastAsia="MS Mincho"/>
            </w:rPr>
            <w:t>St. Louis</w:t>
          </w:r>
        </w:smartTag>
        <w:r w:rsidRPr="00626BA2">
          <w:rPr>
            <w:rFonts w:eastAsia="MS Mincho"/>
          </w:rPr>
          <w:t xml:space="preserve">, </w:t>
        </w:r>
        <w:smartTag w:uri="urn:schemas-microsoft-com:office:smarttags" w:element="State">
          <w:r w:rsidRPr="00626BA2">
            <w:rPr>
              <w:rFonts w:eastAsia="MS Mincho"/>
            </w:rPr>
            <w:t>MO</w:t>
          </w:r>
        </w:smartTag>
        <w:r w:rsidRPr="00626BA2">
          <w:rPr>
            <w:rFonts w:eastAsia="MS Mincho"/>
          </w:rPr>
          <w:t xml:space="preserve"> </w:t>
        </w:r>
        <w:smartTag w:uri="urn:schemas-microsoft-com:office:smarttags" w:element="PostalCode">
          <w:r w:rsidRPr="00626BA2">
            <w:rPr>
              <w:rFonts w:eastAsia="MS Mincho"/>
            </w:rPr>
            <w:t>63101</w:t>
          </w:r>
        </w:smartTag>
      </w:smartTag>
      <w:r w:rsidRPr="00626BA2">
        <w:rPr>
          <w:rFonts w:eastAsia="MS Mincho"/>
        </w:rPr>
        <w:t xml:space="preserve">.  </w:t>
      </w:r>
    </w:p>
    <w:p w:rsidR="002037C5" w:rsidRPr="009267D8" w:rsidRDefault="00285507" w:rsidP="00285507">
      <w:pPr>
        <w:pStyle w:val="ParaNum"/>
        <w:tabs>
          <w:tab w:val="clear" w:pos="1170"/>
        </w:tabs>
        <w:ind w:left="0"/>
        <w:jc w:val="left"/>
        <w:rPr>
          <w:szCs w:val="22"/>
        </w:rPr>
      </w:pPr>
      <w:r>
        <w:rPr>
          <w:rFonts w:eastAsia="MS Mincho"/>
        </w:rPr>
        <w:t>Any r</w:t>
      </w:r>
      <w:r w:rsidRPr="00626BA2">
        <w:rPr>
          <w:rFonts w:eastAsia="MS Mincho"/>
        </w:rPr>
        <w:t xml:space="preserve">equest for full payment under an installment plan should be sent to:  Chief Financial Officer—Financial Operations, </w:t>
      </w:r>
      <w:r w:rsidRPr="00BF0439">
        <w:rPr>
          <w:rFonts w:eastAsia="MS Mincho" w:cs="Arial"/>
        </w:rPr>
        <w:t>Federal</w:t>
      </w:r>
      <w:r w:rsidRPr="00626BA2">
        <w:rPr>
          <w:rFonts w:eastAsia="MS Mincho"/>
        </w:rPr>
        <w:t xml:space="preserve"> Communications Commission, 445 12th Street, S.W., Room 1-A625, Washington, D.C.  20554.</w:t>
      </w:r>
      <w:r>
        <w:rPr>
          <w:rStyle w:val="FootnoteReference"/>
          <w:rFonts w:eastAsia="MS Mincho"/>
        </w:rPr>
        <w:footnoteReference w:id="37"/>
      </w:r>
      <w:r w:rsidRPr="00626BA2">
        <w:rPr>
          <w:rFonts w:eastAsia="MS Mincho"/>
        </w:rPr>
        <w:t>  If you have questions regarding payment procedures, please contact the Financial Operations Group Help Desk by phone, 1-877-480-3201, or by e</w:t>
      </w:r>
      <w:r>
        <w:rPr>
          <w:rFonts w:eastAsia="MS Mincho"/>
        </w:rPr>
        <w:noBreakHyphen/>
      </w:r>
      <w:r w:rsidRPr="00626BA2">
        <w:rPr>
          <w:rFonts w:eastAsia="MS Mincho"/>
        </w:rPr>
        <w:t>mail,</w:t>
      </w:r>
      <w:r>
        <w:rPr>
          <w:rFonts w:eastAsia="MS Mincho"/>
        </w:rPr>
        <w:t xml:space="preserve"> </w:t>
      </w:r>
      <w:r w:rsidRPr="00626BA2">
        <w:rPr>
          <w:rFonts w:eastAsia="MS Mincho" w:cs="Arial"/>
        </w:rPr>
        <w:t>ARINQUIRIES@fcc.gov</w:t>
      </w:r>
      <w:r w:rsidRPr="00626BA2">
        <w:rPr>
          <w:rFonts w:eastAsia="MS Mincho"/>
        </w:rPr>
        <w:t>.</w:t>
      </w:r>
      <w:r w:rsidR="00EF6520" w:rsidRPr="009267D8">
        <w:rPr>
          <w:spacing w:val="-2"/>
          <w:szCs w:val="22"/>
        </w:rPr>
        <w:t xml:space="preserve">  </w:t>
      </w:r>
    </w:p>
    <w:p w:rsidR="00EF6520" w:rsidRPr="00A27713" w:rsidRDefault="0054457A" w:rsidP="00E02760">
      <w:pPr>
        <w:pStyle w:val="ParaNum"/>
        <w:tabs>
          <w:tab w:val="clear" w:pos="1170"/>
        </w:tabs>
        <w:ind w:left="0"/>
        <w:jc w:val="left"/>
        <w:rPr>
          <w:b/>
        </w:rPr>
      </w:pPr>
      <w:r w:rsidRPr="00A27713">
        <w:rPr>
          <w:b/>
          <w:szCs w:val="22"/>
        </w:rPr>
        <w:t xml:space="preserve">IT IS FURTHER ORDERED </w:t>
      </w:r>
      <w:r w:rsidRPr="00A27713">
        <w:rPr>
          <w:szCs w:val="22"/>
        </w:rPr>
        <w:t xml:space="preserve">that a copy of this </w:t>
      </w:r>
      <w:r w:rsidR="00B92E83" w:rsidRPr="00A27713">
        <w:rPr>
          <w:szCs w:val="22"/>
        </w:rPr>
        <w:t xml:space="preserve">Memorandum Opinion and </w:t>
      </w:r>
      <w:r w:rsidRPr="00A27713">
        <w:rPr>
          <w:szCs w:val="22"/>
        </w:rPr>
        <w:t>Order</w:t>
      </w:r>
      <w:r w:rsidR="009D7B0D" w:rsidRPr="00A27713">
        <w:rPr>
          <w:i/>
          <w:szCs w:val="22"/>
        </w:rPr>
        <w:t xml:space="preserve"> </w:t>
      </w:r>
      <w:r w:rsidRPr="00A27713">
        <w:rPr>
          <w:szCs w:val="22"/>
        </w:rPr>
        <w:t>shall be sent by First Class and Certified Mail Return Receipt Requested to Gary Smithwick, Esq., Counsel for Saga Radio Networks, LLC, Smithwick &amp; Belendiuk, P.C., 5028 Wisconsin Avenue, N</w:t>
      </w:r>
      <w:r w:rsidR="00E02760" w:rsidRPr="00A27713">
        <w:rPr>
          <w:szCs w:val="22"/>
        </w:rPr>
        <w:t>.</w:t>
      </w:r>
      <w:r w:rsidRPr="00A27713">
        <w:rPr>
          <w:szCs w:val="22"/>
        </w:rPr>
        <w:t>W</w:t>
      </w:r>
      <w:r w:rsidR="00E02760" w:rsidRPr="00A27713">
        <w:rPr>
          <w:szCs w:val="22"/>
        </w:rPr>
        <w:t>.</w:t>
      </w:r>
      <w:r w:rsidRPr="00A27713">
        <w:rPr>
          <w:szCs w:val="22"/>
        </w:rPr>
        <w:t xml:space="preserve">, </w:t>
      </w:r>
      <w:r w:rsidR="00E02760" w:rsidRPr="00A27713">
        <w:rPr>
          <w:szCs w:val="22"/>
        </w:rPr>
        <w:t>Suite 301,</w:t>
      </w:r>
      <w:r w:rsidR="00A27713" w:rsidRPr="00A27713">
        <w:rPr>
          <w:szCs w:val="22"/>
        </w:rPr>
        <w:t xml:space="preserve"> </w:t>
      </w:r>
      <w:r>
        <w:t>Washington, DC 20016, and to Mr. Gregory Urbiel, Saga Radio Networks, LLC, 73 Kercheval Avenue, Grosse Pointe Farms, MI 48236.</w:t>
      </w:r>
    </w:p>
    <w:p w:rsidR="009F12F9" w:rsidRPr="009267D8" w:rsidRDefault="009F12F9" w:rsidP="009F12F9">
      <w:pPr>
        <w:tabs>
          <w:tab w:val="left" w:pos="0"/>
        </w:tabs>
        <w:suppressAutoHyphens/>
        <w:jc w:val="both"/>
        <w:rPr>
          <w:szCs w:val="22"/>
        </w:rPr>
      </w:pPr>
    </w:p>
    <w:p w:rsidR="009F12F9" w:rsidRPr="009267D8" w:rsidRDefault="009F12F9" w:rsidP="009267D8">
      <w:pPr>
        <w:tabs>
          <w:tab w:val="left" w:pos="0"/>
        </w:tabs>
        <w:suppressAutoHyphens/>
        <w:rPr>
          <w:szCs w:val="22"/>
        </w:rPr>
      </w:pPr>
      <w:r w:rsidRPr="009267D8">
        <w:rPr>
          <w:szCs w:val="22"/>
        </w:rPr>
        <w:tab/>
      </w:r>
      <w:r w:rsidRPr="009267D8">
        <w:rPr>
          <w:szCs w:val="22"/>
        </w:rPr>
        <w:tab/>
      </w:r>
      <w:r w:rsidRPr="009267D8">
        <w:rPr>
          <w:szCs w:val="22"/>
        </w:rPr>
        <w:tab/>
      </w:r>
      <w:r w:rsidRPr="009267D8">
        <w:rPr>
          <w:szCs w:val="22"/>
        </w:rPr>
        <w:tab/>
      </w:r>
      <w:r w:rsidRPr="009267D8">
        <w:rPr>
          <w:szCs w:val="22"/>
        </w:rPr>
        <w:tab/>
      </w:r>
      <w:r w:rsidRPr="009267D8">
        <w:rPr>
          <w:szCs w:val="22"/>
        </w:rPr>
        <w:tab/>
        <w:t>FEDERAL COMMUNICATIONS COMMISSION</w:t>
      </w:r>
    </w:p>
    <w:p w:rsidR="009F12F9" w:rsidRPr="009267D8" w:rsidRDefault="009F12F9" w:rsidP="009F12F9">
      <w:pPr>
        <w:tabs>
          <w:tab w:val="left" w:pos="0"/>
        </w:tabs>
        <w:suppressAutoHyphens/>
        <w:jc w:val="both"/>
        <w:rPr>
          <w:szCs w:val="22"/>
        </w:rPr>
      </w:pPr>
    </w:p>
    <w:p w:rsidR="009F12F9" w:rsidRPr="009267D8" w:rsidRDefault="009F12F9" w:rsidP="009F12F9">
      <w:pPr>
        <w:tabs>
          <w:tab w:val="left" w:pos="0"/>
        </w:tabs>
        <w:suppressAutoHyphens/>
        <w:jc w:val="both"/>
        <w:rPr>
          <w:szCs w:val="22"/>
        </w:rPr>
      </w:pPr>
    </w:p>
    <w:p w:rsidR="009F12F9" w:rsidRPr="009267D8" w:rsidRDefault="009F12F9" w:rsidP="009F12F9">
      <w:pPr>
        <w:tabs>
          <w:tab w:val="left" w:pos="0"/>
        </w:tabs>
        <w:suppressAutoHyphens/>
        <w:jc w:val="both"/>
        <w:rPr>
          <w:szCs w:val="22"/>
        </w:rPr>
      </w:pPr>
      <w:r w:rsidRPr="009267D8">
        <w:rPr>
          <w:szCs w:val="22"/>
        </w:rPr>
        <w:tab/>
      </w:r>
      <w:r w:rsidRPr="009267D8">
        <w:rPr>
          <w:szCs w:val="22"/>
        </w:rPr>
        <w:tab/>
      </w:r>
      <w:r w:rsidRPr="009267D8">
        <w:rPr>
          <w:szCs w:val="22"/>
        </w:rPr>
        <w:tab/>
      </w:r>
      <w:r w:rsidRPr="009267D8">
        <w:rPr>
          <w:szCs w:val="22"/>
        </w:rPr>
        <w:tab/>
      </w:r>
      <w:r w:rsidRPr="009267D8">
        <w:rPr>
          <w:szCs w:val="22"/>
        </w:rPr>
        <w:tab/>
      </w:r>
      <w:r w:rsidRPr="009267D8">
        <w:rPr>
          <w:szCs w:val="22"/>
        </w:rPr>
        <w:tab/>
      </w:r>
      <w:r w:rsidRPr="009267D8">
        <w:rPr>
          <w:szCs w:val="22"/>
        </w:rPr>
        <w:tab/>
      </w:r>
    </w:p>
    <w:p w:rsidR="009D7B0D" w:rsidRPr="00110F9D" w:rsidRDefault="009F12F9" w:rsidP="009D7B0D">
      <w:pPr>
        <w:rPr>
          <w:color w:val="000000"/>
          <w:szCs w:val="22"/>
        </w:rPr>
      </w:pPr>
      <w:r w:rsidRPr="009267D8">
        <w:rPr>
          <w:szCs w:val="22"/>
        </w:rPr>
        <w:tab/>
      </w:r>
      <w:r w:rsidRPr="009267D8">
        <w:rPr>
          <w:szCs w:val="22"/>
        </w:rPr>
        <w:tab/>
      </w:r>
      <w:r w:rsidRPr="009267D8">
        <w:rPr>
          <w:szCs w:val="22"/>
        </w:rPr>
        <w:tab/>
      </w:r>
      <w:r w:rsidRPr="009267D8">
        <w:rPr>
          <w:szCs w:val="22"/>
        </w:rPr>
        <w:tab/>
      </w:r>
      <w:r w:rsidRPr="009267D8">
        <w:rPr>
          <w:szCs w:val="22"/>
        </w:rPr>
        <w:tab/>
      </w:r>
      <w:r w:rsidRPr="009267D8">
        <w:rPr>
          <w:szCs w:val="22"/>
        </w:rPr>
        <w:tab/>
      </w:r>
      <w:r w:rsidR="009D7B0D" w:rsidRPr="00110F9D">
        <w:rPr>
          <w:color w:val="000000"/>
          <w:szCs w:val="22"/>
        </w:rPr>
        <w:t>P. Michele Ellison</w:t>
      </w:r>
    </w:p>
    <w:p w:rsidR="00ED2EB7" w:rsidRDefault="009D7B0D" w:rsidP="009F12F9">
      <w:pPr>
        <w:tabs>
          <w:tab w:val="left" w:pos="0"/>
        </w:tabs>
        <w:suppressAutoHyphens/>
        <w:jc w:val="both"/>
        <w:rPr>
          <w:szCs w:val="22"/>
        </w:rPr>
      </w:pPr>
      <w:r>
        <w:rPr>
          <w:szCs w:val="22"/>
        </w:rPr>
        <w:tab/>
      </w:r>
      <w:r>
        <w:rPr>
          <w:szCs w:val="22"/>
        </w:rPr>
        <w:tab/>
      </w:r>
      <w:r>
        <w:rPr>
          <w:szCs w:val="22"/>
        </w:rPr>
        <w:tab/>
      </w:r>
      <w:r>
        <w:rPr>
          <w:szCs w:val="22"/>
        </w:rPr>
        <w:tab/>
      </w:r>
      <w:r>
        <w:rPr>
          <w:szCs w:val="22"/>
        </w:rPr>
        <w:tab/>
      </w:r>
      <w:r>
        <w:rPr>
          <w:szCs w:val="22"/>
        </w:rPr>
        <w:tab/>
      </w:r>
      <w:r w:rsidR="00ED2EB7">
        <w:rPr>
          <w:szCs w:val="22"/>
        </w:rPr>
        <w:t xml:space="preserve">Chief </w:t>
      </w:r>
    </w:p>
    <w:p w:rsidR="00ED2EB7" w:rsidRPr="00681B19" w:rsidRDefault="0054457A" w:rsidP="009F12F9">
      <w:pPr>
        <w:tabs>
          <w:tab w:val="left" w:pos="0"/>
        </w:tabs>
        <w:suppressAutoHyphens/>
        <w:jc w:val="both"/>
        <w:rPr>
          <w:sz w:val="24"/>
          <w:szCs w:val="24"/>
        </w:rPr>
      </w:pPr>
      <w:r>
        <w:rPr>
          <w:szCs w:val="22"/>
        </w:rPr>
        <w:tab/>
      </w:r>
      <w:r>
        <w:rPr>
          <w:szCs w:val="22"/>
        </w:rPr>
        <w:tab/>
      </w:r>
      <w:r>
        <w:rPr>
          <w:szCs w:val="22"/>
        </w:rPr>
        <w:tab/>
      </w:r>
      <w:r>
        <w:rPr>
          <w:szCs w:val="22"/>
        </w:rPr>
        <w:tab/>
      </w:r>
      <w:r>
        <w:rPr>
          <w:szCs w:val="22"/>
        </w:rPr>
        <w:tab/>
      </w:r>
      <w:r>
        <w:rPr>
          <w:szCs w:val="22"/>
        </w:rPr>
        <w:tab/>
        <w:t>Enforcement Bureau</w:t>
      </w:r>
    </w:p>
    <w:sectPr w:rsidR="00ED2EB7" w:rsidRPr="00681B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0D8" w:rsidRDefault="005070D8">
      <w:r>
        <w:separator/>
      </w:r>
    </w:p>
  </w:endnote>
  <w:endnote w:type="continuationSeparator" w:id="0">
    <w:p w:rsidR="005070D8" w:rsidRDefault="005070D8">
      <w:r>
        <w:continuationSeparator/>
      </w:r>
    </w:p>
  </w:endnote>
  <w:endnote w:type="continuationNotice" w:id="1">
    <w:p w:rsidR="005070D8" w:rsidRDefault="00507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D82" w:rsidRDefault="001D4D82" w:rsidP="005633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4D82" w:rsidRDefault="001D4D82" w:rsidP="006424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D82" w:rsidRDefault="001D4D82" w:rsidP="005633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30E5">
      <w:rPr>
        <w:rStyle w:val="PageNumber"/>
        <w:noProof/>
      </w:rPr>
      <w:t>4</w:t>
    </w:r>
    <w:r>
      <w:rPr>
        <w:rStyle w:val="PageNumber"/>
      </w:rPr>
      <w:fldChar w:fldCharType="end"/>
    </w:r>
  </w:p>
  <w:p w:rsidR="001D4D82" w:rsidRPr="000C2EFA" w:rsidRDefault="001D4D82" w:rsidP="00642433">
    <w:pPr>
      <w:pStyle w:val="Footer"/>
      <w:ind w:right="36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D82" w:rsidRPr="00642433" w:rsidRDefault="001D4D82" w:rsidP="00642433">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0D8" w:rsidRDefault="005070D8">
      <w:pPr>
        <w:rPr>
          <w:sz w:val="20"/>
        </w:rPr>
      </w:pPr>
      <w:r>
        <w:rPr>
          <w:sz w:val="20"/>
        </w:rPr>
        <w:separator/>
      </w:r>
    </w:p>
  </w:footnote>
  <w:footnote w:type="continuationSeparator" w:id="0">
    <w:p w:rsidR="005070D8" w:rsidRDefault="005070D8">
      <w:pPr>
        <w:rPr>
          <w:sz w:val="20"/>
        </w:rPr>
      </w:pPr>
      <w:r>
        <w:rPr>
          <w:sz w:val="20"/>
        </w:rPr>
        <w:separator/>
      </w:r>
    </w:p>
    <w:p w:rsidR="005070D8" w:rsidRDefault="005070D8">
      <w:pPr>
        <w:rPr>
          <w:sz w:val="20"/>
        </w:rPr>
      </w:pPr>
      <w:r>
        <w:rPr>
          <w:sz w:val="20"/>
        </w:rPr>
        <w:t>(...continued from previous page)</w:t>
      </w:r>
    </w:p>
  </w:footnote>
  <w:footnote w:type="continuationNotice" w:id="1">
    <w:p w:rsidR="005070D8" w:rsidRDefault="005070D8">
      <w:pPr>
        <w:jc w:val="right"/>
        <w:rPr>
          <w:sz w:val="20"/>
        </w:rPr>
      </w:pPr>
      <w:r>
        <w:rPr>
          <w:sz w:val="20"/>
        </w:rPr>
        <w:t>(continued....)</w:t>
      </w:r>
    </w:p>
  </w:footnote>
  <w:footnote w:id="2">
    <w:p w:rsidR="001D4D82" w:rsidRPr="00A02765" w:rsidRDefault="001D4D82" w:rsidP="00A02765">
      <w:pPr>
        <w:pStyle w:val="FootnoteText"/>
        <w:jc w:val="left"/>
      </w:pPr>
      <w:r>
        <w:rPr>
          <w:rStyle w:val="FootnoteReference"/>
        </w:rPr>
        <w:footnoteRef/>
      </w:r>
      <w:r>
        <w:t xml:space="preserve"> </w:t>
      </w:r>
      <w:r>
        <w:rPr>
          <w:i/>
        </w:rPr>
        <w:t xml:space="preserve">See </w:t>
      </w:r>
      <w:r>
        <w:t xml:space="preserve">Saga Radio Networks, LLC, Petition for Reconsideration (May 1, 2009) </w:t>
      </w:r>
      <w:r w:rsidR="00913C3D">
        <w:t>(on file in EB-08</w:t>
      </w:r>
      <w:r w:rsidR="006F0AA5">
        <w:t>-</w:t>
      </w:r>
      <w:r w:rsidR="00913C3D">
        <w:t xml:space="preserve">SE-543) </w:t>
      </w:r>
      <w:r>
        <w:t>(Petition).</w:t>
      </w:r>
    </w:p>
  </w:footnote>
  <w:footnote w:id="3">
    <w:p w:rsidR="001D4D82" w:rsidRDefault="001D4D82" w:rsidP="00A02765">
      <w:pPr>
        <w:pStyle w:val="FootnoteText"/>
        <w:jc w:val="left"/>
      </w:pPr>
      <w:r>
        <w:rPr>
          <w:rStyle w:val="FootnoteReference"/>
        </w:rPr>
        <w:footnoteRef/>
      </w:r>
      <w:r>
        <w:t xml:space="preserve"> </w:t>
      </w:r>
      <w:r w:rsidRPr="00971152">
        <w:rPr>
          <w:i/>
        </w:rPr>
        <w:t>S</w:t>
      </w:r>
      <w:r w:rsidR="006F0AA5">
        <w:rPr>
          <w:i/>
        </w:rPr>
        <w:t>ee S</w:t>
      </w:r>
      <w:r w:rsidRPr="00971152">
        <w:rPr>
          <w:i/>
        </w:rPr>
        <w:t>aga Radio Networks, LLC,</w:t>
      </w:r>
      <w:r>
        <w:t xml:space="preserve"> Forfeiture Order, 24 FCC Rcd 3852 (Enf. Bur.</w:t>
      </w:r>
      <w:r w:rsidR="00A75DA1">
        <w:t xml:space="preserve"> 2009</w:t>
      </w:r>
      <w:r>
        <w:t>) (</w:t>
      </w:r>
      <w:r w:rsidRPr="00971152">
        <w:rPr>
          <w:i/>
        </w:rPr>
        <w:t>Forfeiture Order</w:t>
      </w:r>
      <w:r>
        <w:t xml:space="preserve">). </w:t>
      </w:r>
    </w:p>
  </w:footnote>
  <w:footnote w:id="4">
    <w:p w:rsidR="001D4D82" w:rsidRDefault="001D4D82" w:rsidP="00FE4A16">
      <w:pPr>
        <w:pStyle w:val="FootnoteText"/>
        <w:jc w:val="left"/>
      </w:pPr>
      <w:r>
        <w:rPr>
          <w:rStyle w:val="FootnoteReference"/>
        </w:rPr>
        <w:footnoteRef/>
      </w:r>
      <w:r>
        <w:t xml:space="preserve"> </w:t>
      </w:r>
      <w:r w:rsidR="00964E5A">
        <w:t xml:space="preserve">47 U.S.C. § 301; </w:t>
      </w:r>
      <w:r>
        <w:t xml:space="preserve">47 C.F.R. §§ 25.102(a), 25.121(e). </w:t>
      </w:r>
    </w:p>
  </w:footnote>
  <w:footnote w:id="5">
    <w:p w:rsidR="001D4D82" w:rsidRDefault="001D4D82" w:rsidP="00FE4A16">
      <w:pPr>
        <w:pStyle w:val="FootnoteText"/>
        <w:jc w:val="left"/>
      </w:pPr>
      <w:r>
        <w:rPr>
          <w:rStyle w:val="FootnoteReference"/>
        </w:rPr>
        <w:footnoteRef/>
      </w:r>
      <w:r>
        <w:t xml:space="preserve"> </w:t>
      </w:r>
      <w:r>
        <w:rPr>
          <w:i/>
        </w:rPr>
        <w:t xml:space="preserve">See </w:t>
      </w:r>
      <w:r>
        <w:t>File No. SES-RWL-19970806-01078.</w:t>
      </w:r>
    </w:p>
  </w:footnote>
  <w:footnote w:id="6">
    <w:p w:rsidR="001D4D82" w:rsidRDefault="001D4D82" w:rsidP="00FE4A16">
      <w:pPr>
        <w:pStyle w:val="FootnoteText"/>
        <w:jc w:val="left"/>
      </w:pPr>
      <w:r>
        <w:rPr>
          <w:rStyle w:val="FootnoteReference"/>
        </w:rPr>
        <w:footnoteRef/>
      </w:r>
      <w:r>
        <w:t xml:space="preserve"> </w:t>
      </w:r>
      <w:r>
        <w:rPr>
          <w:i/>
        </w:rPr>
        <w:t>See</w:t>
      </w:r>
      <w:r>
        <w:t xml:space="preserve"> File No. SES-STA-20080528-00682.</w:t>
      </w:r>
    </w:p>
  </w:footnote>
  <w:footnote w:id="7">
    <w:p w:rsidR="001D4D82" w:rsidRDefault="001D4D82" w:rsidP="00FE4A16">
      <w:pPr>
        <w:pStyle w:val="FootnoteText"/>
        <w:jc w:val="left"/>
      </w:pPr>
      <w:r>
        <w:rPr>
          <w:rStyle w:val="FootnoteReference"/>
        </w:rPr>
        <w:footnoteRef/>
      </w:r>
      <w:r>
        <w:t xml:space="preserve"> </w:t>
      </w:r>
      <w:r>
        <w:rPr>
          <w:i/>
        </w:rPr>
        <w:t xml:space="preserve">See </w:t>
      </w:r>
      <w:r>
        <w:t>File No. SES-LIC-20080613-00772.</w:t>
      </w:r>
    </w:p>
  </w:footnote>
  <w:footnote w:id="8">
    <w:p w:rsidR="001D4D82" w:rsidRDefault="001D4D82" w:rsidP="00141EC9">
      <w:pPr>
        <w:pStyle w:val="FootnoteText"/>
        <w:jc w:val="left"/>
      </w:pPr>
      <w:r>
        <w:rPr>
          <w:rStyle w:val="FootnoteReference"/>
        </w:rPr>
        <w:footnoteRef/>
      </w:r>
      <w:r>
        <w:t xml:space="preserve"> </w:t>
      </w:r>
      <w:r w:rsidR="006F0AA5">
        <w:rPr>
          <w:i/>
        </w:rPr>
        <w:t xml:space="preserve">See </w:t>
      </w:r>
      <w:r>
        <w:t xml:space="preserve">Letter from Kathryn Berthot, Chief, Spectrum Enforcement Division, FCC Enforcement Bureau, to Mr. Gregory Urbiel, Saga Radio Networks, LLC (June 11, 2008) (on file in </w:t>
      </w:r>
      <w:r>
        <w:rPr>
          <w:szCs w:val="22"/>
        </w:rPr>
        <w:t>EB-08-SE-543)</w:t>
      </w:r>
      <w:r w:rsidR="00913C3D">
        <w:rPr>
          <w:szCs w:val="22"/>
        </w:rPr>
        <w:t xml:space="preserve"> (LOI)</w:t>
      </w:r>
      <w:r>
        <w:t>.</w:t>
      </w:r>
    </w:p>
  </w:footnote>
  <w:footnote w:id="9">
    <w:p w:rsidR="001D4D82" w:rsidRDefault="001D4D82" w:rsidP="00141EC9">
      <w:pPr>
        <w:pStyle w:val="FootnoteText"/>
        <w:jc w:val="left"/>
      </w:pPr>
      <w:r>
        <w:rPr>
          <w:rStyle w:val="FootnoteReference"/>
        </w:rPr>
        <w:footnoteRef/>
      </w:r>
      <w:r>
        <w:t xml:space="preserve"> </w:t>
      </w:r>
      <w:r w:rsidR="00913C3D">
        <w:rPr>
          <w:i/>
        </w:rPr>
        <w:t xml:space="preserve">See </w:t>
      </w:r>
      <w:r w:rsidR="00913C3D">
        <w:t xml:space="preserve">Letter from Gary S. Smithwick, Esq., Counsel for Saga Radio Networks, LLC, to Zachary Rothstein, Spectrum Enforcement Division, FCC Enforcement Bureau, at 1–2 (July 11, 2008) (on file in </w:t>
      </w:r>
      <w:r w:rsidR="00913C3D">
        <w:rPr>
          <w:szCs w:val="22"/>
        </w:rPr>
        <w:t>EB-08-SE-543)</w:t>
      </w:r>
      <w:r w:rsidR="00913C3D">
        <w:t xml:space="preserve"> (LOI Response).</w:t>
      </w:r>
    </w:p>
  </w:footnote>
  <w:footnote w:id="10">
    <w:p w:rsidR="001D4D82" w:rsidRDefault="001D4D82" w:rsidP="00141EC9">
      <w:pPr>
        <w:pStyle w:val="FootnoteText"/>
        <w:jc w:val="left"/>
      </w:pPr>
      <w:r>
        <w:rPr>
          <w:rStyle w:val="FootnoteReference"/>
        </w:rPr>
        <w:footnoteRef/>
      </w:r>
      <w:r>
        <w:t xml:space="preserve"> </w:t>
      </w:r>
      <w:r w:rsidR="007C4C06">
        <w:rPr>
          <w:i/>
        </w:rPr>
        <w:t>See i</w:t>
      </w:r>
      <w:r>
        <w:rPr>
          <w:i/>
        </w:rPr>
        <w:t>d.</w:t>
      </w:r>
      <w:r>
        <w:t xml:space="preserve"> </w:t>
      </w:r>
    </w:p>
  </w:footnote>
  <w:footnote w:id="11">
    <w:p w:rsidR="001D4D82" w:rsidRDefault="001D4D82" w:rsidP="00141EC9">
      <w:pPr>
        <w:pStyle w:val="FootnoteText"/>
        <w:jc w:val="left"/>
      </w:pPr>
      <w:r>
        <w:rPr>
          <w:rStyle w:val="FootnoteReference"/>
        </w:rPr>
        <w:footnoteRef/>
      </w:r>
      <w:r>
        <w:t xml:space="preserve"> </w:t>
      </w:r>
      <w:r w:rsidR="007C4C06">
        <w:rPr>
          <w:i/>
        </w:rPr>
        <w:t>See i</w:t>
      </w:r>
      <w:r>
        <w:rPr>
          <w:i/>
        </w:rPr>
        <w:t>d.</w:t>
      </w:r>
      <w:r>
        <w:t xml:space="preserve"> </w:t>
      </w:r>
    </w:p>
  </w:footnote>
  <w:footnote w:id="12">
    <w:p w:rsidR="001D4D82" w:rsidRDefault="001D4D82" w:rsidP="00141EC9">
      <w:pPr>
        <w:pStyle w:val="FootnoteText"/>
        <w:jc w:val="left"/>
      </w:pPr>
      <w:r>
        <w:rPr>
          <w:rStyle w:val="FootnoteReference"/>
        </w:rPr>
        <w:footnoteRef/>
      </w:r>
      <w:r>
        <w:t xml:space="preserve"> </w:t>
      </w:r>
      <w:r w:rsidR="00D315B0">
        <w:rPr>
          <w:i/>
        </w:rPr>
        <w:t xml:space="preserve">See </w:t>
      </w:r>
      <w:r>
        <w:rPr>
          <w:i/>
        </w:rPr>
        <w:t xml:space="preserve">Saga Radio Networks, LLC, </w:t>
      </w:r>
      <w:r>
        <w:t>Notice of Apparent Liability for Forfeiture, 23 FCC Rcd</w:t>
      </w:r>
      <w:r>
        <w:rPr>
          <w:sz w:val="19"/>
        </w:rPr>
        <w:t xml:space="preserve"> 11273</w:t>
      </w:r>
      <w:r>
        <w:t xml:space="preserve"> (Enf. Bur. 2008) (</w:t>
      </w:r>
      <w:r>
        <w:rPr>
          <w:i/>
        </w:rPr>
        <w:t>NAL</w:t>
      </w:r>
      <w:r>
        <w:rPr>
          <w:color w:val="000000"/>
        </w:rPr>
        <w:t>).</w:t>
      </w:r>
      <w:r w:rsidR="006F0AA5">
        <w:rPr>
          <w:color w:val="000000"/>
        </w:rPr>
        <w:t xml:space="preserve">  </w:t>
      </w:r>
      <w:r w:rsidR="006F0AA5" w:rsidRPr="00F22614">
        <w:t>Section 301 of the Act and Section 25.102(a) of the Rules prohibit the use or operation of any apparatus for the transmission of energy or communications or signals by an earth station except under and in accordance with a Commission granted authorization.</w:t>
      </w:r>
      <w:r w:rsidR="006F0AA5">
        <w:t xml:space="preserve">  </w:t>
      </w:r>
      <w:r w:rsidR="006F0AA5">
        <w:rPr>
          <w:i/>
        </w:rPr>
        <w:t xml:space="preserve">See </w:t>
      </w:r>
      <w:r w:rsidR="006F0AA5">
        <w:t>47 U.S.C. § 301; 47 C.F.R. § 25.102(a).</w:t>
      </w:r>
      <w:r w:rsidR="006F0AA5" w:rsidRPr="00F22614">
        <w:t xml:space="preserve">  Section 25.121(e) of the Rules requires the licensee of an earth station to file its renewal application “no earlier than 90 days, and no later than 30 days, before the expiration date of the license.”</w:t>
      </w:r>
      <w:r w:rsidR="006F0AA5">
        <w:t xml:space="preserve">  47 C.F.R. § 25.121(e).  </w:t>
      </w:r>
      <w:r w:rsidR="006F0AA5" w:rsidRPr="00F22614">
        <w:t>Absent a timely filed renewal application, an earth station license automatically terminates at the end of the license period.</w:t>
      </w:r>
      <w:r w:rsidR="006F0AA5">
        <w:t xml:space="preserve">  </w:t>
      </w:r>
      <w:r w:rsidR="006F0AA5">
        <w:rPr>
          <w:i/>
        </w:rPr>
        <w:t>See i</w:t>
      </w:r>
      <w:r w:rsidR="006F0AA5" w:rsidRPr="00F22614">
        <w:rPr>
          <w:i/>
        </w:rPr>
        <w:t>d</w:t>
      </w:r>
      <w:r w:rsidR="006F0AA5">
        <w:t>. § 25.161.</w:t>
      </w:r>
    </w:p>
  </w:footnote>
  <w:footnote w:id="13">
    <w:p w:rsidR="001D4D82" w:rsidRDefault="001D4D82" w:rsidP="00E26DF6">
      <w:pPr>
        <w:pStyle w:val="FootnoteText"/>
        <w:jc w:val="left"/>
      </w:pPr>
      <w:r w:rsidRPr="00132B3F">
        <w:rPr>
          <w:rStyle w:val="FootnoteReference"/>
        </w:rPr>
        <w:footnoteRef/>
      </w:r>
      <w:r w:rsidRPr="00132B3F">
        <w:t xml:space="preserve"> </w:t>
      </w:r>
      <w:r w:rsidRPr="00132B3F">
        <w:rPr>
          <w:i/>
        </w:rPr>
        <w:t>See</w:t>
      </w:r>
      <w:r w:rsidRPr="00132B3F">
        <w:t xml:space="preserve"> </w:t>
      </w:r>
      <w:r w:rsidR="00D315B0">
        <w:rPr>
          <w:i/>
        </w:rPr>
        <w:t>NAL</w:t>
      </w:r>
      <w:r w:rsidR="00D315B0">
        <w:t>,</w:t>
      </w:r>
      <w:r w:rsidRPr="00132B3F">
        <w:t xml:space="preserve"> 23 FCC Rcd at </w:t>
      </w:r>
      <w:r>
        <w:t>11275</w:t>
      </w:r>
      <w:r w:rsidRPr="00132B3F">
        <w:t xml:space="preserve">, para. 10 (reasoning that a former licensee who operates a station with an expired license is in better stead than a “pirate” operator who lacks prior Commission authority to operate).  </w:t>
      </w:r>
      <w:r w:rsidRPr="008A12A4">
        <w:t xml:space="preserve">However, as we have recently emphasized, reduced forfeitures imposed on licensees for unauthorized operations in past cases have not created sufficient incentives for licensees to monitor their license expiration dates and adopt appropriate procedures to ensure substantial compliance.  </w:t>
      </w:r>
      <w:r w:rsidRPr="008A12A4">
        <w:rPr>
          <w:i/>
        </w:rPr>
        <w:t>See, e.g., Emigrant Storage LLC</w:t>
      </w:r>
      <w:r w:rsidRPr="008A12A4">
        <w:t xml:space="preserve">, Notice of Apparent Liability for Forfeiture, </w:t>
      </w:r>
      <w:r>
        <w:t>27 FCC Rcd 8917, 8919</w:t>
      </w:r>
      <w:r w:rsidR="00D315B0">
        <w:t>–</w:t>
      </w:r>
      <w:r>
        <w:t>21, paras. 8</w:t>
      </w:r>
      <w:r w:rsidR="00D315B0">
        <w:t>–</w:t>
      </w:r>
      <w:r>
        <w:t xml:space="preserve">9 &amp; 8920 n.26 (Enf. Bur. 2012) </w:t>
      </w:r>
      <w:r w:rsidRPr="008A12A4">
        <w:t>(applying the recommended base forfeitures, as set forth in Section 1.80(b) of the Rules, 47 C.F.R. § 1.80(b), of $10,000 for the unauthorized operation of a station and $3,000 for the failure to file required forms or information when a licensee operated its station without authorization and failed to file a timely renewal application for its station, and finding no basis for downward adjustment of these base forfeitures);</w:t>
      </w:r>
      <w:r w:rsidRPr="00132B3F">
        <w:t xml:space="preserve"> </w:t>
      </w:r>
      <w:r w:rsidRPr="00132B3F">
        <w:rPr>
          <w:i/>
        </w:rPr>
        <w:t>Call Mobile, Inc.</w:t>
      </w:r>
      <w:r w:rsidRPr="00132B3F">
        <w:t xml:space="preserve">, </w:t>
      </w:r>
      <w:r w:rsidRPr="008A12A4">
        <w:t>Notice of Apparent Liability Forfeiture</w:t>
      </w:r>
      <w:r>
        <w:t xml:space="preserve">, </w:t>
      </w:r>
      <w:r w:rsidRPr="00132B3F">
        <w:t>26 FCC Rcd 74, 76</w:t>
      </w:r>
      <w:r w:rsidR="00D315B0">
        <w:t>–</w:t>
      </w:r>
      <w:r>
        <w:t>77, para</w:t>
      </w:r>
      <w:r w:rsidR="0075320F">
        <w:t>s</w:t>
      </w:r>
      <w:r>
        <w:t xml:space="preserve">. </w:t>
      </w:r>
      <w:r w:rsidR="0075320F">
        <w:t>9–</w:t>
      </w:r>
      <w:r>
        <w:t xml:space="preserve">11 (Enf. Bur. 2011) </w:t>
      </w:r>
      <w:r w:rsidRPr="00132B3F">
        <w:t xml:space="preserve">(same); </w:t>
      </w:r>
      <w:r w:rsidRPr="00132B3F">
        <w:rPr>
          <w:i/>
        </w:rPr>
        <w:t>BASF Corp</w:t>
      </w:r>
      <w:r w:rsidRPr="00132B3F">
        <w:t>., Notice of Apparent Liability for Forfeiture, 25 FCC Rcd 17300, 1730</w:t>
      </w:r>
      <w:r w:rsidR="007D2850">
        <w:t>2</w:t>
      </w:r>
      <w:r w:rsidR="00D315B0">
        <w:t>–</w:t>
      </w:r>
      <w:r w:rsidRPr="00132B3F">
        <w:t>03</w:t>
      </w:r>
      <w:r>
        <w:t>, paras. 9</w:t>
      </w:r>
      <w:r w:rsidR="009075D7">
        <w:t>–</w:t>
      </w:r>
      <w:r>
        <w:t xml:space="preserve">10 (Enf. Bur. 2010) </w:t>
      </w:r>
      <w:r w:rsidRPr="00132B3F">
        <w:t>(same).</w:t>
      </w:r>
    </w:p>
  </w:footnote>
  <w:footnote w:id="14">
    <w:p w:rsidR="001D4D82" w:rsidRDefault="001D4D82" w:rsidP="00141EC9">
      <w:pPr>
        <w:pStyle w:val="FootnoteText"/>
        <w:jc w:val="left"/>
      </w:pPr>
      <w:r>
        <w:rPr>
          <w:rStyle w:val="FootnoteReference"/>
        </w:rPr>
        <w:footnoteRef/>
      </w:r>
      <w:r>
        <w:t xml:space="preserve"> </w:t>
      </w:r>
      <w:r w:rsidR="00E90C31">
        <w:rPr>
          <w:i/>
          <w:iCs/>
          <w:color w:val="000000"/>
        </w:rPr>
        <w:t>See NAL,</w:t>
      </w:r>
      <w:r w:rsidR="00E90C31">
        <w:rPr>
          <w:color w:val="000000"/>
        </w:rPr>
        <w:t xml:space="preserve"> 23 FCC Rcd at 11275-76, para. 11.  In this regard, we note with some disfavor the limited nature of the disclosure in this case.  </w:t>
      </w:r>
      <w:r w:rsidR="00E90C31" w:rsidRPr="003F2ECC">
        <w:rPr>
          <w:i/>
          <w:color w:val="000000"/>
        </w:rPr>
        <w:t>See</w:t>
      </w:r>
      <w:r w:rsidR="00E90C31">
        <w:rPr>
          <w:color w:val="000000"/>
        </w:rPr>
        <w:t xml:space="preserve"> </w:t>
      </w:r>
      <w:r w:rsidR="003F2ECC">
        <w:rPr>
          <w:color w:val="000000"/>
        </w:rPr>
        <w:t>File No. SES-STA-20080528-00682</w:t>
      </w:r>
      <w:r w:rsidR="00172A6B">
        <w:rPr>
          <w:color w:val="000000"/>
        </w:rPr>
        <w:t>, Attachment</w:t>
      </w:r>
      <w:r w:rsidR="003F2ECC">
        <w:rPr>
          <w:color w:val="000000"/>
        </w:rPr>
        <w:t xml:space="preserve">.  </w:t>
      </w:r>
      <w:r w:rsidR="002A7820">
        <w:rPr>
          <w:color w:val="000000"/>
        </w:rPr>
        <w:t>T</w:t>
      </w:r>
      <w:r w:rsidR="00E90C31">
        <w:rPr>
          <w:color w:val="000000"/>
        </w:rPr>
        <w:t xml:space="preserve">he </w:t>
      </w:r>
      <w:r w:rsidR="00E90C31">
        <w:rPr>
          <w:i/>
          <w:iCs/>
          <w:color w:val="000000"/>
        </w:rPr>
        <w:t>Forfeiture Policy Statement</w:t>
      </w:r>
      <w:r w:rsidR="002650E8">
        <w:rPr>
          <w:iCs/>
          <w:color w:val="000000"/>
        </w:rPr>
        <w:t xml:space="preserve"> </w:t>
      </w:r>
      <w:r w:rsidR="00E90C31">
        <w:rPr>
          <w:color w:val="000000"/>
        </w:rPr>
        <w:t>affords us discretion to adjust forfeitures downward in cases of voluntary disclosure</w:t>
      </w:r>
      <w:r w:rsidR="002A7820">
        <w:rPr>
          <w:color w:val="000000"/>
        </w:rPr>
        <w:t xml:space="preserve">.  </w:t>
      </w:r>
      <w:r w:rsidR="002A7820">
        <w:rPr>
          <w:i/>
          <w:color w:val="000000"/>
        </w:rPr>
        <w:t>See</w:t>
      </w:r>
      <w:r w:rsidR="00E90C31">
        <w:rPr>
          <w:color w:val="000000"/>
        </w:rPr>
        <w:t xml:space="preserve"> </w:t>
      </w:r>
      <w:r w:rsidR="007E3BA6" w:rsidRPr="007E3BA6">
        <w:rPr>
          <w:i/>
          <w:color w:val="000000"/>
        </w:rPr>
        <w:t>The Commission’s Forfeiture Policy Statement and Amendment of Section 1.80 of the Rules</w:t>
      </w:r>
      <w:r w:rsidR="00A97E5E">
        <w:rPr>
          <w:i/>
          <w:color w:val="000000"/>
        </w:rPr>
        <w:t xml:space="preserve"> to Incorporate the Forfeiture Guidelines</w:t>
      </w:r>
      <w:r w:rsidR="007E3BA6">
        <w:rPr>
          <w:color w:val="000000"/>
        </w:rPr>
        <w:t>, Report and Order, 12 FCC Rcd 17087, 17100-01, para. 27 (1997)</w:t>
      </w:r>
      <w:r w:rsidR="002A7820">
        <w:rPr>
          <w:rFonts w:eastAsia="Batang"/>
        </w:rPr>
        <w:t xml:space="preserve">, </w:t>
      </w:r>
      <w:r w:rsidR="002A7820">
        <w:rPr>
          <w:rFonts w:eastAsia="Batang"/>
          <w:i/>
        </w:rPr>
        <w:t>recon. denied,</w:t>
      </w:r>
      <w:r w:rsidR="002A7820">
        <w:t xml:space="preserve"> Memorandum Opinion and Order,</w:t>
      </w:r>
      <w:r w:rsidR="002A7820">
        <w:rPr>
          <w:rFonts w:eastAsia="Batang"/>
          <w:i/>
        </w:rPr>
        <w:t xml:space="preserve"> </w:t>
      </w:r>
      <w:r w:rsidR="002A7820">
        <w:rPr>
          <w:rFonts w:eastAsia="Batang"/>
        </w:rPr>
        <w:t>15 FCC Rcd 303 (1999)</w:t>
      </w:r>
      <w:r w:rsidR="002A7820">
        <w:rPr>
          <w:color w:val="000000"/>
        </w:rPr>
        <w:t xml:space="preserve"> </w:t>
      </w:r>
      <w:r w:rsidR="007E3BA6">
        <w:rPr>
          <w:color w:val="000000"/>
        </w:rPr>
        <w:t>(</w:t>
      </w:r>
      <w:r w:rsidR="007E3BA6" w:rsidRPr="00A97E5E">
        <w:rPr>
          <w:i/>
          <w:color w:val="000000"/>
        </w:rPr>
        <w:t>Forfeiture Policy Statement</w:t>
      </w:r>
      <w:r w:rsidR="007E3BA6">
        <w:rPr>
          <w:color w:val="000000"/>
        </w:rPr>
        <w:t xml:space="preserve">); 47 C.F.R. </w:t>
      </w:r>
      <w:r w:rsidR="00A97E5E">
        <w:rPr>
          <w:color w:val="000000"/>
        </w:rPr>
        <w:t xml:space="preserve">§ </w:t>
      </w:r>
      <w:r w:rsidR="007E3BA6">
        <w:rPr>
          <w:color w:val="000000"/>
        </w:rPr>
        <w:t>1.80</w:t>
      </w:r>
      <w:r w:rsidR="002A7820">
        <w:rPr>
          <w:color w:val="000000"/>
        </w:rPr>
        <w:t>.</w:t>
      </w:r>
      <w:r w:rsidR="007E3BA6">
        <w:rPr>
          <w:color w:val="000000"/>
        </w:rPr>
        <w:t xml:space="preserve"> </w:t>
      </w:r>
      <w:r w:rsidR="002A7820">
        <w:rPr>
          <w:color w:val="000000"/>
        </w:rPr>
        <w:t xml:space="preserve"> The </w:t>
      </w:r>
      <w:r w:rsidR="002A7820">
        <w:rPr>
          <w:i/>
          <w:color w:val="000000"/>
        </w:rPr>
        <w:t xml:space="preserve">Forfeiture Policy Statement </w:t>
      </w:r>
      <w:r w:rsidR="00E90C31">
        <w:rPr>
          <w:color w:val="000000"/>
        </w:rPr>
        <w:t>does not</w:t>
      </w:r>
      <w:r w:rsidR="002A7820">
        <w:rPr>
          <w:color w:val="000000"/>
        </w:rPr>
        <w:t>, however,</w:t>
      </w:r>
      <w:r w:rsidR="00E90C31">
        <w:rPr>
          <w:color w:val="000000"/>
        </w:rPr>
        <w:t xml:space="preserve"> explain what constitutes voluntary disclosure, nor does it establish a particular downward adjustment percentage.  </w:t>
      </w:r>
      <w:r w:rsidR="007E3BA6" w:rsidRPr="007E3BA6">
        <w:rPr>
          <w:i/>
          <w:color w:val="000000"/>
        </w:rPr>
        <w:t>Forfeiture Policy Statement</w:t>
      </w:r>
      <w:r w:rsidR="007E3BA6">
        <w:rPr>
          <w:color w:val="000000"/>
        </w:rPr>
        <w:t>, 12 FCC Rcd at 17100, para</w:t>
      </w:r>
      <w:r w:rsidR="00172A6B">
        <w:rPr>
          <w:color w:val="000000"/>
        </w:rPr>
        <w:t>.</w:t>
      </w:r>
      <w:r w:rsidR="007E3BA6">
        <w:rPr>
          <w:color w:val="000000"/>
        </w:rPr>
        <w:t xml:space="preserve"> 26 (</w:t>
      </w:r>
      <w:r w:rsidR="00E90C31">
        <w:rPr>
          <w:color w:val="000000"/>
        </w:rPr>
        <w:t>expressly declining to prescribe the amount of the voluntary disclosure adjustment and explaining instead that the adjustment must reflect “the unique facts of each case”).  We take this opportunity to emphasize the public interest benefits of express, non-dilatory, and factually detailed noncompliance disclosures provided to the Enforcement Bureau and coupled with immediate corrective action.  This type of voluntary disclosure can timely reveal violations that the Commission would otherwise be unlikely to discover, expedite resolution of the resulting enforcement proceeding, and yield tangible benefits to the disclosing party in terms of the forfeiture penalty applied.  Of course, the forfeiture we adopt in any particular case will always entail our exercise of discretion based on the particular circumstances before us.</w:t>
      </w:r>
      <w:r>
        <w:t xml:space="preserve"> </w:t>
      </w:r>
    </w:p>
  </w:footnote>
  <w:footnote w:id="15">
    <w:p w:rsidR="001D4D82" w:rsidRDefault="001D4D82" w:rsidP="00141EC9">
      <w:pPr>
        <w:pStyle w:val="FootnoteText"/>
        <w:jc w:val="left"/>
      </w:pPr>
      <w:r>
        <w:rPr>
          <w:rStyle w:val="FootnoteReference"/>
        </w:rPr>
        <w:footnoteRef/>
      </w:r>
      <w:r>
        <w:t xml:space="preserve"> </w:t>
      </w:r>
      <w:r w:rsidR="00FB77CB">
        <w:rPr>
          <w:i/>
        </w:rPr>
        <w:t xml:space="preserve">See </w:t>
      </w:r>
      <w:r>
        <w:t xml:space="preserve">Letter from Gary S. Smithwick, Esq., Counsel for Saga Radio Networks, LLC, to Kathryn Berthot, Chief, Spectrum Enforcement Division, FCC Enforcement Bureau (Aug. 27, 2008) (on file in </w:t>
      </w:r>
      <w:r>
        <w:rPr>
          <w:szCs w:val="22"/>
        </w:rPr>
        <w:t>EB-08-SE-543)</w:t>
      </w:r>
      <w:r>
        <w:t xml:space="preserve"> (NAL Response).  </w:t>
      </w:r>
    </w:p>
  </w:footnote>
  <w:footnote w:id="16">
    <w:p w:rsidR="001D4D82" w:rsidRPr="00111ABF" w:rsidRDefault="001D4D82" w:rsidP="00E26DF6">
      <w:pPr>
        <w:pStyle w:val="FootnoteText"/>
        <w:jc w:val="left"/>
      </w:pPr>
      <w:r>
        <w:rPr>
          <w:rStyle w:val="FootnoteReference"/>
        </w:rPr>
        <w:footnoteRef/>
      </w:r>
      <w:r>
        <w:t xml:space="preserve"> </w:t>
      </w:r>
      <w:r w:rsidR="006F0AA5">
        <w:rPr>
          <w:i/>
        </w:rPr>
        <w:t>See i</w:t>
      </w:r>
      <w:r>
        <w:rPr>
          <w:i/>
        </w:rPr>
        <w:t xml:space="preserve">d. </w:t>
      </w:r>
      <w:r>
        <w:t>at 3</w:t>
      </w:r>
      <w:r w:rsidR="00FB77CB">
        <w:t>–</w:t>
      </w:r>
      <w:r>
        <w:t>4, 6</w:t>
      </w:r>
      <w:r w:rsidR="00FB77CB">
        <w:t>–</w:t>
      </w:r>
      <w:r>
        <w:t xml:space="preserve">7.  Saga argued that its conduct was not “willful” because it “did not know its license had expired and that it had failed to timely file its application for renewal.”  </w:t>
      </w:r>
      <w:r>
        <w:rPr>
          <w:i/>
        </w:rPr>
        <w:t>Id.</w:t>
      </w:r>
      <w:r w:rsidR="00FB77CB">
        <w:rPr>
          <w:i/>
        </w:rPr>
        <w:t xml:space="preserve"> </w:t>
      </w:r>
      <w:r>
        <w:t xml:space="preserve">at 4.  Saga also asserted that a showing of </w:t>
      </w:r>
      <w:r>
        <w:rPr>
          <w:i/>
        </w:rPr>
        <w:t xml:space="preserve">scienter </w:t>
      </w:r>
      <w:r>
        <w:t xml:space="preserve">is necessary to find that a violation is “willful.”  </w:t>
      </w:r>
      <w:r w:rsidR="00FB77CB">
        <w:rPr>
          <w:i/>
        </w:rPr>
        <w:t>See i</w:t>
      </w:r>
      <w:r>
        <w:rPr>
          <w:i/>
        </w:rPr>
        <w:t xml:space="preserve">d. </w:t>
      </w:r>
      <w:r>
        <w:t>at 4</w:t>
      </w:r>
      <w:r w:rsidR="00FB77CB">
        <w:t>–</w:t>
      </w:r>
      <w:r>
        <w:t>5 (citing</w:t>
      </w:r>
      <w:r>
        <w:rPr>
          <w:i/>
        </w:rPr>
        <w:t xml:space="preserve"> CBS Cor</w:t>
      </w:r>
      <w:r w:rsidR="00FB77CB">
        <w:rPr>
          <w:i/>
        </w:rPr>
        <w:t>p.</w:t>
      </w:r>
      <w:r>
        <w:rPr>
          <w:i/>
        </w:rPr>
        <w:t xml:space="preserve"> v. FCC, </w:t>
      </w:r>
      <w:r>
        <w:t>535 F.3d 167 (3rd Cir. 2008)</w:t>
      </w:r>
      <w:r w:rsidR="00FB77CB">
        <w:t xml:space="preserve">, </w:t>
      </w:r>
      <w:r>
        <w:rPr>
          <w:i/>
        </w:rPr>
        <w:t xml:space="preserve">cert. granted, vacated, and remanded, </w:t>
      </w:r>
      <w:r>
        <w:t xml:space="preserve">129 </w:t>
      </w:r>
      <w:smartTag w:uri="urn:schemas-microsoft-com:office:smarttags" w:element="place">
        <w:r>
          <w:t>S. Ct.</w:t>
        </w:r>
      </w:smartTag>
      <w:r>
        <w:t xml:space="preserve"> 2176 (2009)).</w:t>
      </w:r>
    </w:p>
  </w:footnote>
  <w:footnote w:id="17">
    <w:p w:rsidR="001D4D82" w:rsidRPr="00E26DF6" w:rsidRDefault="001D4D82" w:rsidP="00E26DF6">
      <w:pPr>
        <w:pStyle w:val="FootnoteText"/>
        <w:jc w:val="left"/>
      </w:pPr>
      <w:r>
        <w:rPr>
          <w:rStyle w:val="FootnoteReference"/>
        </w:rPr>
        <w:footnoteRef/>
      </w:r>
      <w:r>
        <w:t xml:space="preserve"> </w:t>
      </w:r>
      <w:r w:rsidR="001A07D7">
        <w:rPr>
          <w:i/>
        </w:rPr>
        <w:t>See i</w:t>
      </w:r>
      <w:r>
        <w:rPr>
          <w:i/>
        </w:rPr>
        <w:t xml:space="preserve">d. </w:t>
      </w:r>
      <w:r>
        <w:t>at 5</w:t>
      </w:r>
      <w:r w:rsidR="001A07D7">
        <w:t>–</w:t>
      </w:r>
      <w:r>
        <w:t>6 (asserting that the Media Bureau has routinely assessed forfeitures in the mount of $250 for failures to file timely license renewal applications in violation of Section 73.3539 of the Rules).</w:t>
      </w:r>
    </w:p>
  </w:footnote>
  <w:footnote w:id="18">
    <w:p w:rsidR="001D4D82" w:rsidRPr="00E26DF6" w:rsidRDefault="001D4D82" w:rsidP="00E26DF6">
      <w:pPr>
        <w:pStyle w:val="FootnoteText"/>
        <w:jc w:val="left"/>
      </w:pPr>
      <w:r>
        <w:rPr>
          <w:rStyle w:val="FootnoteReference"/>
        </w:rPr>
        <w:footnoteRef/>
      </w:r>
      <w:r>
        <w:t xml:space="preserve"> </w:t>
      </w:r>
      <w:r w:rsidR="006F0AA5">
        <w:rPr>
          <w:i/>
        </w:rPr>
        <w:t>See i</w:t>
      </w:r>
      <w:r>
        <w:rPr>
          <w:i/>
        </w:rPr>
        <w:t xml:space="preserve">d. </w:t>
      </w:r>
      <w:r>
        <w:t>at 7</w:t>
      </w:r>
      <w:r w:rsidR="001A07D7">
        <w:t>–</w:t>
      </w:r>
      <w:r>
        <w:t>10 (asserting that Saga’s continued operation of the earth station was critical to Saga’s business and to members of the public who listen to its stations).</w:t>
      </w:r>
    </w:p>
  </w:footnote>
  <w:footnote w:id="19">
    <w:p w:rsidR="001D4D82" w:rsidRDefault="001D4D82" w:rsidP="008700D2">
      <w:pPr>
        <w:pStyle w:val="FootnoteText"/>
        <w:jc w:val="left"/>
      </w:pPr>
      <w:r>
        <w:rPr>
          <w:rStyle w:val="FootnoteReference"/>
        </w:rPr>
        <w:footnoteRef/>
      </w:r>
      <w:r>
        <w:t xml:space="preserve"> </w:t>
      </w:r>
      <w:r w:rsidR="006F0AA5">
        <w:rPr>
          <w:i/>
        </w:rPr>
        <w:t xml:space="preserve">See </w:t>
      </w:r>
      <w:r w:rsidRPr="006E3812">
        <w:rPr>
          <w:i/>
        </w:rPr>
        <w:t>Forfeiture Order</w:t>
      </w:r>
      <w:r>
        <w:t xml:space="preserve">, 24 FCC Rcd at 3855, para. 13.  </w:t>
      </w:r>
    </w:p>
  </w:footnote>
  <w:footnote w:id="20">
    <w:p w:rsidR="001D4D82" w:rsidRDefault="001D4D82" w:rsidP="00F22614">
      <w:pPr>
        <w:pStyle w:val="FootnoteText"/>
        <w:jc w:val="left"/>
      </w:pPr>
      <w:r>
        <w:rPr>
          <w:rStyle w:val="FootnoteReference"/>
        </w:rPr>
        <w:footnoteRef/>
      </w:r>
      <w:r>
        <w:t xml:space="preserve"> </w:t>
      </w:r>
      <w:r w:rsidRPr="008721E0">
        <w:t xml:space="preserve">Section 312(f)(1) of the Act defines “willful” as “the conscious and deliberate commission or omission of [any] act, irrespective of any intent to violate” the law.  47 U.S.C. § 312(f)(1).  The legislative history of Section 312 clarifies that this definition of willful applies to Sections 312 and 503 of the Act, H.R. </w:t>
      </w:r>
      <w:r>
        <w:t>Rep</w:t>
      </w:r>
      <w:r w:rsidRPr="008721E0">
        <w:t>. No. 97-765 (</w:t>
      </w:r>
      <w:r>
        <w:t>1982) (Conf. Rep.)</w:t>
      </w:r>
      <w:r w:rsidRPr="008721E0">
        <w:t>, and the Commission has so interpreted the term in the Section 503(b) context</w:t>
      </w:r>
      <w:r w:rsidR="001A07D7">
        <w:t xml:space="preserve">, </w:t>
      </w:r>
      <w:r w:rsidR="001A07D7">
        <w:rPr>
          <w:i/>
        </w:rPr>
        <w:t>s</w:t>
      </w:r>
      <w:r>
        <w:rPr>
          <w:i/>
        </w:rPr>
        <w:t>ee</w:t>
      </w:r>
      <w:r w:rsidRPr="008721E0">
        <w:rPr>
          <w:i/>
        </w:rPr>
        <w:t xml:space="preserve"> </w:t>
      </w:r>
      <w:r w:rsidRPr="008721E0">
        <w:rPr>
          <w:i/>
          <w:iCs/>
        </w:rPr>
        <w:t>So</w:t>
      </w:r>
      <w:r>
        <w:rPr>
          <w:i/>
          <w:iCs/>
        </w:rPr>
        <w:t>.</w:t>
      </w:r>
      <w:r w:rsidRPr="008721E0">
        <w:rPr>
          <w:i/>
          <w:iCs/>
        </w:rPr>
        <w:t xml:space="preserve"> Ca</w:t>
      </w:r>
      <w:r>
        <w:rPr>
          <w:i/>
          <w:iCs/>
        </w:rPr>
        <w:t>l.</w:t>
      </w:r>
      <w:r w:rsidRPr="008721E0">
        <w:rPr>
          <w:i/>
          <w:iCs/>
        </w:rPr>
        <w:t xml:space="preserve"> Broad</w:t>
      </w:r>
      <w:r>
        <w:rPr>
          <w:i/>
          <w:iCs/>
        </w:rPr>
        <w:t>.</w:t>
      </w:r>
      <w:r w:rsidRPr="008721E0">
        <w:rPr>
          <w:i/>
          <w:iCs/>
        </w:rPr>
        <w:t xml:space="preserve"> Co</w:t>
      </w:r>
      <w:r w:rsidRPr="00EC2CB2">
        <w:rPr>
          <w:i/>
          <w:iCs/>
        </w:rPr>
        <w:t>.</w:t>
      </w:r>
      <w:r w:rsidRPr="00EC2CB2">
        <w:rPr>
          <w:iCs/>
        </w:rPr>
        <w:t>,</w:t>
      </w:r>
      <w:r w:rsidRPr="008721E0">
        <w:t xml:space="preserve"> Memorandum Opinion and Order, 6 FCC Rcd 4387, 4387</w:t>
      </w:r>
      <w:r>
        <w:t>–</w:t>
      </w:r>
      <w:r w:rsidRPr="008721E0">
        <w:t>88</w:t>
      </w:r>
      <w:r>
        <w:t>, para. 5</w:t>
      </w:r>
      <w:r w:rsidRPr="008721E0">
        <w:t xml:space="preserve"> (1991), </w:t>
      </w:r>
      <w:r w:rsidRPr="008721E0">
        <w:rPr>
          <w:i/>
          <w:iCs/>
        </w:rPr>
        <w:t xml:space="preserve">recon. denied, </w:t>
      </w:r>
      <w:r>
        <w:t>7 FCC Rcd 3454 (1992) (</w:t>
      </w:r>
      <w:smartTag w:uri="urn:schemas-microsoft-com:office:smarttags" w:element="place">
        <w:r w:rsidRPr="008721E0">
          <w:rPr>
            <w:i/>
          </w:rPr>
          <w:t>Southern California</w:t>
        </w:r>
      </w:smartTag>
      <w:r w:rsidRPr="008721E0">
        <w:t>).</w:t>
      </w:r>
      <w:r>
        <w:t xml:space="preserve">  </w:t>
      </w:r>
      <w:r w:rsidRPr="008700D2">
        <w:rPr>
          <w:i/>
        </w:rPr>
        <w:t>See also</w:t>
      </w:r>
      <w:r>
        <w:t xml:space="preserve">, </w:t>
      </w:r>
      <w:r w:rsidRPr="006E3812">
        <w:rPr>
          <w:i/>
        </w:rPr>
        <w:t>Forfeiture Order</w:t>
      </w:r>
      <w:r>
        <w:t>, 24 FCC Rcd at 3854</w:t>
      </w:r>
      <w:r w:rsidR="001A07D7">
        <w:t>–</w:t>
      </w:r>
      <w:r>
        <w:t>55</w:t>
      </w:r>
      <w:r w:rsidR="008C0D37">
        <w:t>, para. 10</w:t>
      </w:r>
      <w:r>
        <w:t xml:space="preserve"> (rejecting Saga’s claim that the Commission should have to establish </w:t>
      </w:r>
      <w:r w:rsidRPr="005B230B">
        <w:rPr>
          <w:i/>
        </w:rPr>
        <w:t>scienter</w:t>
      </w:r>
      <w:r>
        <w:t xml:space="preserve"> as an element of willfulness).  The Division noted that because Saga’s failure to file the required license renewal application was willful, it was not necessary to address whether the violation also was repeated.  </w:t>
      </w:r>
      <w:r w:rsidRPr="008700D2">
        <w:rPr>
          <w:i/>
        </w:rPr>
        <w:t>See id</w:t>
      </w:r>
      <w:r>
        <w:t xml:space="preserve">. </w:t>
      </w:r>
      <w:r w:rsidR="00A1713B">
        <w:t>a</w:t>
      </w:r>
      <w:r>
        <w:t>t</w:t>
      </w:r>
      <w:r w:rsidR="00A1713B">
        <w:t xml:space="preserve"> 3855</w:t>
      </w:r>
      <w:r>
        <w:t xml:space="preserve"> n.24.  In this regard, we note that </w:t>
      </w:r>
      <w:r w:rsidRPr="008721E0">
        <w:t>Section 312(f)(</w:t>
      </w:r>
      <w:r>
        <w:t>2</w:t>
      </w:r>
      <w:r w:rsidRPr="008721E0">
        <w:t>) of the Act</w:t>
      </w:r>
      <w:r>
        <w:t>, which also applies to forfeitures assessed pursuant to Section 503(b) of the Act,</w:t>
      </w:r>
      <w:r w:rsidRPr="008721E0">
        <w:t xml:space="preserve"> defines “repeated” as “the commission or omission of [any] act more than once or, if such commission or omission is continuous, for more than one day.”  47 U.S.C. § 312(f)(</w:t>
      </w:r>
      <w:r>
        <w:t>2</w:t>
      </w:r>
      <w:r w:rsidRPr="008721E0">
        <w:t>)</w:t>
      </w:r>
      <w:r>
        <w:t xml:space="preserve">.  </w:t>
      </w:r>
      <w:r>
        <w:rPr>
          <w:i/>
        </w:rPr>
        <w:t>S</w:t>
      </w:r>
      <w:r w:rsidRPr="008721E0">
        <w:rPr>
          <w:i/>
        </w:rPr>
        <w:t xml:space="preserve">ee also </w:t>
      </w:r>
      <w:r w:rsidRPr="008721E0">
        <w:rPr>
          <w:i/>
          <w:iCs/>
        </w:rPr>
        <w:t>So</w:t>
      </w:r>
      <w:r>
        <w:rPr>
          <w:i/>
          <w:iCs/>
        </w:rPr>
        <w:t>uthern California</w:t>
      </w:r>
      <w:r>
        <w:rPr>
          <w:iCs/>
        </w:rPr>
        <w:t xml:space="preserve">, </w:t>
      </w:r>
      <w:r w:rsidRPr="008721E0">
        <w:t xml:space="preserve">6 FCC Rcd </w:t>
      </w:r>
      <w:r>
        <w:t xml:space="preserve">at </w:t>
      </w:r>
      <w:r w:rsidRPr="008721E0">
        <w:t>4387</w:t>
      </w:r>
      <w:r w:rsidR="008C0D37">
        <w:t>–</w:t>
      </w:r>
      <w:r>
        <w:t>88</w:t>
      </w:r>
      <w:r w:rsidRPr="008721E0">
        <w:t xml:space="preserve">, </w:t>
      </w:r>
      <w:r>
        <w:t>para. 5</w:t>
      </w:r>
      <w:r w:rsidRPr="008721E0">
        <w:t xml:space="preserve">. </w:t>
      </w:r>
      <w:r>
        <w:t xml:space="preserve"> </w:t>
      </w:r>
    </w:p>
  </w:footnote>
  <w:footnote w:id="21">
    <w:p w:rsidR="001D4D82" w:rsidRDefault="001D4D82" w:rsidP="009D7B0D">
      <w:pPr>
        <w:pStyle w:val="FootnoteText"/>
        <w:jc w:val="left"/>
      </w:pPr>
      <w:r>
        <w:rPr>
          <w:rStyle w:val="FootnoteReference"/>
        </w:rPr>
        <w:footnoteRef/>
      </w:r>
      <w:r>
        <w:t xml:space="preserve"> </w:t>
      </w:r>
      <w:r w:rsidR="008C0D37">
        <w:rPr>
          <w:i/>
        </w:rPr>
        <w:t>See Forfeiture Order,</w:t>
      </w:r>
      <w:r>
        <w:t xml:space="preserve"> 24 FCC Rcd at 3855</w:t>
      </w:r>
      <w:r w:rsidR="008C0D37">
        <w:t>, para. 11</w:t>
      </w:r>
      <w:r>
        <w:t xml:space="preserve"> (rejecting Saga’s claim that the Media Bureau’s assessed forfeiture amount for failure to file a timely renewal application of $250 prior to license expiration is the appropriate amount for failure to timely file a renewal application nine months after license expiration)</w:t>
      </w:r>
      <w:r w:rsidR="008C0D37">
        <w:t>.</w:t>
      </w:r>
    </w:p>
  </w:footnote>
  <w:footnote w:id="22">
    <w:p w:rsidR="001D4D82" w:rsidRDefault="001D4D82" w:rsidP="009D7B0D">
      <w:pPr>
        <w:pStyle w:val="FootnoteText"/>
        <w:jc w:val="left"/>
      </w:pPr>
      <w:r>
        <w:rPr>
          <w:rStyle w:val="FootnoteReference"/>
        </w:rPr>
        <w:footnoteRef/>
      </w:r>
      <w:r>
        <w:t xml:space="preserve"> </w:t>
      </w:r>
      <w:r w:rsidR="008C0D37">
        <w:rPr>
          <w:i/>
        </w:rPr>
        <w:t>See i</w:t>
      </w:r>
      <w:r>
        <w:rPr>
          <w:i/>
        </w:rPr>
        <w:t>d</w:t>
      </w:r>
      <w:r>
        <w:t xml:space="preserve">. </w:t>
      </w:r>
      <w:r w:rsidR="008C0D37">
        <w:t xml:space="preserve">at 3855, para. 12 </w:t>
      </w:r>
      <w:r>
        <w:t>(rejecting Saga’s claim that the forfeiture should be cancelled on public interest grounds because the continued unlicensed operation was critical to both the public and its business)</w:t>
      </w:r>
      <w:r w:rsidR="008C0D37">
        <w:t>.</w:t>
      </w:r>
    </w:p>
  </w:footnote>
  <w:footnote w:id="23">
    <w:p w:rsidR="001D4D82" w:rsidRDefault="001D4D82" w:rsidP="00FE4A16">
      <w:pPr>
        <w:pStyle w:val="FootnoteText"/>
        <w:jc w:val="left"/>
      </w:pPr>
      <w:r>
        <w:rPr>
          <w:rStyle w:val="FootnoteReference"/>
        </w:rPr>
        <w:footnoteRef/>
      </w:r>
      <w:r>
        <w:t xml:space="preserve"> </w:t>
      </w:r>
      <w:r w:rsidRPr="00695750">
        <w:rPr>
          <w:i/>
        </w:rPr>
        <w:t>See</w:t>
      </w:r>
      <w:r>
        <w:t xml:space="preserve"> Petition at 3</w:t>
      </w:r>
      <w:r w:rsidR="008C0D37">
        <w:t>–</w:t>
      </w:r>
      <w:r>
        <w:t>5.</w:t>
      </w:r>
    </w:p>
  </w:footnote>
  <w:footnote w:id="24">
    <w:p w:rsidR="001D4D82" w:rsidRDefault="001D4D82" w:rsidP="00FE4A16">
      <w:pPr>
        <w:pStyle w:val="FootnoteText"/>
        <w:jc w:val="left"/>
      </w:pPr>
      <w:r>
        <w:rPr>
          <w:rStyle w:val="FootnoteReference"/>
        </w:rPr>
        <w:footnoteRef/>
      </w:r>
      <w:r>
        <w:t xml:space="preserve"> </w:t>
      </w:r>
      <w:r w:rsidR="008C0D37">
        <w:rPr>
          <w:i/>
        </w:rPr>
        <w:t>See i</w:t>
      </w:r>
      <w:r w:rsidRPr="00E53177">
        <w:rPr>
          <w:i/>
        </w:rPr>
        <w:t>d</w:t>
      </w:r>
      <w:r>
        <w:t>. at 5.</w:t>
      </w:r>
    </w:p>
  </w:footnote>
  <w:footnote w:id="25">
    <w:p w:rsidR="001D4D82" w:rsidRDefault="001D4D82" w:rsidP="00FE4A16">
      <w:pPr>
        <w:pStyle w:val="FootnoteText"/>
        <w:jc w:val="left"/>
      </w:pPr>
      <w:r>
        <w:rPr>
          <w:rStyle w:val="FootnoteReference"/>
        </w:rPr>
        <w:footnoteRef/>
      </w:r>
      <w:r>
        <w:t xml:space="preserve"> </w:t>
      </w:r>
      <w:r w:rsidR="008C0D37">
        <w:rPr>
          <w:i/>
        </w:rPr>
        <w:t>See i</w:t>
      </w:r>
      <w:r w:rsidRPr="00695750">
        <w:rPr>
          <w:i/>
        </w:rPr>
        <w:t>d.</w:t>
      </w:r>
      <w:r>
        <w:t xml:space="preserve"> at 5</w:t>
      </w:r>
      <w:r w:rsidR="008C0D37">
        <w:t>–</w:t>
      </w:r>
      <w:r>
        <w:t>8.</w:t>
      </w:r>
    </w:p>
  </w:footnote>
  <w:footnote w:id="26">
    <w:p w:rsidR="001D4D82" w:rsidRPr="002A29FE" w:rsidRDefault="001D4D82" w:rsidP="002A29FE">
      <w:pPr>
        <w:pStyle w:val="FootnoteText"/>
        <w:jc w:val="left"/>
      </w:pPr>
      <w:r>
        <w:rPr>
          <w:rStyle w:val="FootnoteReference"/>
        </w:rPr>
        <w:footnoteRef/>
      </w:r>
      <w:r>
        <w:t xml:space="preserve"> </w:t>
      </w:r>
      <w:r>
        <w:rPr>
          <w:i/>
          <w:szCs w:val="22"/>
        </w:rPr>
        <w:t xml:space="preserve">See Amendment of Certain of the Commission’s Part 1 Rules of Practice and Procedure and Part 0 Rules of Commission Organization, </w:t>
      </w:r>
      <w:r>
        <w:rPr>
          <w:szCs w:val="22"/>
        </w:rPr>
        <w:t>Report and Order, 26 FCC Rcd 1594, 1606, para. 27 (2011)</w:t>
      </w:r>
      <w:r>
        <w:rPr>
          <w:i/>
          <w:szCs w:val="22"/>
        </w:rPr>
        <w:t xml:space="preserve"> </w:t>
      </w:r>
      <w:r>
        <w:rPr>
          <w:szCs w:val="22"/>
        </w:rPr>
        <w:t>(delegating to the relevant bureaus or offices the authority to dismiss or deny petitions for reconsideration of staff level decisions that are procedurally defective or that merely repeat arguments that have been previously considered and rejected).</w:t>
      </w:r>
      <w:r>
        <w:rPr>
          <w:i/>
          <w:szCs w:val="22"/>
        </w:rPr>
        <w:t xml:space="preserve">  See also, e.g., EZ Sacramento, Inc., </w:t>
      </w:r>
      <w:r>
        <w:rPr>
          <w:szCs w:val="22"/>
        </w:rPr>
        <w:t>Memorandum Opinion and Order, 15 FCC Rcd 18257, 18257, para. 2 (Enf. Bur. 2000) (“</w:t>
      </w:r>
      <w:r w:rsidR="00423F83">
        <w:rPr>
          <w:szCs w:val="22"/>
        </w:rPr>
        <w:t>A</w:t>
      </w:r>
      <w:r>
        <w:rPr>
          <w:szCs w:val="22"/>
        </w:rPr>
        <w:t xml:space="preserve"> petition [for reconsideration] that simply reiterates arguments previously considered and rejected will be denied.”) (citing </w:t>
      </w:r>
      <w:r>
        <w:rPr>
          <w:i/>
          <w:szCs w:val="22"/>
        </w:rPr>
        <w:t>WWIZ, Inc.</w:t>
      </w:r>
      <w:r>
        <w:rPr>
          <w:szCs w:val="22"/>
        </w:rPr>
        <w:t xml:space="preserve">, Memorandum Opinion and Order, 37 FCC 685, 686, para. 2 (1964), </w:t>
      </w:r>
      <w:r>
        <w:rPr>
          <w:i/>
          <w:szCs w:val="22"/>
        </w:rPr>
        <w:t>aff'd sub nom. Lorain Journal Co. v. FCC</w:t>
      </w:r>
      <w:r>
        <w:rPr>
          <w:szCs w:val="22"/>
        </w:rPr>
        <w:t>, 351 F.2d 824 (D.C. Cir. 1965))</w:t>
      </w:r>
      <w:r>
        <w:rPr>
          <w:i/>
          <w:szCs w:val="22"/>
        </w:rPr>
        <w:t>.</w:t>
      </w:r>
    </w:p>
  </w:footnote>
  <w:footnote w:id="27">
    <w:p w:rsidR="00493CC3" w:rsidRDefault="00493CC3" w:rsidP="00A6353D">
      <w:pPr>
        <w:pStyle w:val="FootnoteText"/>
        <w:jc w:val="left"/>
      </w:pPr>
      <w:r>
        <w:rPr>
          <w:rStyle w:val="FootnoteReference"/>
        </w:rPr>
        <w:footnoteRef/>
      </w:r>
      <w:r>
        <w:t xml:space="preserve"> 47 U.S.C. § 301.</w:t>
      </w:r>
    </w:p>
  </w:footnote>
  <w:footnote w:id="28">
    <w:p w:rsidR="00493CC3" w:rsidRDefault="00493CC3" w:rsidP="00A6353D">
      <w:pPr>
        <w:pStyle w:val="FootnoteText"/>
        <w:jc w:val="left"/>
      </w:pPr>
      <w:r>
        <w:rPr>
          <w:rStyle w:val="FootnoteReference"/>
        </w:rPr>
        <w:footnoteRef/>
      </w:r>
      <w:r>
        <w:t xml:space="preserve"> 47 C.F.R. § 25.102(a)</w:t>
      </w:r>
      <w:r w:rsidR="00A6353D">
        <w:t xml:space="preserve"> </w:t>
      </w:r>
      <w:r>
        <w:t>(prohibiting the use or operation of earth stations without a Commission granted authorization).</w:t>
      </w:r>
    </w:p>
  </w:footnote>
  <w:footnote w:id="29">
    <w:p w:rsidR="00B756CC" w:rsidRDefault="0015448C" w:rsidP="00B756CC">
      <w:pPr>
        <w:pStyle w:val="FootnoteText"/>
        <w:jc w:val="left"/>
      </w:pPr>
      <w:r>
        <w:rPr>
          <w:rStyle w:val="FootnoteReference"/>
        </w:rPr>
        <w:footnoteRef/>
      </w:r>
      <w:r w:rsidR="00B756CC">
        <w:t xml:space="preserve"> </w:t>
      </w:r>
      <w:r w:rsidR="00493CC3">
        <w:t>47 C.F.R. § 25.121(e) (specifying required filing dates for license renewal applications).  Saga failed to file a renewal application until nine months after the earth station license expired.  As the Commission has noted, a</w:t>
      </w:r>
      <w:r w:rsidR="00533F13">
        <w:t xml:space="preserve"> licensee who intends to operate after the expiration of its </w:t>
      </w:r>
      <w:r w:rsidR="00A644A5">
        <w:t xml:space="preserve">station </w:t>
      </w:r>
      <w:r w:rsidR="00533F13">
        <w:t>license is required to seek authority</w:t>
      </w:r>
      <w:r w:rsidR="00A644A5">
        <w:t xml:space="preserve"> for such continued operations</w:t>
      </w:r>
      <w:r w:rsidR="00533F13">
        <w:t xml:space="preserve">.  </w:t>
      </w:r>
      <w:r w:rsidR="00A644A5">
        <w:rPr>
          <w:i/>
        </w:rPr>
        <w:t xml:space="preserve">See, e.g., </w:t>
      </w:r>
      <w:r w:rsidR="00A644A5" w:rsidRPr="00BE04BD">
        <w:rPr>
          <w:i/>
        </w:rPr>
        <w:t>Union Oil Company of California, a Subsidiary of Chevron Corporation</w:t>
      </w:r>
      <w:r w:rsidR="00A644A5">
        <w:t>, Notice of Apparent Liability for Forfeiture, 27 FCC Rcd 13806, 13808</w:t>
      </w:r>
      <w:r w:rsidR="00E02760">
        <w:t>, para. 6</w:t>
      </w:r>
      <w:r w:rsidR="00A644A5">
        <w:t xml:space="preserve"> (2012) </w:t>
      </w:r>
      <w:r w:rsidR="00A644A5" w:rsidRPr="00A644A5">
        <w:t>(citing</w:t>
      </w:r>
      <w:r w:rsidR="00A644A5">
        <w:rPr>
          <w:i/>
        </w:rPr>
        <w:t xml:space="preserve"> </w:t>
      </w:r>
      <w:r w:rsidR="00BE04BD" w:rsidRPr="00BE04BD">
        <w:rPr>
          <w:i/>
        </w:rPr>
        <w:t>Biennial Regulatory Review – Amendment of Parts 0,1, 13, 22, 24, 26, 27, 80, 87, 90, 95, 97, and 101 of the Commission’s Rules to Facilitate the Development and Use of the Universal Licensing System in the Wireless Telecommunications Services</w:t>
      </w:r>
      <w:r w:rsidR="00BE04BD">
        <w:t>, 13 FCC Rcd 21027, 2107</w:t>
      </w:r>
      <w:r w:rsidR="00A6353D">
        <w:t>3</w:t>
      </w:r>
      <w:r w:rsidR="00BE04BD">
        <w:t>, para. 98 (1998); Memorandum Opinion and Order on Reconsideration, 14 FCC Rcd 11476, 11485-86, para. 22 (1999)</w:t>
      </w:r>
      <w:r w:rsidR="00A644A5">
        <w:t>)</w:t>
      </w:r>
      <w:r w:rsidR="00493CC3">
        <w:t xml:space="preserve">.  </w:t>
      </w:r>
      <w:r w:rsidR="00BD7394" w:rsidRPr="00BD7394">
        <w:t xml:space="preserve">In addition, earth station licensees may seek reinstatement of an expired earth station license, but Saga did not submit such a filing.  </w:t>
      </w:r>
      <w:r w:rsidR="00BD7394">
        <w:rPr>
          <w:i/>
        </w:rPr>
        <w:t xml:space="preserve">See </w:t>
      </w:r>
      <w:r w:rsidR="00BD7394" w:rsidRPr="00BD7394">
        <w:t>47 C.F.R. § 25.163(a) (permitting reinstatement under certain circumstances if petition for reinstatement is filed within 30 days of license expiration)</w:t>
      </w:r>
      <w:r w:rsidR="00BD7394">
        <w:t>.</w:t>
      </w:r>
      <w:r w:rsidR="00493CC3">
        <w:t xml:space="preserve">  </w:t>
      </w:r>
      <w:r>
        <w:t xml:space="preserve">  </w:t>
      </w:r>
    </w:p>
  </w:footnote>
  <w:footnote w:id="30">
    <w:p w:rsidR="00423F83" w:rsidRDefault="00423F83" w:rsidP="00423F83">
      <w:pPr>
        <w:pStyle w:val="FootnoteText"/>
        <w:jc w:val="left"/>
      </w:pPr>
      <w:r>
        <w:rPr>
          <w:rStyle w:val="FootnoteReference"/>
        </w:rPr>
        <w:footnoteRef/>
      </w:r>
      <w:r>
        <w:t xml:space="preserve"> 47 U.S.C. § 301; </w:t>
      </w:r>
      <w:r w:rsidRPr="00423F83">
        <w:t>47 C.F.R. §§</w:t>
      </w:r>
      <w:r>
        <w:t xml:space="preserve"> 25.102(a), 25.121(e).</w:t>
      </w:r>
    </w:p>
  </w:footnote>
  <w:footnote w:id="31">
    <w:p w:rsidR="001D4D82" w:rsidRDefault="001D4D82" w:rsidP="00FE4A16">
      <w:pPr>
        <w:pStyle w:val="FootnoteText"/>
        <w:jc w:val="left"/>
      </w:pPr>
      <w:r>
        <w:rPr>
          <w:rStyle w:val="FootnoteReference"/>
        </w:rPr>
        <w:footnoteRef/>
      </w:r>
      <w:r>
        <w:t xml:space="preserve"> </w:t>
      </w:r>
      <w:r w:rsidR="00423F83">
        <w:t xml:space="preserve">47 U.S.C. §§ 154(i), 405; </w:t>
      </w:r>
      <w:r>
        <w:t>47 C.F.R. §§ 0.111, 0.311, 1.106.</w:t>
      </w:r>
    </w:p>
  </w:footnote>
  <w:footnote w:id="32">
    <w:p w:rsidR="001D4D82" w:rsidRDefault="001D4D82" w:rsidP="00FE4A16">
      <w:pPr>
        <w:pStyle w:val="FootnoteText"/>
        <w:jc w:val="left"/>
      </w:pPr>
      <w:r>
        <w:rPr>
          <w:rStyle w:val="FootnoteReference"/>
        </w:rPr>
        <w:footnoteRef/>
      </w:r>
      <w:r>
        <w:t xml:space="preserve"> </w:t>
      </w:r>
      <w:r w:rsidR="00423F83">
        <w:t xml:space="preserve">47 U.S.C. § 503(b); </w:t>
      </w:r>
      <w:r>
        <w:t>47 C.F.R. §§ 0.111, 0.311, 1.80(f).</w:t>
      </w:r>
    </w:p>
  </w:footnote>
  <w:footnote w:id="33">
    <w:p w:rsidR="001D4D82" w:rsidRDefault="001D4D82" w:rsidP="00FE4A16">
      <w:pPr>
        <w:pStyle w:val="FootnoteText"/>
        <w:jc w:val="left"/>
      </w:pPr>
      <w:r>
        <w:rPr>
          <w:rStyle w:val="FootnoteReference"/>
        </w:rPr>
        <w:footnoteRef/>
      </w:r>
      <w:r>
        <w:t xml:space="preserve"> </w:t>
      </w:r>
      <w:r w:rsidR="00423F83">
        <w:t>47 U.S.C. § 301; 47 C.F.R. §§ 25.102(a),</w:t>
      </w:r>
      <w:r>
        <w:t xml:space="preserve"> 25.121(e).</w:t>
      </w:r>
    </w:p>
  </w:footnote>
  <w:footnote w:id="34">
    <w:p w:rsidR="001D4D82" w:rsidRDefault="001D4D82" w:rsidP="00FE4A16">
      <w:pPr>
        <w:pStyle w:val="FootnoteText"/>
        <w:jc w:val="left"/>
      </w:pPr>
      <w:r>
        <w:rPr>
          <w:rStyle w:val="FootnoteReference"/>
        </w:rPr>
        <w:footnoteRef/>
      </w:r>
      <w:r>
        <w:t xml:space="preserve"> </w:t>
      </w:r>
      <w:r w:rsidR="00423F83">
        <w:t xml:space="preserve">47 C.F.R. </w:t>
      </w:r>
      <w:r>
        <w:t>§ 1.80.</w:t>
      </w:r>
    </w:p>
  </w:footnote>
  <w:footnote w:id="35">
    <w:p w:rsidR="001D4D82" w:rsidRDefault="001D4D82" w:rsidP="00FE4A16">
      <w:pPr>
        <w:pStyle w:val="FootnoteText"/>
        <w:jc w:val="left"/>
      </w:pPr>
      <w:r>
        <w:rPr>
          <w:rStyle w:val="FootnoteReference"/>
        </w:rPr>
        <w:footnoteRef/>
      </w:r>
      <w:r>
        <w:t xml:space="preserve"> 47 U.S.C. § 504(a).</w:t>
      </w:r>
    </w:p>
  </w:footnote>
  <w:footnote w:id="36">
    <w:p w:rsidR="001D4D82" w:rsidRDefault="001D4D82" w:rsidP="00285507">
      <w:pPr>
        <w:pStyle w:val="FootnoteText"/>
        <w:jc w:val="left"/>
      </w:pPr>
      <w:r>
        <w:rPr>
          <w:rStyle w:val="FootnoteReference"/>
        </w:rPr>
        <w:footnoteRef/>
      </w:r>
      <w:r>
        <w:t xml:space="preserve"> </w:t>
      </w:r>
      <w:r w:rsidRPr="00626BA2">
        <w:rPr>
          <w:rFonts w:eastAsia="MS Mincho" w:cs="Arial"/>
        </w:rPr>
        <w:t>An 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instructions for completing the form may be obtained at http://www.fcc.gov/Forms/Form159/159.pdf.</w:t>
      </w:r>
    </w:p>
  </w:footnote>
  <w:footnote w:id="37">
    <w:p w:rsidR="001D4D82" w:rsidRDefault="001D4D82" w:rsidP="00FE4A16">
      <w:pPr>
        <w:pStyle w:val="FootnoteText"/>
        <w:jc w:val="left"/>
      </w:pPr>
      <w:r>
        <w:rPr>
          <w:rStyle w:val="FootnoteReference"/>
        </w:rPr>
        <w:footnoteRef/>
      </w:r>
      <w:r>
        <w:t xml:space="preserve"> </w:t>
      </w:r>
      <w:r w:rsidRPr="00D70F1F">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2DE" w:rsidRDefault="007A0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D82" w:rsidRPr="009267D8" w:rsidRDefault="001D4D82">
    <w:pPr>
      <w:pStyle w:val="Header"/>
      <w:tabs>
        <w:tab w:val="clear" w:pos="4320"/>
        <w:tab w:val="clear" w:pos="8640"/>
        <w:tab w:val="center" w:pos="4680"/>
        <w:tab w:val="right" w:pos="9360"/>
      </w:tabs>
      <w:rPr>
        <w:b/>
        <w:szCs w:val="22"/>
      </w:rPr>
    </w:pPr>
    <w:r>
      <w:rPr>
        <w:b/>
      </w:rPr>
      <w:tab/>
    </w:r>
    <w:r w:rsidRPr="009267D8">
      <w:rPr>
        <w:b/>
        <w:szCs w:val="22"/>
      </w:rPr>
      <w:t>Federal Communications Commission</w:t>
    </w:r>
    <w:r w:rsidRPr="009267D8">
      <w:rPr>
        <w:b/>
        <w:szCs w:val="22"/>
      </w:rPr>
      <w:tab/>
      <w:t xml:space="preserve">                          DA </w:t>
    </w:r>
    <w:r>
      <w:rPr>
        <w:b/>
        <w:szCs w:val="22"/>
      </w:rPr>
      <w:t>13</w:t>
    </w:r>
    <w:r w:rsidRPr="009267D8">
      <w:rPr>
        <w:b/>
        <w:szCs w:val="22"/>
      </w:rPr>
      <w:t>-</w:t>
    </w:r>
    <w:r w:rsidR="00A6353D">
      <w:rPr>
        <w:b/>
        <w:szCs w:val="22"/>
      </w:rPr>
      <w:t>429</w:t>
    </w:r>
  </w:p>
  <w:p w:rsidR="001D4D82" w:rsidRDefault="00BF30E5">
    <w:pPr>
      <w:pStyle w:val="Header"/>
      <w:tabs>
        <w:tab w:val="clear" w:pos="8640"/>
        <w:tab w:val="right" w:pos="9360"/>
      </w:tabs>
    </w:pPr>
    <w:r>
      <w:rPr>
        <w:noProof/>
      </w:rPr>
      <w:pict>
        <v:line id="_x0000_s2050" style="position:absolute;z-index:251658240" from="0,1.75pt" to="468pt,1.75pt" o:allowincell="f" strokeweight="1.5pt"/>
      </w:pict>
    </w:r>
  </w:p>
  <w:p w:rsidR="001D4D82" w:rsidRDefault="001D4D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D82" w:rsidRPr="009267D8" w:rsidRDefault="001D4D82">
    <w:pPr>
      <w:pStyle w:val="Header"/>
      <w:tabs>
        <w:tab w:val="clear" w:pos="4320"/>
        <w:tab w:val="clear" w:pos="8640"/>
        <w:tab w:val="center" w:pos="4680"/>
        <w:tab w:val="right" w:pos="9360"/>
      </w:tabs>
      <w:rPr>
        <w:b/>
        <w:szCs w:val="22"/>
      </w:rPr>
    </w:pPr>
    <w:r>
      <w:rPr>
        <w:b/>
      </w:rPr>
      <w:tab/>
    </w:r>
    <w:r w:rsidRPr="009267D8">
      <w:rPr>
        <w:b/>
        <w:szCs w:val="22"/>
      </w:rPr>
      <w:t>Federal Communications Commission</w:t>
    </w:r>
    <w:r w:rsidRPr="009267D8">
      <w:rPr>
        <w:b/>
        <w:szCs w:val="22"/>
      </w:rPr>
      <w:tab/>
      <w:t xml:space="preserve">                          DA </w:t>
    </w:r>
    <w:r>
      <w:rPr>
        <w:b/>
        <w:szCs w:val="22"/>
      </w:rPr>
      <w:t>13</w:t>
    </w:r>
    <w:r w:rsidRPr="009267D8">
      <w:rPr>
        <w:b/>
        <w:szCs w:val="22"/>
      </w:rPr>
      <w:t>-</w:t>
    </w:r>
    <w:r w:rsidR="00A6353D">
      <w:rPr>
        <w:b/>
        <w:szCs w:val="22"/>
      </w:rPr>
      <w:t>429</w:t>
    </w:r>
  </w:p>
  <w:p w:rsidR="001D4D82" w:rsidRDefault="00BF30E5">
    <w:pPr>
      <w:pStyle w:val="Header"/>
      <w:tabs>
        <w:tab w:val="clear" w:pos="8640"/>
        <w:tab w:val="right" w:pos="9360"/>
      </w:tabs>
    </w:pPr>
    <w:r>
      <w:rPr>
        <w:noProof/>
      </w:rPr>
      <w:pict>
        <v:line id="_x0000_s2049"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2EE809EC"/>
    <w:lvl w:ilvl="0">
      <w:start w:val="1"/>
      <w:numFmt w:val="decimal"/>
      <w:pStyle w:val="ParaNum"/>
      <w:lvlText w:val="%1."/>
      <w:lvlJc w:val="left"/>
      <w:pPr>
        <w:tabs>
          <w:tab w:val="num" w:pos="1170"/>
        </w:tabs>
        <w:ind w:left="9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12">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4E079D"/>
    <w:multiLevelType w:val="multilevel"/>
    <w:tmpl w:val="985C8FB8"/>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7"/>
      <w:numFmt w:val="decimal"/>
      <w:lvlText w:val="%3."/>
      <w:lvlJc w:val="left"/>
      <w:pPr>
        <w:tabs>
          <w:tab w:val="num" w:pos="1260"/>
        </w:tabs>
        <w:ind w:left="12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lowerRoman"/>
      <w:lvlText w:val="(%7)"/>
      <w:lvlJc w:val="left"/>
      <w:pPr>
        <w:tabs>
          <w:tab w:val="num" w:pos="504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1"/>
  </w:num>
  <w:num w:numId="2">
    <w:abstractNumId w:val="22"/>
  </w:num>
  <w:num w:numId="3">
    <w:abstractNumId w:val="3"/>
  </w:num>
  <w:num w:numId="4">
    <w:abstractNumId w:val="16"/>
  </w:num>
  <w:num w:numId="5">
    <w:abstractNumId w:val="4"/>
  </w:num>
  <w:num w:numId="6">
    <w:abstractNumId w:val="20"/>
  </w:num>
  <w:num w:numId="7">
    <w:abstractNumId w:val="13"/>
  </w:num>
  <w:num w:numId="8">
    <w:abstractNumId w:val="5"/>
  </w:num>
  <w:num w:numId="9">
    <w:abstractNumId w:val="19"/>
  </w:num>
  <w:num w:numId="10">
    <w:abstractNumId w:val="10"/>
  </w:num>
  <w:num w:numId="11">
    <w:abstractNumId w:val="9"/>
  </w:num>
  <w:num w:numId="12">
    <w:abstractNumId w:val="6"/>
  </w:num>
  <w:num w:numId="13">
    <w:abstractNumId w:val="11"/>
  </w:num>
  <w:num w:numId="14">
    <w:abstractNumId w:val="18"/>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7"/>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0419"/>
    <w:rsid w:val="00003575"/>
    <w:rsid w:val="00007F3B"/>
    <w:rsid w:val="000176EC"/>
    <w:rsid w:val="00021BCE"/>
    <w:rsid w:val="0002679A"/>
    <w:rsid w:val="000318FE"/>
    <w:rsid w:val="00036EAB"/>
    <w:rsid w:val="00045AEC"/>
    <w:rsid w:val="0004665F"/>
    <w:rsid w:val="00047937"/>
    <w:rsid w:val="000551AA"/>
    <w:rsid w:val="000601E0"/>
    <w:rsid w:val="00075444"/>
    <w:rsid w:val="000963FF"/>
    <w:rsid w:val="000A5F4C"/>
    <w:rsid w:val="000A71C0"/>
    <w:rsid w:val="000B078D"/>
    <w:rsid w:val="000B07C4"/>
    <w:rsid w:val="000B206D"/>
    <w:rsid w:val="000B2A23"/>
    <w:rsid w:val="000B5F7E"/>
    <w:rsid w:val="000C12E7"/>
    <w:rsid w:val="000C2EFA"/>
    <w:rsid w:val="000C3073"/>
    <w:rsid w:val="000C5F9D"/>
    <w:rsid w:val="000C7955"/>
    <w:rsid w:val="000D65A6"/>
    <w:rsid w:val="000D670E"/>
    <w:rsid w:val="000E3394"/>
    <w:rsid w:val="000F74E5"/>
    <w:rsid w:val="00101F4F"/>
    <w:rsid w:val="0010793B"/>
    <w:rsid w:val="00111ABF"/>
    <w:rsid w:val="00113D02"/>
    <w:rsid w:val="001222CF"/>
    <w:rsid w:val="00124AD7"/>
    <w:rsid w:val="001363EC"/>
    <w:rsid w:val="00136529"/>
    <w:rsid w:val="00141EC9"/>
    <w:rsid w:val="0015448C"/>
    <w:rsid w:val="00155233"/>
    <w:rsid w:val="0015797C"/>
    <w:rsid w:val="001633BD"/>
    <w:rsid w:val="00172A6B"/>
    <w:rsid w:val="0018292D"/>
    <w:rsid w:val="0018450C"/>
    <w:rsid w:val="001917C4"/>
    <w:rsid w:val="00196A8A"/>
    <w:rsid w:val="001A07D7"/>
    <w:rsid w:val="001B3E77"/>
    <w:rsid w:val="001B48A4"/>
    <w:rsid w:val="001C3951"/>
    <w:rsid w:val="001C405C"/>
    <w:rsid w:val="001D4D82"/>
    <w:rsid w:val="001F28B8"/>
    <w:rsid w:val="00202C09"/>
    <w:rsid w:val="00202FEF"/>
    <w:rsid w:val="002037C5"/>
    <w:rsid w:val="002126B5"/>
    <w:rsid w:val="00220419"/>
    <w:rsid w:val="00251653"/>
    <w:rsid w:val="00254844"/>
    <w:rsid w:val="002552E5"/>
    <w:rsid w:val="002650E8"/>
    <w:rsid w:val="00276712"/>
    <w:rsid w:val="00281FA0"/>
    <w:rsid w:val="00285507"/>
    <w:rsid w:val="002905F2"/>
    <w:rsid w:val="002918D2"/>
    <w:rsid w:val="00291BCF"/>
    <w:rsid w:val="002A062A"/>
    <w:rsid w:val="002A2021"/>
    <w:rsid w:val="002A29FE"/>
    <w:rsid w:val="002A36EB"/>
    <w:rsid w:val="002A5263"/>
    <w:rsid w:val="002A6FDA"/>
    <w:rsid w:val="002A7820"/>
    <w:rsid w:val="002B3E5E"/>
    <w:rsid w:val="002C1E07"/>
    <w:rsid w:val="002C77BC"/>
    <w:rsid w:val="002C780B"/>
    <w:rsid w:val="002D0230"/>
    <w:rsid w:val="002E5A5E"/>
    <w:rsid w:val="002F62F0"/>
    <w:rsid w:val="00302214"/>
    <w:rsid w:val="0030363B"/>
    <w:rsid w:val="003052FD"/>
    <w:rsid w:val="00312DC1"/>
    <w:rsid w:val="00313393"/>
    <w:rsid w:val="00331A45"/>
    <w:rsid w:val="003413B4"/>
    <w:rsid w:val="00351198"/>
    <w:rsid w:val="003555BC"/>
    <w:rsid w:val="00363E2E"/>
    <w:rsid w:val="003672A5"/>
    <w:rsid w:val="003701B2"/>
    <w:rsid w:val="00371301"/>
    <w:rsid w:val="00375478"/>
    <w:rsid w:val="00391CD3"/>
    <w:rsid w:val="00396319"/>
    <w:rsid w:val="003978D9"/>
    <w:rsid w:val="003A2BE1"/>
    <w:rsid w:val="003A7F17"/>
    <w:rsid w:val="003B6E6D"/>
    <w:rsid w:val="003D04DE"/>
    <w:rsid w:val="003D3C86"/>
    <w:rsid w:val="003E75AC"/>
    <w:rsid w:val="003F2ECC"/>
    <w:rsid w:val="003F7843"/>
    <w:rsid w:val="004050E2"/>
    <w:rsid w:val="004107EE"/>
    <w:rsid w:val="0041206B"/>
    <w:rsid w:val="004212B4"/>
    <w:rsid w:val="00423F83"/>
    <w:rsid w:val="00430BB0"/>
    <w:rsid w:val="004313AA"/>
    <w:rsid w:val="00440B9A"/>
    <w:rsid w:val="004456CB"/>
    <w:rsid w:val="004502DE"/>
    <w:rsid w:val="004558BB"/>
    <w:rsid w:val="0046119B"/>
    <w:rsid w:val="00461782"/>
    <w:rsid w:val="00466B4E"/>
    <w:rsid w:val="00482964"/>
    <w:rsid w:val="004875F5"/>
    <w:rsid w:val="004930B6"/>
    <w:rsid w:val="00493CC3"/>
    <w:rsid w:val="004A01CD"/>
    <w:rsid w:val="004A7860"/>
    <w:rsid w:val="004B4D45"/>
    <w:rsid w:val="004B7183"/>
    <w:rsid w:val="004C1763"/>
    <w:rsid w:val="004D3918"/>
    <w:rsid w:val="004D456B"/>
    <w:rsid w:val="004D4C9C"/>
    <w:rsid w:val="004E3C53"/>
    <w:rsid w:val="004F3026"/>
    <w:rsid w:val="005070D8"/>
    <w:rsid w:val="00510954"/>
    <w:rsid w:val="00514DD9"/>
    <w:rsid w:val="00517C05"/>
    <w:rsid w:val="00533F13"/>
    <w:rsid w:val="00536F8F"/>
    <w:rsid w:val="0054457A"/>
    <w:rsid w:val="0054790B"/>
    <w:rsid w:val="0055452B"/>
    <w:rsid w:val="005633DE"/>
    <w:rsid w:val="0057057D"/>
    <w:rsid w:val="005849D3"/>
    <w:rsid w:val="00594B71"/>
    <w:rsid w:val="005A6FFD"/>
    <w:rsid w:val="005B167A"/>
    <w:rsid w:val="005B230B"/>
    <w:rsid w:val="005C691F"/>
    <w:rsid w:val="005D2F5E"/>
    <w:rsid w:val="005D46B0"/>
    <w:rsid w:val="005E2D63"/>
    <w:rsid w:val="005E63AA"/>
    <w:rsid w:val="005E6913"/>
    <w:rsid w:val="006100A6"/>
    <w:rsid w:val="00611A6A"/>
    <w:rsid w:val="00615EF2"/>
    <w:rsid w:val="00616EC9"/>
    <w:rsid w:val="00621B7B"/>
    <w:rsid w:val="00625EF1"/>
    <w:rsid w:val="00630FD1"/>
    <w:rsid w:val="00642433"/>
    <w:rsid w:val="00656569"/>
    <w:rsid w:val="00665CB1"/>
    <w:rsid w:val="0067586C"/>
    <w:rsid w:val="00676279"/>
    <w:rsid w:val="00680B80"/>
    <w:rsid w:val="00681B19"/>
    <w:rsid w:val="00686ECD"/>
    <w:rsid w:val="0069364C"/>
    <w:rsid w:val="00695750"/>
    <w:rsid w:val="00696C2D"/>
    <w:rsid w:val="006A5F2C"/>
    <w:rsid w:val="006B1F09"/>
    <w:rsid w:val="006C075E"/>
    <w:rsid w:val="006C474C"/>
    <w:rsid w:val="006C5363"/>
    <w:rsid w:val="006C6037"/>
    <w:rsid w:val="006D5DCA"/>
    <w:rsid w:val="006E3812"/>
    <w:rsid w:val="006F0AA5"/>
    <w:rsid w:val="006F54A0"/>
    <w:rsid w:val="007018EC"/>
    <w:rsid w:val="00707D55"/>
    <w:rsid w:val="00711DE6"/>
    <w:rsid w:val="00717DF3"/>
    <w:rsid w:val="00721103"/>
    <w:rsid w:val="00725969"/>
    <w:rsid w:val="0073455B"/>
    <w:rsid w:val="00750437"/>
    <w:rsid w:val="0075320F"/>
    <w:rsid w:val="00755C72"/>
    <w:rsid w:val="0075636B"/>
    <w:rsid w:val="007571ED"/>
    <w:rsid w:val="00762F3E"/>
    <w:rsid w:val="00764EC0"/>
    <w:rsid w:val="0076594F"/>
    <w:rsid w:val="00772E21"/>
    <w:rsid w:val="00777041"/>
    <w:rsid w:val="00777BA6"/>
    <w:rsid w:val="007A02DE"/>
    <w:rsid w:val="007C4018"/>
    <w:rsid w:val="007C4C06"/>
    <w:rsid w:val="007C4E17"/>
    <w:rsid w:val="007D2850"/>
    <w:rsid w:val="007D2E87"/>
    <w:rsid w:val="007E3BA6"/>
    <w:rsid w:val="007E7F7D"/>
    <w:rsid w:val="008105FF"/>
    <w:rsid w:val="0081223A"/>
    <w:rsid w:val="0083001E"/>
    <w:rsid w:val="008465DD"/>
    <w:rsid w:val="00851974"/>
    <w:rsid w:val="00865D6D"/>
    <w:rsid w:val="008660C0"/>
    <w:rsid w:val="008700D2"/>
    <w:rsid w:val="00892D1D"/>
    <w:rsid w:val="00893E9A"/>
    <w:rsid w:val="008A58F4"/>
    <w:rsid w:val="008A62A1"/>
    <w:rsid w:val="008A691C"/>
    <w:rsid w:val="008B0F04"/>
    <w:rsid w:val="008B2FF4"/>
    <w:rsid w:val="008B73C1"/>
    <w:rsid w:val="008C0D37"/>
    <w:rsid w:val="008C2D21"/>
    <w:rsid w:val="008C3AFB"/>
    <w:rsid w:val="008C4EEB"/>
    <w:rsid w:val="008E6114"/>
    <w:rsid w:val="008E6FE2"/>
    <w:rsid w:val="008F01F6"/>
    <w:rsid w:val="008F1595"/>
    <w:rsid w:val="00902FFD"/>
    <w:rsid w:val="009075D7"/>
    <w:rsid w:val="00913C3D"/>
    <w:rsid w:val="00924475"/>
    <w:rsid w:val="00925D5C"/>
    <w:rsid w:val="009267D8"/>
    <w:rsid w:val="009519A5"/>
    <w:rsid w:val="009642DC"/>
    <w:rsid w:val="00964E5A"/>
    <w:rsid w:val="00974CA9"/>
    <w:rsid w:val="0097582A"/>
    <w:rsid w:val="00993870"/>
    <w:rsid w:val="00994ACF"/>
    <w:rsid w:val="009A0216"/>
    <w:rsid w:val="009B0BBB"/>
    <w:rsid w:val="009B2967"/>
    <w:rsid w:val="009B33E9"/>
    <w:rsid w:val="009B531C"/>
    <w:rsid w:val="009B6BBA"/>
    <w:rsid w:val="009C0FBA"/>
    <w:rsid w:val="009C1F33"/>
    <w:rsid w:val="009D0B4B"/>
    <w:rsid w:val="009D1143"/>
    <w:rsid w:val="009D33D5"/>
    <w:rsid w:val="009D7B0D"/>
    <w:rsid w:val="009E4E08"/>
    <w:rsid w:val="009E5713"/>
    <w:rsid w:val="009F12F9"/>
    <w:rsid w:val="009F4F4C"/>
    <w:rsid w:val="009F7BD6"/>
    <w:rsid w:val="00A00F4D"/>
    <w:rsid w:val="00A02765"/>
    <w:rsid w:val="00A057F7"/>
    <w:rsid w:val="00A05F9E"/>
    <w:rsid w:val="00A069FA"/>
    <w:rsid w:val="00A12F2B"/>
    <w:rsid w:val="00A17102"/>
    <w:rsid w:val="00A1713B"/>
    <w:rsid w:val="00A27713"/>
    <w:rsid w:val="00A338DC"/>
    <w:rsid w:val="00A34BFB"/>
    <w:rsid w:val="00A350F0"/>
    <w:rsid w:val="00A452E7"/>
    <w:rsid w:val="00A514EC"/>
    <w:rsid w:val="00A53606"/>
    <w:rsid w:val="00A53F9E"/>
    <w:rsid w:val="00A6353D"/>
    <w:rsid w:val="00A63FD0"/>
    <w:rsid w:val="00A644A5"/>
    <w:rsid w:val="00A75DA1"/>
    <w:rsid w:val="00A8351D"/>
    <w:rsid w:val="00A85A61"/>
    <w:rsid w:val="00A87BEB"/>
    <w:rsid w:val="00A95446"/>
    <w:rsid w:val="00A967C1"/>
    <w:rsid w:val="00A97930"/>
    <w:rsid w:val="00A97E5E"/>
    <w:rsid w:val="00AA60B8"/>
    <w:rsid w:val="00AA71EA"/>
    <w:rsid w:val="00AB24F7"/>
    <w:rsid w:val="00AB2FD5"/>
    <w:rsid w:val="00AB3D64"/>
    <w:rsid w:val="00AB43FF"/>
    <w:rsid w:val="00AB7652"/>
    <w:rsid w:val="00AC1C0B"/>
    <w:rsid w:val="00AD29F6"/>
    <w:rsid w:val="00AD7468"/>
    <w:rsid w:val="00AF59F5"/>
    <w:rsid w:val="00B01AF0"/>
    <w:rsid w:val="00B17D99"/>
    <w:rsid w:val="00B22BDE"/>
    <w:rsid w:val="00B22E91"/>
    <w:rsid w:val="00B30706"/>
    <w:rsid w:val="00B3096B"/>
    <w:rsid w:val="00B3605B"/>
    <w:rsid w:val="00B4620A"/>
    <w:rsid w:val="00B5418F"/>
    <w:rsid w:val="00B62E0E"/>
    <w:rsid w:val="00B64CEA"/>
    <w:rsid w:val="00B66A65"/>
    <w:rsid w:val="00B71D10"/>
    <w:rsid w:val="00B756CC"/>
    <w:rsid w:val="00B81003"/>
    <w:rsid w:val="00B83A2C"/>
    <w:rsid w:val="00B9073C"/>
    <w:rsid w:val="00B90981"/>
    <w:rsid w:val="00B92E83"/>
    <w:rsid w:val="00B93D84"/>
    <w:rsid w:val="00B948FE"/>
    <w:rsid w:val="00BA2675"/>
    <w:rsid w:val="00BA68B7"/>
    <w:rsid w:val="00BC4419"/>
    <w:rsid w:val="00BC71DB"/>
    <w:rsid w:val="00BC71FD"/>
    <w:rsid w:val="00BD3C23"/>
    <w:rsid w:val="00BD7394"/>
    <w:rsid w:val="00BE04BD"/>
    <w:rsid w:val="00BF0B2E"/>
    <w:rsid w:val="00BF30E5"/>
    <w:rsid w:val="00C043FB"/>
    <w:rsid w:val="00C166FA"/>
    <w:rsid w:val="00C26784"/>
    <w:rsid w:val="00C27F07"/>
    <w:rsid w:val="00C33B3F"/>
    <w:rsid w:val="00C36E22"/>
    <w:rsid w:val="00C52B9A"/>
    <w:rsid w:val="00C57848"/>
    <w:rsid w:val="00C646BC"/>
    <w:rsid w:val="00C64CDB"/>
    <w:rsid w:val="00C8063F"/>
    <w:rsid w:val="00C84910"/>
    <w:rsid w:val="00C91553"/>
    <w:rsid w:val="00CA161D"/>
    <w:rsid w:val="00CB634D"/>
    <w:rsid w:val="00CC4A98"/>
    <w:rsid w:val="00CF2BAF"/>
    <w:rsid w:val="00D07EC9"/>
    <w:rsid w:val="00D1380A"/>
    <w:rsid w:val="00D15657"/>
    <w:rsid w:val="00D15B15"/>
    <w:rsid w:val="00D315B0"/>
    <w:rsid w:val="00D35AF6"/>
    <w:rsid w:val="00D43BB7"/>
    <w:rsid w:val="00D45D5D"/>
    <w:rsid w:val="00D54843"/>
    <w:rsid w:val="00D54F08"/>
    <w:rsid w:val="00D61C0F"/>
    <w:rsid w:val="00D96971"/>
    <w:rsid w:val="00DB4F7F"/>
    <w:rsid w:val="00DC2010"/>
    <w:rsid w:val="00DC5D20"/>
    <w:rsid w:val="00DD5B07"/>
    <w:rsid w:val="00DE03E4"/>
    <w:rsid w:val="00DE1154"/>
    <w:rsid w:val="00DF3670"/>
    <w:rsid w:val="00E00879"/>
    <w:rsid w:val="00E02760"/>
    <w:rsid w:val="00E03020"/>
    <w:rsid w:val="00E03CBA"/>
    <w:rsid w:val="00E03DAF"/>
    <w:rsid w:val="00E0667C"/>
    <w:rsid w:val="00E072A6"/>
    <w:rsid w:val="00E20470"/>
    <w:rsid w:val="00E228DC"/>
    <w:rsid w:val="00E26101"/>
    <w:rsid w:val="00E26DF6"/>
    <w:rsid w:val="00E35A77"/>
    <w:rsid w:val="00E475B1"/>
    <w:rsid w:val="00E51A6C"/>
    <w:rsid w:val="00E53177"/>
    <w:rsid w:val="00E54871"/>
    <w:rsid w:val="00E60442"/>
    <w:rsid w:val="00E62388"/>
    <w:rsid w:val="00E67B71"/>
    <w:rsid w:val="00E73984"/>
    <w:rsid w:val="00E85372"/>
    <w:rsid w:val="00E864EA"/>
    <w:rsid w:val="00E90276"/>
    <w:rsid w:val="00E9084D"/>
    <w:rsid w:val="00E90C31"/>
    <w:rsid w:val="00E94EBB"/>
    <w:rsid w:val="00EA7610"/>
    <w:rsid w:val="00EA7A64"/>
    <w:rsid w:val="00EB3EF5"/>
    <w:rsid w:val="00EC133D"/>
    <w:rsid w:val="00EC3D10"/>
    <w:rsid w:val="00ED26B3"/>
    <w:rsid w:val="00ED2EB7"/>
    <w:rsid w:val="00EE4F45"/>
    <w:rsid w:val="00EF1013"/>
    <w:rsid w:val="00EF2506"/>
    <w:rsid w:val="00EF2D3D"/>
    <w:rsid w:val="00EF6520"/>
    <w:rsid w:val="00F03D59"/>
    <w:rsid w:val="00F067C5"/>
    <w:rsid w:val="00F13B8D"/>
    <w:rsid w:val="00F22614"/>
    <w:rsid w:val="00F23645"/>
    <w:rsid w:val="00F26D05"/>
    <w:rsid w:val="00F312E1"/>
    <w:rsid w:val="00F338DA"/>
    <w:rsid w:val="00F37720"/>
    <w:rsid w:val="00F432B1"/>
    <w:rsid w:val="00F53CC6"/>
    <w:rsid w:val="00F8279A"/>
    <w:rsid w:val="00F94AC6"/>
    <w:rsid w:val="00F976AB"/>
    <w:rsid w:val="00FA36CA"/>
    <w:rsid w:val="00FB13C1"/>
    <w:rsid w:val="00FB1813"/>
    <w:rsid w:val="00FB1DAE"/>
    <w:rsid w:val="00FB25EB"/>
    <w:rsid w:val="00FB338C"/>
    <w:rsid w:val="00FB77CB"/>
    <w:rsid w:val="00FC13BB"/>
    <w:rsid w:val="00FC269F"/>
    <w:rsid w:val="00FC4A9D"/>
    <w:rsid w:val="00FC73E4"/>
    <w:rsid w:val="00FC7B33"/>
    <w:rsid w:val="00FD2322"/>
    <w:rsid w:val="00FE4A16"/>
    <w:rsid w:val="00FE5C58"/>
    <w:rsid w:val="00FF33C3"/>
    <w:rsid w:val="00FF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Appel note de bas de p,Style 12,(NECG) Footnote Reference,Style 12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table" w:styleId="TableGrid">
    <w:name w:val="Table Grid"/>
    <w:basedOn w:val="TableNormal"/>
    <w:rsid w:val="009F1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2037C5"/>
    <w:rPr>
      <w:lang w:val="en-US" w:eastAsia="en-US" w:bidi="ar-SA"/>
    </w:rPr>
  </w:style>
  <w:style w:type="character" w:customStyle="1" w:styleId="FootnoteTextChar2Char">
    <w:name w:val="Footnote Text Char2 Char"/>
    <w:aliases w:val="Footnote Text Char1 Char Char1,Footnote Text Char7 Char Char Char1,Footnote Text Char4 Char1 Char Char Char1,Footnote Text Char Char Char4 Char Char Char1,Footnote Text Char7 Char Char Char Char Char Char Char"/>
    <w:rsid w:val="00FC7B33"/>
    <w:rPr>
      <w:lang w:val="en-US" w:eastAsia="en-US" w:bidi="ar-SA"/>
    </w:rPr>
  </w:style>
  <w:style w:type="paragraph" w:styleId="BalloonText">
    <w:name w:val="Balloon Text"/>
    <w:basedOn w:val="Normal"/>
    <w:link w:val="BalloonTextChar"/>
    <w:rsid w:val="00AA60B8"/>
    <w:rPr>
      <w:rFonts w:ascii="Tahoma" w:hAnsi="Tahoma" w:cs="Tahoma"/>
      <w:sz w:val="16"/>
      <w:szCs w:val="16"/>
    </w:rPr>
  </w:style>
  <w:style w:type="character" w:customStyle="1" w:styleId="BalloonTextChar">
    <w:name w:val="Balloon Text Char"/>
    <w:link w:val="BalloonText"/>
    <w:rsid w:val="00AA60B8"/>
    <w:rPr>
      <w:rFonts w:ascii="Tahoma" w:hAnsi="Tahoma" w:cs="Tahoma"/>
      <w:sz w:val="16"/>
      <w:szCs w:val="16"/>
    </w:rPr>
  </w:style>
  <w:style w:type="character" w:customStyle="1" w:styleId="FootnoteTextCharChar">
    <w:name w:val="Footnote Text Char Char"/>
    <w:aliases w:val="rrfootnote Char Char,Footnote Text Char1 Char Char,Footnote Text Char Char Char Char,Footnote Text Char2 Char Char1 Char Char,Footnote Text Char1 Char Char Char Char Char,Footnote Text Char Char Char Char Char Char Char Char"/>
    <w:rsid w:val="00363E2E"/>
    <w:rPr>
      <w:lang w:val="en-US" w:eastAsia="en-US" w:bidi="ar-SA"/>
    </w:rPr>
  </w:style>
  <w:style w:type="character" w:customStyle="1" w:styleId="ParaNumChar">
    <w:name w:val="ParaNum Char"/>
    <w:link w:val="ParaNum"/>
    <w:rsid w:val="00285507"/>
    <w:rPr>
      <w:sz w:val="22"/>
      <w:lang w:val="en-US" w:eastAsia="en-US" w:bidi="ar-SA"/>
    </w:rPr>
  </w:style>
  <w:style w:type="character" w:styleId="Hyperlink">
    <w:name w:val="Hyperlink"/>
    <w:rsid w:val="005B167A"/>
    <w:rPr>
      <w:color w:val="0000FF"/>
      <w:u w:val="single"/>
    </w:rPr>
  </w:style>
  <w:style w:type="paragraph" w:styleId="Revision">
    <w:name w:val="Revision"/>
    <w:hidden/>
    <w:uiPriority w:val="99"/>
    <w:semiHidden/>
    <w:rsid w:val="006F0AA5"/>
    <w:rPr>
      <w:sz w:val="22"/>
    </w:rPr>
  </w:style>
  <w:style w:type="paragraph" w:styleId="EndnoteText">
    <w:name w:val="endnote text"/>
    <w:basedOn w:val="Normal"/>
    <w:link w:val="EndnoteTextChar"/>
    <w:rsid w:val="00493CC3"/>
    <w:rPr>
      <w:sz w:val="20"/>
    </w:rPr>
  </w:style>
  <w:style w:type="character" w:customStyle="1" w:styleId="EndnoteTextChar">
    <w:name w:val="Endnote Text Char"/>
    <w:basedOn w:val="DefaultParagraphFont"/>
    <w:link w:val="EndnoteText"/>
    <w:rsid w:val="00493CC3"/>
  </w:style>
  <w:style w:type="character" w:styleId="EndnoteReference">
    <w:name w:val="endnote reference"/>
    <w:rsid w:val="00493C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Appel note de bas de p,Style 12,(NECG) Footnote Reference,Style 12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table" w:styleId="TableGrid">
    <w:name w:val="Table Grid"/>
    <w:basedOn w:val="TableNormal"/>
    <w:rsid w:val="009F1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2037C5"/>
    <w:rPr>
      <w:lang w:val="en-US" w:eastAsia="en-US" w:bidi="ar-SA"/>
    </w:rPr>
  </w:style>
  <w:style w:type="character" w:customStyle="1" w:styleId="FootnoteTextChar2Char">
    <w:name w:val="Footnote Text Char2 Char"/>
    <w:aliases w:val="Footnote Text Char1 Char Char1,Footnote Text Char7 Char Char Char1,Footnote Text Char4 Char1 Char Char Char1,Footnote Text Char Char Char4 Char Char Char1,Footnote Text Char7 Char Char Char Char Char Char Char"/>
    <w:rsid w:val="00FC7B33"/>
    <w:rPr>
      <w:lang w:val="en-US" w:eastAsia="en-US" w:bidi="ar-SA"/>
    </w:rPr>
  </w:style>
  <w:style w:type="paragraph" w:styleId="BalloonText">
    <w:name w:val="Balloon Text"/>
    <w:basedOn w:val="Normal"/>
    <w:link w:val="BalloonTextChar"/>
    <w:rsid w:val="00AA60B8"/>
    <w:rPr>
      <w:rFonts w:ascii="Tahoma" w:hAnsi="Tahoma" w:cs="Tahoma"/>
      <w:sz w:val="16"/>
      <w:szCs w:val="16"/>
    </w:rPr>
  </w:style>
  <w:style w:type="character" w:customStyle="1" w:styleId="BalloonTextChar">
    <w:name w:val="Balloon Text Char"/>
    <w:link w:val="BalloonText"/>
    <w:rsid w:val="00AA60B8"/>
    <w:rPr>
      <w:rFonts w:ascii="Tahoma" w:hAnsi="Tahoma" w:cs="Tahoma"/>
      <w:sz w:val="16"/>
      <w:szCs w:val="16"/>
    </w:rPr>
  </w:style>
  <w:style w:type="character" w:customStyle="1" w:styleId="FootnoteTextCharChar">
    <w:name w:val="Footnote Text Char Char"/>
    <w:aliases w:val="rrfootnote Char Char,Footnote Text Char1 Char Char,Footnote Text Char Char Char Char,Footnote Text Char2 Char Char1 Char Char,Footnote Text Char1 Char Char Char Char Char,Footnote Text Char Char Char Char Char Char Char Char"/>
    <w:rsid w:val="00363E2E"/>
    <w:rPr>
      <w:lang w:val="en-US" w:eastAsia="en-US" w:bidi="ar-SA"/>
    </w:rPr>
  </w:style>
  <w:style w:type="character" w:customStyle="1" w:styleId="ParaNumChar">
    <w:name w:val="ParaNum Char"/>
    <w:link w:val="ParaNum"/>
    <w:rsid w:val="00285507"/>
    <w:rPr>
      <w:sz w:val="22"/>
      <w:lang w:val="en-US" w:eastAsia="en-US" w:bidi="ar-SA"/>
    </w:rPr>
  </w:style>
  <w:style w:type="character" w:styleId="Hyperlink">
    <w:name w:val="Hyperlink"/>
    <w:rsid w:val="005B167A"/>
    <w:rPr>
      <w:color w:val="0000FF"/>
      <w:u w:val="single"/>
    </w:rPr>
  </w:style>
  <w:style w:type="paragraph" w:styleId="Revision">
    <w:name w:val="Revision"/>
    <w:hidden/>
    <w:uiPriority w:val="99"/>
    <w:semiHidden/>
    <w:rsid w:val="006F0AA5"/>
    <w:rPr>
      <w:sz w:val="22"/>
    </w:rPr>
  </w:style>
  <w:style w:type="paragraph" w:styleId="EndnoteText">
    <w:name w:val="endnote text"/>
    <w:basedOn w:val="Normal"/>
    <w:link w:val="EndnoteTextChar"/>
    <w:rsid w:val="00493CC3"/>
    <w:rPr>
      <w:sz w:val="20"/>
    </w:rPr>
  </w:style>
  <w:style w:type="character" w:customStyle="1" w:styleId="EndnoteTextChar">
    <w:name w:val="Endnote Text Char"/>
    <w:basedOn w:val="DefaultParagraphFont"/>
    <w:link w:val="EndnoteText"/>
    <w:rsid w:val="00493CC3"/>
  </w:style>
  <w:style w:type="character" w:styleId="EndnoteReference">
    <w:name w:val="endnote reference"/>
    <w:rsid w:val="00493C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6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4</Pages>
  <Words>1569</Words>
  <Characters>8462</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10094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2013-05-13T19:09:00Z</cp:lastPrinted>
  <dcterms:created xsi:type="dcterms:W3CDTF">2013-05-15T20:19:00Z</dcterms:created>
  <dcterms:modified xsi:type="dcterms:W3CDTF">2013-05-15T20:19:00Z</dcterms:modified>
  <cp:category> </cp:category>
  <cp:contentStatus> </cp:contentStatus>
</cp:coreProperties>
</file>