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7AA" w:rsidRPr="00CF3F9B" w:rsidRDefault="003127AA" w:rsidP="007364AE">
      <w:pPr>
        <w:spacing w:after="0" w:line="240" w:lineRule="auto"/>
        <w:jc w:val="center"/>
        <w:rPr>
          <w:rFonts w:ascii="Times New Roman" w:hAnsi="Times New Roman"/>
          <w:b/>
        </w:rPr>
      </w:pPr>
      <w:bookmarkStart w:id="0" w:name="_GoBack"/>
      <w:bookmarkEnd w:id="0"/>
      <w:r w:rsidRPr="00CF3F9B">
        <w:rPr>
          <w:rFonts w:ascii="Times New Roman" w:hAnsi="Times New Roman"/>
          <w:b/>
        </w:rPr>
        <w:t>Before the</w:t>
      </w:r>
    </w:p>
    <w:p w:rsidR="003127AA" w:rsidRPr="00CF3F9B" w:rsidRDefault="003127AA" w:rsidP="007364AE">
      <w:pPr>
        <w:spacing w:after="0" w:line="240" w:lineRule="auto"/>
        <w:jc w:val="center"/>
        <w:rPr>
          <w:rFonts w:ascii="Times New Roman" w:hAnsi="Times New Roman"/>
          <w:b/>
        </w:rPr>
      </w:pPr>
      <w:r w:rsidRPr="00CF3F9B">
        <w:rPr>
          <w:rFonts w:ascii="Times New Roman" w:hAnsi="Times New Roman"/>
          <w:b/>
        </w:rPr>
        <w:t>Federal Communications Commission</w:t>
      </w:r>
    </w:p>
    <w:p w:rsidR="003127AA" w:rsidRPr="00CF3F9B" w:rsidRDefault="003127AA" w:rsidP="007364AE">
      <w:pPr>
        <w:spacing w:after="0" w:line="240" w:lineRule="auto"/>
        <w:jc w:val="center"/>
        <w:rPr>
          <w:rFonts w:ascii="Times New Roman" w:hAnsi="Times New Roman"/>
          <w:b/>
        </w:rPr>
      </w:pPr>
      <w:r w:rsidRPr="00CF3F9B">
        <w:rPr>
          <w:rFonts w:ascii="Times New Roman" w:hAnsi="Times New Roman"/>
          <w:b/>
        </w:rPr>
        <w:t>Washington, D.C. 20554</w:t>
      </w:r>
    </w:p>
    <w:p w:rsidR="003127AA" w:rsidRPr="00CF3F9B" w:rsidRDefault="003127AA" w:rsidP="007364AE">
      <w:pPr>
        <w:spacing w:after="0" w:line="240" w:lineRule="auto"/>
        <w:rPr>
          <w:rFonts w:ascii="Times New Roman" w:hAnsi="Times New Roman"/>
        </w:rPr>
      </w:pPr>
    </w:p>
    <w:p w:rsidR="003127AA" w:rsidRPr="00CF3F9B" w:rsidRDefault="003127AA" w:rsidP="007364AE">
      <w:pPr>
        <w:spacing w:after="0" w:line="240" w:lineRule="auto"/>
        <w:rPr>
          <w:rFonts w:ascii="Times New Roman" w:hAnsi="Times New Roman"/>
        </w:rPr>
      </w:pPr>
    </w:p>
    <w:tbl>
      <w:tblPr>
        <w:tblW w:w="0" w:type="auto"/>
        <w:tblLayout w:type="fixed"/>
        <w:tblLook w:val="0000" w:firstRow="0" w:lastRow="0" w:firstColumn="0" w:lastColumn="0" w:noHBand="0" w:noVBand="0"/>
      </w:tblPr>
      <w:tblGrid>
        <w:gridCol w:w="4698"/>
        <w:gridCol w:w="720"/>
        <w:gridCol w:w="4230"/>
      </w:tblGrid>
      <w:tr w:rsidR="003127AA" w:rsidRPr="00C668BA">
        <w:tc>
          <w:tcPr>
            <w:tcW w:w="4698" w:type="dxa"/>
          </w:tcPr>
          <w:p w:rsidR="003127AA" w:rsidRPr="00C668BA" w:rsidRDefault="003127AA" w:rsidP="007364AE">
            <w:pPr>
              <w:tabs>
                <w:tab w:val="center" w:pos="4680"/>
              </w:tabs>
              <w:suppressAutoHyphens/>
              <w:spacing w:after="0" w:line="240" w:lineRule="auto"/>
              <w:rPr>
                <w:rFonts w:ascii="Times New Roman" w:hAnsi="Times New Roman"/>
                <w:spacing w:val="-2"/>
              </w:rPr>
            </w:pPr>
            <w:r w:rsidRPr="00C668BA">
              <w:rPr>
                <w:rFonts w:ascii="Times New Roman" w:hAnsi="Times New Roman"/>
                <w:spacing w:val="-2"/>
              </w:rPr>
              <w:t>In the Matter of</w:t>
            </w:r>
          </w:p>
          <w:p w:rsidR="003127AA" w:rsidRPr="00C668BA" w:rsidRDefault="003127AA" w:rsidP="007364AE">
            <w:pPr>
              <w:tabs>
                <w:tab w:val="center" w:pos="4680"/>
              </w:tabs>
              <w:suppressAutoHyphens/>
              <w:spacing w:after="0" w:line="240" w:lineRule="auto"/>
              <w:rPr>
                <w:rFonts w:ascii="Times New Roman" w:hAnsi="Times New Roman"/>
                <w:spacing w:val="-2"/>
              </w:rPr>
            </w:pPr>
          </w:p>
          <w:p w:rsidR="003127AA" w:rsidRPr="00C668BA" w:rsidRDefault="003127AA" w:rsidP="007364AE">
            <w:pPr>
              <w:tabs>
                <w:tab w:val="center" w:pos="4680"/>
              </w:tabs>
              <w:suppressAutoHyphens/>
              <w:spacing w:after="0" w:line="240" w:lineRule="auto"/>
              <w:rPr>
                <w:rFonts w:ascii="Times New Roman" w:hAnsi="Times New Roman"/>
                <w:spacing w:val="-2"/>
              </w:rPr>
            </w:pPr>
            <w:r w:rsidRPr="00C668BA">
              <w:rPr>
                <w:rFonts w:ascii="Times New Roman" w:hAnsi="Times New Roman"/>
                <w:spacing w:val="-2"/>
              </w:rPr>
              <w:t>Connect America Fund</w:t>
            </w:r>
          </w:p>
          <w:p w:rsidR="003127AA" w:rsidRPr="00C668BA" w:rsidRDefault="003127AA" w:rsidP="007364AE">
            <w:pPr>
              <w:tabs>
                <w:tab w:val="center" w:pos="4680"/>
              </w:tabs>
              <w:suppressAutoHyphens/>
              <w:spacing w:after="0" w:line="240" w:lineRule="auto"/>
              <w:rPr>
                <w:rFonts w:ascii="Times New Roman" w:hAnsi="Times New Roman"/>
                <w:spacing w:val="-2"/>
              </w:rPr>
            </w:pPr>
          </w:p>
          <w:p w:rsidR="003127AA" w:rsidRPr="00C668BA" w:rsidRDefault="003127AA" w:rsidP="007364AE">
            <w:pPr>
              <w:tabs>
                <w:tab w:val="center" w:pos="4680"/>
              </w:tabs>
              <w:suppressAutoHyphens/>
              <w:spacing w:after="0" w:line="240" w:lineRule="auto"/>
              <w:rPr>
                <w:rFonts w:ascii="Times New Roman" w:hAnsi="Times New Roman"/>
                <w:spacing w:val="-2"/>
              </w:rPr>
            </w:pPr>
            <w:r w:rsidRPr="00C668BA">
              <w:rPr>
                <w:rFonts w:ascii="Times New Roman" w:hAnsi="Times New Roman"/>
                <w:spacing w:val="-2"/>
              </w:rPr>
              <w:t>Developing an Unified Intercarrier Compensation Regime</w:t>
            </w:r>
          </w:p>
          <w:p w:rsidR="003127AA" w:rsidRPr="00C668BA" w:rsidRDefault="003127AA" w:rsidP="007364AE">
            <w:pPr>
              <w:tabs>
                <w:tab w:val="center" w:pos="4680"/>
              </w:tabs>
              <w:suppressAutoHyphens/>
              <w:spacing w:after="0" w:line="240" w:lineRule="auto"/>
              <w:rPr>
                <w:rFonts w:ascii="Times New Roman" w:hAnsi="Times New Roman"/>
                <w:spacing w:val="-2"/>
              </w:rPr>
            </w:pPr>
          </w:p>
          <w:p w:rsidR="003127AA" w:rsidRPr="00C668BA" w:rsidRDefault="003127AA" w:rsidP="007364AE">
            <w:pPr>
              <w:tabs>
                <w:tab w:val="center" w:pos="4680"/>
              </w:tabs>
              <w:suppressAutoHyphens/>
              <w:spacing w:after="0" w:line="240" w:lineRule="auto"/>
              <w:rPr>
                <w:rFonts w:ascii="Times New Roman" w:hAnsi="Times New Roman"/>
                <w:spacing w:val="-2"/>
              </w:rPr>
            </w:pPr>
            <w:r w:rsidRPr="00C668BA">
              <w:rPr>
                <w:rFonts w:ascii="Times New Roman" w:hAnsi="Times New Roman"/>
                <w:spacing w:val="-2"/>
              </w:rPr>
              <w:t xml:space="preserve">Joint Petition of Price Cap Holding Companies for Conversion of Average Schedule Affiliates to </w:t>
            </w:r>
          </w:p>
          <w:p w:rsidR="003127AA" w:rsidRPr="00C668BA" w:rsidRDefault="003127AA" w:rsidP="007364AE">
            <w:pPr>
              <w:tabs>
                <w:tab w:val="center" w:pos="4680"/>
              </w:tabs>
              <w:suppressAutoHyphens/>
              <w:spacing w:after="0" w:line="240" w:lineRule="auto"/>
              <w:rPr>
                <w:rFonts w:ascii="Times New Roman" w:hAnsi="Times New Roman"/>
                <w:spacing w:val="-2"/>
              </w:rPr>
            </w:pPr>
            <w:r w:rsidRPr="00C668BA">
              <w:rPr>
                <w:rFonts w:ascii="Times New Roman" w:hAnsi="Times New Roman"/>
                <w:spacing w:val="-2"/>
              </w:rPr>
              <w:t>Price Cap Regulation and for Limited Waiver Relief</w:t>
            </w:r>
          </w:p>
          <w:p w:rsidR="003127AA" w:rsidRPr="00C668BA" w:rsidRDefault="003127AA" w:rsidP="007364AE">
            <w:pPr>
              <w:tabs>
                <w:tab w:val="center" w:pos="4680"/>
              </w:tabs>
              <w:suppressAutoHyphens/>
              <w:spacing w:after="0" w:line="240" w:lineRule="auto"/>
              <w:rPr>
                <w:rFonts w:ascii="Times New Roman" w:hAnsi="Times New Roman"/>
                <w:spacing w:val="-2"/>
              </w:rPr>
            </w:pPr>
          </w:p>
          <w:p w:rsidR="003127AA" w:rsidRPr="00C668BA" w:rsidRDefault="003127AA" w:rsidP="007364AE">
            <w:pPr>
              <w:tabs>
                <w:tab w:val="center" w:pos="4680"/>
              </w:tabs>
              <w:suppressAutoHyphens/>
              <w:spacing w:after="0" w:line="240" w:lineRule="auto"/>
              <w:rPr>
                <w:rFonts w:ascii="Times New Roman" w:hAnsi="Times New Roman"/>
                <w:spacing w:val="-2"/>
              </w:rPr>
            </w:pPr>
            <w:r w:rsidRPr="00C668BA">
              <w:rPr>
                <w:rFonts w:ascii="Times New Roman" w:hAnsi="Times New Roman"/>
                <w:spacing w:val="-2"/>
              </w:rPr>
              <w:t xml:space="preserve">Consolidated Communications Companies </w:t>
            </w:r>
          </w:p>
          <w:p w:rsidR="003127AA" w:rsidRPr="00C668BA" w:rsidRDefault="003127AA" w:rsidP="007364AE">
            <w:pPr>
              <w:tabs>
                <w:tab w:val="center" w:pos="4680"/>
              </w:tabs>
              <w:suppressAutoHyphens/>
              <w:spacing w:after="0" w:line="240" w:lineRule="auto"/>
              <w:rPr>
                <w:rFonts w:ascii="Times New Roman" w:hAnsi="Times New Roman"/>
                <w:spacing w:val="-2"/>
              </w:rPr>
            </w:pPr>
            <w:r w:rsidRPr="00C668BA">
              <w:rPr>
                <w:rFonts w:ascii="Times New Roman" w:hAnsi="Times New Roman"/>
                <w:spacing w:val="-2"/>
              </w:rPr>
              <w:t>Tariff F.C.C. No. 2;</w:t>
            </w:r>
          </w:p>
          <w:p w:rsidR="003127AA" w:rsidRPr="00C668BA" w:rsidRDefault="003127AA" w:rsidP="007364AE">
            <w:pPr>
              <w:tabs>
                <w:tab w:val="center" w:pos="4680"/>
              </w:tabs>
              <w:suppressAutoHyphens/>
              <w:spacing w:after="0" w:line="240" w:lineRule="auto"/>
              <w:rPr>
                <w:rFonts w:ascii="Times New Roman" w:hAnsi="Times New Roman"/>
                <w:spacing w:val="-2"/>
              </w:rPr>
            </w:pPr>
          </w:p>
          <w:p w:rsidR="003127AA" w:rsidRPr="00C668BA" w:rsidRDefault="003127AA" w:rsidP="007364AE">
            <w:pPr>
              <w:tabs>
                <w:tab w:val="center" w:pos="4680"/>
              </w:tabs>
              <w:suppressAutoHyphens/>
              <w:spacing w:after="0" w:line="240" w:lineRule="auto"/>
              <w:rPr>
                <w:rFonts w:ascii="Times New Roman" w:hAnsi="Times New Roman"/>
                <w:spacing w:val="-2"/>
              </w:rPr>
            </w:pPr>
            <w:r w:rsidRPr="00C668BA">
              <w:rPr>
                <w:rFonts w:ascii="Times New Roman" w:hAnsi="Times New Roman"/>
                <w:spacing w:val="-2"/>
              </w:rPr>
              <w:t xml:space="preserve">Frontier Telephone Companies </w:t>
            </w:r>
          </w:p>
          <w:p w:rsidR="003127AA" w:rsidRPr="00C668BA" w:rsidRDefault="003127AA" w:rsidP="007364AE">
            <w:pPr>
              <w:tabs>
                <w:tab w:val="center" w:pos="4680"/>
              </w:tabs>
              <w:suppressAutoHyphens/>
              <w:spacing w:after="0" w:line="240" w:lineRule="auto"/>
              <w:rPr>
                <w:rFonts w:ascii="Times New Roman" w:hAnsi="Times New Roman"/>
                <w:spacing w:val="-2"/>
              </w:rPr>
            </w:pPr>
            <w:r w:rsidRPr="00C668BA">
              <w:rPr>
                <w:rFonts w:ascii="Times New Roman" w:hAnsi="Times New Roman"/>
                <w:spacing w:val="-2"/>
              </w:rPr>
              <w:t>Tariff F.C.C. No. 10;</w:t>
            </w:r>
          </w:p>
          <w:p w:rsidR="003127AA" w:rsidRPr="00C668BA" w:rsidRDefault="003127AA" w:rsidP="007364AE">
            <w:pPr>
              <w:tabs>
                <w:tab w:val="center" w:pos="4680"/>
              </w:tabs>
              <w:suppressAutoHyphens/>
              <w:spacing w:after="0" w:line="240" w:lineRule="auto"/>
              <w:rPr>
                <w:rFonts w:ascii="Times New Roman" w:hAnsi="Times New Roman"/>
                <w:spacing w:val="-2"/>
              </w:rPr>
            </w:pPr>
          </w:p>
          <w:p w:rsidR="003127AA" w:rsidRPr="00C668BA" w:rsidRDefault="003127AA" w:rsidP="007364AE">
            <w:pPr>
              <w:tabs>
                <w:tab w:val="center" w:pos="4680"/>
              </w:tabs>
              <w:suppressAutoHyphens/>
              <w:spacing w:after="0" w:line="240" w:lineRule="auto"/>
              <w:rPr>
                <w:rFonts w:ascii="Times New Roman" w:hAnsi="Times New Roman"/>
                <w:spacing w:val="-2"/>
              </w:rPr>
            </w:pPr>
            <w:r w:rsidRPr="00C668BA">
              <w:rPr>
                <w:rFonts w:ascii="Times New Roman" w:hAnsi="Times New Roman"/>
                <w:spacing w:val="-2"/>
              </w:rPr>
              <w:t xml:space="preserve">Windstream Telephone System </w:t>
            </w:r>
          </w:p>
          <w:p w:rsidR="003127AA" w:rsidRPr="00C668BA" w:rsidRDefault="003127AA" w:rsidP="007364AE">
            <w:pPr>
              <w:tabs>
                <w:tab w:val="center" w:pos="4680"/>
              </w:tabs>
              <w:suppressAutoHyphens/>
              <w:spacing w:after="0" w:line="240" w:lineRule="auto"/>
              <w:rPr>
                <w:rFonts w:ascii="Times New Roman" w:hAnsi="Times New Roman"/>
                <w:spacing w:val="-2"/>
              </w:rPr>
            </w:pPr>
            <w:r w:rsidRPr="00C668BA">
              <w:rPr>
                <w:rFonts w:ascii="Times New Roman" w:hAnsi="Times New Roman"/>
                <w:spacing w:val="-2"/>
              </w:rPr>
              <w:t xml:space="preserve">Tariff F.C.C. No. 7 </w:t>
            </w:r>
          </w:p>
        </w:tc>
        <w:tc>
          <w:tcPr>
            <w:tcW w:w="720" w:type="dxa"/>
          </w:tcPr>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tc>
        <w:tc>
          <w:tcPr>
            <w:tcW w:w="4230" w:type="dxa"/>
          </w:tcPr>
          <w:p w:rsidR="003127AA" w:rsidRPr="00C668BA" w:rsidRDefault="003127AA" w:rsidP="007364AE">
            <w:pPr>
              <w:spacing w:after="0" w:line="240" w:lineRule="auto"/>
              <w:rPr>
                <w:rFonts w:ascii="Times New Roman" w:hAnsi="Times New Roman"/>
              </w:rPr>
            </w:pPr>
          </w:p>
          <w:p w:rsidR="003127AA" w:rsidRPr="00C668BA" w:rsidRDefault="003127AA" w:rsidP="007364AE">
            <w:pPr>
              <w:spacing w:after="0" w:line="240" w:lineRule="auto"/>
              <w:rPr>
                <w:rFonts w:ascii="Times New Roman" w:hAnsi="Times New Roman"/>
              </w:rPr>
            </w:pPr>
          </w:p>
          <w:p w:rsidR="003127AA" w:rsidRPr="00C668BA" w:rsidRDefault="003127AA" w:rsidP="007364AE">
            <w:pPr>
              <w:tabs>
                <w:tab w:val="center" w:pos="4680"/>
              </w:tabs>
              <w:suppressAutoHyphens/>
              <w:spacing w:after="0" w:line="240" w:lineRule="auto"/>
              <w:rPr>
                <w:rFonts w:ascii="Times New Roman" w:hAnsi="Times New Roman"/>
                <w:spacing w:val="-2"/>
              </w:rPr>
            </w:pPr>
            <w:r w:rsidRPr="00C668BA">
              <w:rPr>
                <w:rFonts w:ascii="Times New Roman" w:hAnsi="Times New Roman"/>
                <w:spacing w:val="-2"/>
              </w:rPr>
              <w:t>WC Docket No. 10-90</w:t>
            </w:r>
          </w:p>
          <w:p w:rsidR="003127AA" w:rsidRPr="00C668BA" w:rsidRDefault="003127AA" w:rsidP="007364AE">
            <w:pPr>
              <w:tabs>
                <w:tab w:val="center" w:pos="4680"/>
              </w:tabs>
              <w:suppressAutoHyphens/>
              <w:spacing w:after="0" w:line="240" w:lineRule="auto"/>
              <w:rPr>
                <w:rFonts w:ascii="Times New Roman" w:hAnsi="Times New Roman"/>
                <w:spacing w:val="-2"/>
              </w:rPr>
            </w:pPr>
          </w:p>
          <w:p w:rsidR="003127AA" w:rsidRPr="00C668BA" w:rsidRDefault="003127AA" w:rsidP="007364AE">
            <w:pPr>
              <w:tabs>
                <w:tab w:val="center" w:pos="4680"/>
              </w:tabs>
              <w:suppressAutoHyphens/>
              <w:spacing w:after="0" w:line="240" w:lineRule="auto"/>
              <w:rPr>
                <w:rFonts w:ascii="Times New Roman" w:hAnsi="Times New Roman"/>
                <w:spacing w:val="-2"/>
              </w:rPr>
            </w:pPr>
            <w:r w:rsidRPr="00C668BA">
              <w:rPr>
                <w:rFonts w:ascii="Times New Roman" w:hAnsi="Times New Roman"/>
                <w:spacing w:val="-2"/>
              </w:rPr>
              <w:t>CC Docket No. 01-92</w:t>
            </w:r>
          </w:p>
          <w:p w:rsidR="003127AA" w:rsidRPr="00C668BA" w:rsidRDefault="003127AA" w:rsidP="007364AE">
            <w:pPr>
              <w:tabs>
                <w:tab w:val="center" w:pos="4680"/>
              </w:tabs>
              <w:suppressAutoHyphens/>
              <w:spacing w:after="0" w:line="240" w:lineRule="auto"/>
              <w:rPr>
                <w:rFonts w:ascii="Times New Roman" w:hAnsi="Times New Roman"/>
                <w:spacing w:val="-2"/>
              </w:rPr>
            </w:pPr>
          </w:p>
          <w:p w:rsidR="003127AA" w:rsidRPr="00C668BA" w:rsidRDefault="003127AA" w:rsidP="007364AE">
            <w:pPr>
              <w:tabs>
                <w:tab w:val="center" w:pos="4680"/>
              </w:tabs>
              <w:suppressAutoHyphens/>
              <w:spacing w:after="0" w:line="240" w:lineRule="auto"/>
              <w:rPr>
                <w:rFonts w:ascii="Times New Roman" w:hAnsi="Times New Roman"/>
                <w:spacing w:val="-2"/>
              </w:rPr>
            </w:pPr>
          </w:p>
          <w:p w:rsidR="003127AA" w:rsidRPr="00C668BA" w:rsidRDefault="003127AA" w:rsidP="007364AE">
            <w:pPr>
              <w:tabs>
                <w:tab w:val="center" w:pos="4680"/>
              </w:tabs>
              <w:suppressAutoHyphens/>
              <w:spacing w:after="0" w:line="240" w:lineRule="auto"/>
              <w:rPr>
                <w:rFonts w:ascii="Times New Roman" w:hAnsi="Times New Roman"/>
                <w:spacing w:val="-2"/>
              </w:rPr>
            </w:pPr>
            <w:r w:rsidRPr="00C668BA">
              <w:rPr>
                <w:rFonts w:ascii="Times New Roman" w:hAnsi="Times New Roman"/>
                <w:spacing w:val="-2"/>
              </w:rPr>
              <w:t>WC Docket No. 12-63</w:t>
            </w:r>
          </w:p>
          <w:p w:rsidR="003127AA" w:rsidRPr="00C668BA" w:rsidRDefault="003127AA" w:rsidP="007364AE">
            <w:pPr>
              <w:tabs>
                <w:tab w:val="center" w:pos="4680"/>
              </w:tabs>
              <w:suppressAutoHyphens/>
              <w:spacing w:after="0" w:line="240" w:lineRule="auto"/>
              <w:rPr>
                <w:rFonts w:ascii="Times New Roman" w:hAnsi="Times New Roman"/>
                <w:spacing w:val="-2"/>
              </w:rPr>
            </w:pPr>
          </w:p>
          <w:p w:rsidR="003127AA" w:rsidRPr="00C668BA" w:rsidRDefault="003127AA" w:rsidP="007364AE">
            <w:pPr>
              <w:tabs>
                <w:tab w:val="center" w:pos="4680"/>
              </w:tabs>
              <w:suppressAutoHyphens/>
              <w:spacing w:after="0" w:line="240" w:lineRule="auto"/>
              <w:rPr>
                <w:rFonts w:ascii="Times New Roman" w:hAnsi="Times New Roman"/>
              </w:rPr>
            </w:pPr>
          </w:p>
          <w:p w:rsidR="003127AA" w:rsidRPr="00C668BA" w:rsidRDefault="003127AA" w:rsidP="007364AE">
            <w:pPr>
              <w:tabs>
                <w:tab w:val="center" w:pos="4680"/>
              </w:tabs>
              <w:suppressAutoHyphens/>
              <w:spacing w:after="0" w:line="240" w:lineRule="auto"/>
              <w:rPr>
                <w:rFonts w:ascii="Times New Roman" w:hAnsi="Times New Roman"/>
              </w:rPr>
            </w:pPr>
          </w:p>
          <w:p w:rsidR="003127AA" w:rsidRPr="00C668BA" w:rsidRDefault="003127AA" w:rsidP="007364AE">
            <w:pPr>
              <w:tabs>
                <w:tab w:val="center" w:pos="4680"/>
              </w:tabs>
              <w:suppressAutoHyphens/>
              <w:spacing w:after="0" w:line="240" w:lineRule="auto"/>
              <w:rPr>
                <w:rFonts w:ascii="Times New Roman" w:hAnsi="Times New Roman"/>
              </w:rPr>
            </w:pPr>
          </w:p>
          <w:p w:rsidR="003127AA" w:rsidRPr="00C668BA" w:rsidRDefault="003127AA" w:rsidP="007364AE">
            <w:pPr>
              <w:tabs>
                <w:tab w:val="center" w:pos="4680"/>
              </w:tabs>
              <w:suppressAutoHyphens/>
              <w:spacing w:after="0" w:line="240" w:lineRule="auto"/>
              <w:rPr>
                <w:rFonts w:ascii="Times New Roman" w:hAnsi="Times New Roman"/>
              </w:rPr>
            </w:pPr>
            <w:r w:rsidRPr="00C668BA">
              <w:rPr>
                <w:rFonts w:ascii="Times New Roman" w:hAnsi="Times New Roman"/>
              </w:rPr>
              <w:t>Transmittal No. 41</w:t>
            </w:r>
          </w:p>
          <w:p w:rsidR="003127AA" w:rsidRPr="00C668BA" w:rsidRDefault="003127AA" w:rsidP="007364AE">
            <w:pPr>
              <w:tabs>
                <w:tab w:val="center" w:pos="4680"/>
              </w:tabs>
              <w:suppressAutoHyphens/>
              <w:spacing w:after="0" w:line="240" w:lineRule="auto"/>
              <w:rPr>
                <w:rFonts w:ascii="Times New Roman" w:hAnsi="Times New Roman"/>
              </w:rPr>
            </w:pPr>
          </w:p>
          <w:p w:rsidR="003127AA" w:rsidRPr="00C668BA" w:rsidRDefault="003127AA" w:rsidP="007364AE">
            <w:pPr>
              <w:tabs>
                <w:tab w:val="center" w:pos="4680"/>
              </w:tabs>
              <w:suppressAutoHyphens/>
              <w:spacing w:after="0" w:line="240" w:lineRule="auto"/>
              <w:rPr>
                <w:rFonts w:ascii="Times New Roman" w:hAnsi="Times New Roman"/>
              </w:rPr>
            </w:pPr>
          </w:p>
          <w:p w:rsidR="003127AA" w:rsidRPr="00C668BA" w:rsidRDefault="003127AA" w:rsidP="007364AE">
            <w:pPr>
              <w:tabs>
                <w:tab w:val="center" w:pos="4680"/>
              </w:tabs>
              <w:suppressAutoHyphens/>
              <w:spacing w:after="0" w:line="240" w:lineRule="auto"/>
              <w:rPr>
                <w:rFonts w:ascii="Times New Roman" w:hAnsi="Times New Roman"/>
              </w:rPr>
            </w:pPr>
            <w:r w:rsidRPr="00C668BA">
              <w:rPr>
                <w:rFonts w:ascii="Times New Roman" w:hAnsi="Times New Roman"/>
              </w:rPr>
              <w:t xml:space="preserve">Transmittal No. </w:t>
            </w:r>
            <w:r w:rsidR="00377649" w:rsidRPr="00C668BA">
              <w:rPr>
                <w:rFonts w:ascii="Times New Roman" w:hAnsi="Times New Roman"/>
              </w:rPr>
              <w:t>2</w:t>
            </w:r>
            <w:r w:rsidRPr="00C668BA">
              <w:rPr>
                <w:rFonts w:ascii="Times New Roman" w:hAnsi="Times New Roman"/>
              </w:rPr>
              <w:t>8</w:t>
            </w:r>
          </w:p>
          <w:p w:rsidR="003127AA" w:rsidRPr="00C668BA" w:rsidRDefault="003127AA" w:rsidP="007364AE">
            <w:pPr>
              <w:tabs>
                <w:tab w:val="center" w:pos="4680"/>
              </w:tabs>
              <w:suppressAutoHyphens/>
              <w:spacing w:after="0" w:line="240" w:lineRule="auto"/>
              <w:rPr>
                <w:rFonts w:ascii="Times New Roman" w:hAnsi="Times New Roman"/>
              </w:rPr>
            </w:pPr>
          </w:p>
          <w:p w:rsidR="003127AA" w:rsidRPr="00C668BA" w:rsidRDefault="003127AA" w:rsidP="007364AE">
            <w:pPr>
              <w:tabs>
                <w:tab w:val="center" w:pos="4680"/>
              </w:tabs>
              <w:suppressAutoHyphens/>
              <w:spacing w:after="0" w:line="240" w:lineRule="auto"/>
              <w:rPr>
                <w:rFonts w:ascii="Times New Roman" w:hAnsi="Times New Roman"/>
              </w:rPr>
            </w:pPr>
          </w:p>
          <w:p w:rsidR="003127AA" w:rsidRPr="00C668BA" w:rsidRDefault="003127AA" w:rsidP="007364AE">
            <w:pPr>
              <w:tabs>
                <w:tab w:val="center" w:pos="4680"/>
              </w:tabs>
              <w:suppressAutoHyphens/>
              <w:spacing w:after="0" w:line="240" w:lineRule="auto"/>
              <w:rPr>
                <w:rFonts w:ascii="Times New Roman" w:hAnsi="Times New Roman"/>
              </w:rPr>
            </w:pPr>
            <w:r w:rsidRPr="00C668BA">
              <w:rPr>
                <w:rFonts w:ascii="Times New Roman" w:hAnsi="Times New Roman"/>
              </w:rPr>
              <w:t>Transmittal No. 57</w:t>
            </w:r>
          </w:p>
        </w:tc>
      </w:tr>
    </w:tbl>
    <w:p w:rsidR="003127AA" w:rsidRPr="00897042" w:rsidRDefault="003127AA" w:rsidP="007364AE">
      <w:pPr>
        <w:spacing w:after="0" w:line="240" w:lineRule="auto"/>
        <w:rPr>
          <w:rFonts w:ascii="Times New Roman" w:hAnsi="Times New Roman"/>
        </w:rPr>
      </w:pPr>
    </w:p>
    <w:p w:rsidR="003127AA" w:rsidRPr="00CF3F9B" w:rsidRDefault="003127AA" w:rsidP="007364AE">
      <w:pPr>
        <w:spacing w:after="0" w:line="240" w:lineRule="auto"/>
        <w:jc w:val="center"/>
        <w:rPr>
          <w:rFonts w:ascii="Times New Roman" w:hAnsi="Times New Roman"/>
        </w:rPr>
      </w:pPr>
    </w:p>
    <w:p w:rsidR="003127AA" w:rsidRPr="00CF3F9B" w:rsidRDefault="003127AA" w:rsidP="007364AE">
      <w:pPr>
        <w:spacing w:after="0" w:line="240" w:lineRule="auto"/>
        <w:jc w:val="center"/>
        <w:rPr>
          <w:rFonts w:ascii="Times New Roman" w:hAnsi="Times New Roman"/>
          <w:b/>
        </w:rPr>
      </w:pPr>
      <w:r w:rsidRPr="00CF3F9B">
        <w:rPr>
          <w:rFonts w:ascii="Times New Roman" w:hAnsi="Times New Roman"/>
          <w:b/>
          <w:spacing w:val="-2"/>
        </w:rPr>
        <w:t>ORDER</w:t>
      </w:r>
    </w:p>
    <w:p w:rsidR="003127AA" w:rsidRPr="00CF3F9B" w:rsidRDefault="003127AA" w:rsidP="007364AE">
      <w:pPr>
        <w:spacing w:after="0" w:line="240" w:lineRule="auto"/>
        <w:rPr>
          <w:rFonts w:ascii="Times New Roman" w:hAnsi="Times New Roman"/>
        </w:rPr>
      </w:pPr>
    </w:p>
    <w:p w:rsidR="003127AA" w:rsidRPr="00CF3F9B" w:rsidRDefault="003127AA" w:rsidP="007364AE">
      <w:pPr>
        <w:tabs>
          <w:tab w:val="left" w:pos="5760"/>
        </w:tabs>
        <w:spacing w:after="0" w:line="240" w:lineRule="auto"/>
        <w:rPr>
          <w:rFonts w:ascii="Times New Roman" w:hAnsi="Times New Roman"/>
          <w:b/>
        </w:rPr>
      </w:pPr>
      <w:r w:rsidRPr="00365B14">
        <w:rPr>
          <w:rFonts w:ascii="Times New Roman" w:hAnsi="Times New Roman"/>
          <w:b/>
        </w:rPr>
        <w:t xml:space="preserve">Adopted:  </w:t>
      </w:r>
      <w:r w:rsidR="00DE3F81" w:rsidRPr="00365B14">
        <w:rPr>
          <w:rFonts w:ascii="Times New Roman" w:hAnsi="Times New Roman"/>
          <w:b/>
        </w:rPr>
        <w:t>March 27, 2013</w:t>
      </w:r>
      <w:r w:rsidRPr="00365B14">
        <w:rPr>
          <w:rFonts w:ascii="Times New Roman" w:hAnsi="Times New Roman"/>
          <w:b/>
        </w:rPr>
        <w:tab/>
      </w:r>
      <w:r w:rsidRPr="00365B14">
        <w:rPr>
          <w:rFonts w:ascii="Times New Roman" w:hAnsi="Times New Roman"/>
          <w:b/>
        </w:rPr>
        <w:tab/>
        <w:t xml:space="preserve">Released:  </w:t>
      </w:r>
      <w:r w:rsidR="007D46AD" w:rsidRPr="00365B14">
        <w:rPr>
          <w:rFonts w:ascii="Times New Roman" w:hAnsi="Times New Roman"/>
          <w:b/>
        </w:rPr>
        <w:t>M</w:t>
      </w:r>
      <w:r w:rsidR="00DE3F81" w:rsidRPr="00365B14">
        <w:rPr>
          <w:rFonts w:ascii="Times New Roman" w:hAnsi="Times New Roman"/>
          <w:b/>
        </w:rPr>
        <w:t>arch 27, 2013</w:t>
      </w:r>
    </w:p>
    <w:p w:rsidR="007364AE" w:rsidRDefault="007364AE" w:rsidP="007364AE">
      <w:pPr>
        <w:tabs>
          <w:tab w:val="left" w:pos="5760"/>
        </w:tabs>
        <w:spacing w:after="0" w:line="240" w:lineRule="auto"/>
        <w:rPr>
          <w:rFonts w:ascii="Times New Roman" w:hAnsi="Times New Roman"/>
        </w:rPr>
      </w:pPr>
    </w:p>
    <w:p w:rsidR="003127AA" w:rsidRDefault="003127AA" w:rsidP="007364AE">
      <w:pPr>
        <w:tabs>
          <w:tab w:val="left" w:pos="5760"/>
        </w:tabs>
        <w:spacing w:after="0" w:line="240" w:lineRule="auto"/>
        <w:rPr>
          <w:rFonts w:ascii="Times New Roman" w:hAnsi="Times New Roman"/>
          <w:spacing w:val="-2"/>
        </w:rPr>
      </w:pPr>
      <w:r w:rsidRPr="00CF3F9B">
        <w:rPr>
          <w:rFonts w:ascii="Times New Roman" w:hAnsi="Times New Roman"/>
        </w:rPr>
        <w:t xml:space="preserve">By the Chief, </w:t>
      </w:r>
      <w:r w:rsidRPr="00CF3F9B">
        <w:rPr>
          <w:rFonts w:ascii="Times New Roman" w:hAnsi="Times New Roman"/>
          <w:spacing w:val="-2"/>
        </w:rPr>
        <w:t xml:space="preserve">Wireline Competition Bureau: </w:t>
      </w:r>
    </w:p>
    <w:p w:rsidR="007364AE" w:rsidRPr="00CF3F9B" w:rsidRDefault="007364AE" w:rsidP="007364AE">
      <w:pPr>
        <w:tabs>
          <w:tab w:val="left" w:pos="5760"/>
        </w:tabs>
        <w:spacing w:after="0" w:line="240" w:lineRule="auto"/>
        <w:rPr>
          <w:rFonts w:ascii="Times New Roman" w:hAnsi="Times New Roman"/>
          <w:spacing w:val="-2"/>
        </w:rPr>
      </w:pPr>
    </w:p>
    <w:p w:rsidR="007364AE" w:rsidRDefault="006F28E8" w:rsidP="007364AE">
      <w:pPr>
        <w:tabs>
          <w:tab w:val="left" w:pos="5760"/>
        </w:tabs>
        <w:spacing w:after="0" w:line="240" w:lineRule="auto"/>
        <w:jc w:val="center"/>
        <w:rPr>
          <w:rFonts w:ascii="Times New Roman" w:hAnsi="Times New Roman"/>
          <w:b/>
        </w:rPr>
      </w:pPr>
      <w:r w:rsidRPr="00CF3F9B">
        <w:rPr>
          <w:rFonts w:ascii="Times New Roman" w:hAnsi="Times New Roman"/>
          <w:b/>
        </w:rPr>
        <w:t>TABLE OF CONTENTS</w:t>
      </w:r>
    </w:p>
    <w:p w:rsidR="007326F4" w:rsidRPr="007364AE" w:rsidRDefault="003225BC" w:rsidP="007364AE">
      <w:pPr>
        <w:tabs>
          <w:tab w:val="left" w:pos="5760"/>
        </w:tabs>
        <w:spacing w:after="0" w:line="240" w:lineRule="auto"/>
        <w:jc w:val="center"/>
        <w:rPr>
          <w:rFonts w:ascii="Times New Roman" w:hAnsi="Times New Roman"/>
          <w:b/>
        </w:rPr>
      </w:pPr>
      <w:r w:rsidRPr="00CF3F9B">
        <w:rPr>
          <w:rFonts w:ascii="Times New Roman" w:hAnsi="Times New Roman"/>
        </w:rPr>
        <w:t xml:space="preserve">Heading               </w:t>
      </w:r>
      <w:r w:rsidR="007326F4" w:rsidRPr="00CF3F9B">
        <w:rPr>
          <w:rFonts w:ascii="Times New Roman" w:hAnsi="Times New Roman"/>
        </w:rPr>
        <w:t xml:space="preserve">                                                                                                                          Paragraph #</w:t>
      </w:r>
    </w:p>
    <w:p w:rsidR="00E23A53" w:rsidRPr="00CF3F9B" w:rsidRDefault="00E23A53" w:rsidP="007364AE">
      <w:pPr>
        <w:pStyle w:val="TOC1"/>
        <w:tabs>
          <w:tab w:val="clear" w:pos="360"/>
        </w:tabs>
        <w:spacing w:after="0" w:line="240" w:lineRule="auto"/>
        <w:rPr>
          <w:rFonts w:ascii="Times New Roman" w:hAnsi="Times New Roman"/>
          <w:bCs/>
        </w:rPr>
      </w:pPr>
    </w:p>
    <w:p w:rsidR="007326F4" w:rsidRPr="00CF3F9B" w:rsidRDefault="000A4BD1" w:rsidP="007364AE">
      <w:pPr>
        <w:pStyle w:val="TOC1"/>
        <w:tabs>
          <w:tab w:val="clear" w:pos="360"/>
        </w:tabs>
        <w:spacing w:after="0" w:line="240" w:lineRule="auto"/>
        <w:rPr>
          <w:rFonts w:ascii="Times New Roman" w:hAnsi="Times New Roman"/>
        </w:rPr>
      </w:pPr>
      <w:r w:rsidRPr="00CF3F9B">
        <w:rPr>
          <w:rFonts w:ascii="Times New Roman" w:hAnsi="Times New Roman"/>
          <w:bCs/>
        </w:rPr>
        <w:t xml:space="preserve">I. </w:t>
      </w:r>
      <w:r w:rsidR="007326F4" w:rsidRPr="00CF3F9B">
        <w:rPr>
          <w:rFonts w:ascii="Times New Roman" w:hAnsi="Times New Roman"/>
          <w:bCs/>
        </w:rPr>
        <w:t>introduction</w:t>
      </w:r>
      <w:r w:rsidR="007326F4" w:rsidRPr="00CF3F9B">
        <w:rPr>
          <w:rFonts w:ascii="Times New Roman" w:hAnsi="Times New Roman"/>
          <w:bCs/>
        </w:rPr>
        <w:tab/>
        <w:t>1</w:t>
      </w:r>
    </w:p>
    <w:p w:rsidR="007326F4" w:rsidRPr="00CF3F9B" w:rsidRDefault="000A4BD1" w:rsidP="007364AE">
      <w:pPr>
        <w:pStyle w:val="TOC2"/>
        <w:tabs>
          <w:tab w:val="clear" w:pos="720"/>
        </w:tabs>
        <w:spacing w:after="0" w:line="240" w:lineRule="auto"/>
        <w:ind w:left="216" w:hanging="216"/>
        <w:rPr>
          <w:rFonts w:ascii="Times New Roman" w:hAnsi="Times New Roman"/>
        </w:rPr>
      </w:pPr>
      <w:r w:rsidRPr="00CF3F9B">
        <w:rPr>
          <w:rFonts w:ascii="Times New Roman" w:hAnsi="Times New Roman"/>
        </w:rPr>
        <w:t xml:space="preserve">II. </w:t>
      </w:r>
      <w:r w:rsidR="007326F4" w:rsidRPr="00CF3F9B">
        <w:rPr>
          <w:rFonts w:ascii="Times New Roman" w:hAnsi="Times New Roman"/>
        </w:rPr>
        <w:t>HARMONIZING CONNECT AMERICA FUND ICC CERTIFICATION DEADLINES</w:t>
      </w:r>
      <w:r w:rsidR="007326F4" w:rsidRPr="00CF3F9B">
        <w:rPr>
          <w:rFonts w:ascii="Times New Roman" w:hAnsi="Times New Roman"/>
        </w:rPr>
        <w:tab/>
        <w:t>2</w:t>
      </w:r>
    </w:p>
    <w:p w:rsidR="007326F4" w:rsidRPr="00CF3F9B" w:rsidRDefault="000A4BD1" w:rsidP="007364AE">
      <w:pPr>
        <w:pStyle w:val="TOC3"/>
        <w:tabs>
          <w:tab w:val="clear" w:pos="1080"/>
        </w:tabs>
        <w:spacing w:after="0" w:line="240" w:lineRule="auto"/>
        <w:ind w:left="360"/>
        <w:rPr>
          <w:rFonts w:ascii="Times New Roman" w:hAnsi="Times New Roman"/>
        </w:rPr>
      </w:pPr>
      <w:r w:rsidRPr="00CF3F9B">
        <w:rPr>
          <w:rFonts w:ascii="Times New Roman" w:hAnsi="Times New Roman"/>
        </w:rPr>
        <w:t xml:space="preserve">III. </w:t>
      </w:r>
      <w:r w:rsidR="007326F4" w:rsidRPr="00CF3F9B">
        <w:rPr>
          <w:rFonts w:ascii="Times New Roman" w:hAnsi="Times New Roman"/>
        </w:rPr>
        <w:t>NECA POOLING SWITCHED ACCESS RATE CAP ADJUSTMENTS</w:t>
      </w:r>
      <w:r w:rsidR="007326F4" w:rsidRPr="00CF3F9B">
        <w:rPr>
          <w:rFonts w:ascii="Times New Roman" w:hAnsi="Times New Roman"/>
        </w:rPr>
        <w:tab/>
      </w:r>
      <w:r w:rsidR="00794D1B" w:rsidRPr="00CF3F9B">
        <w:rPr>
          <w:rFonts w:ascii="Times New Roman" w:hAnsi="Times New Roman"/>
        </w:rPr>
        <w:t>8</w:t>
      </w:r>
    </w:p>
    <w:p w:rsidR="007326F4" w:rsidRPr="00CF3F9B" w:rsidRDefault="000A4BD1" w:rsidP="007364AE">
      <w:pPr>
        <w:pStyle w:val="TOC1"/>
        <w:tabs>
          <w:tab w:val="clear" w:pos="360"/>
        </w:tabs>
        <w:spacing w:after="0" w:line="240" w:lineRule="auto"/>
        <w:rPr>
          <w:rFonts w:ascii="Times New Roman" w:hAnsi="Times New Roman"/>
        </w:rPr>
      </w:pPr>
      <w:r w:rsidRPr="00CF3F9B">
        <w:rPr>
          <w:rFonts w:ascii="Times New Roman" w:hAnsi="Times New Roman"/>
          <w:bCs/>
        </w:rPr>
        <w:t xml:space="preserve">IV. </w:t>
      </w:r>
      <w:r w:rsidR="007326F4" w:rsidRPr="00CF3F9B">
        <w:rPr>
          <w:rFonts w:ascii="Times New Roman" w:hAnsi="Times New Roman"/>
          <w:bCs/>
        </w:rPr>
        <w:t>NECA PETITION FOR CLARIFICATION OF POOLING ISSUES</w:t>
      </w:r>
      <w:r w:rsidR="007326F4" w:rsidRPr="00CF3F9B">
        <w:rPr>
          <w:rFonts w:ascii="Times New Roman" w:hAnsi="Times New Roman"/>
          <w:bCs/>
        </w:rPr>
        <w:tab/>
        <w:t>1</w:t>
      </w:r>
      <w:r w:rsidR="0020418C" w:rsidRPr="00CF3F9B">
        <w:rPr>
          <w:rFonts w:ascii="Times New Roman" w:hAnsi="Times New Roman"/>
          <w:bCs/>
        </w:rPr>
        <w:t>7</w:t>
      </w:r>
    </w:p>
    <w:p w:rsidR="007326F4" w:rsidRPr="00CF3F9B" w:rsidRDefault="000A4BD1" w:rsidP="007364AE">
      <w:pPr>
        <w:pStyle w:val="TOC2"/>
        <w:tabs>
          <w:tab w:val="clear" w:pos="720"/>
        </w:tabs>
        <w:spacing w:after="0" w:line="240" w:lineRule="auto"/>
        <w:ind w:left="360"/>
        <w:rPr>
          <w:rFonts w:ascii="Times New Roman" w:hAnsi="Times New Roman"/>
        </w:rPr>
      </w:pPr>
      <w:r w:rsidRPr="00CF3F9B">
        <w:rPr>
          <w:rFonts w:ascii="Times New Roman" w:hAnsi="Times New Roman"/>
        </w:rPr>
        <w:t xml:space="preserve">V. </w:t>
      </w:r>
      <w:r w:rsidR="007326F4" w:rsidRPr="00CF3F9B">
        <w:rPr>
          <w:rFonts w:ascii="Times New Roman" w:hAnsi="Times New Roman"/>
        </w:rPr>
        <w:t>“STEP 2” TRANSITIONAL INTRASTATE ACCESS SERVICE RATES</w:t>
      </w:r>
      <w:r w:rsidR="007326F4" w:rsidRPr="00CF3F9B">
        <w:rPr>
          <w:rFonts w:ascii="Times New Roman" w:hAnsi="Times New Roman"/>
        </w:rPr>
        <w:tab/>
        <w:t>2</w:t>
      </w:r>
      <w:r w:rsidR="0020418C" w:rsidRPr="00CF3F9B">
        <w:rPr>
          <w:rFonts w:ascii="Times New Roman" w:hAnsi="Times New Roman"/>
        </w:rPr>
        <w:t>1</w:t>
      </w:r>
    </w:p>
    <w:p w:rsidR="007326F4" w:rsidRPr="00CF3F9B" w:rsidRDefault="000A4BD1" w:rsidP="007364AE">
      <w:pPr>
        <w:pStyle w:val="TOC3"/>
        <w:tabs>
          <w:tab w:val="clear" w:pos="1080"/>
        </w:tabs>
        <w:spacing w:after="0" w:line="240" w:lineRule="auto"/>
        <w:ind w:left="360"/>
        <w:rPr>
          <w:rFonts w:ascii="Times New Roman" w:hAnsi="Times New Roman"/>
        </w:rPr>
      </w:pPr>
      <w:r w:rsidRPr="00CF3F9B">
        <w:rPr>
          <w:rFonts w:ascii="Times New Roman" w:hAnsi="Times New Roman"/>
        </w:rPr>
        <w:t xml:space="preserve">VI. </w:t>
      </w:r>
      <w:r w:rsidR="004B3822" w:rsidRPr="00CF3F9B">
        <w:rPr>
          <w:rFonts w:ascii="Times New Roman" w:hAnsi="Times New Roman"/>
        </w:rPr>
        <w:t>TREATMENT OF LOCAL SWITCHING SUPPORT IN PART 69 CALCULATIONS</w:t>
      </w:r>
      <w:r w:rsidR="007326F4" w:rsidRPr="00CF3F9B">
        <w:rPr>
          <w:rFonts w:ascii="Times New Roman" w:hAnsi="Times New Roman"/>
        </w:rPr>
        <w:tab/>
      </w:r>
      <w:r w:rsidR="004B3822" w:rsidRPr="00CF3F9B">
        <w:rPr>
          <w:rFonts w:ascii="Times New Roman" w:hAnsi="Times New Roman"/>
        </w:rPr>
        <w:t>2</w:t>
      </w:r>
      <w:r w:rsidR="0020418C" w:rsidRPr="00CF3F9B">
        <w:rPr>
          <w:rFonts w:ascii="Times New Roman" w:hAnsi="Times New Roman"/>
        </w:rPr>
        <w:t>3</w:t>
      </w:r>
    </w:p>
    <w:p w:rsidR="007326F4" w:rsidRPr="00CF3F9B" w:rsidRDefault="000A4BD1" w:rsidP="007364AE">
      <w:pPr>
        <w:pStyle w:val="TOC1"/>
        <w:tabs>
          <w:tab w:val="clear" w:pos="360"/>
        </w:tabs>
        <w:spacing w:after="0" w:line="240" w:lineRule="auto"/>
        <w:rPr>
          <w:rFonts w:ascii="Times New Roman" w:hAnsi="Times New Roman"/>
        </w:rPr>
      </w:pPr>
      <w:r w:rsidRPr="00CF3F9B">
        <w:rPr>
          <w:rFonts w:ascii="Times New Roman" w:hAnsi="Times New Roman"/>
          <w:bCs/>
        </w:rPr>
        <w:t xml:space="preserve">VII. </w:t>
      </w:r>
      <w:r w:rsidR="004B3822" w:rsidRPr="00CF3F9B">
        <w:rPr>
          <w:rFonts w:ascii="Times New Roman" w:hAnsi="Times New Roman"/>
          <w:bCs/>
        </w:rPr>
        <w:t>CORPORATE OPERATIONS EXPENSE LIMIT AND MONT</w:t>
      </w:r>
      <w:r w:rsidR="00E23A53" w:rsidRPr="00CF3F9B">
        <w:rPr>
          <w:rFonts w:ascii="Times New Roman" w:hAnsi="Times New Roman"/>
          <w:bCs/>
        </w:rPr>
        <w:t>H</w:t>
      </w:r>
      <w:r w:rsidR="004B3822" w:rsidRPr="00CF3F9B">
        <w:rPr>
          <w:rFonts w:ascii="Times New Roman" w:hAnsi="Times New Roman"/>
          <w:bCs/>
        </w:rPr>
        <w:t>LY $250 PER-LINE CAP</w:t>
      </w:r>
      <w:r w:rsidR="007326F4" w:rsidRPr="00CF3F9B">
        <w:rPr>
          <w:rFonts w:ascii="Times New Roman" w:hAnsi="Times New Roman"/>
          <w:bCs/>
        </w:rPr>
        <w:tab/>
      </w:r>
      <w:r w:rsidR="004B3822" w:rsidRPr="00CF3F9B">
        <w:rPr>
          <w:rFonts w:ascii="Times New Roman" w:hAnsi="Times New Roman"/>
          <w:bCs/>
        </w:rPr>
        <w:t>2</w:t>
      </w:r>
      <w:r w:rsidR="0020418C" w:rsidRPr="00CF3F9B">
        <w:rPr>
          <w:rFonts w:ascii="Times New Roman" w:hAnsi="Times New Roman"/>
          <w:bCs/>
        </w:rPr>
        <w:t>9</w:t>
      </w:r>
    </w:p>
    <w:p w:rsidR="007326F4" w:rsidRPr="00CF3F9B" w:rsidRDefault="000A4BD1" w:rsidP="007364AE">
      <w:pPr>
        <w:pStyle w:val="TOC2"/>
        <w:tabs>
          <w:tab w:val="clear" w:pos="720"/>
        </w:tabs>
        <w:spacing w:after="0" w:line="240" w:lineRule="auto"/>
        <w:ind w:left="360"/>
        <w:rPr>
          <w:rFonts w:ascii="Times New Roman" w:hAnsi="Times New Roman"/>
        </w:rPr>
      </w:pPr>
      <w:r w:rsidRPr="00CF3F9B">
        <w:rPr>
          <w:rFonts w:ascii="Times New Roman" w:hAnsi="Times New Roman"/>
        </w:rPr>
        <w:t xml:space="preserve">VIII. </w:t>
      </w:r>
      <w:r w:rsidR="004B3822" w:rsidRPr="00CF3F9B">
        <w:rPr>
          <w:rFonts w:ascii="Times New Roman" w:hAnsi="Times New Roman"/>
        </w:rPr>
        <w:t>TRUE-UP ADJUSTMENT MECHANISMS</w:t>
      </w:r>
      <w:r w:rsidR="007326F4" w:rsidRPr="00CF3F9B">
        <w:rPr>
          <w:rFonts w:ascii="Times New Roman" w:hAnsi="Times New Roman"/>
        </w:rPr>
        <w:tab/>
      </w:r>
      <w:r w:rsidR="004B3822" w:rsidRPr="00CF3F9B">
        <w:rPr>
          <w:rFonts w:ascii="Times New Roman" w:hAnsi="Times New Roman"/>
        </w:rPr>
        <w:t>3</w:t>
      </w:r>
      <w:r w:rsidR="0020418C" w:rsidRPr="00CF3F9B">
        <w:rPr>
          <w:rFonts w:ascii="Times New Roman" w:hAnsi="Times New Roman"/>
        </w:rPr>
        <w:t>1</w:t>
      </w:r>
    </w:p>
    <w:p w:rsidR="007326F4" w:rsidRPr="00CF3F9B" w:rsidRDefault="000A4BD1" w:rsidP="007364AE">
      <w:pPr>
        <w:pStyle w:val="TOC3"/>
        <w:tabs>
          <w:tab w:val="clear" w:pos="1080"/>
        </w:tabs>
        <w:spacing w:after="0" w:line="240" w:lineRule="auto"/>
        <w:ind w:left="360"/>
        <w:rPr>
          <w:rFonts w:ascii="Times New Roman" w:hAnsi="Times New Roman"/>
        </w:rPr>
      </w:pPr>
      <w:r w:rsidRPr="00CF3F9B">
        <w:rPr>
          <w:rFonts w:ascii="Times New Roman" w:hAnsi="Times New Roman"/>
        </w:rPr>
        <w:t xml:space="preserve">IX. </w:t>
      </w:r>
      <w:r w:rsidR="004B3822" w:rsidRPr="00CF3F9B">
        <w:rPr>
          <w:rFonts w:ascii="Times New Roman" w:hAnsi="Times New Roman"/>
        </w:rPr>
        <w:t>PROCEDURAL MATTERS</w:t>
      </w:r>
      <w:r w:rsidR="007326F4" w:rsidRPr="00CF3F9B">
        <w:rPr>
          <w:rFonts w:ascii="Times New Roman" w:hAnsi="Times New Roman"/>
        </w:rPr>
        <w:tab/>
      </w:r>
      <w:r w:rsidR="004B3822" w:rsidRPr="00CF3F9B">
        <w:rPr>
          <w:rFonts w:ascii="Times New Roman" w:hAnsi="Times New Roman"/>
        </w:rPr>
        <w:t>3</w:t>
      </w:r>
      <w:r w:rsidR="0020418C" w:rsidRPr="00CF3F9B">
        <w:rPr>
          <w:rFonts w:ascii="Times New Roman" w:hAnsi="Times New Roman"/>
        </w:rPr>
        <w:t>3</w:t>
      </w:r>
    </w:p>
    <w:p w:rsidR="007326F4" w:rsidRPr="00CF3F9B" w:rsidRDefault="004B3822" w:rsidP="007364AE">
      <w:pPr>
        <w:pStyle w:val="TOC2"/>
        <w:tabs>
          <w:tab w:val="clear" w:pos="720"/>
        </w:tabs>
        <w:spacing w:after="0" w:line="240" w:lineRule="auto"/>
        <w:ind w:hanging="540"/>
        <w:rPr>
          <w:rFonts w:ascii="Times New Roman" w:hAnsi="Times New Roman"/>
        </w:rPr>
      </w:pPr>
      <w:r w:rsidRPr="00CF3F9B">
        <w:rPr>
          <w:rFonts w:ascii="Times New Roman" w:hAnsi="Times New Roman"/>
          <w:bCs/>
        </w:rPr>
        <w:t>A. Paperwork Reduction Act</w:t>
      </w:r>
      <w:r w:rsidR="007326F4" w:rsidRPr="00CF3F9B">
        <w:rPr>
          <w:rFonts w:ascii="Times New Roman" w:hAnsi="Times New Roman"/>
        </w:rPr>
        <w:tab/>
      </w:r>
      <w:r w:rsidRPr="00CF3F9B">
        <w:rPr>
          <w:rFonts w:ascii="Times New Roman" w:hAnsi="Times New Roman"/>
        </w:rPr>
        <w:t>3</w:t>
      </w:r>
      <w:r w:rsidR="0020418C" w:rsidRPr="00CF3F9B">
        <w:rPr>
          <w:rFonts w:ascii="Times New Roman" w:hAnsi="Times New Roman"/>
        </w:rPr>
        <w:t>3</w:t>
      </w:r>
    </w:p>
    <w:p w:rsidR="004B3822" w:rsidRPr="00CF3F9B" w:rsidRDefault="004B3822" w:rsidP="007364AE">
      <w:pPr>
        <w:pStyle w:val="TOC3"/>
        <w:tabs>
          <w:tab w:val="clear" w:pos="1080"/>
        </w:tabs>
        <w:spacing w:after="0" w:line="240" w:lineRule="auto"/>
        <w:ind w:left="180" w:firstLine="0"/>
        <w:rPr>
          <w:rFonts w:ascii="Times New Roman" w:hAnsi="Times New Roman"/>
        </w:rPr>
      </w:pPr>
      <w:r w:rsidRPr="00CF3F9B">
        <w:rPr>
          <w:rFonts w:ascii="Times New Roman" w:hAnsi="Times New Roman"/>
        </w:rPr>
        <w:t>B. Final Regulatory Flexibility Act Certification</w:t>
      </w:r>
      <w:r w:rsidR="007326F4" w:rsidRPr="00CF3F9B">
        <w:rPr>
          <w:rFonts w:ascii="Times New Roman" w:hAnsi="Times New Roman"/>
        </w:rPr>
        <w:tab/>
      </w:r>
      <w:r w:rsidRPr="00CF3F9B">
        <w:rPr>
          <w:rFonts w:ascii="Times New Roman" w:hAnsi="Times New Roman"/>
        </w:rPr>
        <w:t>3</w:t>
      </w:r>
      <w:r w:rsidR="0020418C" w:rsidRPr="00CF3F9B">
        <w:rPr>
          <w:rFonts w:ascii="Times New Roman" w:hAnsi="Times New Roman"/>
        </w:rPr>
        <w:t>4</w:t>
      </w:r>
    </w:p>
    <w:p w:rsidR="007326F4" w:rsidRPr="00CF3F9B" w:rsidRDefault="004B3822" w:rsidP="007364AE">
      <w:pPr>
        <w:pStyle w:val="TOC2"/>
        <w:tabs>
          <w:tab w:val="clear" w:pos="720"/>
        </w:tabs>
        <w:spacing w:after="0" w:line="240" w:lineRule="auto"/>
        <w:ind w:left="180" w:firstLine="0"/>
        <w:rPr>
          <w:rFonts w:ascii="Times New Roman" w:hAnsi="Times New Roman"/>
        </w:rPr>
      </w:pPr>
      <w:r w:rsidRPr="00CF3F9B">
        <w:rPr>
          <w:rFonts w:ascii="Times New Roman" w:hAnsi="Times New Roman"/>
        </w:rPr>
        <w:t>C. Congressional Review Act</w:t>
      </w:r>
      <w:r w:rsidRPr="00CF3F9B">
        <w:rPr>
          <w:rFonts w:ascii="Times New Roman" w:hAnsi="Times New Roman"/>
        </w:rPr>
        <w:tab/>
        <w:t>3</w:t>
      </w:r>
      <w:r w:rsidR="0020418C" w:rsidRPr="00CF3F9B">
        <w:rPr>
          <w:rFonts w:ascii="Times New Roman" w:hAnsi="Times New Roman"/>
        </w:rPr>
        <w:t>6</w:t>
      </w:r>
    </w:p>
    <w:p w:rsidR="007326F4" w:rsidRPr="00CF3F9B" w:rsidRDefault="000A4BD1" w:rsidP="007364AE">
      <w:pPr>
        <w:pStyle w:val="TOC1"/>
        <w:tabs>
          <w:tab w:val="clear" w:pos="360"/>
        </w:tabs>
        <w:spacing w:after="0" w:line="240" w:lineRule="auto"/>
        <w:rPr>
          <w:rFonts w:ascii="Times New Roman" w:hAnsi="Times New Roman"/>
        </w:rPr>
      </w:pPr>
      <w:r w:rsidRPr="00CF3F9B">
        <w:rPr>
          <w:rFonts w:ascii="Times New Roman" w:hAnsi="Times New Roman"/>
          <w:bCs/>
        </w:rPr>
        <w:t xml:space="preserve">X. </w:t>
      </w:r>
      <w:r w:rsidR="001A076D" w:rsidRPr="00CF3F9B">
        <w:rPr>
          <w:rFonts w:ascii="Times New Roman" w:hAnsi="Times New Roman"/>
          <w:bCs/>
        </w:rPr>
        <w:t>ordering clauses</w:t>
      </w:r>
      <w:r w:rsidR="007326F4" w:rsidRPr="00CF3F9B">
        <w:rPr>
          <w:rFonts w:ascii="Times New Roman" w:hAnsi="Times New Roman"/>
          <w:bCs/>
        </w:rPr>
        <w:tab/>
      </w:r>
      <w:r w:rsidR="001A076D" w:rsidRPr="00CF3F9B">
        <w:rPr>
          <w:rFonts w:ascii="Times New Roman" w:hAnsi="Times New Roman"/>
          <w:bCs/>
        </w:rPr>
        <w:t>3</w:t>
      </w:r>
      <w:r w:rsidR="0020418C" w:rsidRPr="00CF3F9B">
        <w:rPr>
          <w:rFonts w:ascii="Times New Roman" w:hAnsi="Times New Roman"/>
          <w:bCs/>
        </w:rPr>
        <w:t>7</w:t>
      </w:r>
    </w:p>
    <w:p w:rsidR="007326F4" w:rsidRPr="00CF3F9B" w:rsidRDefault="001A076D" w:rsidP="00897042">
      <w:pPr>
        <w:pStyle w:val="TOC2"/>
        <w:tabs>
          <w:tab w:val="clear" w:pos="720"/>
        </w:tabs>
        <w:spacing w:after="220" w:line="240" w:lineRule="auto"/>
        <w:ind w:left="0" w:firstLine="0"/>
        <w:rPr>
          <w:rFonts w:ascii="Times New Roman" w:hAnsi="Times New Roman"/>
        </w:rPr>
      </w:pPr>
      <w:r w:rsidRPr="00CF3F9B">
        <w:rPr>
          <w:rFonts w:ascii="Times New Roman" w:hAnsi="Times New Roman"/>
        </w:rPr>
        <w:t>APPENDIX – Final Rules</w:t>
      </w:r>
    </w:p>
    <w:p w:rsidR="0073545A" w:rsidRPr="00CF3F9B" w:rsidRDefault="003127AA" w:rsidP="00897042">
      <w:pPr>
        <w:pStyle w:val="Heading1"/>
        <w:spacing w:after="220" w:line="240" w:lineRule="auto"/>
        <w:rPr>
          <w:rFonts w:ascii="Times New Roman" w:hAnsi="Times New Roman"/>
        </w:rPr>
      </w:pPr>
      <w:bookmarkStart w:id="1" w:name="_Toc350498396"/>
      <w:bookmarkStart w:id="2" w:name="_Toc350498397"/>
      <w:bookmarkEnd w:id="1"/>
      <w:r w:rsidRPr="00CF3F9B">
        <w:rPr>
          <w:rFonts w:ascii="Times New Roman" w:hAnsi="Times New Roman"/>
        </w:rPr>
        <w:lastRenderedPageBreak/>
        <w:t>Introduction</w:t>
      </w:r>
      <w:bookmarkEnd w:id="2"/>
    </w:p>
    <w:p w:rsidR="0073545A" w:rsidRPr="00CF3F9B" w:rsidRDefault="003127AA" w:rsidP="00897042">
      <w:pPr>
        <w:pStyle w:val="ParaNum"/>
        <w:spacing w:after="220" w:line="240" w:lineRule="auto"/>
        <w:rPr>
          <w:rFonts w:ascii="Times New Roman" w:hAnsi="Times New Roman"/>
        </w:rPr>
      </w:pPr>
      <w:r w:rsidRPr="00CF3F9B">
        <w:rPr>
          <w:rFonts w:ascii="Times New Roman" w:hAnsi="Times New Roman"/>
        </w:rPr>
        <w:t xml:space="preserve">In the </w:t>
      </w:r>
      <w:r w:rsidRPr="00CF3F9B">
        <w:rPr>
          <w:rFonts w:ascii="Times New Roman" w:hAnsi="Times New Roman"/>
          <w:i/>
        </w:rPr>
        <w:t>USF/ICC Transformation Order</w:t>
      </w:r>
      <w:r w:rsidRPr="00CF3F9B">
        <w:rPr>
          <w:rFonts w:ascii="Times New Roman" w:hAnsi="Times New Roman"/>
        </w:rPr>
        <w:t>, the Commission delegated to the Wireline Competition Bureau (Bureau) the authority to make any rule revisions necessary to ensure that the reforms adopted are properly reflected in the rules, including correcting any conflicts between the new or revised rules and existing rules, as well as addressing any omissions or oversights.</w:t>
      </w:r>
      <w:r w:rsidRPr="00CF3F9B">
        <w:rPr>
          <w:rStyle w:val="FootnoteReference"/>
        </w:rPr>
        <w:footnoteReference w:id="2"/>
      </w:r>
      <w:r w:rsidRPr="00CF3F9B">
        <w:rPr>
          <w:rFonts w:ascii="Times New Roman" w:hAnsi="Times New Roman"/>
        </w:rPr>
        <w:t xml:space="preserve">  In this Order, the Bureau acts pursuant to its delegated authority to clarify and correct certain rules in response to recent petitions and other requests for clarification or correction of the new rules.</w:t>
      </w:r>
      <w:r w:rsidRPr="00CF3F9B">
        <w:rPr>
          <w:rStyle w:val="FootnoteReference"/>
        </w:rPr>
        <w:footnoteReference w:id="3"/>
      </w:r>
      <w:r w:rsidRPr="00CF3F9B">
        <w:rPr>
          <w:rFonts w:ascii="Times New Roman" w:hAnsi="Times New Roman"/>
        </w:rPr>
        <w:t xml:space="preserve">  Specifically, the Bureau harmonizes inconsistent Connect America Fund intercarrier compensation (ICC) support eligibility certification and reporting filing deadlines contained in Parts 51 and 54 of the Commission’s rules</w:t>
      </w:r>
      <w:r w:rsidR="00137757" w:rsidRPr="00CF3F9B">
        <w:rPr>
          <w:rFonts w:ascii="Times New Roman" w:hAnsi="Times New Roman"/>
        </w:rPr>
        <w:t xml:space="preserve"> </w:t>
      </w:r>
      <w:r w:rsidR="003E0143" w:rsidRPr="00CF3F9B">
        <w:rPr>
          <w:rFonts w:ascii="Times New Roman" w:hAnsi="Times New Roman"/>
        </w:rPr>
        <w:t xml:space="preserve">to coincide </w:t>
      </w:r>
      <w:r w:rsidR="00137757" w:rsidRPr="00CF3F9B">
        <w:rPr>
          <w:rFonts w:ascii="Times New Roman" w:hAnsi="Times New Roman"/>
        </w:rPr>
        <w:t xml:space="preserve">with the date on which carriers must file </w:t>
      </w:r>
      <w:r w:rsidR="009B60E4" w:rsidRPr="00CF3F9B">
        <w:rPr>
          <w:rFonts w:ascii="Times New Roman" w:hAnsi="Times New Roman"/>
        </w:rPr>
        <w:t>their</w:t>
      </w:r>
      <w:r w:rsidR="00137757" w:rsidRPr="00CF3F9B">
        <w:rPr>
          <w:rFonts w:ascii="Times New Roman" w:hAnsi="Times New Roman"/>
        </w:rPr>
        <w:t xml:space="preserve"> annual access tariffs</w:t>
      </w:r>
      <w:r w:rsidRPr="00CF3F9B">
        <w:rPr>
          <w:rFonts w:ascii="Times New Roman" w:hAnsi="Times New Roman"/>
        </w:rPr>
        <w:t>.</w:t>
      </w:r>
      <w:r w:rsidRPr="00CF3F9B">
        <w:rPr>
          <w:rStyle w:val="FootnoteReference"/>
        </w:rPr>
        <w:footnoteReference w:id="4"/>
      </w:r>
      <w:r w:rsidRPr="00CF3F9B">
        <w:rPr>
          <w:rFonts w:ascii="Times New Roman" w:hAnsi="Times New Roman"/>
        </w:rPr>
        <w:t xml:space="preserve">  The Bureau also amends </w:t>
      </w:r>
      <w:r w:rsidR="00377649" w:rsidRPr="00CF3F9B">
        <w:rPr>
          <w:rFonts w:ascii="Times New Roman" w:hAnsi="Times New Roman"/>
        </w:rPr>
        <w:t xml:space="preserve">the </w:t>
      </w:r>
      <w:r w:rsidRPr="00CF3F9B">
        <w:rPr>
          <w:rFonts w:ascii="Times New Roman" w:hAnsi="Times New Roman"/>
        </w:rPr>
        <w:t xml:space="preserve">Part 51 </w:t>
      </w:r>
      <w:r w:rsidR="00377649" w:rsidRPr="00CF3F9B">
        <w:rPr>
          <w:rFonts w:ascii="Times New Roman" w:hAnsi="Times New Roman"/>
        </w:rPr>
        <w:t xml:space="preserve">rules </w:t>
      </w:r>
      <w:r w:rsidRPr="00CF3F9B">
        <w:rPr>
          <w:rFonts w:ascii="Times New Roman" w:hAnsi="Times New Roman"/>
        </w:rPr>
        <w:t xml:space="preserve">to </w:t>
      </w:r>
      <w:r w:rsidR="00D94B49">
        <w:rPr>
          <w:rFonts w:ascii="Times New Roman" w:hAnsi="Times New Roman"/>
        </w:rPr>
        <w:t xml:space="preserve">clarify the effects of the </w:t>
      </w:r>
      <w:r w:rsidR="00D94B49" w:rsidRPr="00897042">
        <w:rPr>
          <w:rFonts w:ascii="Times New Roman" w:hAnsi="Times New Roman"/>
          <w:i/>
        </w:rPr>
        <w:t>USF/ICC Transformation Order</w:t>
      </w:r>
      <w:r w:rsidR="00D94B49">
        <w:rPr>
          <w:rFonts w:ascii="Times New Roman" w:hAnsi="Times New Roman"/>
        </w:rPr>
        <w:t xml:space="preserve"> on </w:t>
      </w:r>
      <w:r w:rsidR="0054187A" w:rsidRPr="00CF3F9B">
        <w:rPr>
          <w:rFonts w:ascii="Times New Roman" w:hAnsi="Times New Roman"/>
        </w:rPr>
        <w:t>National Exchange Carrier Association (NECA)</w:t>
      </w:r>
      <w:r w:rsidRPr="00CF3F9B">
        <w:rPr>
          <w:rFonts w:ascii="Times New Roman" w:hAnsi="Times New Roman"/>
        </w:rPr>
        <w:t xml:space="preserve"> traffic-sensitive tariff (“NECA pool”)</w:t>
      </w:r>
      <w:r w:rsidRPr="00CF3F9B">
        <w:rPr>
          <w:rStyle w:val="FootnoteReference"/>
        </w:rPr>
        <w:footnoteReference w:id="5"/>
      </w:r>
      <w:r w:rsidRPr="00CF3F9B">
        <w:rPr>
          <w:rFonts w:ascii="Times New Roman" w:hAnsi="Times New Roman"/>
        </w:rPr>
        <w:t xml:space="preserve"> </w:t>
      </w:r>
      <w:r w:rsidR="00D94B49">
        <w:rPr>
          <w:rFonts w:ascii="Times New Roman" w:hAnsi="Times New Roman"/>
        </w:rPr>
        <w:t xml:space="preserve">pooling </w:t>
      </w:r>
      <w:r w:rsidR="003E0143" w:rsidRPr="00CF3F9B">
        <w:rPr>
          <w:rFonts w:ascii="Times New Roman" w:hAnsi="Times New Roman"/>
        </w:rPr>
        <w:t>when carriers enter or exit the pool</w:t>
      </w:r>
      <w:r w:rsidRPr="00CF3F9B">
        <w:rPr>
          <w:rFonts w:ascii="Times New Roman" w:hAnsi="Times New Roman"/>
        </w:rPr>
        <w:t>.</w:t>
      </w:r>
      <w:r w:rsidRPr="00CF3F9B">
        <w:rPr>
          <w:rStyle w:val="FootnoteReference"/>
        </w:rPr>
        <w:footnoteReference w:id="6"/>
      </w:r>
      <w:r w:rsidRPr="00CF3F9B">
        <w:rPr>
          <w:rFonts w:ascii="Times New Roman" w:hAnsi="Times New Roman"/>
        </w:rPr>
        <w:t xml:space="preserve">  The Bureau </w:t>
      </w:r>
      <w:r w:rsidR="003671AA" w:rsidRPr="00CF3F9B">
        <w:rPr>
          <w:rFonts w:ascii="Times New Roman" w:hAnsi="Times New Roman"/>
        </w:rPr>
        <w:t xml:space="preserve">also </w:t>
      </w:r>
      <w:r w:rsidRPr="00CF3F9B">
        <w:rPr>
          <w:rFonts w:ascii="Times New Roman" w:hAnsi="Times New Roman"/>
        </w:rPr>
        <w:t xml:space="preserve">addresses a petition for clarification filed by </w:t>
      </w:r>
      <w:r w:rsidR="0054187A" w:rsidRPr="00CF3F9B">
        <w:rPr>
          <w:rFonts w:ascii="Times New Roman" w:hAnsi="Times New Roman"/>
        </w:rPr>
        <w:t>NECA</w:t>
      </w:r>
      <w:r w:rsidRPr="00CF3F9B">
        <w:rPr>
          <w:rStyle w:val="FootnoteReference"/>
        </w:rPr>
        <w:footnoteReference w:id="7"/>
      </w:r>
      <w:r w:rsidRPr="00CF3F9B">
        <w:rPr>
          <w:rFonts w:ascii="Times New Roman" w:hAnsi="Times New Roman"/>
        </w:rPr>
        <w:t xml:space="preserve"> by clarifying various NECA pooling requirements adopted in the </w:t>
      </w:r>
      <w:r w:rsidRPr="00CF3F9B">
        <w:rPr>
          <w:rFonts w:ascii="Times New Roman" w:hAnsi="Times New Roman"/>
          <w:i/>
        </w:rPr>
        <w:t>2012 Price Cap Conversion Order</w:t>
      </w:r>
      <w:r w:rsidRPr="00CF3F9B">
        <w:rPr>
          <w:rFonts w:ascii="Times New Roman" w:hAnsi="Times New Roman"/>
        </w:rPr>
        <w:t>.</w:t>
      </w:r>
      <w:r w:rsidRPr="00CF3F9B">
        <w:rPr>
          <w:rStyle w:val="FootnoteReference"/>
        </w:rPr>
        <w:footnoteReference w:id="8"/>
      </w:r>
      <w:r w:rsidRPr="00CF3F9B">
        <w:rPr>
          <w:rFonts w:ascii="Times New Roman" w:hAnsi="Times New Roman"/>
        </w:rPr>
        <w:t xml:space="preserve">  </w:t>
      </w:r>
      <w:r w:rsidR="001774A2" w:rsidRPr="00CF3F9B">
        <w:rPr>
          <w:rFonts w:ascii="Times New Roman" w:hAnsi="Times New Roman"/>
        </w:rPr>
        <w:t>In addition, t</w:t>
      </w:r>
      <w:r w:rsidRPr="00CF3F9B">
        <w:rPr>
          <w:rFonts w:ascii="Times New Roman" w:hAnsi="Times New Roman"/>
        </w:rPr>
        <w:t xml:space="preserve">he Bureau amends rules governing </w:t>
      </w:r>
      <w:r w:rsidR="007C4F1B" w:rsidRPr="00CF3F9B">
        <w:rPr>
          <w:rFonts w:ascii="Times New Roman" w:hAnsi="Times New Roman"/>
        </w:rPr>
        <w:t xml:space="preserve">the transition of </w:t>
      </w:r>
      <w:r w:rsidRPr="00CF3F9B">
        <w:rPr>
          <w:rFonts w:ascii="Times New Roman" w:hAnsi="Times New Roman"/>
        </w:rPr>
        <w:t>rate-of-return carriers’ intrastate switched access rates to correct an omission.</w:t>
      </w:r>
      <w:r w:rsidRPr="00CF3F9B">
        <w:rPr>
          <w:rStyle w:val="FootnoteReference"/>
        </w:rPr>
        <w:footnoteReference w:id="9"/>
      </w:r>
      <w:r w:rsidRPr="00CF3F9B">
        <w:rPr>
          <w:rFonts w:ascii="Times New Roman" w:hAnsi="Times New Roman"/>
        </w:rPr>
        <w:t xml:space="preserve">  The Bureau amends </w:t>
      </w:r>
      <w:r w:rsidR="00AF53DE">
        <w:rPr>
          <w:rFonts w:ascii="Times New Roman" w:hAnsi="Times New Roman"/>
        </w:rPr>
        <w:t>the</w:t>
      </w:r>
      <w:r w:rsidR="00AF53DE" w:rsidRPr="00CF3F9B">
        <w:rPr>
          <w:rFonts w:ascii="Times New Roman" w:hAnsi="Times New Roman"/>
        </w:rPr>
        <w:t xml:space="preserve"> </w:t>
      </w:r>
      <w:r w:rsidRPr="00CF3F9B">
        <w:rPr>
          <w:rFonts w:ascii="Times New Roman" w:hAnsi="Times New Roman"/>
        </w:rPr>
        <w:t xml:space="preserve">Part 69 access charge rules to clarify </w:t>
      </w:r>
      <w:r w:rsidR="005B7CCC" w:rsidRPr="00CF3F9B">
        <w:rPr>
          <w:rFonts w:ascii="Times New Roman" w:hAnsi="Times New Roman"/>
        </w:rPr>
        <w:t xml:space="preserve">the </w:t>
      </w:r>
      <w:r w:rsidR="003E0143" w:rsidRPr="00CF3F9B">
        <w:rPr>
          <w:rFonts w:ascii="Times New Roman" w:hAnsi="Times New Roman"/>
        </w:rPr>
        <w:t xml:space="preserve">treatment of local switching support (LSS) in the </w:t>
      </w:r>
      <w:r w:rsidR="005B7CCC" w:rsidRPr="00CF3F9B">
        <w:rPr>
          <w:rFonts w:ascii="Times New Roman" w:hAnsi="Times New Roman"/>
        </w:rPr>
        <w:t>calculation of</w:t>
      </w:r>
      <w:r w:rsidR="007A503B" w:rsidRPr="00CF3F9B">
        <w:rPr>
          <w:rFonts w:ascii="Times New Roman" w:hAnsi="Times New Roman"/>
        </w:rPr>
        <w:t xml:space="preserve"> the line-side port cost</w:t>
      </w:r>
      <w:r w:rsidR="00AF53DE">
        <w:rPr>
          <w:rFonts w:ascii="Times New Roman" w:hAnsi="Times New Roman"/>
        </w:rPr>
        <w:t>s</w:t>
      </w:r>
      <w:r w:rsidR="007A503B" w:rsidRPr="00CF3F9B">
        <w:rPr>
          <w:rFonts w:ascii="Times New Roman" w:hAnsi="Times New Roman"/>
        </w:rPr>
        <w:t xml:space="preserve"> shift to the Common Line category and </w:t>
      </w:r>
      <w:r w:rsidR="005B7CCC" w:rsidRPr="00CF3F9B">
        <w:rPr>
          <w:rFonts w:ascii="Times New Roman" w:hAnsi="Times New Roman"/>
        </w:rPr>
        <w:t xml:space="preserve">the allocation of </w:t>
      </w:r>
      <w:r w:rsidR="007A503B" w:rsidRPr="00CF3F9B">
        <w:rPr>
          <w:rFonts w:ascii="Times New Roman" w:hAnsi="Times New Roman"/>
        </w:rPr>
        <w:t xml:space="preserve">Transport Interconnection Charge costs </w:t>
      </w:r>
      <w:r w:rsidR="00140DAD" w:rsidRPr="00CF3F9B">
        <w:rPr>
          <w:rFonts w:ascii="Times New Roman" w:hAnsi="Times New Roman"/>
        </w:rPr>
        <w:t>among the various access charge expense categories</w:t>
      </w:r>
      <w:r w:rsidRPr="00CF3F9B">
        <w:rPr>
          <w:rFonts w:ascii="Times New Roman" w:hAnsi="Times New Roman"/>
        </w:rPr>
        <w:t>.</w:t>
      </w:r>
      <w:r w:rsidRPr="00CF3F9B">
        <w:rPr>
          <w:rStyle w:val="FootnoteReference"/>
        </w:rPr>
        <w:footnoteReference w:id="10"/>
      </w:r>
      <w:r w:rsidRPr="00CF3F9B">
        <w:rPr>
          <w:rFonts w:ascii="Times New Roman" w:hAnsi="Times New Roman"/>
        </w:rPr>
        <w:t xml:space="preserve">  The Bureau </w:t>
      </w:r>
      <w:r w:rsidR="001774A2" w:rsidRPr="00CF3F9B">
        <w:rPr>
          <w:rFonts w:ascii="Times New Roman" w:hAnsi="Times New Roman"/>
        </w:rPr>
        <w:t xml:space="preserve">also </w:t>
      </w:r>
      <w:r w:rsidRPr="00CF3F9B">
        <w:rPr>
          <w:rFonts w:ascii="Times New Roman" w:hAnsi="Times New Roman"/>
        </w:rPr>
        <w:t>clarifies the operation of the corporate operations expense</w:t>
      </w:r>
      <w:r w:rsidR="006B34F7" w:rsidRPr="00CF3F9B">
        <w:rPr>
          <w:rFonts w:ascii="Times New Roman" w:hAnsi="Times New Roman"/>
        </w:rPr>
        <w:t xml:space="preserve"> </w:t>
      </w:r>
      <w:r w:rsidR="00BF1631" w:rsidRPr="00CF3F9B">
        <w:rPr>
          <w:rFonts w:ascii="Times New Roman" w:hAnsi="Times New Roman"/>
        </w:rPr>
        <w:t>limit</w:t>
      </w:r>
      <w:r w:rsidRPr="00CF3F9B">
        <w:rPr>
          <w:rFonts w:ascii="Times New Roman" w:hAnsi="Times New Roman"/>
        </w:rPr>
        <w:t xml:space="preserve"> </w:t>
      </w:r>
      <w:r w:rsidR="006B34F7" w:rsidRPr="00CF3F9B">
        <w:rPr>
          <w:rFonts w:ascii="Times New Roman" w:hAnsi="Times New Roman"/>
        </w:rPr>
        <w:t xml:space="preserve">and monthly $250 per-line cap on universal service support </w:t>
      </w:r>
      <w:r w:rsidRPr="00CF3F9B">
        <w:rPr>
          <w:rFonts w:ascii="Times New Roman" w:hAnsi="Times New Roman"/>
        </w:rPr>
        <w:t>contained in Part 54.</w:t>
      </w:r>
      <w:r w:rsidRPr="00CF3F9B">
        <w:rPr>
          <w:rStyle w:val="FootnoteReference"/>
        </w:rPr>
        <w:footnoteReference w:id="11"/>
      </w:r>
      <w:r w:rsidRPr="00CF3F9B">
        <w:rPr>
          <w:rFonts w:ascii="Times New Roman" w:hAnsi="Times New Roman"/>
        </w:rPr>
        <w:t xml:space="preserve">  Finally, the Bureau corrects errors in the Part 51 </w:t>
      </w:r>
      <w:r w:rsidR="007C4F1B" w:rsidRPr="00CF3F9B">
        <w:rPr>
          <w:rFonts w:ascii="Times New Roman" w:hAnsi="Times New Roman"/>
        </w:rPr>
        <w:t xml:space="preserve">rules implementing the </w:t>
      </w:r>
      <w:r w:rsidRPr="00CF3F9B">
        <w:rPr>
          <w:rFonts w:ascii="Times New Roman" w:hAnsi="Times New Roman"/>
        </w:rPr>
        <w:t>Eligible Recovery true-up adjustment mechanism.</w:t>
      </w:r>
      <w:r w:rsidRPr="00CF3F9B">
        <w:rPr>
          <w:rStyle w:val="FootnoteReference"/>
        </w:rPr>
        <w:footnoteReference w:id="12"/>
      </w:r>
      <w:r w:rsidRPr="00CF3F9B">
        <w:rPr>
          <w:rFonts w:ascii="Times New Roman" w:hAnsi="Times New Roman"/>
        </w:rPr>
        <w:t xml:space="preserve">   </w:t>
      </w:r>
    </w:p>
    <w:p w:rsidR="003127AA" w:rsidRPr="00CF3F9B" w:rsidRDefault="003127AA" w:rsidP="00897042">
      <w:pPr>
        <w:pStyle w:val="ParaNum"/>
        <w:numPr>
          <w:ilvl w:val="0"/>
          <w:numId w:val="0"/>
        </w:numPr>
        <w:spacing w:after="220" w:line="240" w:lineRule="auto"/>
        <w:rPr>
          <w:rFonts w:ascii="Times New Roman" w:hAnsi="Times New Roman"/>
        </w:rPr>
      </w:pPr>
      <w:r w:rsidRPr="00CF3F9B">
        <w:rPr>
          <w:rFonts w:ascii="Times New Roman" w:hAnsi="Times New Roman"/>
          <w:b/>
        </w:rPr>
        <w:t>II.</w:t>
      </w:r>
      <w:r w:rsidRPr="00CF3F9B">
        <w:rPr>
          <w:rFonts w:ascii="Times New Roman" w:hAnsi="Times New Roman"/>
        </w:rPr>
        <w:tab/>
      </w:r>
      <w:r w:rsidRPr="00CF3F9B">
        <w:rPr>
          <w:rFonts w:ascii="Times New Roman" w:hAnsi="Times New Roman"/>
          <w:b/>
        </w:rPr>
        <w:t>HARMONIZING CONNECT AMERICA FUND ICC CERTIFICATION DEADLINES</w:t>
      </w:r>
    </w:p>
    <w:p w:rsidR="003127AA" w:rsidRPr="00CF3F9B" w:rsidRDefault="003127AA" w:rsidP="00897042">
      <w:pPr>
        <w:pStyle w:val="ParaNum"/>
        <w:spacing w:after="220" w:line="240" w:lineRule="auto"/>
        <w:rPr>
          <w:rFonts w:ascii="Times New Roman" w:hAnsi="Times New Roman"/>
        </w:rPr>
      </w:pPr>
      <w:r w:rsidRPr="00CF3F9B">
        <w:rPr>
          <w:rFonts w:ascii="Times New Roman" w:hAnsi="Times New Roman"/>
          <w:i/>
        </w:rPr>
        <w:t>Background</w:t>
      </w:r>
      <w:r w:rsidRPr="00CF3F9B">
        <w:rPr>
          <w:rFonts w:ascii="Times New Roman" w:hAnsi="Times New Roman"/>
        </w:rPr>
        <w:t xml:space="preserve">.  The </w:t>
      </w:r>
      <w:r w:rsidRPr="00CF3F9B">
        <w:rPr>
          <w:rFonts w:ascii="Times New Roman" w:hAnsi="Times New Roman"/>
          <w:i/>
        </w:rPr>
        <w:t>USF/ICC Transformation Order</w:t>
      </w:r>
      <w:r w:rsidRPr="00CF3F9B">
        <w:rPr>
          <w:rFonts w:ascii="Times New Roman" w:hAnsi="Times New Roman"/>
        </w:rPr>
        <w:t xml:space="preserve"> adopted, among other things, an ICC reform timeline including rules that require carriers to adjust, over a period of years, many of their legacy</w:t>
      </w:r>
      <w:r w:rsidR="00F406A6" w:rsidRPr="00CF3F9B">
        <w:rPr>
          <w:rFonts w:ascii="Times New Roman" w:hAnsi="Times New Roman"/>
        </w:rPr>
        <w:t xml:space="preserve"> </w:t>
      </w:r>
      <w:r w:rsidRPr="00CF3F9B">
        <w:rPr>
          <w:rFonts w:ascii="Times New Roman" w:hAnsi="Times New Roman"/>
        </w:rPr>
        <w:t>interstate and intrastate switched access charges</w:t>
      </w:r>
      <w:r w:rsidRPr="00CF3F9B">
        <w:rPr>
          <w:rStyle w:val="FootnoteReference"/>
        </w:rPr>
        <w:footnoteReference w:id="13"/>
      </w:r>
      <w:r w:rsidRPr="00CF3F9B">
        <w:rPr>
          <w:rFonts w:ascii="Times New Roman" w:hAnsi="Times New Roman"/>
        </w:rPr>
        <w:t xml:space="preserve"> effective on July 1 of each of those years, with the ultimate goal of transitioning to a bill-and-keep regime.</w:t>
      </w:r>
      <w:r w:rsidRPr="00CF3F9B">
        <w:rPr>
          <w:rStyle w:val="FootnoteReference"/>
        </w:rPr>
        <w:footnoteReference w:id="14"/>
      </w:r>
      <w:r w:rsidRPr="00CF3F9B">
        <w:rPr>
          <w:rFonts w:ascii="Times New Roman" w:hAnsi="Times New Roman"/>
        </w:rPr>
        <w:t xml:space="preserve">  The Commission also adopted a recovery mechanism to mitigate the impact of reduced ICC revenues on carriers and to facilitate continued investment in broadband infrastructure, while providing greater certainty and predictability going forward than the </w:t>
      </w:r>
      <w:r w:rsidRPr="00CF3F9B">
        <w:rPr>
          <w:rFonts w:ascii="Times New Roman" w:hAnsi="Times New Roman"/>
          <w:i/>
        </w:rPr>
        <w:t>status quo</w:t>
      </w:r>
      <w:r w:rsidRPr="00CF3F9B">
        <w:rPr>
          <w:rFonts w:ascii="Times New Roman" w:hAnsi="Times New Roman"/>
        </w:rPr>
        <w:t>.</w:t>
      </w:r>
      <w:r w:rsidRPr="00CF3F9B">
        <w:rPr>
          <w:rStyle w:val="FootnoteReference"/>
        </w:rPr>
        <w:footnoteReference w:id="15"/>
      </w:r>
      <w:r w:rsidRPr="00CF3F9B">
        <w:rPr>
          <w:rFonts w:ascii="Times New Roman" w:hAnsi="Times New Roman"/>
        </w:rPr>
        <w:t xml:space="preserve">  </w:t>
      </w:r>
      <w:r w:rsidR="00AD08DC" w:rsidRPr="00CF3F9B">
        <w:rPr>
          <w:rFonts w:ascii="Times New Roman" w:hAnsi="Times New Roman"/>
        </w:rPr>
        <w:t xml:space="preserve">The </w:t>
      </w:r>
      <w:r w:rsidRPr="00CF3F9B">
        <w:rPr>
          <w:rFonts w:ascii="Times New Roman" w:hAnsi="Times New Roman"/>
        </w:rPr>
        <w:t xml:space="preserve">recovery mechanism allows </w:t>
      </w:r>
      <w:r w:rsidR="000A2BE3" w:rsidRPr="00CF3F9B">
        <w:rPr>
          <w:rFonts w:ascii="Times New Roman" w:hAnsi="Times New Roman"/>
        </w:rPr>
        <w:t xml:space="preserve">incumbent </w:t>
      </w:r>
      <w:r w:rsidRPr="00CF3F9B">
        <w:rPr>
          <w:rFonts w:ascii="Times New Roman" w:hAnsi="Times New Roman"/>
        </w:rPr>
        <w:t xml:space="preserve">local exchange carriers (LECs) to recover ICC revenues reduced due to the ICC reforms, up to a defined baseline, </w:t>
      </w:r>
      <w:r w:rsidR="00322B1F" w:rsidRPr="00CF3F9B">
        <w:rPr>
          <w:rFonts w:ascii="Times New Roman" w:hAnsi="Times New Roman"/>
        </w:rPr>
        <w:t>which is defined as “Eligible Recovery</w:t>
      </w:r>
      <w:r w:rsidRPr="00CF3F9B">
        <w:rPr>
          <w:rFonts w:ascii="Times New Roman" w:hAnsi="Times New Roman"/>
        </w:rPr>
        <w:t>.</w:t>
      </w:r>
      <w:r w:rsidR="00322B1F" w:rsidRPr="00CF3F9B">
        <w:rPr>
          <w:rFonts w:ascii="Times New Roman" w:hAnsi="Times New Roman"/>
        </w:rPr>
        <w:t>”</w:t>
      </w:r>
      <w:r w:rsidRPr="00CF3F9B">
        <w:rPr>
          <w:rStyle w:val="FootnoteReference"/>
        </w:rPr>
        <w:footnoteReference w:id="16"/>
      </w:r>
      <w:r w:rsidRPr="00CF3F9B">
        <w:rPr>
          <w:rFonts w:ascii="Times New Roman" w:hAnsi="Times New Roman"/>
        </w:rPr>
        <w:t xml:space="preserve">  </w:t>
      </w:r>
      <w:r w:rsidR="00322B1F" w:rsidRPr="00CF3F9B">
        <w:rPr>
          <w:rFonts w:ascii="Times New Roman" w:hAnsi="Times New Roman"/>
        </w:rPr>
        <w:t>A c</w:t>
      </w:r>
      <w:r w:rsidRPr="00CF3F9B">
        <w:rPr>
          <w:rFonts w:ascii="Times New Roman" w:hAnsi="Times New Roman"/>
        </w:rPr>
        <w:t xml:space="preserve">arrier may recover a limited portion of </w:t>
      </w:r>
      <w:r w:rsidR="00322B1F" w:rsidRPr="00CF3F9B">
        <w:rPr>
          <w:rFonts w:ascii="Times New Roman" w:hAnsi="Times New Roman"/>
        </w:rPr>
        <w:t>its</w:t>
      </w:r>
      <w:r w:rsidRPr="00CF3F9B">
        <w:rPr>
          <w:rFonts w:ascii="Times New Roman" w:hAnsi="Times New Roman"/>
        </w:rPr>
        <w:t xml:space="preserve"> Eligible Recovery from </w:t>
      </w:r>
      <w:r w:rsidR="00322B1F" w:rsidRPr="00CF3F9B">
        <w:rPr>
          <w:rFonts w:ascii="Times New Roman" w:hAnsi="Times New Roman"/>
        </w:rPr>
        <w:t>its</w:t>
      </w:r>
      <w:r w:rsidRPr="00CF3F9B">
        <w:rPr>
          <w:rFonts w:ascii="Times New Roman" w:hAnsi="Times New Roman"/>
        </w:rPr>
        <w:t xml:space="preserve"> end</w:t>
      </w:r>
      <w:r w:rsidR="00465D19" w:rsidRPr="00CF3F9B">
        <w:rPr>
          <w:rFonts w:ascii="Times New Roman" w:hAnsi="Times New Roman"/>
        </w:rPr>
        <w:t xml:space="preserve"> </w:t>
      </w:r>
      <w:r w:rsidRPr="00CF3F9B">
        <w:rPr>
          <w:rFonts w:ascii="Times New Roman" w:hAnsi="Times New Roman"/>
        </w:rPr>
        <w:t>users through a fixed monthly charge called the Access Recovery Charge (ARC)</w:t>
      </w:r>
      <w:r w:rsidR="00CC3CEA" w:rsidRPr="00CF3F9B">
        <w:rPr>
          <w:rFonts w:ascii="Times New Roman" w:hAnsi="Times New Roman"/>
        </w:rPr>
        <w:t>,</w:t>
      </w:r>
      <w:r w:rsidRPr="00CF3F9B">
        <w:rPr>
          <w:rFonts w:ascii="Times New Roman" w:hAnsi="Times New Roman"/>
        </w:rPr>
        <w:t xml:space="preserve"> and the remainder of </w:t>
      </w:r>
      <w:r w:rsidR="00322B1F" w:rsidRPr="00CF3F9B">
        <w:rPr>
          <w:rFonts w:ascii="Times New Roman" w:hAnsi="Times New Roman"/>
        </w:rPr>
        <w:t>its</w:t>
      </w:r>
      <w:r w:rsidRPr="00CF3F9B">
        <w:rPr>
          <w:rFonts w:ascii="Times New Roman" w:hAnsi="Times New Roman"/>
        </w:rPr>
        <w:t xml:space="preserve"> Eligible Recovery</w:t>
      </w:r>
      <w:r w:rsidR="00322B1F" w:rsidRPr="00CF3F9B">
        <w:rPr>
          <w:rFonts w:ascii="Times New Roman" w:hAnsi="Times New Roman"/>
        </w:rPr>
        <w:t>, if it so elects,</w:t>
      </w:r>
      <w:r w:rsidRPr="00CF3F9B">
        <w:rPr>
          <w:rFonts w:ascii="Times New Roman" w:hAnsi="Times New Roman"/>
        </w:rPr>
        <w:t xml:space="preserve"> from Connect America Fund ICC support.</w:t>
      </w:r>
      <w:r w:rsidRPr="00CF3F9B">
        <w:rPr>
          <w:rStyle w:val="FootnoteReference"/>
        </w:rPr>
        <w:footnoteReference w:id="17"/>
      </w:r>
      <w:r w:rsidRPr="00CF3F9B">
        <w:rPr>
          <w:rFonts w:ascii="Times New Roman" w:hAnsi="Times New Roman"/>
        </w:rPr>
        <w:t xml:space="preserve"> </w:t>
      </w:r>
    </w:p>
    <w:p w:rsidR="003127AA" w:rsidRPr="00CF3F9B" w:rsidRDefault="003127AA" w:rsidP="00897042">
      <w:pPr>
        <w:pStyle w:val="ParaNum"/>
        <w:spacing w:after="220" w:line="240" w:lineRule="auto"/>
        <w:rPr>
          <w:rFonts w:ascii="Times New Roman" w:hAnsi="Times New Roman"/>
        </w:rPr>
      </w:pPr>
      <w:r w:rsidRPr="00CF3F9B">
        <w:rPr>
          <w:rFonts w:ascii="Times New Roman" w:hAnsi="Times New Roman"/>
        </w:rPr>
        <w:t xml:space="preserve">The </w:t>
      </w:r>
      <w:r w:rsidRPr="00CF3F9B">
        <w:rPr>
          <w:rFonts w:ascii="Times New Roman" w:hAnsi="Times New Roman"/>
          <w:i/>
        </w:rPr>
        <w:t>USF/ICC Transformation Order</w:t>
      </w:r>
      <w:r w:rsidRPr="00CF3F9B">
        <w:rPr>
          <w:rFonts w:ascii="Times New Roman" w:hAnsi="Times New Roman"/>
        </w:rPr>
        <w:t xml:space="preserve"> also included new certification and reporting requirements for carriers that are eligible for and elect to receive Connect America Fund ICC support.</w:t>
      </w:r>
      <w:r w:rsidRPr="00CF3F9B">
        <w:rPr>
          <w:rStyle w:val="FootnoteReference"/>
        </w:rPr>
        <w:footnoteReference w:id="18"/>
      </w:r>
      <w:r w:rsidRPr="00CF3F9B">
        <w:rPr>
          <w:rFonts w:ascii="Times New Roman" w:hAnsi="Times New Roman"/>
        </w:rPr>
        <w:t xml:space="preserve">  In particular, sections 51.915(f)(6) and 51.917(f)(3) require price cap and rate-of-return carriers, respectively, that elect to receive Connect America Fund ICC support to certify to the Commission with their 2012 annual access tariff filings, and on April 1 in each subsequent year, that they properly calculated their Eligible Recovery and ARC rates in order to be eligible to receive Connect America Fund ICC support.</w:t>
      </w:r>
      <w:r w:rsidRPr="00CF3F9B">
        <w:rPr>
          <w:rStyle w:val="FootnoteReference"/>
        </w:rPr>
        <w:footnoteReference w:id="19"/>
      </w:r>
      <w:r w:rsidRPr="00CF3F9B">
        <w:rPr>
          <w:rFonts w:ascii="Times New Roman" w:hAnsi="Times New Roman"/>
        </w:rPr>
        <w:t xml:space="preserve">  Additionally, sections 54.304(c)(1) and (d)(1) require eligible price cap and rate-of-return carriers that elect to receive Connect America Fund ICC support, pursuant to sections 51.915 and 51.917, to file data with the Universal Service Administrative Company (USAC), the Commission, and relevant state commissions</w:t>
      </w:r>
      <w:r w:rsidR="00140DAD" w:rsidRPr="00CF3F9B">
        <w:rPr>
          <w:rFonts w:ascii="Times New Roman" w:hAnsi="Times New Roman"/>
        </w:rPr>
        <w:t xml:space="preserve"> by</w:t>
      </w:r>
      <w:r w:rsidRPr="00CF3F9B">
        <w:rPr>
          <w:rFonts w:ascii="Times New Roman" w:hAnsi="Times New Roman"/>
        </w:rPr>
        <w:t xml:space="preserve"> no later than June 30, 2012, and by March 31 in subsequent years,</w:t>
      </w:r>
      <w:r w:rsidRPr="00CF3F9B">
        <w:rPr>
          <w:rFonts w:ascii="Times New Roman" w:hAnsi="Times New Roman"/>
          <w:vertAlign w:val="superscript"/>
        </w:rPr>
        <w:t xml:space="preserve"> </w:t>
      </w:r>
      <w:r w:rsidRPr="00CF3F9B">
        <w:rPr>
          <w:rFonts w:ascii="Times New Roman" w:hAnsi="Times New Roman"/>
        </w:rPr>
        <w:t>establishing the carrier’s projected funding eligibility amounts, including any true-ups, for the upcoming funding period.</w:t>
      </w:r>
      <w:r w:rsidRPr="00CF3F9B">
        <w:rPr>
          <w:rStyle w:val="FootnoteReference"/>
        </w:rPr>
        <w:footnoteReference w:id="20"/>
      </w:r>
      <w:r w:rsidRPr="00CF3F9B">
        <w:rPr>
          <w:rFonts w:ascii="Times New Roman" w:hAnsi="Times New Roman"/>
        </w:rPr>
        <w:t xml:space="preserve"> </w:t>
      </w:r>
    </w:p>
    <w:p w:rsidR="003127AA" w:rsidRPr="00CF3F9B" w:rsidRDefault="003127AA" w:rsidP="00897042">
      <w:pPr>
        <w:pStyle w:val="ParaNum"/>
        <w:spacing w:after="220" w:line="240" w:lineRule="auto"/>
        <w:rPr>
          <w:rFonts w:ascii="Times New Roman" w:hAnsi="Times New Roman"/>
        </w:rPr>
      </w:pPr>
      <w:r w:rsidRPr="00CF3F9B">
        <w:rPr>
          <w:rFonts w:ascii="Times New Roman" w:hAnsi="Times New Roman"/>
        </w:rPr>
        <w:t xml:space="preserve">In </w:t>
      </w:r>
      <w:r w:rsidRPr="00CF3F9B">
        <w:rPr>
          <w:rFonts w:ascii="Times New Roman" w:hAnsi="Times New Roman"/>
          <w:i/>
        </w:rPr>
        <w:t>ex parte</w:t>
      </w:r>
      <w:r w:rsidRPr="00CF3F9B">
        <w:rPr>
          <w:rFonts w:ascii="Times New Roman" w:hAnsi="Times New Roman"/>
        </w:rPr>
        <w:t xml:space="preserve"> filings, NECA and the United States Telecom Association (USTelecom) requested modification of certain Commission rules to correct inconsistencies among the Commission’s Connect America Fund ICC </w:t>
      </w:r>
      <w:r w:rsidR="00140DAD" w:rsidRPr="00CF3F9B">
        <w:rPr>
          <w:rFonts w:ascii="Times New Roman" w:hAnsi="Times New Roman"/>
        </w:rPr>
        <w:t xml:space="preserve">support </w:t>
      </w:r>
      <w:r w:rsidRPr="00CF3F9B">
        <w:rPr>
          <w:rFonts w:ascii="Times New Roman" w:hAnsi="Times New Roman"/>
        </w:rPr>
        <w:t>eligibility certification deadlines.</w:t>
      </w:r>
      <w:r w:rsidRPr="00CF3F9B">
        <w:rPr>
          <w:rStyle w:val="FootnoteReference"/>
        </w:rPr>
        <w:footnoteReference w:id="21"/>
      </w:r>
      <w:r w:rsidRPr="00CF3F9B">
        <w:rPr>
          <w:rFonts w:ascii="Times New Roman" w:hAnsi="Times New Roman"/>
        </w:rPr>
        <w:t xml:space="preserve">  Specifically, NECA asked the Bureau to change the deadline contained in section 51.917(f)(3) so that rate-of-return carriers are required to file their annual Connect America Fund ICC support eligibility certifications with their annual access tariff filings.</w:t>
      </w:r>
      <w:r w:rsidRPr="00CF3F9B">
        <w:rPr>
          <w:rStyle w:val="FootnoteReference"/>
        </w:rPr>
        <w:footnoteReference w:id="22"/>
      </w:r>
      <w:r w:rsidRPr="00CF3F9B">
        <w:rPr>
          <w:rFonts w:ascii="Times New Roman" w:hAnsi="Times New Roman"/>
        </w:rPr>
        <w:t xml:space="preserve">  NECA states that this change is necessary because the April 1 deadline appears to be “inconsistent with rules governing submission of data forecasts and calculation of Eligible Recovery and ARC rates associated with the normal annual access tariff filing process for rate-of-return carriers.”</w:t>
      </w:r>
      <w:r w:rsidRPr="00CF3F9B">
        <w:rPr>
          <w:rStyle w:val="FootnoteReference"/>
        </w:rPr>
        <w:footnoteReference w:id="23"/>
      </w:r>
      <w:r w:rsidRPr="00CF3F9B">
        <w:rPr>
          <w:rFonts w:ascii="Times New Roman" w:hAnsi="Times New Roman"/>
        </w:rPr>
        <w:t xml:space="preserve">  NECA argues that data used for calculating ARC rates and monitoring purposes would likely change between the April 1 Connect America Fund ICC </w:t>
      </w:r>
      <w:r w:rsidR="00140DAD" w:rsidRPr="00CF3F9B">
        <w:rPr>
          <w:rFonts w:ascii="Times New Roman" w:hAnsi="Times New Roman"/>
        </w:rPr>
        <w:t xml:space="preserve">support eligibility </w:t>
      </w:r>
      <w:r w:rsidRPr="00CF3F9B">
        <w:rPr>
          <w:rFonts w:ascii="Times New Roman" w:hAnsi="Times New Roman"/>
        </w:rPr>
        <w:t>certification deadline and mid-June, when annual access tariffs are typically filed, and that such changes would “require numerous updates and revisions to data submitted previously by carriers, potentially requiring corrections and re-certification.”</w:t>
      </w:r>
      <w:r w:rsidRPr="00CF3F9B">
        <w:rPr>
          <w:rStyle w:val="FootnoteReference"/>
        </w:rPr>
        <w:footnoteReference w:id="24"/>
      </w:r>
      <w:r w:rsidRPr="00CF3F9B">
        <w:rPr>
          <w:rFonts w:ascii="Times New Roman" w:hAnsi="Times New Roman"/>
        </w:rPr>
        <w:t xml:space="preserve">  USTelecom agrees and requests that “the modification to section 51.917(f)(3) requested by NECA for rate-of-return carriers also be made to section 51.915(f)(6)</w:t>
      </w:r>
      <w:r w:rsidR="005B7CCC" w:rsidRPr="00CF3F9B">
        <w:rPr>
          <w:rFonts w:ascii="Times New Roman" w:hAnsi="Times New Roman"/>
        </w:rPr>
        <w:t>,</w:t>
      </w:r>
      <w:r w:rsidRPr="00CF3F9B">
        <w:rPr>
          <w:rFonts w:ascii="Times New Roman" w:hAnsi="Times New Roman"/>
        </w:rPr>
        <w:t xml:space="preserve"> which applies to price cap carriers.”</w:t>
      </w:r>
      <w:r w:rsidRPr="00CF3F9B">
        <w:rPr>
          <w:rStyle w:val="FootnoteReference"/>
        </w:rPr>
        <w:footnoteReference w:id="25"/>
      </w:r>
      <w:r w:rsidRPr="00CF3F9B">
        <w:rPr>
          <w:rFonts w:ascii="Times New Roman" w:hAnsi="Times New Roman"/>
        </w:rPr>
        <w:t xml:space="preserve">    </w:t>
      </w:r>
    </w:p>
    <w:p w:rsidR="003127AA" w:rsidRPr="00CF3F9B" w:rsidRDefault="003127AA" w:rsidP="00897042">
      <w:pPr>
        <w:pStyle w:val="ParaNum"/>
        <w:spacing w:after="220" w:line="240" w:lineRule="auto"/>
        <w:rPr>
          <w:rFonts w:ascii="Times New Roman" w:hAnsi="Times New Roman"/>
        </w:rPr>
      </w:pPr>
      <w:r w:rsidRPr="00CF3F9B">
        <w:rPr>
          <w:rFonts w:ascii="Times New Roman" w:hAnsi="Times New Roman"/>
          <w:i/>
        </w:rPr>
        <w:t>Discussion</w:t>
      </w:r>
      <w:r w:rsidRPr="00CF3F9B">
        <w:rPr>
          <w:rFonts w:ascii="Times New Roman" w:hAnsi="Times New Roman"/>
        </w:rPr>
        <w:t xml:space="preserve">.  We agree with NECA and USTelecom that revising the Connect America Fund ICC </w:t>
      </w:r>
      <w:r w:rsidR="00140DAD" w:rsidRPr="00CF3F9B">
        <w:rPr>
          <w:rFonts w:ascii="Times New Roman" w:hAnsi="Times New Roman"/>
        </w:rPr>
        <w:t xml:space="preserve">support </w:t>
      </w:r>
      <w:r w:rsidRPr="00CF3F9B">
        <w:rPr>
          <w:rFonts w:ascii="Times New Roman" w:hAnsi="Times New Roman"/>
        </w:rPr>
        <w:t>eligibility certification deadlines to coincide with the annual interstate access tariff filing deadlines is appropriate.  Currently, the rules contain three separate filing deadlines that essentially require carriers to develop the same underlying data: their Eligible Recovery calculation, their expected ARC rate levels, and their expected Connect America Fund ICC support amounts.</w:t>
      </w:r>
      <w:r w:rsidRPr="00CF3F9B">
        <w:rPr>
          <w:rStyle w:val="FootnoteReference"/>
        </w:rPr>
        <w:footnoteReference w:id="26"/>
      </w:r>
      <w:r w:rsidRPr="00CF3F9B">
        <w:rPr>
          <w:rFonts w:ascii="Times New Roman" w:hAnsi="Times New Roman"/>
        </w:rPr>
        <w:t xml:space="preserve">  We believe that harmonizing the certification deadlines will remove unnecessary administrative burdens and will also remove potential conflicts within the rules caused by inconsistent reporting deadlines adopted in the </w:t>
      </w:r>
      <w:r w:rsidRPr="00CF3F9B">
        <w:rPr>
          <w:rFonts w:ascii="Times New Roman" w:hAnsi="Times New Roman"/>
          <w:i/>
        </w:rPr>
        <w:t>USF/ICC Transformation Order</w:t>
      </w:r>
      <w:r w:rsidRPr="00CF3F9B">
        <w:rPr>
          <w:rFonts w:ascii="Times New Roman" w:hAnsi="Times New Roman"/>
        </w:rPr>
        <w:t xml:space="preserve">.  Accordingly, </w:t>
      </w:r>
      <w:r w:rsidR="00140DAD" w:rsidRPr="00CF3F9B">
        <w:rPr>
          <w:rFonts w:ascii="Times New Roman" w:hAnsi="Times New Roman"/>
        </w:rPr>
        <w:t>we revise</w:t>
      </w:r>
      <w:r w:rsidRPr="00CF3F9B">
        <w:rPr>
          <w:rFonts w:ascii="Times New Roman" w:hAnsi="Times New Roman"/>
        </w:rPr>
        <w:t xml:space="preserve"> the Connect America Fund ICC certification filing deadlines contained in sections 51.915(f)(6) and 51.917(f)(3) so that they coincide with the annual interstate access tariff filing dates.     </w:t>
      </w:r>
    </w:p>
    <w:p w:rsidR="003127AA" w:rsidRPr="00CF3F9B" w:rsidRDefault="003127AA" w:rsidP="00897042">
      <w:pPr>
        <w:pStyle w:val="ParaNum"/>
        <w:spacing w:after="220" w:line="240" w:lineRule="auto"/>
        <w:rPr>
          <w:rFonts w:ascii="Times New Roman" w:hAnsi="Times New Roman"/>
        </w:rPr>
      </w:pPr>
      <w:r w:rsidRPr="00CF3F9B">
        <w:rPr>
          <w:rFonts w:ascii="Times New Roman" w:hAnsi="Times New Roman"/>
        </w:rPr>
        <w:t xml:space="preserve">In addition to revising the filing deadlines as requested by NECA and USTelecom, we also, on our own motion, make a similar revision to a Connect America Fund ICC </w:t>
      </w:r>
      <w:r w:rsidR="00140DAD" w:rsidRPr="00CF3F9B">
        <w:rPr>
          <w:rFonts w:ascii="Times New Roman" w:hAnsi="Times New Roman"/>
        </w:rPr>
        <w:t xml:space="preserve">support eligibility </w:t>
      </w:r>
      <w:r w:rsidRPr="00CF3F9B">
        <w:rPr>
          <w:rFonts w:ascii="Times New Roman" w:hAnsi="Times New Roman"/>
        </w:rPr>
        <w:t>data filing deadline contained in sections 54.304(c)(1) and (d)(1).  These rule sections require price cap and rate-of-return carriers seeking Connect America Fund ICC support pursuant to sections 51.915 and 51.917, respectively, to file data with USAC, the Commission, and relevant state commissions establishing the amount of the</w:t>
      </w:r>
      <w:r w:rsidR="003017C2">
        <w:rPr>
          <w:rFonts w:ascii="Times New Roman" w:hAnsi="Times New Roman"/>
        </w:rPr>
        <w:t>ir</w:t>
      </w:r>
      <w:r w:rsidRPr="00CF3F9B">
        <w:rPr>
          <w:rFonts w:ascii="Times New Roman" w:hAnsi="Times New Roman"/>
        </w:rPr>
        <w:t xml:space="preserve"> Connect America Fund ICC support for the upcoming funding year by no later than March 31 of each year.</w:t>
      </w:r>
      <w:r w:rsidRPr="00CF3F9B">
        <w:rPr>
          <w:rStyle w:val="FootnoteReference"/>
        </w:rPr>
        <w:footnoteReference w:id="27"/>
      </w:r>
      <w:r w:rsidRPr="00CF3F9B">
        <w:rPr>
          <w:rFonts w:ascii="Times New Roman" w:hAnsi="Times New Roman"/>
        </w:rPr>
        <w:t xml:space="preserve">  For the same reasons discussed above, the March 31 deadline is inconsistent with rules requiring carriers to submit Eligible Recovery calculations and ARC rates in mid-June with their annual access tariff filing.  Accordingly, we revise the deadlines contained in sections 54.304(c)(1) and (d)(1) to coincide with the annual interstate access tariff filing dates.</w:t>
      </w:r>
      <w:r w:rsidRPr="00CF3F9B">
        <w:rPr>
          <w:rStyle w:val="FootnoteReference"/>
        </w:rPr>
        <w:footnoteReference w:id="28"/>
      </w:r>
    </w:p>
    <w:p w:rsidR="003127AA" w:rsidRPr="00CF3F9B" w:rsidRDefault="003127AA" w:rsidP="00897042">
      <w:pPr>
        <w:pStyle w:val="ParaNum"/>
        <w:spacing w:after="220" w:line="240" w:lineRule="auto"/>
        <w:rPr>
          <w:rFonts w:ascii="Times New Roman" w:hAnsi="Times New Roman"/>
        </w:rPr>
      </w:pPr>
      <w:r w:rsidRPr="00CF3F9B">
        <w:rPr>
          <w:rFonts w:ascii="Times New Roman" w:hAnsi="Times New Roman"/>
        </w:rPr>
        <w:t>The rule revisions adopted herein revise Connect America Fund ICC</w:t>
      </w:r>
      <w:r w:rsidR="00140DAD" w:rsidRPr="00CF3F9B">
        <w:rPr>
          <w:rFonts w:ascii="Times New Roman" w:hAnsi="Times New Roman"/>
        </w:rPr>
        <w:t xml:space="preserve"> support eligibility</w:t>
      </w:r>
      <w:r w:rsidRPr="00CF3F9B">
        <w:rPr>
          <w:rFonts w:ascii="Times New Roman" w:hAnsi="Times New Roman"/>
        </w:rPr>
        <w:t xml:space="preserve"> filing requirements so that they coincide with carriers’ annual access charge tariff filings.</w:t>
      </w:r>
      <w:r w:rsidRPr="00CF3F9B">
        <w:rPr>
          <w:rStyle w:val="FootnoteReference"/>
        </w:rPr>
        <w:footnoteReference w:id="29"/>
      </w:r>
      <w:r w:rsidRPr="00CF3F9B">
        <w:rPr>
          <w:rFonts w:ascii="Times New Roman" w:hAnsi="Times New Roman"/>
        </w:rPr>
        <w:t xml:space="preserve">  In the event that the rule revisions adopted herein are not effective before March 31, 2013, we find that good cause exists</w:t>
      </w:r>
      <w:r w:rsidRPr="00CF3F9B">
        <w:rPr>
          <w:rStyle w:val="FootnoteReference"/>
        </w:rPr>
        <w:footnoteReference w:id="30"/>
      </w:r>
      <w:r w:rsidRPr="00CF3F9B">
        <w:rPr>
          <w:rFonts w:ascii="Times New Roman" w:hAnsi="Times New Roman"/>
        </w:rPr>
        <w:t xml:space="preserve"> to waive applicable </w:t>
      </w:r>
      <w:r w:rsidR="001774A2" w:rsidRPr="00CF3F9B">
        <w:rPr>
          <w:rFonts w:ascii="Times New Roman" w:hAnsi="Times New Roman"/>
        </w:rPr>
        <w:t xml:space="preserve">2013 </w:t>
      </w:r>
      <w:r w:rsidRPr="00CF3F9B">
        <w:rPr>
          <w:rFonts w:ascii="Times New Roman" w:hAnsi="Times New Roman"/>
        </w:rPr>
        <w:t>Part 51 and 54 filing deadlines</w:t>
      </w:r>
      <w:r w:rsidRPr="00CF3F9B">
        <w:rPr>
          <w:rStyle w:val="FootnoteReference"/>
        </w:rPr>
        <w:footnoteReference w:id="31"/>
      </w:r>
      <w:r w:rsidRPr="00CF3F9B">
        <w:rPr>
          <w:rFonts w:ascii="Times New Roman" w:hAnsi="Times New Roman"/>
        </w:rPr>
        <w:t xml:space="preserve"> to the extent described herein to eliminate the administrative burdens that would result from inconsistent reporting deadlines that the rule revisions we adopt are intended to remedy.  Accordingly, this </w:t>
      </w:r>
      <w:r w:rsidR="001774A2" w:rsidRPr="00CF3F9B">
        <w:rPr>
          <w:rFonts w:ascii="Times New Roman" w:hAnsi="Times New Roman"/>
        </w:rPr>
        <w:t xml:space="preserve">limited </w:t>
      </w:r>
      <w:r w:rsidRPr="00CF3F9B">
        <w:rPr>
          <w:rFonts w:ascii="Times New Roman" w:hAnsi="Times New Roman"/>
        </w:rPr>
        <w:t>waiver, if needed, defers price cap and rate-of-return carriers</w:t>
      </w:r>
      <w:r w:rsidR="002C0590" w:rsidRPr="00CF3F9B">
        <w:rPr>
          <w:rFonts w:ascii="Times New Roman" w:hAnsi="Times New Roman"/>
        </w:rPr>
        <w:t>’</w:t>
      </w:r>
      <w:r w:rsidRPr="00CF3F9B">
        <w:rPr>
          <w:rFonts w:ascii="Times New Roman" w:hAnsi="Times New Roman"/>
        </w:rPr>
        <w:t xml:space="preserve"> March 31, 2013 and April 1, 2013 Connect America Fund ICC </w:t>
      </w:r>
      <w:r w:rsidR="00140DAD" w:rsidRPr="00CF3F9B">
        <w:rPr>
          <w:rFonts w:ascii="Times New Roman" w:hAnsi="Times New Roman"/>
        </w:rPr>
        <w:t xml:space="preserve">support eligibility </w:t>
      </w:r>
      <w:r w:rsidRPr="00CF3F9B">
        <w:rPr>
          <w:rFonts w:ascii="Times New Roman" w:hAnsi="Times New Roman"/>
        </w:rPr>
        <w:t xml:space="preserve">data filing and certification obligations to the date </w:t>
      </w:r>
      <w:r w:rsidR="00CC3CEA" w:rsidRPr="00CF3F9B">
        <w:rPr>
          <w:rFonts w:ascii="Times New Roman" w:hAnsi="Times New Roman"/>
        </w:rPr>
        <w:t xml:space="preserve">on which </w:t>
      </w:r>
      <w:r w:rsidRPr="00CF3F9B">
        <w:rPr>
          <w:rFonts w:ascii="Times New Roman" w:hAnsi="Times New Roman"/>
        </w:rPr>
        <w:t>the 2013 annual access filings are required.</w:t>
      </w:r>
      <w:r w:rsidRPr="00CF3F9B">
        <w:rPr>
          <w:rStyle w:val="FootnoteReference"/>
        </w:rPr>
        <w:footnoteReference w:id="32"/>
      </w:r>
      <w:r w:rsidRPr="00CF3F9B">
        <w:rPr>
          <w:rFonts w:ascii="Times New Roman" w:hAnsi="Times New Roman"/>
        </w:rPr>
        <w:t xml:space="preserve">  </w:t>
      </w:r>
    </w:p>
    <w:p w:rsidR="003127AA" w:rsidRPr="00CF3F9B" w:rsidRDefault="003127AA" w:rsidP="00897042">
      <w:pPr>
        <w:pStyle w:val="Heading1"/>
        <w:numPr>
          <w:ilvl w:val="0"/>
          <w:numId w:val="33"/>
        </w:numPr>
        <w:spacing w:after="220" w:line="240" w:lineRule="auto"/>
        <w:rPr>
          <w:rFonts w:ascii="Times New Roman" w:hAnsi="Times New Roman"/>
        </w:rPr>
      </w:pPr>
      <w:bookmarkStart w:id="5" w:name="_Toc350498398"/>
      <w:r w:rsidRPr="00CF3F9B">
        <w:rPr>
          <w:rFonts w:ascii="Times New Roman" w:hAnsi="Times New Roman"/>
        </w:rPr>
        <w:t>neca pooling switched access rate CAP adjustments</w:t>
      </w:r>
      <w:bookmarkEnd w:id="5"/>
    </w:p>
    <w:p w:rsidR="003127AA" w:rsidRPr="00CF3F9B" w:rsidRDefault="003127AA" w:rsidP="00897042">
      <w:pPr>
        <w:pStyle w:val="ParaNum"/>
        <w:spacing w:after="220" w:line="240" w:lineRule="auto"/>
        <w:rPr>
          <w:rFonts w:ascii="Times New Roman" w:hAnsi="Times New Roman"/>
        </w:rPr>
      </w:pPr>
      <w:r w:rsidRPr="00CF3F9B">
        <w:rPr>
          <w:rFonts w:ascii="Times New Roman" w:hAnsi="Times New Roman"/>
          <w:i/>
        </w:rPr>
        <w:t>Background</w:t>
      </w:r>
      <w:r w:rsidRPr="00CF3F9B">
        <w:rPr>
          <w:rFonts w:ascii="Times New Roman" w:hAnsi="Times New Roman"/>
        </w:rPr>
        <w:t xml:space="preserve">.  As part of the transition to bill-and-keep, the rules adopted in the </w:t>
      </w:r>
      <w:r w:rsidRPr="00CF3F9B">
        <w:rPr>
          <w:rFonts w:ascii="Times New Roman" w:hAnsi="Times New Roman"/>
          <w:i/>
        </w:rPr>
        <w:t>USF/ICC Transformation Order</w:t>
      </w:r>
      <w:r w:rsidRPr="00CF3F9B">
        <w:rPr>
          <w:rFonts w:ascii="Times New Roman" w:hAnsi="Times New Roman"/>
        </w:rPr>
        <w:t xml:space="preserve"> capped interstate and certain intrastate switched access rates for rate-of-return carriers at the rates that were in effect on December 29, 2011.</w:t>
      </w:r>
      <w:r w:rsidRPr="00CF3F9B">
        <w:rPr>
          <w:rStyle w:val="FootnoteReference"/>
        </w:rPr>
        <w:footnoteReference w:id="33"/>
      </w:r>
      <w:r w:rsidRPr="00CF3F9B">
        <w:rPr>
          <w:rFonts w:ascii="Times New Roman" w:hAnsi="Times New Roman"/>
        </w:rPr>
        <w:t xml:space="preserve">  This approach </w:t>
      </w:r>
      <w:r w:rsidR="003017C2">
        <w:rPr>
          <w:rFonts w:ascii="Times New Roman" w:hAnsi="Times New Roman"/>
        </w:rPr>
        <w:t>removed</w:t>
      </w:r>
      <w:r w:rsidR="003017C2" w:rsidRPr="00CF3F9B">
        <w:rPr>
          <w:rFonts w:ascii="Times New Roman" w:hAnsi="Times New Roman"/>
        </w:rPr>
        <w:t xml:space="preserve"> </w:t>
      </w:r>
      <w:r w:rsidRPr="00CF3F9B">
        <w:rPr>
          <w:rFonts w:ascii="Times New Roman" w:hAnsi="Times New Roman"/>
        </w:rPr>
        <w:t xml:space="preserve">rate-of-return carriers </w:t>
      </w:r>
      <w:r w:rsidR="003017C2">
        <w:rPr>
          <w:rFonts w:ascii="Times New Roman" w:hAnsi="Times New Roman"/>
        </w:rPr>
        <w:t>from</w:t>
      </w:r>
      <w:r w:rsidRPr="00CF3F9B">
        <w:rPr>
          <w:rFonts w:ascii="Times New Roman" w:hAnsi="Times New Roman"/>
        </w:rPr>
        <w:t xml:space="preserve"> rate-of-return cost-based recovery for interstate switched access services.</w:t>
      </w:r>
      <w:r w:rsidRPr="00CF3F9B">
        <w:rPr>
          <w:rFonts w:ascii="Times New Roman" w:hAnsi="Times New Roman"/>
          <w:vertAlign w:val="superscript"/>
        </w:rPr>
        <w:footnoteReference w:id="34"/>
      </w:r>
      <w:r w:rsidRPr="00CF3F9B">
        <w:rPr>
          <w:rFonts w:ascii="Times New Roman" w:hAnsi="Times New Roman"/>
        </w:rPr>
        <w:t xml:space="preserve">  However, to the extent </w:t>
      </w:r>
      <w:r w:rsidR="008D1F4E" w:rsidRPr="00CF3F9B">
        <w:rPr>
          <w:rFonts w:ascii="Times New Roman" w:hAnsi="Times New Roman"/>
        </w:rPr>
        <w:t xml:space="preserve">that </w:t>
      </w:r>
      <w:r w:rsidRPr="00CF3F9B">
        <w:rPr>
          <w:rFonts w:ascii="Times New Roman" w:hAnsi="Times New Roman"/>
        </w:rPr>
        <w:t xml:space="preserve">rate-of-return carriers offer services other than interstate switched access service, such as common line and special access services, </w:t>
      </w:r>
      <w:r w:rsidR="006B5B88" w:rsidRPr="00CF3F9B">
        <w:rPr>
          <w:rFonts w:ascii="Times New Roman" w:hAnsi="Times New Roman"/>
        </w:rPr>
        <w:t xml:space="preserve">carriers </w:t>
      </w:r>
      <w:r w:rsidRPr="00CF3F9B">
        <w:rPr>
          <w:rFonts w:ascii="Times New Roman" w:hAnsi="Times New Roman"/>
        </w:rPr>
        <w:t>remain subject to rate-of-return regulation</w:t>
      </w:r>
      <w:r w:rsidR="006B5B88" w:rsidRPr="00CF3F9B">
        <w:rPr>
          <w:rFonts w:ascii="Times New Roman" w:hAnsi="Times New Roman"/>
        </w:rPr>
        <w:t xml:space="preserve"> for those services</w:t>
      </w:r>
      <w:r w:rsidRPr="00CF3F9B">
        <w:rPr>
          <w:rFonts w:ascii="Times New Roman" w:hAnsi="Times New Roman"/>
        </w:rPr>
        <w:t xml:space="preserve">.  Rate-of-return carriers, thus, must continue to establish their revenue requirements and rates for those services remaining under rate-of-return regulation. </w:t>
      </w:r>
    </w:p>
    <w:p w:rsidR="003127AA" w:rsidRPr="00CF3F9B" w:rsidRDefault="003127AA" w:rsidP="00897042">
      <w:pPr>
        <w:pStyle w:val="ParaNum"/>
        <w:spacing w:after="220" w:line="240" w:lineRule="auto"/>
        <w:rPr>
          <w:rFonts w:ascii="Times New Roman" w:hAnsi="Times New Roman"/>
        </w:rPr>
      </w:pPr>
      <w:r w:rsidRPr="00CF3F9B">
        <w:rPr>
          <w:rFonts w:ascii="Times New Roman" w:hAnsi="Times New Roman"/>
        </w:rPr>
        <w:t xml:space="preserve">In the </w:t>
      </w:r>
      <w:r w:rsidRPr="00CF3F9B">
        <w:rPr>
          <w:rFonts w:ascii="Times New Roman" w:hAnsi="Times New Roman"/>
          <w:i/>
        </w:rPr>
        <w:t>USF/ICC Transformation Order</w:t>
      </w:r>
      <w:r w:rsidRPr="00CF3F9B">
        <w:rPr>
          <w:rFonts w:ascii="Times New Roman" w:hAnsi="Times New Roman"/>
        </w:rPr>
        <w:t>, the Commission established a non-revenue neutral recovery mechanism that replaced rate</w:t>
      </w:r>
      <w:r w:rsidR="006B5B88" w:rsidRPr="00CF3F9B">
        <w:rPr>
          <w:rFonts w:ascii="Times New Roman" w:hAnsi="Times New Roman"/>
        </w:rPr>
        <w:t>-</w:t>
      </w:r>
      <w:r w:rsidRPr="00CF3F9B">
        <w:rPr>
          <w:rFonts w:ascii="Times New Roman" w:hAnsi="Times New Roman"/>
        </w:rPr>
        <w:t>of</w:t>
      </w:r>
      <w:r w:rsidR="006B5B88" w:rsidRPr="00CF3F9B">
        <w:rPr>
          <w:rFonts w:ascii="Times New Roman" w:hAnsi="Times New Roman"/>
        </w:rPr>
        <w:t>-</w:t>
      </w:r>
      <w:r w:rsidRPr="00CF3F9B">
        <w:rPr>
          <w:rFonts w:ascii="Times New Roman" w:hAnsi="Times New Roman"/>
        </w:rPr>
        <w:t xml:space="preserve">return cost-based recovery for </w:t>
      </w:r>
      <w:r w:rsidR="00C93D13" w:rsidRPr="00CF3F9B">
        <w:rPr>
          <w:rFonts w:ascii="Times New Roman" w:hAnsi="Times New Roman"/>
        </w:rPr>
        <w:t xml:space="preserve">interstate </w:t>
      </w:r>
      <w:r w:rsidRPr="00CF3F9B">
        <w:rPr>
          <w:rFonts w:ascii="Times New Roman" w:hAnsi="Times New Roman"/>
        </w:rPr>
        <w:t>switched access services provided by rate-of-return carriers.</w:t>
      </w:r>
      <w:r w:rsidRPr="00CF3F9B">
        <w:rPr>
          <w:rStyle w:val="FootnoteReference"/>
        </w:rPr>
        <w:footnoteReference w:id="35"/>
      </w:r>
      <w:r w:rsidRPr="00CF3F9B">
        <w:rPr>
          <w:rFonts w:ascii="Times New Roman" w:hAnsi="Times New Roman"/>
        </w:rPr>
        <w:t xml:space="preserve">  </w:t>
      </w:r>
      <w:r w:rsidR="001D5D82" w:rsidRPr="00CF3F9B">
        <w:rPr>
          <w:rFonts w:ascii="Times New Roman" w:hAnsi="Times New Roman"/>
        </w:rPr>
        <w:t xml:space="preserve">The </w:t>
      </w:r>
      <w:r w:rsidRPr="00CF3F9B">
        <w:rPr>
          <w:rFonts w:ascii="Times New Roman" w:hAnsi="Times New Roman"/>
        </w:rPr>
        <w:t xml:space="preserve">recovery mechanism carefully balanced </w:t>
      </w:r>
      <w:r w:rsidR="001774A2" w:rsidRPr="00CF3F9B">
        <w:rPr>
          <w:rFonts w:ascii="Times New Roman" w:hAnsi="Times New Roman"/>
        </w:rPr>
        <w:t>carrier</w:t>
      </w:r>
      <w:r w:rsidR="001D5D82" w:rsidRPr="00CF3F9B">
        <w:rPr>
          <w:rFonts w:ascii="Times New Roman" w:hAnsi="Times New Roman"/>
        </w:rPr>
        <w:t xml:space="preserve"> </w:t>
      </w:r>
      <w:r w:rsidRPr="00CF3F9B">
        <w:rPr>
          <w:rFonts w:ascii="Times New Roman" w:hAnsi="Times New Roman"/>
        </w:rPr>
        <w:t xml:space="preserve">recovery </w:t>
      </w:r>
      <w:r w:rsidR="001774A2" w:rsidRPr="00CF3F9B">
        <w:rPr>
          <w:rFonts w:ascii="Times New Roman" w:hAnsi="Times New Roman"/>
        </w:rPr>
        <w:t xml:space="preserve">from </w:t>
      </w:r>
      <w:r w:rsidR="00825981" w:rsidRPr="00CF3F9B">
        <w:rPr>
          <w:rFonts w:ascii="Times New Roman" w:hAnsi="Times New Roman"/>
        </w:rPr>
        <w:t>end</w:t>
      </w:r>
      <w:r w:rsidR="004A139C" w:rsidRPr="00CF3F9B">
        <w:rPr>
          <w:rFonts w:ascii="Times New Roman" w:hAnsi="Times New Roman"/>
        </w:rPr>
        <w:t xml:space="preserve"> </w:t>
      </w:r>
      <w:r w:rsidRPr="00CF3F9B">
        <w:rPr>
          <w:rFonts w:ascii="Times New Roman" w:hAnsi="Times New Roman"/>
        </w:rPr>
        <w:t>users</w:t>
      </w:r>
      <w:r w:rsidR="00825981" w:rsidRPr="00CF3F9B">
        <w:rPr>
          <w:rFonts w:ascii="Times New Roman" w:hAnsi="Times New Roman"/>
        </w:rPr>
        <w:t>, other users</w:t>
      </w:r>
      <w:r w:rsidRPr="00CF3F9B">
        <w:rPr>
          <w:rFonts w:ascii="Times New Roman" w:hAnsi="Times New Roman"/>
        </w:rPr>
        <w:t xml:space="preserve"> of the switched access network</w:t>
      </w:r>
      <w:r w:rsidR="00825981" w:rsidRPr="00CF3F9B">
        <w:rPr>
          <w:rFonts w:ascii="Times New Roman" w:hAnsi="Times New Roman"/>
        </w:rPr>
        <w:t xml:space="preserve"> such as interexchange carriers</w:t>
      </w:r>
      <w:r w:rsidRPr="00CF3F9B">
        <w:rPr>
          <w:rFonts w:ascii="Times New Roman" w:hAnsi="Times New Roman"/>
        </w:rPr>
        <w:t xml:space="preserve">, and </w:t>
      </w:r>
      <w:r w:rsidR="000A2BE3" w:rsidRPr="00CF3F9B">
        <w:rPr>
          <w:rFonts w:ascii="Times New Roman" w:hAnsi="Times New Roman"/>
        </w:rPr>
        <w:t>Connect America Fund ICC</w:t>
      </w:r>
      <w:r w:rsidRPr="00CF3F9B">
        <w:rPr>
          <w:rFonts w:ascii="Times New Roman" w:hAnsi="Times New Roman"/>
        </w:rPr>
        <w:t xml:space="preserve"> support.  As part of this new recovery mechanism, rate-of-return carriers </w:t>
      </w:r>
      <w:r w:rsidR="000A2BE3" w:rsidRPr="00CF3F9B">
        <w:rPr>
          <w:rFonts w:ascii="Times New Roman" w:hAnsi="Times New Roman"/>
        </w:rPr>
        <w:t xml:space="preserve">annually </w:t>
      </w:r>
      <w:r w:rsidRPr="00CF3F9B">
        <w:rPr>
          <w:rFonts w:ascii="Times New Roman" w:hAnsi="Times New Roman"/>
        </w:rPr>
        <w:t>establish, as “Eligible Recovery,” an amount they are eligible to recover from end</w:t>
      </w:r>
      <w:r w:rsidR="00465D19" w:rsidRPr="00CF3F9B">
        <w:rPr>
          <w:rFonts w:ascii="Times New Roman" w:hAnsi="Times New Roman"/>
        </w:rPr>
        <w:t xml:space="preserve"> </w:t>
      </w:r>
      <w:r w:rsidRPr="00CF3F9B">
        <w:rPr>
          <w:rFonts w:ascii="Times New Roman" w:hAnsi="Times New Roman"/>
        </w:rPr>
        <w:t xml:space="preserve">users or </w:t>
      </w:r>
      <w:r w:rsidR="000A2BE3" w:rsidRPr="00CF3F9B">
        <w:rPr>
          <w:rFonts w:ascii="Times New Roman" w:hAnsi="Times New Roman"/>
        </w:rPr>
        <w:t xml:space="preserve">Connect America Fund ICC support </w:t>
      </w:r>
      <w:r w:rsidRPr="00CF3F9B">
        <w:rPr>
          <w:rFonts w:ascii="Times New Roman" w:hAnsi="Times New Roman"/>
        </w:rPr>
        <w:t xml:space="preserve">in </w:t>
      </w:r>
      <w:r w:rsidR="000A2BE3" w:rsidRPr="00CF3F9B">
        <w:rPr>
          <w:rFonts w:ascii="Times New Roman" w:hAnsi="Times New Roman"/>
        </w:rPr>
        <w:t xml:space="preserve">each </w:t>
      </w:r>
      <w:r w:rsidRPr="00CF3F9B">
        <w:rPr>
          <w:rFonts w:ascii="Times New Roman" w:hAnsi="Times New Roman"/>
        </w:rPr>
        <w:t>year of the ICC transition.</w:t>
      </w:r>
      <w:r w:rsidRPr="00CF3F9B">
        <w:rPr>
          <w:rStyle w:val="FootnoteReference"/>
        </w:rPr>
        <w:footnoteReference w:id="36"/>
      </w:r>
      <w:r w:rsidRPr="00CF3F9B">
        <w:rPr>
          <w:rFonts w:ascii="Times New Roman" w:hAnsi="Times New Roman"/>
        </w:rPr>
        <w:t xml:space="preserve">  Eligible Recovery is determined in subsequent years by reducing a carrier’s Base Period Revenue by an annual adjustment factor and by specified Expected Revenues for the upcoming tariff period.</w:t>
      </w:r>
      <w:r w:rsidRPr="00CF3F9B">
        <w:rPr>
          <w:rStyle w:val="FootnoteReference"/>
        </w:rPr>
        <w:t xml:space="preserve"> </w:t>
      </w:r>
      <w:r w:rsidRPr="00CF3F9B">
        <w:rPr>
          <w:rStyle w:val="FootnoteReference"/>
        </w:rPr>
        <w:footnoteReference w:id="37"/>
      </w:r>
      <w:r w:rsidRPr="00CF3F9B">
        <w:rPr>
          <w:rFonts w:ascii="Times New Roman" w:hAnsi="Times New Roman"/>
        </w:rPr>
        <w:t xml:space="preserve">  A </w:t>
      </w:r>
      <w:r w:rsidR="009370AC" w:rsidRPr="00CF3F9B">
        <w:rPr>
          <w:rFonts w:ascii="Times New Roman" w:hAnsi="Times New Roman"/>
        </w:rPr>
        <w:t xml:space="preserve">rate-of-return </w:t>
      </w:r>
      <w:r w:rsidRPr="00CF3F9B">
        <w:rPr>
          <w:rFonts w:ascii="Times New Roman" w:hAnsi="Times New Roman"/>
        </w:rPr>
        <w:t xml:space="preserve">carrier recovers its Eligible Recovery first from a capped ARC assessed on end users and, if </w:t>
      </w:r>
      <w:r w:rsidR="004B49AF" w:rsidRPr="00CF3F9B">
        <w:rPr>
          <w:rFonts w:ascii="Times New Roman" w:hAnsi="Times New Roman"/>
        </w:rPr>
        <w:t xml:space="preserve">it is </w:t>
      </w:r>
      <w:r w:rsidRPr="00CF3F9B">
        <w:rPr>
          <w:rFonts w:ascii="Times New Roman" w:hAnsi="Times New Roman"/>
        </w:rPr>
        <w:t>eligible</w:t>
      </w:r>
      <w:r w:rsidR="004B49AF" w:rsidRPr="00CF3F9B">
        <w:rPr>
          <w:rFonts w:ascii="Times New Roman" w:hAnsi="Times New Roman"/>
        </w:rPr>
        <w:t>,</w:t>
      </w:r>
      <w:r w:rsidRPr="00CF3F9B">
        <w:rPr>
          <w:rFonts w:ascii="Times New Roman" w:hAnsi="Times New Roman"/>
        </w:rPr>
        <w:t xml:space="preserve"> may </w:t>
      </w:r>
      <w:r w:rsidR="004B49AF" w:rsidRPr="00CF3F9B">
        <w:rPr>
          <w:rFonts w:ascii="Times New Roman" w:hAnsi="Times New Roman"/>
        </w:rPr>
        <w:t xml:space="preserve">elect to </w:t>
      </w:r>
      <w:r w:rsidRPr="00CF3F9B">
        <w:rPr>
          <w:rFonts w:ascii="Times New Roman" w:hAnsi="Times New Roman"/>
        </w:rPr>
        <w:t>recover any remaining amounts from Connect America Fund ICC support.</w:t>
      </w:r>
      <w:r w:rsidRPr="00CF3F9B">
        <w:rPr>
          <w:rStyle w:val="FootnoteReference"/>
        </w:rPr>
        <w:footnoteReference w:id="38"/>
      </w:r>
      <w:r w:rsidRPr="00CF3F9B">
        <w:rPr>
          <w:rFonts w:ascii="Times New Roman" w:hAnsi="Times New Roman"/>
        </w:rPr>
        <w:t xml:space="preserve">  The rules also contain a true-up procedure</w:t>
      </w:r>
      <w:r w:rsidR="000A2BE3" w:rsidRPr="00CF3F9B">
        <w:rPr>
          <w:rFonts w:ascii="Times New Roman" w:hAnsi="Times New Roman"/>
        </w:rPr>
        <w:t xml:space="preserve"> for rate-of-return carriers</w:t>
      </w:r>
      <w:r w:rsidRPr="00CF3F9B">
        <w:rPr>
          <w:rFonts w:ascii="Times New Roman" w:hAnsi="Times New Roman"/>
        </w:rPr>
        <w:t xml:space="preserve"> to correct for variances between actual and projected demand</w:t>
      </w:r>
      <w:r w:rsidR="000A2BE3" w:rsidRPr="00CF3F9B">
        <w:rPr>
          <w:rFonts w:ascii="Times New Roman" w:hAnsi="Times New Roman"/>
        </w:rPr>
        <w:t xml:space="preserve"> both </w:t>
      </w:r>
      <w:r w:rsidR="008D1F4E" w:rsidRPr="00CF3F9B">
        <w:rPr>
          <w:rFonts w:ascii="Times New Roman" w:hAnsi="Times New Roman"/>
        </w:rPr>
        <w:t xml:space="preserve">for </w:t>
      </w:r>
      <w:r w:rsidR="000A2BE3" w:rsidRPr="00CF3F9B">
        <w:rPr>
          <w:rFonts w:ascii="Times New Roman" w:hAnsi="Times New Roman"/>
        </w:rPr>
        <w:t>access services and the ARC</w:t>
      </w:r>
      <w:r w:rsidRPr="00CF3F9B">
        <w:rPr>
          <w:rFonts w:ascii="Times New Roman" w:hAnsi="Times New Roman"/>
        </w:rPr>
        <w:t>.</w:t>
      </w:r>
      <w:r w:rsidRPr="00CF3F9B">
        <w:rPr>
          <w:rStyle w:val="FootnoteReference"/>
        </w:rPr>
        <w:footnoteReference w:id="39"/>
      </w:r>
      <w:r w:rsidRPr="00CF3F9B">
        <w:rPr>
          <w:rFonts w:ascii="Times New Roman" w:hAnsi="Times New Roman"/>
        </w:rPr>
        <w:t xml:space="preserve">  </w:t>
      </w:r>
    </w:p>
    <w:p w:rsidR="003127AA" w:rsidRPr="00CF3F9B" w:rsidRDefault="003127AA" w:rsidP="00897042">
      <w:pPr>
        <w:pStyle w:val="ParaNum"/>
        <w:spacing w:after="220" w:line="240" w:lineRule="auto"/>
        <w:rPr>
          <w:rFonts w:ascii="Times New Roman" w:hAnsi="Times New Roman"/>
        </w:rPr>
      </w:pPr>
      <w:r w:rsidRPr="00CF3F9B">
        <w:rPr>
          <w:rFonts w:ascii="Times New Roman" w:hAnsi="Times New Roman"/>
        </w:rPr>
        <w:t xml:space="preserve">In the </w:t>
      </w:r>
      <w:r w:rsidRPr="00CF3F9B">
        <w:rPr>
          <w:rFonts w:ascii="Times New Roman" w:hAnsi="Times New Roman"/>
          <w:i/>
        </w:rPr>
        <w:t>USF/ICC Transformation Order</w:t>
      </w:r>
      <w:r w:rsidRPr="00CF3F9B">
        <w:rPr>
          <w:rFonts w:ascii="Times New Roman" w:hAnsi="Times New Roman"/>
        </w:rPr>
        <w:t>, the Commission stated that “carriers remain free to make elections regarding participation in the NECA pool and tariffing processes during the transition.”</w:t>
      </w:r>
      <w:r w:rsidRPr="00CF3F9B">
        <w:rPr>
          <w:rStyle w:val="FootnoteReference"/>
        </w:rPr>
        <w:footnoteReference w:id="40"/>
      </w:r>
      <w:r w:rsidRPr="00CF3F9B">
        <w:rPr>
          <w:rFonts w:ascii="Times New Roman" w:hAnsi="Times New Roman"/>
        </w:rPr>
        <w:t xml:space="preserve">  </w:t>
      </w:r>
      <w:r w:rsidR="00AF240F" w:rsidRPr="00CF3F9B">
        <w:rPr>
          <w:rFonts w:ascii="Times New Roman" w:hAnsi="Times New Roman"/>
        </w:rPr>
        <w:t>Clearly, t</w:t>
      </w:r>
      <w:r w:rsidR="00A4733A" w:rsidRPr="00CF3F9B">
        <w:rPr>
          <w:rFonts w:ascii="Times New Roman" w:hAnsi="Times New Roman"/>
        </w:rPr>
        <w:t xml:space="preserve">he </w:t>
      </w:r>
      <w:r w:rsidR="00A4733A" w:rsidRPr="00CF3F9B">
        <w:rPr>
          <w:rFonts w:ascii="Times New Roman" w:hAnsi="Times New Roman"/>
          <w:i/>
        </w:rPr>
        <w:t>USF/ICC Transformation Order</w:t>
      </w:r>
      <w:r w:rsidR="00A4733A" w:rsidRPr="00CF3F9B">
        <w:rPr>
          <w:rFonts w:ascii="Times New Roman" w:hAnsi="Times New Roman"/>
        </w:rPr>
        <w:t xml:space="preserve"> contemplated a continuation of the pooling process for switched access services</w:t>
      </w:r>
      <w:r w:rsidR="00140DAD" w:rsidRPr="00CF3F9B">
        <w:rPr>
          <w:rFonts w:ascii="Times New Roman" w:hAnsi="Times New Roman"/>
        </w:rPr>
        <w:t>,</w:t>
      </w:r>
      <w:r w:rsidR="00A4733A" w:rsidRPr="00CF3F9B">
        <w:rPr>
          <w:rStyle w:val="FootnoteReference"/>
        </w:rPr>
        <w:footnoteReference w:id="41"/>
      </w:r>
      <w:r w:rsidR="00A4733A" w:rsidRPr="00CF3F9B">
        <w:rPr>
          <w:rFonts w:ascii="Times New Roman" w:hAnsi="Times New Roman"/>
        </w:rPr>
        <w:t xml:space="preserve"> but </w:t>
      </w:r>
      <w:r w:rsidR="00140DAD" w:rsidRPr="00CF3F9B">
        <w:rPr>
          <w:rFonts w:ascii="Times New Roman" w:hAnsi="Times New Roman"/>
        </w:rPr>
        <w:t xml:space="preserve">it </w:t>
      </w:r>
      <w:r w:rsidR="00A4733A" w:rsidRPr="00CF3F9B">
        <w:rPr>
          <w:rFonts w:ascii="Times New Roman" w:hAnsi="Times New Roman"/>
        </w:rPr>
        <w:t xml:space="preserve">did </w:t>
      </w:r>
      <w:r w:rsidRPr="00CF3F9B">
        <w:rPr>
          <w:rFonts w:ascii="Times New Roman" w:hAnsi="Times New Roman"/>
        </w:rPr>
        <w:t>not</w:t>
      </w:r>
      <w:r w:rsidR="006A311E" w:rsidRPr="00CF3F9B">
        <w:rPr>
          <w:rFonts w:ascii="Times New Roman" w:hAnsi="Times New Roman"/>
        </w:rPr>
        <w:t xml:space="preserve"> </w:t>
      </w:r>
      <w:r w:rsidRPr="00CF3F9B">
        <w:rPr>
          <w:rFonts w:ascii="Times New Roman" w:hAnsi="Times New Roman"/>
        </w:rPr>
        <w:t xml:space="preserve">provide </w:t>
      </w:r>
      <w:r w:rsidR="006A311E" w:rsidRPr="00CF3F9B">
        <w:rPr>
          <w:rFonts w:ascii="Times New Roman" w:hAnsi="Times New Roman"/>
        </w:rPr>
        <w:t xml:space="preserve">procedures governing the switched access rate caps </w:t>
      </w:r>
      <w:r w:rsidR="00A278EE" w:rsidRPr="00CF3F9B">
        <w:rPr>
          <w:rFonts w:ascii="Times New Roman" w:hAnsi="Times New Roman"/>
        </w:rPr>
        <w:t>when</w:t>
      </w:r>
      <w:r w:rsidR="006A311E" w:rsidRPr="00CF3F9B">
        <w:rPr>
          <w:rFonts w:ascii="Times New Roman" w:hAnsi="Times New Roman"/>
        </w:rPr>
        <w:t xml:space="preserve"> carriers enter or exit the pool</w:t>
      </w:r>
      <w:r w:rsidRPr="00CF3F9B">
        <w:rPr>
          <w:rFonts w:ascii="Times New Roman" w:hAnsi="Times New Roman"/>
        </w:rPr>
        <w:t xml:space="preserve">.  In the </w:t>
      </w:r>
      <w:r w:rsidRPr="00CF3F9B">
        <w:rPr>
          <w:rFonts w:ascii="Times New Roman" w:hAnsi="Times New Roman"/>
          <w:i/>
        </w:rPr>
        <w:t>Designation Order</w:t>
      </w:r>
      <w:r w:rsidRPr="00CF3F9B">
        <w:rPr>
          <w:rFonts w:ascii="Times New Roman" w:hAnsi="Times New Roman"/>
        </w:rPr>
        <w:t xml:space="preserve">, which identified issues for investigation related to </w:t>
      </w:r>
      <w:r w:rsidR="00B575CA" w:rsidRPr="00CF3F9B">
        <w:rPr>
          <w:rFonts w:ascii="Times New Roman" w:hAnsi="Times New Roman"/>
        </w:rPr>
        <w:t>NECA</w:t>
      </w:r>
      <w:r w:rsidR="00AE233C" w:rsidRPr="00CF3F9B">
        <w:rPr>
          <w:rFonts w:ascii="Times New Roman" w:hAnsi="Times New Roman"/>
        </w:rPr>
        <w:t>’</w:t>
      </w:r>
      <w:r w:rsidR="00B575CA" w:rsidRPr="00CF3F9B">
        <w:rPr>
          <w:rFonts w:ascii="Times New Roman" w:hAnsi="Times New Roman"/>
        </w:rPr>
        <w:t>s</w:t>
      </w:r>
      <w:r w:rsidRPr="00CF3F9B">
        <w:rPr>
          <w:rFonts w:ascii="Times New Roman" w:hAnsi="Times New Roman"/>
        </w:rPr>
        <w:t xml:space="preserve"> 2012 annual access tariff filings, the Bureau addressed </w:t>
      </w:r>
      <w:r w:rsidR="00B575CA" w:rsidRPr="00CF3F9B">
        <w:rPr>
          <w:rFonts w:ascii="Times New Roman" w:hAnsi="Times New Roman"/>
        </w:rPr>
        <w:t xml:space="preserve">how </w:t>
      </w:r>
      <w:r w:rsidRPr="00CF3F9B">
        <w:rPr>
          <w:rFonts w:ascii="Times New Roman" w:hAnsi="Times New Roman"/>
        </w:rPr>
        <w:t xml:space="preserve">NECA should allocate projected switched access revenues among </w:t>
      </w:r>
      <w:r w:rsidR="00865DAD">
        <w:rPr>
          <w:rFonts w:ascii="Times New Roman" w:hAnsi="Times New Roman"/>
        </w:rPr>
        <w:t>pooling carriers</w:t>
      </w:r>
      <w:r w:rsidRPr="00CF3F9B">
        <w:rPr>
          <w:rFonts w:ascii="Times New Roman" w:hAnsi="Times New Roman"/>
        </w:rPr>
        <w:t>.</w:t>
      </w:r>
      <w:r w:rsidRPr="00CF3F9B">
        <w:rPr>
          <w:rFonts w:ascii="Times New Roman" w:hAnsi="Times New Roman"/>
          <w:vertAlign w:val="superscript"/>
        </w:rPr>
        <w:footnoteReference w:id="42"/>
      </w:r>
      <w:r w:rsidRPr="00CF3F9B">
        <w:rPr>
          <w:rFonts w:ascii="Times New Roman" w:hAnsi="Times New Roman"/>
        </w:rPr>
        <w:t xml:space="preserve">  In lieu of NECA’s allocation of projected revenues entirely to the carrier that collected them, which would have effectively ignored the pooling process, the Bureau stated that it would be reasonable for NECA to “allocate projected revenues for purposes of determining each LEC’s projected 2012-13 interstate switched access revenues by allocating the projected </w:t>
      </w:r>
      <w:r w:rsidR="00B575CA" w:rsidRPr="00CF3F9B">
        <w:rPr>
          <w:rFonts w:ascii="Times New Roman" w:hAnsi="Times New Roman"/>
        </w:rPr>
        <w:t xml:space="preserve">pool </w:t>
      </w:r>
      <w:r w:rsidRPr="00CF3F9B">
        <w:rPr>
          <w:rFonts w:ascii="Times New Roman" w:hAnsi="Times New Roman"/>
        </w:rPr>
        <w:t>revenues in relation to each LEC’s interstate Base Period Revenue divided by the projected pool Base Period Revenue.”</w:t>
      </w:r>
      <w:r w:rsidRPr="00CF3F9B">
        <w:rPr>
          <w:rFonts w:ascii="Times New Roman" w:hAnsi="Times New Roman"/>
          <w:vertAlign w:val="superscript"/>
        </w:rPr>
        <w:footnoteReference w:id="43"/>
      </w:r>
      <w:r w:rsidRPr="00CF3F9B">
        <w:rPr>
          <w:rFonts w:ascii="Times New Roman" w:hAnsi="Times New Roman"/>
        </w:rPr>
        <w:t xml:space="preserve">  Subsequently, NECA filed its direct case employing the procedure outlined in the </w:t>
      </w:r>
      <w:r w:rsidRPr="00CF3F9B">
        <w:rPr>
          <w:rFonts w:ascii="Times New Roman" w:hAnsi="Times New Roman"/>
          <w:i/>
        </w:rPr>
        <w:t>Designation Order</w:t>
      </w:r>
      <w:r w:rsidRPr="00CF3F9B">
        <w:rPr>
          <w:rFonts w:ascii="Times New Roman" w:hAnsi="Times New Roman"/>
        </w:rPr>
        <w:t>.</w:t>
      </w:r>
      <w:r w:rsidRPr="00CF3F9B">
        <w:rPr>
          <w:rFonts w:ascii="Times New Roman" w:hAnsi="Times New Roman"/>
          <w:vertAlign w:val="superscript"/>
        </w:rPr>
        <w:footnoteReference w:id="44"/>
      </w:r>
    </w:p>
    <w:p w:rsidR="001F557F" w:rsidRPr="00CF3F9B" w:rsidRDefault="003127AA" w:rsidP="00897042">
      <w:pPr>
        <w:pStyle w:val="ParaNum"/>
        <w:spacing w:after="220" w:line="240" w:lineRule="auto"/>
        <w:rPr>
          <w:rFonts w:ascii="Times New Roman" w:hAnsi="Times New Roman"/>
        </w:rPr>
      </w:pPr>
      <w:r w:rsidRPr="00CF3F9B">
        <w:rPr>
          <w:rFonts w:ascii="Times New Roman" w:hAnsi="Times New Roman"/>
        </w:rPr>
        <w:t xml:space="preserve">Prior to the </w:t>
      </w:r>
      <w:r w:rsidRPr="00CF3F9B">
        <w:rPr>
          <w:rFonts w:ascii="Times New Roman" w:hAnsi="Times New Roman"/>
          <w:i/>
        </w:rPr>
        <w:t>USF/ICC Transformation Order</w:t>
      </w:r>
      <w:r w:rsidRPr="00CF3F9B">
        <w:rPr>
          <w:rFonts w:ascii="Times New Roman" w:hAnsi="Times New Roman"/>
        </w:rPr>
        <w:t xml:space="preserve">, when </w:t>
      </w:r>
      <w:r w:rsidR="00586C52" w:rsidRPr="00CF3F9B">
        <w:rPr>
          <w:rFonts w:ascii="Times New Roman" w:hAnsi="Times New Roman"/>
        </w:rPr>
        <w:t xml:space="preserve">carriers entered or </w:t>
      </w:r>
      <w:r w:rsidRPr="00CF3F9B">
        <w:rPr>
          <w:rFonts w:ascii="Times New Roman" w:hAnsi="Times New Roman"/>
        </w:rPr>
        <w:t>exited the NECA pool, the pool switched access rates w</w:t>
      </w:r>
      <w:r w:rsidR="00586C52" w:rsidRPr="00CF3F9B">
        <w:rPr>
          <w:rFonts w:ascii="Times New Roman" w:hAnsi="Times New Roman"/>
        </w:rPr>
        <w:t xml:space="preserve">ere </w:t>
      </w:r>
      <w:r w:rsidR="00AF240F" w:rsidRPr="00CF3F9B">
        <w:rPr>
          <w:rFonts w:ascii="Times New Roman" w:hAnsi="Times New Roman"/>
        </w:rPr>
        <w:t>adjusted</w:t>
      </w:r>
      <w:r w:rsidR="00586C52" w:rsidRPr="00CF3F9B">
        <w:rPr>
          <w:rFonts w:ascii="Times New Roman" w:hAnsi="Times New Roman"/>
        </w:rPr>
        <w:t xml:space="preserve"> to reflect </w:t>
      </w:r>
      <w:r w:rsidR="00AF240F" w:rsidRPr="00CF3F9B">
        <w:rPr>
          <w:rFonts w:ascii="Times New Roman" w:hAnsi="Times New Roman"/>
        </w:rPr>
        <w:t xml:space="preserve">changes to </w:t>
      </w:r>
      <w:r w:rsidR="00586C52" w:rsidRPr="00CF3F9B">
        <w:rPr>
          <w:rFonts w:ascii="Times New Roman" w:hAnsi="Times New Roman"/>
        </w:rPr>
        <w:t>the pool.  T</w:t>
      </w:r>
      <w:r w:rsidRPr="00CF3F9B">
        <w:rPr>
          <w:rFonts w:ascii="Times New Roman" w:hAnsi="Times New Roman"/>
        </w:rPr>
        <w:t>he rate cap</w:t>
      </w:r>
      <w:r w:rsidR="003017C2">
        <w:rPr>
          <w:rFonts w:ascii="Times New Roman" w:hAnsi="Times New Roman"/>
        </w:rPr>
        <w:t>s</w:t>
      </w:r>
      <w:r w:rsidRPr="00CF3F9B">
        <w:rPr>
          <w:rFonts w:ascii="Times New Roman" w:hAnsi="Times New Roman"/>
        </w:rPr>
        <w:t xml:space="preserve"> codified in section 51.909(a)</w:t>
      </w:r>
      <w:r w:rsidR="00586C52" w:rsidRPr="00CF3F9B">
        <w:rPr>
          <w:rFonts w:ascii="Times New Roman" w:hAnsi="Times New Roman"/>
        </w:rPr>
        <w:t>, however,</w:t>
      </w:r>
      <w:r w:rsidRPr="00CF3F9B">
        <w:rPr>
          <w:rFonts w:ascii="Times New Roman" w:hAnsi="Times New Roman"/>
        </w:rPr>
        <w:t xml:space="preserve"> </w:t>
      </w:r>
      <w:r w:rsidR="00586C52" w:rsidRPr="00CF3F9B">
        <w:rPr>
          <w:rFonts w:ascii="Times New Roman" w:hAnsi="Times New Roman"/>
        </w:rPr>
        <w:t xml:space="preserve">do </w:t>
      </w:r>
      <w:r w:rsidRPr="00CF3F9B">
        <w:rPr>
          <w:rFonts w:ascii="Times New Roman" w:hAnsi="Times New Roman"/>
        </w:rPr>
        <w:t xml:space="preserve">not </w:t>
      </w:r>
      <w:r w:rsidR="00586C52" w:rsidRPr="00CF3F9B">
        <w:rPr>
          <w:rFonts w:ascii="Times New Roman" w:hAnsi="Times New Roman"/>
        </w:rPr>
        <w:t xml:space="preserve">contain </w:t>
      </w:r>
      <w:r w:rsidRPr="00CF3F9B">
        <w:rPr>
          <w:rFonts w:ascii="Times New Roman" w:hAnsi="Times New Roman"/>
        </w:rPr>
        <w:t xml:space="preserve">a mechanism for the pool switched access rate caps to </w:t>
      </w:r>
      <w:r w:rsidR="00586C52" w:rsidRPr="00CF3F9B">
        <w:rPr>
          <w:rFonts w:ascii="Times New Roman" w:hAnsi="Times New Roman"/>
        </w:rPr>
        <w:t xml:space="preserve">increase or decrease when carriers enter or </w:t>
      </w:r>
      <w:r w:rsidRPr="00CF3F9B">
        <w:rPr>
          <w:rFonts w:ascii="Times New Roman" w:hAnsi="Times New Roman"/>
        </w:rPr>
        <w:t>exit the pool.</w:t>
      </w:r>
      <w:r w:rsidR="00DF4912" w:rsidRPr="00CF3F9B">
        <w:rPr>
          <w:rFonts w:ascii="Times New Roman" w:hAnsi="Times New Roman"/>
        </w:rPr>
        <w:t xml:space="preserve">  </w:t>
      </w:r>
      <w:r w:rsidRPr="00CF3F9B">
        <w:rPr>
          <w:rFonts w:ascii="Times New Roman" w:hAnsi="Times New Roman"/>
        </w:rPr>
        <w:t xml:space="preserve">Absent such a mechanism, the pool switched access rates will not </w:t>
      </w:r>
      <w:r w:rsidR="00586C52" w:rsidRPr="00CF3F9B">
        <w:rPr>
          <w:rFonts w:ascii="Times New Roman" w:hAnsi="Times New Roman"/>
        </w:rPr>
        <w:t>realize</w:t>
      </w:r>
      <w:r w:rsidRPr="00CF3F9B">
        <w:rPr>
          <w:rFonts w:ascii="Times New Roman" w:hAnsi="Times New Roman"/>
        </w:rPr>
        <w:t xml:space="preserve"> revenues </w:t>
      </w:r>
      <w:r w:rsidR="00586C52" w:rsidRPr="00CF3F9B">
        <w:rPr>
          <w:rFonts w:ascii="Times New Roman" w:hAnsi="Times New Roman"/>
        </w:rPr>
        <w:t xml:space="preserve">at the level </w:t>
      </w:r>
      <w:r w:rsidR="003671AA" w:rsidRPr="00CF3F9B">
        <w:rPr>
          <w:rFonts w:ascii="Times New Roman" w:hAnsi="Times New Roman"/>
        </w:rPr>
        <w:t>that would</w:t>
      </w:r>
      <w:r w:rsidRPr="00CF3F9B">
        <w:rPr>
          <w:rFonts w:ascii="Times New Roman" w:hAnsi="Times New Roman"/>
        </w:rPr>
        <w:t xml:space="preserve"> provide pool settlements to the remaining pool</w:t>
      </w:r>
      <w:r w:rsidR="00865DAD">
        <w:rPr>
          <w:rFonts w:ascii="Times New Roman" w:hAnsi="Times New Roman"/>
        </w:rPr>
        <w:t>ing carriers</w:t>
      </w:r>
      <w:r w:rsidRPr="00CF3F9B">
        <w:rPr>
          <w:rFonts w:ascii="Times New Roman" w:hAnsi="Times New Roman"/>
        </w:rPr>
        <w:t xml:space="preserve"> at the level they would have received if carriers had not exited the pool.</w:t>
      </w:r>
      <w:r w:rsidR="002E7184" w:rsidRPr="00CF3F9B">
        <w:rPr>
          <w:rStyle w:val="FootnoteReference"/>
        </w:rPr>
        <w:footnoteReference w:id="45"/>
      </w:r>
      <w:r w:rsidRPr="00CF3F9B">
        <w:rPr>
          <w:rFonts w:ascii="Times New Roman" w:hAnsi="Times New Roman"/>
        </w:rPr>
        <w:t xml:space="preserve">  </w:t>
      </w:r>
      <w:r w:rsidR="00CE7226" w:rsidRPr="00CF3F9B">
        <w:rPr>
          <w:rFonts w:ascii="Times New Roman" w:hAnsi="Times New Roman"/>
        </w:rPr>
        <w:t xml:space="preserve">Furthermore, </w:t>
      </w:r>
      <w:r w:rsidR="005E4D67" w:rsidRPr="00CF3F9B">
        <w:rPr>
          <w:rFonts w:ascii="Times New Roman" w:hAnsi="Times New Roman"/>
        </w:rPr>
        <w:t xml:space="preserve">the Eligible Recovery for the pooling carriers would increase or decrease by </w:t>
      </w:r>
      <w:r w:rsidR="00CE7226" w:rsidRPr="00CF3F9B">
        <w:rPr>
          <w:rFonts w:ascii="Times New Roman" w:hAnsi="Times New Roman"/>
        </w:rPr>
        <w:t xml:space="preserve">the </w:t>
      </w:r>
      <w:r w:rsidR="005E4D67" w:rsidRPr="00CF3F9B">
        <w:rPr>
          <w:rFonts w:ascii="Times New Roman" w:hAnsi="Times New Roman"/>
        </w:rPr>
        <w:t>revenue</w:t>
      </w:r>
      <w:r w:rsidR="00CE7226" w:rsidRPr="00CF3F9B">
        <w:rPr>
          <w:rFonts w:ascii="Times New Roman" w:hAnsi="Times New Roman"/>
        </w:rPr>
        <w:t xml:space="preserve"> difference between that produced by the preexisting rate caps and the adjusted rate caps</w:t>
      </w:r>
      <w:r w:rsidR="002D7348" w:rsidRPr="00CF3F9B">
        <w:rPr>
          <w:rFonts w:ascii="Times New Roman" w:hAnsi="Times New Roman"/>
        </w:rPr>
        <w:t xml:space="preserve"> reflecting</w:t>
      </w:r>
      <w:r w:rsidR="005E4D67" w:rsidRPr="00CF3F9B">
        <w:rPr>
          <w:rFonts w:ascii="Times New Roman" w:hAnsi="Times New Roman"/>
        </w:rPr>
        <w:t xml:space="preserve"> </w:t>
      </w:r>
      <w:r w:rsidR="002D7348" w:rsidRPr="00CF3F9B">
        <w:rPr>
          <w:rFonts w:ascii="Times New Roman" w:hAnsi="Times New Roman"/>
        </w:rPr>
        <w:t xml:space="preserve">the </w:t>
      </w:r>
      <w:r w:rsidR="00140DAD" w:rsidRPr="00CF3F9B">
        <w:rPr>
          <w:rFonts w:ascii="Times New Roman" w:hAnsi="Times New Roman"/>
        </w:rPr>
        <w:t>effects of</w:t>
      </w:r>
      <w:r w:rsidR="005E4D67" w:rsidRPr="00CF3F9B">
        <w:rPr>
          <w:rFonts w:ascii="Times New Roman" w:hAnsi="Times New Roman"/>
        </w:rPr>
        <w:t xml:space="preserve"> pool entry or exit.  </w:t>
      </w:r>
      <w:r w:rsidRPr="00CF3F9B">
        <w:rPr>
          <w:rFonts w:ascii="Times New Roman" w:hAnsi="Times New Roman"/>
        </w:rPr>
        <w:t xml:space="preserve">Such funding is outside the scope of </w:t>
      </w:r>
      <w:r w:rsidR="00877380" w:rsidRPr="00CF3F9B">
        <w:rPr>
          <w:rFonts w:ascii="Times New Roman" w:hAnsi="Times New Roman"/>
        </w:rPr>
        <w:t xml:space="preserve">contemplated </w:t>
      </w:r>
      <w:r w:rsidRPr="00CF3F9B">
        <w:rPr>
          <w:rFonts w:ascii="Times New Roman" w:hAnsi="Times New Roman"/>
        </w:rPr>
        <w:t xml:space="preserve">Connect America Fund ICC support, which was intended to </w:t>
      </w:r>
      <w:r w:rsidR="00877380" w:rsidRPr="00CF3F9B">
        <w:rPr>
          <w:rFonts w:ascii="Times New Roman" w:hAnsi="Times New Roman"/>
        </w:rPr>
        <w:t xml:space="preserve">help </w:t>
      </w:r>
      <w:r w:rsidRPr="00CF3F9B">
        <w:rPr>
          <w:rFonts w:ascii="Times New Roman" w:hAnsi="Times New Roman"/>
        </w:rPr>
        <w:t>mitigate the effect</w:t>
      </w:r>
      <w:r w:rsidR="00877380" w:rsidRPr="00CF3F9B">
        <w:rPr>
          <w:rFonts w:ascii="Times New Roman" w:hAnsi="Times New Roman"/>
        </w:rPr>
        <w:t>s</w:t>
      </w:r>
      <w:r w:rsidRPr="00CF3F9B">
        <w:rPr>
          <w:rFonts w:ascii="Times New Roman" w:hAnsi="Times New Roman"/>
        </w:rPr>
        <w:t xml:space="preserve"> of ICC reforms</w:t>
      </w:r>
      <w:r w:rsidR="00CC3CEA" w:rsidRPr="00CF3F9B">
        <w:rPr>
          <w:rFonts w:ascii="Times New Roman" w:hAnsi="Times New Roman"/>
        </w:rPr>
        <w:t>,</w:t>
      </w:r>
      <w:r w:rsidRPr="00CF3F9B">
        <w:rPr>
          <w:rFonts w:ascii="Times New Roman" w:hAnsi="Times New Roman"/>
        </w:rPr>
        <w:t xml:space="preserve"> not </w:t>
      </w:r>
      <w:r w:rsidR="003671AA" w:rsidRPr="00CF3F9B">
        <w:rPr>
          <w:rFonts w:ascii="Times New Roman" w:hAnsi="Times New Roman"/>
        </w:rPr>
        <w:t xml:space="preserve">to </w:t>
      </w:r>
      <w:r w:rsidRPr="00CF3F9B">
        <w:rPr>
          <w:rFonts w:ascii="Times New Roman" w:hAnsi="Times New Roman"/>
        </w:rPr>
        <w:t xml:space="preserve">offset </w:t>
      </w:r>
      <w:r w:rsidR="003671AA" w:rsidRPr="00CF3F9B">
        <w:rPr>
          <w:rFonts w:ascii="Times New Roman" w:hAnsi="Times New Roman"/>
        </w:rPr>
        <w:t xml:space="preserve">the revenue effects of </w:t>
      </w:r>
      <w:r w:rsidRPr="00CF3F9B">
        <w:rPr>
          <w:rFonts w:ascii="Times New Roman" w:hAnsi="Times New Roman"/>
        </w:rPr>
        <w:t xml:space="preserve">changes </w:t>
      </w:r>
      <w:r w:rsidR="003671AA" w:rsidRPr="00CF3F9B">
        <w:rPr>
          <w:rFonts w:ascii="Times New Roman" w:hAnsi="Times New Roman"/>
        </w:rPr>
        <w:t>in</w:t>
      </w:r>
      <w:r w:rsidRPr="00CF3F9B">
        <w:rPr>
          <w:rFonts w:ascii="Times New Roman" w:hAnsi="Times New Roman"/>
        </w:rPr>
        <w:t xml:space="preserve"> NECA pool participation.</w:t>
      </w:r>
      <w:r w:rsidRPr="00CF3F9B">
        <w:rPr>
          <w:rStyle w:val="FootnoteReference"/>
        </w:rPr>
        <w:footnoteReference w:id="46"/>
      </w:r>
      <w:r w:rsidRPr="00CF3F9B">
        <w:rPr>
          <w:rFonts w:ascii="Times New Roman" w:hAnsi="Times New Roman"/>
        </w:rPr>
        <w:t xml:space="preserve">  Thus, without a method for adjustment to reflect pool entry and exit, the section 51.909(a) rate caps result in an unintended shift in recovery between switched access charges and Connect America Fund</w:t>
      </w:r>
      <w:r w:rsidR="004D6C3D" w:rsidRPr="00CF3F9B">
        <w:rPr>
          <w:rFonts w:ascii="Times New Roman" w:hAnsi="Times New Roman"/>
        </w:rPr>
        <w:t xml:space="preserve"> ICC support</w:t>
      </w:r>
      <w:r w:rsidRPr="00CF3F9B">
        <w:rPr>
          <w:rFonts w:ascii="Times New Roman" w:hAnsi="Times New Roman"/>
        </w:rPr>
        <w:t xml:space="preserve">. </w:t>
      </w:r>
    </w:p>
    <w:p w:rsidR="003127AA" w:rsidRPr="00CF3F9B" w:rsidRDefault="00DF4912" w:rsidP="00897042">
      <w:pPr>
        <w:pStyle w:val="ParaNum"/>
        <w:spacing w:after="220" w:line="240" w:lineRule="auto"/>
        <w:rPr>
          <w:rFonts w:ascii="Times New Roman" w:hAnsi="Times New Roman"/>
        </w:rPr>
      </w:pPr>
      <w:r w:rsidRPr="00CF3F9B">
        <w:rPr>
          <w:rFonts w:ascii="Times New Roman" w:hAnsi="Times New Roman"/>
        </w:rPr>
        <w:t xml:space="preserve">Further, </w:t>
      </w:r>
      <w:r w:rsidR="0050439F" w:rsidRPr="00CF3F9B">
        <w:rPr>
          <w:rFonts w:ascii="Times New Roman" w:hAnsi="Times New Roman"/>
        </w:rPr>
        <w:t xml:space="preserve">prior to the </w:t>
      </w:r>
      <w:r w:rsidR="0050439F" w:rsidRPr="00CF3F9B">
        <w:rPr>
          <w:rFonts w:ascii="Times New Roman" w:hAnsi="Times New Roman"/>
          <w:i/>
        </w:rPr>
        <w:t>USF/ICC Transformation Order</w:t>
      </w:r>
      <w:r w:rsidR="0050439F" w:rsidRPr="00CF3F9B">
        <w:rPr>
          <w:rFonts w:ascii="Times New Roman" w:hAnsi="Times New Roman"/>
        </w:rPr>
        <w:t xml:space="preserve">, just as NECA revised its rates when a carrier exited the pool, an exiting carrier was required to establish rates based on its own costs under either </w:t>
      </w:r>
      <w:r w:rsidR="00E10A30" w:rsidRPr="00CF3F9B">
        <w:rPr>
          <w:rFonts w:ascii="Times New Roman" w:hAnsi="Times New Roman"/>
        </w:rPr>
        <w:t xml:space="preserve">section </w:t>
      </w:r>
      <w:r w:rsidR="0050439F" w:rsidRPr="00CF3F9B">
        <w:rPr>
          <w:rFonts w:ascii="Times New Roman" w:hAnsi="Times New Roman"/>
        </w:rPr>
        <w:t>61.38 or 61.39 of the Commission’s rules.</w:t>
      </w:r>
      <w:r w:rsidR="0050439F" w:rsidRPr="00CF3F9B">
        <w:rPr>
          <w:rStyle w:val="FootnoteReference"/>
        </w:rPr>
        <w:footnoteReference w:id="47"/>
      </w:r>
      <w:r w:rsidR="0050439F" w:rsidRPr="00CF3F9B">
        <w:rPr>
          <w:rFonts w:ascii="Times New Roman" w:hAnsi="Times New Roman"/>
        </w:rPr>
        <w:t xml:space="preserve">  </w:t>
      </w:r>
      <w:r w:rsidR="002875EB" w:rsidRPr="00CF3F9B">
        <w:rPr>
          <w:rFonts w:ascii="Times New Roman" w:hAnsi="Times New Roman"/>
        </w:rPr>
        <w:t>T</w:t>
      </w:r>
      <w:r w:rsidRPr="00CF3F9B">
        <w:rPr>
          <w:rFonts w:ascii="Times New Roman" w:hAnsi="Times New Roman"/>
        </w:rPr>
        <w:t xml:space="preserve">he </w:t>
      </w:r>
      <w:r w:rsidR="00A5741D" w:rsidRPr="00CF3F9B">
        <w:rPr>
          <w:rFonts w:ascii="Times New Roman" w:hAnsi="Times New Roman"/>
        </w:rPr>
        <w:t xml:space="preserve">switched access </w:t>
      </w:r>
      <w:r w:rsidRPr="00CF3F9B">
        <w:rPr>
          <w:rFonts w:ascii="Times New Roman" w:hAnsi="Times New Roman"/>
        </w:rPr>
        <w:t>rate cap</w:t>
      </w:r>
      <w:r w:rsidR="002875EB" w:rsidRPr="00CF3F9B">
        <w:rPr>
          <w:rFonts w:ascii="Times New Roman" w:hAnsi="Times New Roman"/>
        </w:rPr>
        <w:t>s</w:t>
      </w:r>
      <w:r w:rsidRPr="00CF3F9B">
        <w:rPr>
          <w:rFonts w:ascii="Times New Roman" w:hAnsi="Times New Roman"/>
        </w:rPr>
        <w:t xml:space="preserve"> codified in section 51.909(a) </w:t>
      </w:r>
      <w:r w:rsidR="002875EB" w:rsidRPr="00CF3F9B">
        <w:rPr>
          <w:rFonts w:ascii="Times New Roman" w:hAnsi="Times New Roman"/>
        </w:rPr>
        <w:t xml:space="preserve">do </w:t>
      </w:r>
      <w:r w:rsidRPr="00CF3F9B">
        <w:rPr>
          <w:rFonts w:ascii="Times New Roman" w:hAnsi="Times New Roman"/>
        </w:rPr>
        <w:t>not</w:t>
      </w:r>
      <w:r w:rsidR="00B43D25" w:rsidRPr="00CF3F9B">
        <w:rPr>
          <w:rFonts w:ascii="Times New Roman" w:hAnsi="Times New Roman"/>
        </w:rPr>
        <w:t>, however,</w:t>
      </w:r>
      <w:r w:rsidRPr="00CF3F9B">
        <w:rPr>
          <w:rFonts w:ascii="Times New Roman" w:hAnsi="Times New Roman"/>
        </w:rPr>
        <w:t xml:space="preserve"> </w:t>
      </w:r>
      <w:r w:rsidR="002875EB" w:rsidRPr="00CF3F9B">
        <w:rPr>
          <w:rFonts w:ascii="Times New Roman" w:hAnsi="Times New Roman"/>
        </w:rPr>
        <w:t xml:space="preserve">detail how an exiting carrier should establish its </w:t>
      </w:r>
      <w:r w:rsidRPr="00CF3F9B">
        <w:rPr>
          <w:rFonts w:ascii="Times New Roman" w:hAnsi="Times New Roman"/>
        </w:rPr>
        <w:t>switched access rate caps</w:t>
      </w:r>
      <w:r w:rsidR="00CD7C35" w:rsidRPr="00CF3F9B">
        <w:rPr>
          <w:rFonts w:ascii="Times New Roman" w:hAnsi="Times New Roman"/>
        </w:rPr>
        <w:t xml:space="preserve">.  </w:t>
      </w:r>
      <w:r w:rsidR="002875EB" w:rsidRPr="00CF3F9B">
        <w:rPr>
          <w:rFonts w:ascii="Times New Roman" w:hAnsi="Times New Roman"/>
        </w:rPr>
        <w:t xml:space="preserve">In the </w:t>
      </w:r>
      <w:r w:rsidR="002875EB" w:rsidRPr="00CF3F9B">
        <w:rPr>
          <w:rFonts w:ascii="Times New Roman" w:hAnsi="Times New Roman"/>
          <w:i/>
        </w:rPr>
        <w:t>2012 Price Cap Conversion Order</w:t>
      </w:r>
      <w:r w:rsidR="002875EB" w:rsidRPr="00CF3F9B">
        <w:rPr>
          <w:rFonts w:ascii="Times New Roman" w:hAnsi="Times New Roman"/>
        </w:rPr>
        <w:t>, the Commission determined that each exiting pooling carrier had to adjust the NECA switched access rates it was charging to reflect the extent of its net contribution to the pool and to establish switched access rates that would then become the capped switched access rates for that carrier.</w:t>
      </w:r>
      <w:r w:rsidR="002875EB" w:rsidRPr="00CF3F9B">
        <w:rPr>
          <w:rStyle w:val="FootnoteReference"/>
        </w:rPr>
        <w:footnoteReference w:id="48"/>
      </w:r>
      <w:r w:rsidR="002875EB" w:rsidRPr="00CF3F9B">
        <w:rPr>
          <w:rFonts w:ascii="Times New Roman" w:hAnsi="Times New Roman"/>
        </w:rPr>
        <w:t xml:space="preserve">  </w:t>
      </w:r>
      <w:r w:rsidR="008638F9" w:rsidRPr="00CF3F9B">
        <w:rPr>
          <w:rFonts w:ascii="Times New Roman" w:hAnsi="Times New Roman"/>
        </w:rPr>
        <w:t xml:space="preserve">These complimentary actions by NECA and an exiting carrier together further the policies of the </w:t>
      </w:r>
      <w:r w:rsidR="008638F9" w:rsidRPr="00CF3F9B">
        <w:rPr>
          <w:rFonts w:ascii="Times New Roman" w:hAnsi="Times New Roman"/>
          <w:i/>
        </w:rPr>
        <w:t>USF/ICC Transformation Order</w:t>
      </w:r>
      <w:r w:rsidR="009378CF" w:rsidRPr="00CF3F9B">
        <w:rPr>
          <w:rFonts w:ascii="Times New Roman" w:hAnsi="Times New Roman"/>
        </w:rPr>
        <w:t xml:space="preserve"> and </w:t>
      </w:r>
      <w:r w:rsidR="009378CF" w:rsidRPr="00CF3F9B">
        <w:rPr>
          <w:rFonts w:ascii="Times New Roman" w:hAnsi="Times New Roman"/>
          <w:i/>
        </w:rPr>
        <w:t>2012 Price Cap Conversion Order</w:t>
      </w:r>
      <w:r w:rsidR="009378CF" w:rsidRPr="00CF3F9B">
        <w:rPr>
          <w:rFonts w:ascii="Times New Roman" w:hAnsi="Times New Roman"/>
        </w:rPr>
        <w:t>.</w:t>
      </w:r>
      <w:r w:rsidR="008638F9" w:rsidRPr="00CF3F9B">
        <w:rPr>
          <w:rFonts w:ascii="Times New Roman" w:hAnsi="Times New Roman"/>
        </w:rPr>
        <w:t xml:space="preserve"> </w:t>
      </w:r>
    </w:p>
    <w:p w:rsidR="003127AA" w:rsidRPr="00CF3F9B" w:rsidRDefault="003127AA" w:rsidP="00897042">
      <w:pPr>
        <w:pStyle w:val="ParaNum"/>
        <w:spacing w:after="220" w:line="240" w:lineRule="auto"/>
        <w:rPr>
          <w:rFonts w:ascii="Times New Roman" w:hAnsi="Times New Roman"/>
        </w:rPr>
      </w:pPr>
      <w:r w:rsidRPr="00CF3F9B">
        <w:rPr>
          <w:rFonts w:ascii="Times New Roman" w:hAnsi="Times New Roman"/>
          <w:i/>
        </w:rPr>
        <w:t>Discussion</w:t>
      </w:r>
      <w:r w:rsidRPr="00CF3F9B">
        <w:rPr>
          <w:rFonts w:ascii="Times New Roman" w:hAnsi="Times New Roman"/>
        </w:rPr>
        <w:t xml:space="preserve">.  We find that providing a method for adjusting NECA pool switched access rate caps to reflect pool entry and exit </w:t>
      </w:r>
      <w:r w:rsidR="007F4595" w:rsidRPr="00CF3F9B">
        <w:rPr>
          <w:rFonts w:ascii="Times New Roman" w:hAnsi="Times New Roman"/>
        </w:rPr>
        <w:t>corrects an omission in the rate cap rules</w:t>
      </w:r>
      <w:r w:rsidR="004D6C3D" w:rsidRPr="00CF3F9B">
        <w:rPr>
          <w:rFonts w:ascii="Times New Roman" w:hAnsi="Times New Roman"/>
        </w:rPr>
        <w:t>.</w:t>
      </w:r>
      <w:r w:rsidRPr="00CF3F9B">
        <w:rPr>
          <w:rStyle w:val="FootnoteReference"/>
        </w:rPr>
        <w:footnoteReference w:id="49"/>
      </w:r>
      <w:r w:rsidRPr="00CF3F9B">
        <w:rPr>
          <w:rFonts w:ascii="Times New Roman" w:hAnsi="Times New Roman"/>
        </w:rPr>
        <w:t xml:space="preserve"> </w:t>
      </w:r>
      <w:r w:rsidR="005B0817">
        <w:rPr>
          <w:rFonts w:ascii="Times New Roman" w:hAnsi="Times New Roman"/>
        </w:rPr>
        <w:t xml:space="preserve"> </w:t>
      </w:r>
      <w:r w:rsidRPr="00CF3F9B">
        <w:rPr>
          <w:rFonts w:ascii="Times New Roman" w:hAnsi="Times New Roman"/>
        </w:rPr>
        <w:t>Therefore, we amend section 51.909(a) to address this omission</w:t>
      </w:r>
      <w:r w:rsidR="00140DAD" w:rsidRPr="00CF3F9B">
        <w:rPr>
          <w:rFonts w:ascii="Times New Roman" w:hAnsi="Times New Roman"/>
        </w:rPr>
        <w:t>,</w:t>
      </w:r>
      <w:r w:rsidR="007F4595" w:rsidRPr="00CF3F9B">
        <w:rPr>
          <w:rFonts w:ascii="Times New Roman" w:hAnsi="Times New Roman"/>
        </w:rPr>
        <w:t xml:space="preserve"> and </w:t>
      </w:r>
      <w:r w:rsidR="00140DAD" w:rsidRPr="00CF3F9B">
        <w:rPr>
          <w:rFonts w:ascii="Times New Roman" w:hAnsi="Times New Roman"/>
        </w:rPr>
        <w:t xml:space="preserve">to </w:t>
      </w:r>
      <w:r w:rsidR="007F4595" w:rsidRPr="00CF3F9B">
        <w:rPr>
          <w:rFonts w:ascii="Times New Roman" w:hAnsi="Times New Roman"/>
        </w:rPr>
        <w:t>avoid creating unintended burdens on Connect America Fund ICC support</w:t>
      </w:r>
      <w:r w:rsidRPr="00CF3F9B">
        <w:rPr>
          <w:rFonts w:ascii="Times New Roman" w:hAnsi="Times New Roman"/>
        </w:rPr>
        <w:t xml:space="preserve">.   </w:t>
      </w:r>
    </w:p>
    <w:p w:rsidR="003127AA" w:rsidRPr="00CF3F9B" w:rsidRDefault="003127AA" w:rsidP="00897042">
      <w:pPr>
        <w:pStyle w:val="ParaNum"/>
        <w:spacing w:after="220" w:line="240" w:lineRule="auto"/>
        <w:rPr>
          <w:rFonts w:ascii="Times New Roman" w:hAnsi="Times New Roman"/>
        </w:rPr>
      </w:pPr>
      <w:r w:rsidRPr="00CF3F9B">
        <w:rPr>
          <w:rFonts w:ascii="Times New Roman" w:hAnsi="Times New Roman"/>
        </w:rPr>
        <w:t xml:space="preserve">Specifically, </w:t>
      </w:r>
      <w:r w:rsidR="00E11CC2" w:rsidRPr="00CF3F9B">
        <w:rPr>
          <w:rFonts w:ascii="Times New Roman" w:hAnsi="Times New Roman"/>
        </w:rPr>
        <w:t xml:space="preserve">as set forth in the Appendix, </w:t>
      </w:r>
      <w:r w:rsidRPr="00CF3F9B">
        <w:rPr>
          <w:rFonts w:ascii="Times New Roman" w:hAnsi="Times New Roman"/>
        </w:rPr>
        <w:t xml:space="preserve">we revise </w:t>
      </w:r>
      <w:r w:rsidR="00C424F2">
        <w:rPr>
          <w:rFonts w:ascii="Times New Roman" w:hAnsi="Times New Roman"/>
        </w:rPr>
        <w:t>the Commission’s</w:t>
      </w:r>
      <w:r w:rsidR="00C424F2" w:rsidRPr="00CF3F9B">
        <w:rPr>
          <w:rFonts w:ascii="Times New Roman" w:hAnsi="Times New Roman"/>
        </w:rPr>
        <w:t xml:space="preserve"> </w:t>
      </w:r>
      <w:r w:rsidRPr="00CF3F9B">
        <w:rPr>
          <w:rFonts w:ascii="Times New Roman" w:hAnsi="Times New Roman"/>
        </w:rPr>
        <w:t xml:space="preserve">rules to require NECA, when a carrier enters the NECA pool, to adjust its switched access rate caps to account for the difference between the entering carrier’s revenues for the preceding calendar year based on the entering carrier’s switched access rates and what the entering carrier’s revenues for the preceding calendar year would have been if calculated using NECA switched access rates.  Additionally, we revise </w:t>
      </w:r>
      <w:r w:rsidR="00C424F2">
        <w:rPr>
          <w:rFonts w:ascii="Times New Roman" w:hAnsi="Times New Roman"/>
        </w:rPr>
        <w:t>the Commission’s</w:t>
      </w:r>
      <w:r w:rsidR="00C424F2" w:rsidRPr="00CF3F9B">
        <w:rPr>
          <w:rFonts w:ascii="Times New Roman" w:hAnsi="Times New Roman"/>
        </w:rPr>
        <w:t xml:space="preserve"> </w:t>
      </w:r>
      <w:r w:rsidRPr="00CF3F9B">
        <w:rPr>
          <w:rFonts w:ascii="Times New Roman" w:hAnsi="Times New Roman"/>
        </w:rPr>
        <w:t xml:space="preserve">rate cap rules to include a methodology that NECA must use to adjust its switched access rate caps when carriers exit the NECA pool.  Finally, we revise </w:t>
      </w:r>
      <w:r w:rsidR="00C424F2">
        <w:rPr>
          <w:rFonts w:ascii="Times New Roman" w:hAnsi="Times New Roman"/>
        </w:rPr>
        <w:t>the Commission’s</w:t>
      </w:r>
      <w:r w:rsidR="00C424F2" w:rsidRPr="00CF3F9B">
        <w:rPr>
          <w:rFonts w:ascii="Times New Roman" w:hAnsi="Times New Roman"/>
        </w:rPr>
        <w:t xml:space="preserve"> </w:t>
      </w:r>
      <w:r w:rsidRPr="00CF3F9B">
        <w:rPr>
          <w:rFonts w:ascii="Times New Roman" w:hAnsi="Times New Roman"/>
        </w:rPr>
        <w:t>rules to clarify how exiting rate-of-return carriers will establish their switched access rate caps to reflect the amount by which the exiting carrier was a NECA pool net contributor or net recipient.  These rule revisions effectuate the Commission’s intent that NECA pooling remain available during the transition</w:t>
      </w:r>
      <w:r w:rsidR="00CC3CEA" w:rsidRPr="00CF3F9B">
        <w:rPr>
          <w:rFonts w:ascii="Times New Roman" w:hAnsi="Times New Roman"/>
        </w:rPr>
        <w:t>,</w:t>
      </w:r>
      <w:r w:rsidRPr="00CF3F9B">
        <w:rPr>
          <w:rFonts w:ascii="Times New Roman" w:hAnsi="Times New Roman"/>
        </w:rPr>
        <w:t xml:space="preserve"> consistent with its historical operation</w:t>
      </w:r>
      <w:r w:rsidR="00CC3CEA" w:rsidRPr="00CF3F9B">
        <w:rPr>
          <w:rFonts w:ascii="Times New Roman" w:hAnsi="Times New Roman"/>
        </w:rPr>
        <w:t>,</w:t>
      </w:r>
      <w:r w:rsidRPr="00CF3F9B">
        <w:rPr>
          <w:rFonts w:ascii="Times New Roman" w:hAnsi="Times New Roman"/>
        </w:rPr>
        <w:t xml:space="preserve"> and ensure that the balance between interstate switched access revenues and Connect America Fund ICC support is</w:t>
      </w:r>
      <w:r w:rsidR="00FC7902" w:rsidRPr="00CF3F9B">
        <w:rPr>
          <w:rFonts w:ascii="Times New Roman" w:hAnsi="Times New Roman"/>
        </w:rPr>
        <w:t xml:space="preserve"> maintained and does</w:t>
      </w:r>
      <w:r w:rsidRPr="00CF3F9B">
        <w:rPr>
          <w:rFonts w:ascii="Times New Roman" w:hAnsi="Times New Roman"/>
        </w:rPr>
        <w:t xml:space="preserve"> not affect</w:t>
      </w:r>
      <w:r w:rsidR="009370AC" w:rsidRPr="00CF3F9B">
        <w:rPr>
          <w:rFonts w:ascii="Times New Roman" w:hAnsi="Times New Roman"/>
        </w:rPr>
        <w:t xml:space="preserve"> </w:t>
      </w:r>
      <w:r w:rsidR="00FC7902" w:rsidRPr="00CF3F9B">
        <w:rPr>
          <w:rFonts w:ascii="Times New Roman" w:hAnsi="Times New Roman"/>
        </w:rPr>
        <w:t xml:space="preserve">a </w:t>
      </w:r>
      <w:r w:rsidRPr="00CF3F9B">
        <w:rPr>
          <w:rFonts w:ascii="Times New Roman" w:hAnsi="Times New Roman"/>
        </w:rPr>
        <w:t>rate-of-return carrier</w:t>
      </w:r>
      <w:r w:rsidR="00FC7902" w:rsidRPr="00CF3F9B">
        <w:rPr>
          <w:rFonts w:ascii="Times New Roman" w:hAnsi="Times New Roman"/>
        </w:rPr>
        <w:t>’s</w:t>
      </w:r>
      <w:r w:rsidRPr="00CF3F9B">
        <w:rPr>
          <w:rFonts w:ascii="Times New Roman" w:hAnsi="Times New Roman"/>
        </w:rPr>
        <w:t xml:space="preserve"> decision to enter or exit the NECA pool.  </w:t>
      </w:r>
      <w:r w:rsidR="007314FF" w:rsidRPr="00CF3F9B">
        <w:rPr>
          <w:rFonts w:ascii="Times New Roman" w:hAnsi="Times New Roman"/>
        </w:rPr>
        <w:t>T</w:t>
      </w:r>
      <w:r w:rsidR="00140DAD" w:rsidRPr="00CF3F9B">
        <w:rPr>
          <w:rFonts w:ascii="Times New Roman" w:hAnsi="Times New Roman"/>
        </w:rPr>
        <w:t>hese rule revisions also</w:t>
      </w:r>
      <w:r w:rsidRPr="00CF3F9B">
        <w:rPr>
          <w:rFonts w:ascii="Times New Roman" w:hAnsi="Times New Roman"/>
        </w:rPr>
        <w:t xml:space="preserve"> ensure that no party entering or exiting the NECA pool will receive a windfall as a result of its election</w:t>
      </w:r>
      <w:r w:rsidR="00CE7226" w:rsidRPr="00CF3F9B">
        <w:rPr>
          <w:rFonts w:ascii="Times New Roman" w:hAnsi="Times New Roman"/>
        </w:rPr>
        <w:t>,</w:t>
      </w:r>
      <w:r w:rsidR="007314FF" w:rsidRPr="00CF3F9B">
        <w:rPr>
          <w:rFonts w:ascii="Times New Roman" w:hAnsi="Times New Roman"/>
        </w:rPr>
        <w:t xml:space="preserve"> </w:t>
      </w:r>
      <w:r w:rsidR="002D7348" w:rsidRPr="00CF3F9B">
        <w:rPr>
          <w:rFonts w:ascii="Times New Roman" w:hAnsi="Times New Roman"/>
        </w:rPr>
        <w:t>which advances</w:t>
      </w:r>
      <w:r w:rsidR="007314FF" w:rsidRPr="00CF3F9B">
        <w:rPr>
          <w:rFonts w:ascii="Times New Roman" w:hAnsi="Times New Roman"/>
        </w:rPr>
        <w:t xml:space="preserve"> the Commission’s pooling neutral policies</w:t>
      </w:r>
      <w:r w:rsidRPr="00CF3F9B">
        <w:rPr>
          <w:rFonts w:ascii="Times New Roman" w:hAnsi="Times New Roman"/>
        </w:rPr>
        <w:t>.</w:t>
      </w:r>
      <w:r w:rsidRPr="00CF3F9B">
        <w:rPr>
          <w:rStyle w:val="FootnoteReference"/>
        </w:rPr>
        <w:footnoteReference w:id="50"/>
      </w:r>
      <w:r w:rsidRPr="00CF3F9B">
        <w:rPr>
          <w:rFonts w:ascii="Times New Roman" w:hAnsi="Times New Roman"/>
        </w:rPr>
        <w:t xml:space="preserve">   </w:t>
      </w:r>
    </w:p>
    <w:p w:rsidR="003127AA" w:rsidRPr="00CF3F9B" w:rsidRDefault="003127AA" w:rsidP="00897042">
      <w:pPr>
        <w:pStyle w:val="ParaNum"/>
        <w:spacing w:after="220" w:line="240" w:lineRule="auto"/>
        <w:rPr>
          <w:rFonts w:ascii="Times New Roman" w:hAnsi="Times New Roman"/>
        </w:rPr>
      </w:pPr>
      <w:r w:rsidRPr="00CF3F9B">
        <w:rPr>
          <w:rFonts w:ascii="Times New Roman" w:hAnsi="Times New Roman"/>
          <w:i/>
        </w:rPr>
        <w:t>Effects of Changes to Interstate Switched Access Rate</w:t>
      </w:r>
      <w:r w:rsidR="00BA34CC">
        <w:rPr>
          <w:rFonts w:ascii="Times New Roman" w:hAnsi="Times New Roman"/>
          <w:i/>
        </w:rPr>
        <w:t>s</w:t>
      </w:r>
      <w:r w:rsidRPr="00CF3F9B">
        <w:rPr>
          <w:rFonts w:ascii="Times New Roman" w:hAnsi="Times New Roman"/>
          <w:i/>
        </w:rPr>
        <w:t xml:space="preserve"> on Intrastate Rates</w:t>
      </w:r>
      <w:r w:rsidRPr="00CF3F9B">
        <w:rPr>
          <w:rFonts w:ascii="Times New Roman" w:hAnsi="Times New Roman"/>
        </w:rPr>
        <w:t xml:space="preserve">.  We also amend </w:t>
      </w:r>
      <w:r w:rsidR="00C424F2">
        <w:rPr>
          <w:rFonts w:ascii="Times New Roman" w:hAnsi="Times New Roman"/>
        </w:rPr>
        <w:t>the Commission’s</w:t>
      </w:r>
      <w:r w:rsidR="00C424F2" w:rsidRPr="00CF3F9B">
        <w:rPr>
          <w:rFonts w:ascii="Times New Roman" w:hAnsi="Times New Roman"/>
        </w:rPr>
        <w:t xml:space="preserve"> </w:t>
      </w:r>
      <w:r w:rsidRPr="00CF3F9B">
        <w:rPr>
          <w:rFonts w:ascii="Times New Roman" w:hAnsi="Times New Roman"/>
        </w:rPr>
        <w:t xml:space="preserve">rules </w:t>
      </w:r>
      <w:r w:rsidR="0004690D" w:rsidRPr="00CF3F9B">
        <w:rPr>
          <w:rFonts w:ascii="Times New Roman" w:hAnsi="Times New Roman"/>
        </w:rPr>
        <w:t xml:space="preserve">as set forth in the Appendix </w:t>
      </w:r>
      <w:r w:rsidRPr="00CF3F9B">
        <w:rPr>
          <w:rFonts w:ascii="Times New Roman" w:hAnsi="Times New Roman"/>
        </w:rPr>
        <w:t>to clarify the flow-through effects that interstate switched access rate</w:t>
      </w:r>
      <w:r w:rsidR="00BA34CC">
        <w:rPr>
          <w:rFonts w:ascii="Times New Roman" w:hAnsi="Times New Roman"/>
        </w:rPr>
        <w:t xml:space="preserve"> cap</w:t>
      </w:r>
      <w:r w:rsidRPr="00CF3F9B">
        <w:rPr>
          <w:rFonts w:ascii="Times New Roman" w:hAnsi="Times New Roman"/>
        </w:rPr>
        <w:t xml:space="preserve"> adjustments resulting from NECA pool entry or exit will have on intrastate switched access rates.  An underlying objective of the </w:t>
      </w:r>
      <w:r w:rsidRPr="00CF3F9B">
        <w:rPr>
          <w:rFonts w:ascii="Times New Roman" w:hAnsi="Times New Roman"/>
          <w:i/>
        </w:rPr>
        <w:t>USF/ICC Transformation Order</w:t>
      </w:r>
      <w:r w:rsidRPr="00CF3F9B">
        <w:rPr>
          <w:rFonts w:ascii="Times New Roman" w:hAnsi="Times New Roman"/>
        </w:rPr>
        <w:t xml:space="preserve"> was to create a uniform, national framework for the ICC transition.</w:t>
      </w:r>
      <w:r w:rsidRPr="00CF3F9B">
        <w:rPr>
          <w:rStyle w:val="FootnoteReference"/>
        </w:rPr>
        <w:footnoteReference w:id="51"/>
      </w:r>
      <w:r w:rsidRPr="00CF3F9B">
        <w:rPr>
          <w:rFonts w:ascii="Times New Roman" w:hAnsi="Times New Roman"/>
        </w:rPr>
        <w:t xml:space="preserve">  The </w:t>
      </w:r>
      <w:r w:rsidRPr="00CF3F9B">
        <w:rPr>
          <w:rFonts w:ascii="Times New Roman" w:hAnsi="Times New Roman"/>
          <w:i/>
        </w:rPr>
        <w:t>USF/ICC Transformation Order</w:t>
      </w:r>
      <w:r w:rsidRPr="00CF3F9B">
        <w:rPr>
          <w:rFonts w:ascii="Times New Roman" w:hAnsi="Times New Roman"/>
        </w:rPr>
        <w:t xml:space="preserve"> adopted rules that establish maximum intrastate switched access rate levels based on their relationship to interstate rate levels.</w:t>
      </w:r>
      <w:r w:rsidRPr="00CF3F9B">
        <w:rPr>
          <w:rStyle w:val="FootnoteReference"/>
        </w:rPr>
        <w:footnoteReference w:id="52"/>
      </w:r>
      <w:r w:rsidRPr="00CF3F9B">
        <w:rPr>
          <w:rFonts w:ascii="Times New Roman" w:hAnsi="Times New Roman"/>
        </w:rPr>
        <w:t xml:space="preserve">  In a subsequent order, the Bureau clarified the treatment of intrastate switched access rates that are below interstate levels when the intrastate composite switched access rate was higher than the composite interstate switched access rate.</w:t>
      </w:r>
      <w:r w:rsidRPr="00CF3F9B">
        <w:rPr>
          <w:rStyle w:val="FootnoteReference"/>
        </w:rPr>
        <w:footnoteReference w:id="53"/>
      </w:r>
      <w:r w:rsidRPr="00CF3F9B">
        <w:rPr>
          <w:rFonts w:ascii="Times New Roman" w:hAnsi="Times New Roman"/>
        </w:rPr>
        <w:t xml:space="preserve">  Because the Commission’s rules require intrastate switched access rate levels to be set based on interstate rate levels, we clarify that if NECA’s interstate switched access rates decrease, pooling carriers must also reduce their intrastate rates, consistent with the framework established in the </w:t>
      </w:r>
      <w:r w:rsidRPr="00CF3F9B">
        <w:rPr>
          <w:rFonts w:ascii="Times New Roman" w:hAnsi="Times New Roman"/>
          <w:i/>
        </w:rPr>
        <w:t>USF/ICC Transformation Order</w:t>
      </w:r>
      <w:r w:rsidRPr="00CF3F9B">
        <w:rPr>
          <w:rFonts w:ascii="Times New Roman" w:hAnsi="Times New Roman"/>
        </w:rPr>
        <w:t>.  Similarly, we clarify that if NECA’s switched access rates increase, pooling carriers whose intrastate rates would have been at parity with interstate rates in 2013 or that already were at parity with interstate rates are required to increase their intrastate rates.</w:t>
      </w:r>
      <w:r w:rsidRPr="00CF3F9B">
        <w:rPr>
          <w:rStyle w:val="FootnoteReference"/>
        </w:rPr>
        <w:footnoteReference w:id="54"/>
      </w:r>
      <w:r w:rsidRPr="00CF3F9B">
        <w:rPr>
          <w:rFonts w:ascii="Times New Roman" w:hAnsi="Times New Roman"/>
        </w:rPr>
        <w:t xml:space="preserve">  </w:t>
      </w:r>
    </w:p>
    <w:p w:rsidR="003127AA" w:rsidRPr="00CF3F9B" w:rsidRDefault="003127AA" w:rsidP="00897042">
      <w:pPr>
        <w:pStyle w:val="ParaNum"/>
        <w:spacing w:after="220" w:line="240" w:lineRule="auto"/>
        <w:rPr>
          <w:rFonts w:ascii="Times New Roman" w:hAnsi="Times New Roman"/>
        </w:rPr>
      </w:pPr>
      <w:r w:rsidRPr="00CF3F9B">
        <w:rPr>
          <w:rFonts w:ascii="Times New Roman" w:hAnsi="Times New Roman"/>
        </w:rPr>
        <w:t>We further clarify that carriers exiting the NECA traffic-sensitive pool must reduce any intrastate switched access rates that are higher than the</w:t>
      </w:r>
      <w:r w:rsidR="00937FA6">
        <w:rPr>
          <w:rFonts w:ascii="Times New Roman" w:hAnsi="Times New Roman"/>
        </w:rPr>
        <w:t>ir</w:t>
      </w:r>
      <w:r w:rsidRPr="00CF3F9B">
        <w:rPr>
          <w:rFonts w:ascii="Times New Roman" w:hAnsi="Times New Roman"/>
        </w:rPr>
        <w:t xml:space="preserve"> interstate switched access rates to the levels established in connection with exiting the pool pursuant to the rate</w:t>
      </w:r>
      <w:r w:rsidR="00F10D6C" w:rsidRPr="00CF3F9B">
        <w:rPr>
          <w:rFonts w:ascii="Times New Roman" w:hAnsi="Times New Roman"/>
        </w:rPr>
        <w:t xml:space="preserve"> cap</w:t>
      </w:r>
      <w:r w:rsidRPr="00CF3F9B">
        <w:rPr>
          <w:rFonts w:ascii="Times New Roman" w:hAnsi="Times New Roman"/>
        </w:rPr>
        <w:t xml:space="preserve"> revisions adopted in this Order.</w:t>
      </w:r>
      <w:r w:rsidRPr="00CF3F9B">
        <w:rPr>
          <w:rStyle w:val="FootnoteReference"/>
        </w:rPr>
        <w:footnoteReference w:id="55"/>
      </w:r>
      <w:r w:rsidRPr="00CF3F9B">
        <w:rPr>
          <w:rFonts w:ascii="Times New Roman" w:hAnsi="Times New Roman"/>
        </w:rPr>
        <w:t xml:space="preserve">  In all cases, these new or revised rates will become the capped switched access rates set pursuant to 51.909(a)(1) for purposes of applying other rules relying on such rates or rate caps.  In addition, the revised rate caps will be used to establish a carrier’s Eligible Recovery going forward.  Finally, we clarify that, if a switched access rate is revised as a result of the NECA pool entry and exit process, any competitive local exchange carrier (CLEC) benchmarking to that rate mus</w:t>
      </w:r>
      <w:r w:rsidR="005935C9">
        <w:rPr>
          <w:rFonts w:ascii="Times New Roman" w:hAnsi="Times New Roman"/>
        </w:rPr>
        <w:t>t benchmark to the revised rate</w:t>
      </w:r>
      <w:r w:rsidRPr="00CF3F9B">
        <w:rPr>
          <w:rFonts w:ascii="Times New Roman" w:hAnsi="Times New Roman"/>
        </w:rPr>
        <w:t xml:space="preserve">.  </w:t>
      </w:r>
    </w:p>
    <w:p w:rsidR="003127AA" w:rsidRPr="00CF3F9B" w:rsidRDefault="003127AA" w:rsidP="00897042">
      <w:pPr>
        <w:pStyle w:val="Heading1"/>
        <w:spacing w:after="220" w:line="240" w:lineRule="auto"/>
        <w:rPr>
          <w:rFonts w:ascii="Times New Roman" w:hAnsi="Times New Roman"/>
        </w:rPr>
      </w:pPr>
      <w:bookmarkStart w:id="6" w:name="_Toc350498399"/>
      <w:r w:rsidRPr="00CF3F9B">
        <w:rPr>
          <w:rFonts w:ascii="Times New Roman" w:hAnsi="Times New Roman"/>
        </w:rPr>
        <w:t>NECA PETITION FOR CLARIFICATION of POOLING ISSUES</w:t>
      </w:r>
      <w:bookmarkEnd w:id="6"/>
    </w:p>
    <w:p w:rsidR="003127AA" w:rsidRPr="00CF3F9B" w:rsidRDefault="003127AA" w:rsidP="00897042">
      <w:pPr>
        <w:pStyle w:val="ParaNum"/>
        <w:spacing w:after="220" w:line="240" w:lineRule="auto"/>
        <w:rPr>
          <w:rFonts w:ascii="Times New Roman" w:hAnsi="Times New Roman"/>
        </w:rPr>
      </w:pPr>
      <w:r w:rsidRPr="00CF3F9B">
        <w:rPr>
          <w:rFonts w:ascii="Times New Roman" w:hAnsi="Times New Roman"/>
          <w:i/>
        </w:rPr>
        <w:t>Background</w:t>
      </w:r>
      <w:r w:rsidR="005935C9">
        <w:rPr>
          <w:rFonts w:ascii="Times New Roman" w:hAnsi="Times New Roman"/>
        </w:rPr>
        <w:t xml:space="preserve">.  </w:t>
      </w:r>
      <w:r w:rsidRPr="00CF3F9B">
        <w:rPr>
          <w:rFonts w:ascii="Times New Roman" w:hAnsi="Times New Roman"/>
        </w:rPr>
        <w:t>On December 27, 2012, NECA filed a petition</w:t>
      </w:r>
      <w:r w:rsidRPr="00CF3F9B">
        <w:rPr>
          <w:rStyle w:val="FootnoteReference"/>
        </w:rPr>
        <w:footnoteReference w:id="56"/>
      </w:r>
      <w:r w:rsidRPr="00CF3F9B">
        <w:rPr>
          <w:rFonts w:ascii="Times New Roman" w:hAnsi="Times New Roman"/>
        </w:rPr>
        <w:t xml:space="preserve"> seeking clarification of several NECA pooling-related issues flowing from the </w:t>
      </w:r>
      <w:r w:rsidRPr="00CF3F9B">
        <w:rPr>
          <w:rFonts w:ascii="Times New Roman" w:hAnsi="Times New Roman"/>
          <w:i/>
        </w:rPr>
        <w:t>2012 Price Cap Conversion Order</w:t>
      </w:r>
      <w:r w:rsidRPr="00CF3F9B">
        <w:rPr>
          <w:rFonts w:ascii="Times New Roman" w:hAnsi="Times New Roman"/>
        </w:rPr>
        <w:t>.</w:t>
      </w:r>
      <w:r w:rsidRPr="00CF3F9B">
        <w:rPr>
          <w:rStyle w:val="FootnoteReference"/>
        </w:rPr>
        <w:footnoteReference w:id="57"/>
      </w:r>
      <w:r w:rsidRPr="00CF3F9B">
        <w:rPr>
          <w:rFonts w:ascii="Times New Roman" w:hAnsi="Times New Roman"/>
        </w:rPr>
        <w:t xml:space="preserve">  In that order, the Commission granted a waiver to allow Consolidated Communications, Inc., Frontier Communications Corporation and Windstream Corporation to convert their respective average schedule study areas from rate-of-return regulation to the regulatory requirements applicable to price cap carriers.</w:t>
      </w:r>
      <w:r w:rsidRPr="00CF3F9B">
        <w:rPr>
          <w:rStyle w:val="FootnoteReference"/>
        </w:rPr>
        <w:footnoteReference w:id="58"/>
      </w:r>
      <w:r w:rsidRPr="00CF3F9B">
        <w:rPr>
          <w:rFonts w:ascii="Times New Roman" w:hAnsi="Times New Roman"/>
        </w:rPr>
        <w:t xml:space="preserve">  </w:t>
      </w:r>
      <w:r w:rsidR="00CA49EC" w:rsidRPr="00CF3F9B">
        <w:rPr>
          <w:rFonts w:ascii="Times New Roman" w:hAnsi="Times New Roman"/>
        </w:rPr>
        <w:t>T</w:t>
      </w:r>
      <w:r w:rsidRPr="00CF3F9B">
        <w:rPr>
          <w:rFonts w:ascii="Times New Roman" w:hAnsi="Times New Roman"/>
        </w:rPr>
        <w:t>he Commission also granted a waiver of section 51.909 to the extent necessary to allow NECA to increase its switched access rates to reflect the lost contributions to the switched access portion of the NECA pool.</w:t>
      </w:r>
      <w:r w:rsidRPr="00CF3F9B">
        <w:rPr>
          <w:rStyle w:val="FootnoteReference"/>
        </w:rPr>
        <w:footnoteReference w:id="59"/>
      </w:r>
      <w:r w:rsidRPr="00CF3F9B">
        <w:rPr>
          <w:rFonts w:ascii="Times New Roman" w:hAnsi="Times New Roman"/>
        </w:rPr>
        <w:t xml:space="preserve">   </w:t>
      </w:r>
    </w:p>
    <w:p w:rsidR="003127AA" w:rsidRPr="00CF3F9B" w:rsidRDefault="003127AA" w:rsidP="00897042">
      <w:pPr>
        <w:pStyle w:val="ParaNum"/>
        <w:spacing w:after="220" w:line="240" w:lineRule="auto"/>
        <w:rPr>
          <w:rFonts w:ascii="Times New Roman" w:hAnsi="Times New Roman"/>
        </w:rPr>
      </w:pPr>
      <w:r w:rsidRPr="00CF3F9B">
        <w:rPr>
          <w:rFonts w:ascii="Times New Roman" w:hAnsi="Times New Roman"/>
          <w:i/>
        </w:rPr>
        <w:t>Discussion</w:t>
      </w:r>
      <w:r w:rsidRPr="00CF3F9B">
        <w:rPr>
          <w:rFonts w:ascii="Times New Roman" w:hAnsi="Times New Roman"/>
        </w:rPr>
        <w:t xml:space="preserve">.  NECA first asks the Commission to clarify that </w:t>
      </w:r>
      <w:r w:rsidR="00CA49EC" w:rsidRPr="00CF3F9B">
        <w:rPr>
          <w:rFonts w:ascii="Times New Roman" w:hAnsi="Times New Roman"/>
        </w:rPr>
        <w:t xml:space="preserve">NECA </w:t>
      </w:r>
      <w:r w:rsidR="002B6957">
        <w:rPr>
          <w:rFonts w:ascii="Times New Roman" w:hAnsi="Times New Roman"/>
        </w:rPr>
        <w:t>pooling</w:t>
      </w:r>
      <w:r w:rsidR="00CA49EC" w:rsidRPr="00CF3F9B">
        <w:rPr>
          <w:rFonts w:ascii="Times New Roman" w:hAnsi="Times New Roman"/>
        </w:rPr>
        <w:t xml:space="preserve"> carriers</w:t>
      </w:r>
      <w:r w:rsidRPr="00CF3F9B">
        <w:rPr>
          <w:rFonts w:ascii="Times New Roman" w:hAnsi="Times New Roman"/>
        </w:rPr>
        <w:t xml:space="preserve"> do not need to change their “Step 1” intrastate rates to account for interstate rate adjustments related to the converting carriers’ exit from the </w:t>
      </w:r>
      <w:r w:rsidR="00F10D6C" w:rsidRPr="00CF3F9B">
        <w:rPr>
          <w:rFonts w:ascii="Times New Roman" w:hAnsi="Times New Roman"/>
        </w:rPr>
        <w:t xml:space="preserve">NECA </w:t>
      </w:r>
      <w:r w:rsidRPr="00CF3F9B">
        <w:rPr>
          <w:rFonts w:ascii="Times New Roman" w:hAnsi="Times New Roman"/>
        </w:rPr>
        <w:t>pool.</w:t>
      </w:r>
      <w:r w:rsidRPr="00CF3F9B">
        <w:rPr>
          <w:rStyle w:val="FootnoteReference"/>
        </w:rPr>
        <w:footnoteReference w:id="60"/>
      </w:r>
      <w:r w:rsidR="005935C9">
        <w:rPr>
          <w:rFonts w:ascii="Times New Roman" w:hAnsi="Times New Roman"/>
        </w:rPr>
        <w:t xml:space="preserve">  </w:t>
      </w:r>
      <w:r w:rsidRPr="00CF3F9B">
        <w:rPr>
          <w:rFonts w:ascii="Times New Roman" w:hAnsi="Times New Roman"/>
        </w:rPr>
        <w:t xml:space="preserve">The Step 1 intrastate rate reductions required </w:t>
      </w:r>
      <w:r w:rsidR="00A47FD8">
        <w:rPr>
          <w:rFonts w:ascii="Times New Roman" w:hAnsi="Times New Roman"/>
        </w:rPr>
        <w:t>carriers</w:t>
      </w:r>
      <w:r w:rsidR="00A47FD8" w:rsidRPr="00CF3F9B">
        <w:rPr>
          <w:rFonts w:ascii="Times New Roman" w:hAnsi="Times New Roman"/>
        </w:rPr>
        <w:t xml:space="preserve"> </w:t>
      </w:r>
      <w:r w:rsidRPr="00CF3F9B">
        <w:rPr>
          <w:rFonts w:ascii="Times New Roman" w:hAnsi="Times New Roman"/>
        </w:rPr>
        <w:t>to reduce their intrastate access rates, effective on July 3, 2012, based on one-half of the difference between the revenue they would have received from transitional intrastate access service if it had been priced at the capped interstate access rates and the revenue received from intrastate access rates.</w:t>
      </w:r>
      <w:r w:rsidRPr="00CF3F9B">
        <w:rPr>
          <w:rStyle w:val="FootnoteReference"/>
        </w:rPr>
        <w:footnoteReference w:id="61"/>
      </w:r>
      <w:r w:rsidR="005935C9">
        <w:rPr>
          <w:rFonts w:ascii="Times New Roman" w:hAnsi="Times New Roman"/>
        </w:rPr>
        <w:t xml:space="preserve">  </w:t>
      </w:r>
      <w:r w:rsidRPr="00CF3F9B">
        <w:rPr>
          <w:rFonts w:ascii="Times New Roman" w:hAnsi="Times New Roman"/>
        </w:rPr>
        <w:t xml:space="preserve">NECA notes that if the Step 1 fifty-percent requirement were ongoing, the increase in interstate access rates on January 1, 2013 would have similarly required an increase in intrastate rates on January 1, 2013.  If intrastate rates were adjusted in early 2013 to reflect the </w:t>
      </w:r>
      <w:r w:rsidRPr="00CF3F9B">
        <w:rPr>
          <w:rFonts w:ascii="Times New Roman" w:hAnsi="Times New Roman"/>
          <w:i/>
        </w:rPr>
        <w:t>2012 Price Cap Conversion Order</w:t>
      </w:r>
      <w:r w:rsidRPr="00CF3F9B">
        <w:rPr>
          <w:rFonts w:ascii="Times New Roman" w:hAnsi="Times New Roman"/>
        </w:rPr>
        <w:t xml:space="preserve">, these adjustments would only be effective until carriers made their 2013 annual access tariff filings, which, under the ICC transition rules, require intrastate switched access rates subject to the ICC transition to be no higher than </w:t>
      </w:r>
      <w:r w:rsidR="00406BD5" w:rsidRPr="00CF3F9B">
        <w:rPr>
          <w:rFonts w:ascii="Times New Roman" w:hAnsi="Times New Roman"/>
        </w:rPr>
        <w:t xml:space="preserve">the </w:t>
      </w:r>
      <w:r w:rsidRPr="00CF3F9B">
        <w:rPr>
          <w:rFonts w:ascii="Times New Roman" w:hAnsi="Times New Roman"/>
        </w:rPr>
        <w:t>corresponding interstate rates as of July 1, 2013.</w:t>
      </w:r>
      <w:r w:rsidRPr="00CF3F9B">
        <w:rPr>
          <w:rStyle w:val="FootnoteReference"/>
        </w:rPr>
        <w:footnoteReference w:id="62"/>
      </w:r>
      <w:r w:rsidRPr="00CF3F9B">
        <w:rPr>
          <w:rFonts w:ascii="Times New Roman" w:hAnsi="Times New Roman"/>
        </w:rPr>
        <w:t xml:space="preserve">  We believe that adjusting intrastate rates in this manner would have presented an unnecessary administrative burden with little, if any, offsetting benefit.</w:t>
      </w:r>
      <w:r w:rsidRPr="00CF3F9B">
        <w:rPr>
          <w:rStyle w:val="FootnoteReference"/>
        </w:rPr>
        <w:footnoteReference w:id="63"/>
      </w:r>
      <w:r w:rsidRPr="00CF3F9B">
        <w:rPr>
          <w:rFonts w:ascii="Times New Roman" w:hAnsi="Times New Roman"/>
        </w:rPr>
        <w:t xml:space="preserve">  If the Commission had intended to require such adjustments, carriers would have been precluded from doing so without further Commission action due to the prohibition on rate increases.</w:t>
      </w:r>
      <w:r w:rsidRPr="00CF3F9B">
        <w:rPr>
          <w:rStyle w:val="FootnoteReference"/>
        </w:rPr>
        <w:footnoteReference w:id="64"/>
      </w:r>
      <w:r w:rsidRPr="00CF3F9B">
        <w:rPr>
          <w:rFonts w:ascii="Times New Roman" w:hAnsi="Times New Roman"/>
        </w:rPr>
        <w:t xml:space="preserve">  Therefore, we clarify that the Step 1 reduction was a one-time calculation that occurred on July 3, 2012 with no ongoing intrastate ratemaking obligation as a result of the waiver.</w:t>
      </w:r>
      <w:r w:rsidRPr="00CF3F9B">
        <w:rPr>
          <w:rStyle w:val="FootnoteReference"/>
        </w:rPr>
        <w:footnoteReference w:id="65"/>
      </w:r>
      <w:r w:rsidRPr="00CF3F9B">
        <w:rPr>
          <w:rFonts w:ascii="Times New Roman" w:hAnsi="Times New Roman"/>
        </w:rPr>
        <w:t xml:space="preserve">  Thus, carriers were not required to recalculate and </w:t>
      </w:r>
      <w:r w:rsidR="007F112A" w:rsidRPr="00CF3F9B">
        <w:rPr>
          <w:rFonts w:ascii="Times New Roman" w:hAnsi="Times New Roman"/>
        </w:rPr>
        <w:t>re-file</w:t>
      </w:r>
      <w:r w:rsidRPr="00CF3F9B">
        <w:rPr>
          <w:rFonts w:ascii="Times New Roman" w:hAnsi="Times New Roman"/>
        </w:rPr>
        <w:t xml:space="preserve"> intrastate rates as of January 1, 2013.  </w:t>
      </w:r>
    </w:p>
    <w:p w:rsidR="003127AA" w:rsidRPr="00CF3F9B" w:rsidRDefault="003127AA" w:rsidP="00897042">
      <w:pPr>
        <w:pStyle w:val="ParaNum"/>
        <w:spacing w:after="220" w:line="240" w:lineRule="auto"/>
        <w:rPr>
          <w:rFonts w:ascii="Times New Roman" w:hAnsi="Times New Roman"/>
        </w:rPr>
      </w:pPr>
      <w:r w:rsidRPr="00CF3F9B">
        <w:rPr>
          <w:rFonts w:ascii="Times New Roman" w:hAnsi="Times New Roman"/>
        </w:rPr>
        <w:t xml:space="preserve">NECA also requests confirmation that </w:t>
      </w:r>
      <w:r w:rsidR="00CA49EC" w:rsidRPr="00CF3F9B">
        <w:rPr>
          <w:rFonts w:ascii="Times New Roman" w:hAnsi="Times New Roman"/>
        </w:rPr>
        <w:t xml:space="preserve">NECA </w:t>
      </w:r>
      <w:r w:rsidR="00865DAD">
        <w:rPr>
          <w:rFonts w:ascii="Times New Roman" w:hAnsi="Times New Roman"/>
        </w:rPr>
        <w:t>pooling</w:t>
      </w:r>
      <w:r w:rsidRPr="00CF3F9B">
        <w:rPr>
          <w:rFonts w:ascii="Times New Roman" w:hAnsi="Times New Roman"/>
        </w:rPr>
        <w:t xml:space="preserve"> carriers are not required to impute differences between the current intrastate rates and what the intrastate rates would be if adjusted to correspond with the increase in interstate rates required by the </w:t>
      </w:r>
      <w:r w:rsidRPr="00CF3F9B">
        <w:rPr>
          <w:rFonts w:ascii="Times New Roman" w:hAnsi="Times New Roman"/>
          <w:i/>
        </w:rPr>
        <w:t>2012 Price Cap Conversion Order</w:t>
      </w:r>
      <w:r w:rsidRPr="00CF3F9B">
        <w:rPr>
          <w:rFonts w:ascii="Times New Roman" w:hAnsi="Times New Roman"/>
        </w:rPr>
        <w:t>.</w:t>
      </w:r>
      <w:r w:rsidRPr="00CF3F9B">
        <w:rPr>
          <w:rStyle w:val="FootnoteReference"/>
        </w:rPr>
        <w:footnoteReference w:id="66"/>
      </w:r>
      <w:r w:rsidRPr="00CF3F9B">
        <w:rPr>
          <w:rFonts w:ascii="Times New Roman" w:hAnsi="Times New Roman"/>
        </w:rPr>
        <w:t xml:space="preserve">  NECA notes that the Commission has required carriers to use the “maximum assessable rate” in projecting 2012-13 intrastate revenues for purposes of calculating Eligible Recovery.</w:t>
      </w:r>
      <w:r w:rsidRPr="00CF3F9B">
        <w:rPr>
          <w:rStyle w:val="FootnoteReference"/>
        </w:rPr>
        <w:footnoteReference w:id="67"/>
      </w:r>
      <w:r w:rsidR="005935C9">
        <w:rPr>
          <w:rFonts w:ascii="Times New Roman" w:hAnsi="Times New Roman"/>
        </w:rPr>
        <w:t xml:space="preserve">  </w:t>
      </w:r>
      <w:r w:rsidRPr="00CF3F9B">
        <w:rPr>
          <w:rFonts w:ascii="Times New Roman" w:hAnsi="Times New Roman"/>
        </w:rPr>
        <w:t xml:space="preserve">As we clarified above, no increase in intrastate rates is required in this context.  Thus, there is no higher rate to impute, and rate-of-return carriers must use </w:t>
      </w:r>
      <w:r w:rsidR="00406BD5" w:rsidRPr="00CF3F9B">
        <w:rPr>
          <w:rFonts w:ascii="Times New Roman" w:hAnsi="Times New Roman"/>
        </w:rPr>
        <w:t xml:space="preserve">the </w:t>
      </w:r>
      <w:r w:rsidRPr="00CF3F9B">
        <w:rPr>
          <w:rFonts w:ascii="Times New Roman" w:hAnsi="Times New Roman"/>
        </w:rPr>
        <w:t xml:space="preserve">highest intrastate switched access rates they could have charged in calculating true-ups to their 2012-13 tariff year Eligible Recovery.  </w:t>
      </w:r>
    </w:p>
    <w:p w:rsidR="003127AA" w:rsidRPr="00CF3F9B" w:rsidRDefault="003127AA" w:rsidP="00897042">
      <w:pPr>
        <w:pStyle w:val="ParaNum"/>
        <w:spacing w:after="220" w:line="240" w:lineRule="auto"/>
        <w:rPr>
          <w:rFonts w:ascii="Times New Roman" w:hAnsi="Times New Roman"/>
        </w:rPr>
      </w:pPr>
      <w:r w:rsidRPr="00CF3F9B">
        <w:rPr>
          <w:rFonts w:ascii="Times New Roman" w:hAnsi="Times New Roman"/>
        </w:rPr>
        <w:t xml:space="preserve">Finally, NECA asks the Commission to clarify whether, when calculating “Step 2” transitional intrastate switched access rates, NECA </w:t>
      </w:r>
      <w:r w:rsidR="00865DAD">
        <w:rPr>
          <w:rFonts w:ascii="Times New Roman" w:hAnsi="Times New Roman"/>
        </w:rPr>
        <w:t>pooling</w:t>
      </w:r>
      <w:r w:rsidRPr="00CF3F9B">
        <w:rPr>
          <w:rFonts w:ascii="Times New Roman" w:hAnsi="Times New Roman"/>
        </w:rPr>
        <w:t xml:space="preserve"> carriers whose interstate switched access rates rose as of January 1, 2013 as a result of the </w:t>
      </w:r>
      <w:r w:rsidRPr="00CF3F9B">
        <w:rPr>
          <w:rFonts w:ascii="Times New Roman" w:hAnsi="Times New Roman"/>
          <w:i/>
        </w:rPr>
        <w:t>2012 Price Cap Conversion Order</w:t>
      </w:r>
      <w:r w:rsidRPr="00CF3F9B">
        <w:rPr>
          <w:rFonts w:ascii="Times New Roman" w:hAnsi="Times New Roman"/>
        </w:rPr>
        <w:t xml:space="preserve"> should raise their intrastate switched access rates to match their interstate rate levels by July 1, 2013.</w:t>
      </w:r>
      <w:r w:rsidRPr="00CF3F9B">
        <w:rPr>
          <w:rStyle w:val="FootnoteReference"/>
        </w:rPr>
        <w:footnoteReference w:id="68"/>
      </w:r>
      <w:r w:rsidRPr="00CF3F9B">
        <w:rPr>
          <w:rFonts w:ascii="Times New Roman" w:hAnsi="Times New Roman"/>
        </w:rPr>
        <w:t xml:space="preserve">  The rules we </w:t>
      </w:r>
      <w:r w:rsidR="00ED2FCA" w:rsidRPr="00CF3F9B">
        <w:rPr>
          <w:rFonts w:ascii="Times New Roman" w:hAnsi="Times New Roman"/>
        </w:rPr>
        <w:t xml:space="preserve">clarify </w:t>
      </w:r>
      <w:r w:rsidRPr="00CF3F9B">
        <w:rPr>
          <w:rFonts w:ascii="Times New Roman" w:hAnsi="Times New Roman"/>
        </w:rPr>
        <w:t>in Section III above, which maintain interstate and intrastate switched access rate parity when a rate-of-return carrier enters or exits the NECA pool, address this request by clarifying that NECA pooling carriers must, in the circumstances described in the NECA Petition, raise their intrastate switched access rates to match interstate switched access rate levels on July 1, 2013, subject to the same rate structure and all subsequent rate and rate structure modifications.</w:t>
      </w:r>
      <w:r w:rsidRPr="00CF3F9B">
        <w:rPr>
          <w:rStyle w:val="FootnoteReference"/>
        </w:rPr>
        <w:footnoteReference w:id="69"/>
      </w:r>
      <w:r w:rsidRPr="00CF3F9B">
        <w:rPr>
          <w:rFonts w:ascii="Times New Roman" w:hAnsi="Times New Roman"/>
        </w:rPr>
        <w:t xml:space="preserve">  A carrier that does not raise its intrastate rates would be required to impute the higher rates in projecting its switched access revenues for the 2013-14 tariff period </w:t>
      </w:r>
      <w:r w:rsidR="00140DAD" w:rsidRPr="00CF3F9B">
        <w:rPr>
          <w:rFonts w:ascii="Times New Roman" w:hAnsi="Times New Roman"/>
        </w:rPr>
        <w:t>when</w:t>
      </w:r>
      <w:r w:rsidRPr="00CF3F9B">
        <w:rPr>
          <w:rFonts w:ascii="Times New Roman" w:hAnsi="Times New Roman"/>
        </w:rPr>
        <w:t xml:space="preserve"> calculating its Eligible Recovery. </w:t>
      </w:r>
    </w:p>
    <w:p w:rsidR="003127AA" w:rsidRPr="00CF3F9B" w:rsidRDefault="003127AA" w:rsidP="00897042">
      <w:pPr>
        <w:pStyle w:val="Heading1"/>
        <w:spacing w:after="220" w:line="240" w:lineRule="auto"/>
        <w:rPr>
          <w:rFonts w:ascii="Times New Roman" w:hAnsi="Times New Roman"/>
        </w:rPr>
      </w:pPr>
      <w:bookmarkStart w:id="7" w:name="_Toc350498400"/>
      <w:r w:rsidRPr="00CF3F9B">
        <w:rPr>
          <w:rFonts w:ascii="Times New Roman" w:hAnsi="Times New Roman"/>
        </w:rPr>
        <w:t>“STEP 2” TRANSITIONAL INTRASTATE ACCESS SERVICE RATES</w:t>
      </w:r>
      <w:bookmarkEnd w:id="7"/>
    </w:p>
    <w:p w:rsidR="003127AA" w:rsidRPr="00CF3F9B" w:rsidRDefault="003127AA" w:rsidP="00897042">
      <w:pPr>
        <w:pStyle w:val="ParaNum"/>
        <w:spacing w:after="220" w:line="240" w:lineRule="auto"/>
        <w:rPr>
          <w:rFonts w:ascii="Times New Roman" w:hAnsi="Times New Roman"/>
        </w:rPr>
      </w:pPr>
      <w:r w:rsidRPr="00CF3F9B">
        <w:rPr>
          <w:rFonts w:ascii="Times New Roman" w:hAnsi="Times New Roman"/>
          <w:i/>
        </w:rPr>
        <w:t>Background</w:t>
      </w:r>
      <w:r w:rsidR="005935C9">
        <w:rPr>
          <w:rFonts w:ascii="Times New Roman" w:hAnsi="Times New Roman"/>
        </w:rPr>
        <w:t xml:space="preserve">.  </w:t>
      </w:r>
      <w:r w:rsidRPr="00CF3F9B">
        <w:rPr>
          <w:rFonts w:ascii="Times New Roman" w:hAnsi="Times New Roman"/>
        </w:rPr>
        <w:t xml:space="preserve">The </w:t>
      </w:r>
      <w:r w:rsidRPr="00CF3F9B">
        <w:rPr>
          <w:rFonts w:ascii="Times New Roman" w:hAnsi="Times New Roman"/>
          <w:i/>
        </w:rPr>
        <w:t>USF/ICC Transformation Order</w:t>
      </w:r>
      <w:r w:rsidRPr="00CF3F9B">
        <w:rPr>
          <w:rFonts w:ascii="Times New Roman" w:hAnsi="Times New Roman"/>
        </w:rPr>
        <w:t xml:space="preserve">, among other things, adopted rules setting forth a transition path to bill-and-keep for certain terminating switched end office and transport rates, certain originating and terminating dedicated transport rates, and certain </w:t>
      </w:r>
      <w:r w:rsidR="004D6C3D" w:rsidRPr="00CF3F9B">
        <w:rPr>
          <w:rFonts w:ascii="Times New Roman" w:hAnsi="Times New Roman"/>
        </w:rPr>
        <w:t xml:space="preserve">legacy </w:t>
      </w:r>
      <w:r w:rsidRPr="00CF3F9B">
        <w:rPr>
          <w:rFonts w:ascii="Times New Roman" w:hAnsi="Times New Roman"/>
        </w:rPr>
        <w:t>reciprocal compensation rates.</w:t>
      </w:r>
      <w:r w:rsidRPr="00CF3F9B">
        <w:rPr>
          <w:rStyle w:val="FootnoteReference"/>
        </w:rPr>
        <w:footnoteReference w:id="70"/>
      </w:r>
      <w:r w:rsidRPr="00CF3F9B">
        <w:rPr>
          <w:rFonts w:ascii="Times New Roman" w:hAnsi="Times New Roman"/>
        </w:rPr>
        <w:t xml:space="preserve">  As part of the “Step 1” transition, beginning July 1, 2012, price cap and rate-of-return carriers were required to reduce intrastate terminating switched end office and transport rates, originating and terminating dedicated transport rates, and reciprocal compensation rates by fifty percent of the difference between such rates and each carrier’s interstate access rates as of December 29, 2011.</w:t>
      </w:r>
      <w:r w:rsidRPr="00CF3F9B">
        <w:rPr>
          <w:rStyle w:val="FootnoteReference"/>
        </w:rPr>
        <w:footnoteReference w:id="71"/>
      </w:r>
      <w:r w:rsidRPr="00CF3F9B">
        <w:rPr>
          <w:rFonts w:ascii="Times New Roman" w:hAnsi="Times New Roman"/>
        </w:rPr>
        <w:t xml:space="preserve">  As part of the “Step 2” transition, beginning July 1, 2013, price cap and rate-of-return carriers are required to reduce their intrastate switched access rates, including originating and terminating dedicated transport switched access service rates, to parity with interstate switched access rates.</w:t>
      </w:r>
      <w:r w:rsidRPr="00CF3F9B">
        <w:rPr>
          <w:rStyle w:val="FootnoteReference"/>
        </w:rPr>
        <w:footnoteReference w:id="72"/>
      </w:r>
      <w:r w:rsidRPr="00CF3F9B">
        <w:rPr>
          <w:rFonts w:ascii="Times New Roman" w:hAnsi="Times New Roman"/>
        </w:rPr>
        <w:t xml:space="preserve">  However, the rules adopted in the </w:t>
      </w:r>
      <w:r w:rsidRPr="00CF3F9B">
        <w:rPr>
          <w:rFonts w:ascii="Times New Roman" w:hAnsi="Times New Roman"/>
          <w:i/>
        </w:rPr>
        <w:t>USF/ICC Transformation Order</w:t>
      </w:r>
      <w:r w:rsidRPr="00CF3F9B">
        <w:rPr>
          <w:rFonts w:ascii="Times New Roman" w:hAnsi="Times New Roman"/>
        </w:rPr>
        <w:t xml:space="preserve"> to implement Step 2 of the transition inadvertently omitted originating and terminating dedicated transport switched access service rates from the list of rate-of-return carrier rate elements subject to the Step 2 reductions that must be reduced to the interstate level by July 1, 2013.</w:t>
      </w:r>
      <w:r w:rsidRPr="00CF3F9B">
        <w:rPr>
          <w:rStyle w:val="FootnoteReference"/>
        </w:rPr>
        <w:footnoteReference w:id="73"/>
      </w:r>
      <w:r w:rsidRPr="00CF3F9B">
        <w:rPr>
          <w:rFonts w:ascii="Times New Roman" w:hAnsi="Times New Roman"/>
        </w:rPr>
        <w:t xml:space="preserve">         </w:t>
      </w:r>
    </w:p>
    <w:p w:rsidR="003127AA" w:rsidRPr="00CF3F9B" w:rsidRDefault="003127AA" w:rsidP="00897042">
      <w:pPr>
        <w:pStyle w:val="ParaNum"/>
        <w:spacing w:after="220" w:line="240" w:lineRule="auto"/>
        <w:rPr>
          <w:rFonts w:ascii="Times New Roman" w:hAnsi="Times New Roman"/>
        </w:rPr>
      </w:pPr>
      <w:r w:rsidRPr="00CF3F9B">
        <w:rPr>
          <w:rFonts w:ascii="Times New Roman" w:hAnsi="Times New Roman"/>
          <w:i/>
        </w:rPr>
        <w:t>Discussion</w:t>
      </w:r>
      <w:r w:rsidR="00140DAD" w:rsidRPr="00CF3F9B">
        <w:rPr>
          <w:rFonts w:ascii="Times New Roman" w:hAnsi="Times New Roman"/>
        </w:rPr>
        <w:t>.  W</w:t>
      </w:r>
      <w:r w:rsidRPr="00CF3F9B">
        <w:rPr>
          <w:rFonts w:ascii="Times New Roman" w:hAnsi="Times New Roman"/>
        </w:rPr>
        <w:t>e correct this omission in the Commission’s rules by amending the rules governing rate-of-return carriers’ transitional intrastate access rates.</w:t>
      </w:r>
      <w:r w:rsidRPr="00CF3F9B">
        <w:rPr>
          <w:rStyle w:val="FootnoteReference"/>
        </w:rPr>
        <w:footnoteReference w:id="74"/>
      </w:r>
      <w:r w:rsidRPr="00CF3F9B">
        <w:rPr>
          <w:rFonts w:ascii="Times New Roman" w:hAnsi="Times New Roman"/>
        </w:rPr>
        <w:t xml:space="preserve">  </w:t>
      </w:r>
      <w:r w:rsidR="00406BD5" w:rsidRPr="00CF3F9B">
        <w:rPr>
          <w:rFonts w:ascii="Times New Roman" w:hAnsi="Times New Roman"/>
        </w:rPr>
        <w:t>We</w:t>
      </w:r>
      <w:r w:rsidRPr="00CF3F9B">
        <w:rPr>
          <w:rFonts w:ascii="Times New Roman" w:hAnsi="Times New Roman"/>
        </w:rPr>
        <w:t xml:space="preserve"> revise the transitional intrastate access service rate schedule in section 51.909(c)(1) to include originating and terminating dedicated transport switched access services rates within the intrastate rate elements that </w:t>
      </w:r>
      <w:r w:rsidR="004310D7" w:rsidRPr="00CF3F9B">
        <w:rPr>
          <w:rFonts w:ascii="Times New Roman" w:hAnsi="Times New Roman"/>
        </w:rPr>
        <w:t>must</w:t>
      </w:r>
      <w:r w:rsidRPr="00CF3F9B">
        <w:rPr>
          <w:rFonts w:ascii="Times New Roman" w:hAnsi="Times New Roman"/>
        </w:rPr>
        <w:t xml:space="preserve"> be reduced to parity with interstate switched access rates beginning July 1, 2013.  </w:t>
      </w:r>
    </w:p>
    <w:p w:rsidR="003127AA" w:rsidRPr="00CF3F9B" w:rsidRDefault="003127AA" w:rsidP="00897042">
      <w:pPr>
        <w:pStyle w:val="Heading1"/>
        <w:spacing w:after="220" w:line="240" w:lineRule="auto"/>
        <w:rPr>
          <w:rFonts w:ascii="Times New Roman" w:hAnsi="Times New Roman"/>
        </w:rPr>
      </w:pPr>
      <w:bookmarkStart w:id="8" w:name="_Toc350498401"/>
      <w:r w:rsidRPr="00CF3F9B">
        <w:rPr>
          <w:rFonts w:ascii="Times New Roman" w:hAnsi="Times New Roman"/>
        </w:rPr>
        <w:t>TREATMENT OF LOCAL SWITCHING SUPPORT IN PART 69 CALCULATIONS</w:t>
      </w:r>
      <w:bookmarkEnd w:id="8"/>
    </w:p>
    <w:p w:rsidR="003127AA" w:rsidRPr="00CF3F9B" w:rsidRDefault="003127AA" w:rsidP="00897042">
      <w:pPr>
        <w:pStyle w:val="ParaNum"/>
        <w:spacing w:after="220" w:line="240" w:lineRule="auto"/>
        <w:rPr>
          <w:rFonts w:ascii="Times New Roman" w:hAnsi="Times New Roman"/>
        </w:rPr>
      </w:pPr>
      <w:r w:rsidRPr="00CF3F9B">
        <w:rPr>
          <w:rFonts w:ascii="Times New Roman" w:hAnsi="Times New Roman"/>
          <w:i/>
        </w:rPr>
        <w:t>Background</w:t>
      </w:r>
      <w:r w:rsidRPr="00CF3F9B">
        <w:rPr>
          <w:rFonts w:ascii="Times New Roman" w:hAnsi="Times New Roman"/>
        </w:rPr>
        <w:t xml:space="preserve">.  In the </w:t>
      </w:r>
      <w:r w:rsidRPr="00CF3F9B">
        <w:rPr>
          <w:rFonts w:ascii="Times New Roman" w:hAnsi="Times New Roman"/>
          <w:i/>
        </w:rPr>
        <w:t>USF/ICC Transformation Order</w:t>
      </w:r>
      <w:r w:rsidRPr="00CF3F9B">
        <w:rPr>
          <w:rFonts w:ascii="Times New Roman" w:hAnsi="Times New Roman"/>
        </w:rPr>
        <w:t xml:space="preserve">, the Commission eliminated </w:t>
      </w:r>
      <w:r w:rsidR="00794D1B" w:rsidRPr="00CF3F9B">
        <w:rPr>
          <w:rFonts w:ascii="Times New Roman" w:hAnsi="Times New Roman"/>
        </w:rPr>
        <w:t>Local Switching Support (</w:t>
      </w:r>
      <w:r w:rsidRPr="00CF3F9B">
        <w:rPr>
          <w:rFonts w:ascii="Times New Roman" w:hAnsi="Times New Roman"/>
        </w:rPr>
        <w:t>LSS</w:t>
      </w:r>
      <w:r w:rsidR="00794D1B" w:rsidRPr="00CF3F9B">
        <w:rPr>
          <w:rFonts w:ascii="Times New Roman" w:hAnsi="Times New Roman"/>
        </w:rPr>
        <w:t>)</w:t>
      </w:r>
      <w:r w:rsidRPr="00CF3F9B">
        <w:rPr>
          <w:rFonts w:ascii="Times New Roman" w:hAnsi="Times New Roman"/>
        </w:rPr>
        <w:t xml:space="preserve"> as a separate universal service support mechanism for rate-of-return carriers beginning July 1, 2012.</w:t>
      </w:r>
      <w:r w:rsidRPr="00CF3F9B">
        <w:rPr>
          <w:rStyle w:val="FootnoteReference"/>
        </w:rPr>
        <w:footnoteReference w:id="75"/>
      </w:r>
      <w:r w:rsidRPr="00CF3F9B">
        <w:rPr>
          <w:rFonts w:ascii="Times New Roman" w:hAnsi="Times New Roman"/>
        </w:rPr>
        <w:t xml:space="preserve"> </w:t>
      </w:r>
      <w:r w:rsidR="00131891" w:rsidRPr="00CF3F9B">
        <w:rPr>
          <w:rFonts w:ascii="Times New Roman" w:hAnsi="Times New Roman"/>
        </w:rPr>
        <w:t xml:space="preserve"> </w:t>
      </w:r>
      <w:r w:rsidR="00C1582F" w:rsidRPr="00CF3F9B">
        <w:rPr>
          <w:rFonts w:ascii="Times New Roman" w:hAnsi="Times New Roman"/>
        </w:rPr>
        <w:t>However, t</w:t>
      </w:r>
      <w:r w:rsidR="00131891" w:rsidRPr="00CF3F9B">
        <w:rPr>
          <w:rFonts w:ascii="Times New Roman" w:hAnsi="Times New Roman"/>
        </w:rPr>
        <w:t xml:space="preserve">he amount </w:t>
      </w:r>
      <w:r w:rsidR="00C1582F" w:rsidRPr="00CF3F9B">
        <w:rPr>
          <w:rFonts w:ascii="Times New Roman" w:hAnsi="Times New Roman"/>
        </w:rPr>
        <w:t xml:space="preserve">that was </w:t>
      </w:r>
      <w:r w:rsidR="00131891" w:rsidRPr="00CF3F9B">
        <w:rPr>
          <w:rFonts w:ascii="Times New Roman" w:hAnsi="Times New Roman"/>
        </w:rPr>
        <w:t xml:space="preserve">previously recovered through LSS </w:t>
      </w:r>
      <w:r w:rsidR="00C1582F" w:rsidRPr="00CF3F9B">
        <w:rPr>
          <w:rFonts w:ascii="Times New Roman" w:hAnsi="Times New Roman"/>
        </w:rPr>
        <w:t xml:space="preserve">is now accounted for </w:t>
      </w:r>
      <w:r w:rsidR="00131891" w:rsidRPr="00CF3F9B">
        <w:rPr>
          <w:rFonts w:ascii="Times New Roman" w:hAnsi="Times New Roman"/>
        </w:rPr>
        <w:t>in a rate-of-return carrier’s Eligible Recovery.</w:t>
      </w:r>
      <w:r w:rsidR="00131891" w:rsidRPr="00CF3F9B">
        <w:rPr>
          <w:rStyle w:val="FootnoteReference"/>
        </w:rPr>
        <w:footnoteReference w:id="76"/>
      </w:r>
      <w:r w:rsidR="00131891" w:rsidRPr="00CF3F9B">
        <w:rPr>
          <w:rFonts w:ascii="Times New Roman" w:hAnsi="Times New Roman"/>
        </w:rPr>
        <w:t xml:space="preserve">  </w:t>
      </w:r>
      <w:r w:rsidR="00C1582F" w:rsidRPr="00CF3F9B">
        <w:rPr>
          <w:rFonts w:ascii="Times New Roman" w:hAnsi="Times New Roman"/>
        </w:rPr>
        <w:t xml:space="preserve">Further, </w:t>
      </w:r>
      <w:r w:rsidRPr="00CF3F9B">
        <w:rPr>
          <w:rFonts w:ascii="Times New Roman" w:hAnsi="Times New Roman"/>
        </w:rPr>
        <w:t>LSS</w:t>
      </w:r>
      <w:r w:rsidR="00C1582F" w:rsidRPr="00CF3F9B">
        <w:rPr>
          <w:rFonts w:ascii="Times New Roman" w:hAnsi="Times New Roman"/>
        </w:rPr>
        <w:t xml:space="preserve"> </w:t>
      </w:r>
      <w:r w:rsidRPr="00CF3F9B">
        <w:rPr>
          <w:rFonts w:ascii="Times New Roman" w:hAnsi="Times New Roman"/>
        </w:rPr>
        <w:t>continues to be listed as a factor in making certain access</w:t>
      </w:r>
      <w:r w:rsidR="00131891" w:rsidRPr="00CF3F9B">
        <w:rPr>
          <w:rFonts w:ascii="Times New Roman" w:hAnsi="Times New Roman"/>
        </w:rPr>
        <w:t xml:space="preserve"> </w:t>
      </w:r>
      <w:r w:rsidRPr="00CF3F9B">
        <w:rPr>
          <w:rFonts w:ascii="Times New Roman" w:hAnsi="Times New Roman"/>
        </w:rPr>
        <w:t>charge calculations pursuant to Part 69 of the Commission’s rules.</w:t>
      </w:r>
      <w:r w:rsidRPr="00CF3F9B">
        <w:rPr>
          <w:rStyle w:val="FootnoteReference"/>
        </w:rPr>
        <w:footnoteReference w:id="77"/>
      </w:r>
      <w:r w:rsidRPr="00CF3F9B">
        <w:rPr>
          <w:rFonts w:ascii="Times New Roman" w:hAnsi="Times New Roman"/>
        </w:rPr>
        <w:t xml:space="preserve">  Treating LSS as zero</w:t>
      </w:r>
      <w:r w:rsidR="00104E8C" w:rsidRPr="00CF3F9B">
        <w:rPr>
          <w:rFonts w:ascii="Times New Roman" w:hAnsi="Times New Roman"/>
        </w:rPr>
        <w:t xml:space="preserve"> in these circumstances</w:t>
      </w:r>
      <w:r w:rsidRPr="00CF3F9B">
        <w:rPr>
          <w:rFonts w:ascii="Times New Roman" w:hAnsi="Times New Roman"/>
        </w:rPr>
        <w:t xml:space="preserve"> could, absent clarification, enable rate-of-return carriers to claim duplicative recovery for a portion of the amount previously recovered through LSS</w:t>
      </w:r>
      <w:r w:rsidR="00140DAD" w:rsidRPr="00CF3F9B">
        <w:rPr>
          <w:rFonts w:ascii="Times New Roman" w:hAnsi="Times New Roman"/>
        </w:rPr>
        <w:t>, which is</w:t>
      </w:r>
      <w:r w:rsidRPr="00CF3F9B">
        <w:rPr>
          <w:rFonts w:ascii="Times New Roman" w:hAnsi="Times New Roman"/>
        </w:rPr>
        <w:t xml:space="preserve"> contrary to the intent of rules adopted in the </w:t>
      </w:r>
      <w:r w:rsidRPr="00CF3F9B">
        <w:rPr>
          <w:rFonts w:ascii="Times New Roman" w:hAnsi="Times New Roman"/>
          <w:i/>
        </w:rPr>
        <w:t>USF/ICC Transformation Order</w:t>
      </w:r>
      <w:r w:rsidRPr="00CF3F9B">
        <w:rPr>
          <w:rFonts w:ascii="Times New Roman" w:hAnsi="Times New Roman"/>
        </w:rPr>
        <w:t>.</w:t>
      </w:r>
      <w:r w:rsidRPr="00CF3F9B">
        <w:rPr>
          <w:rStyle w:val="FootnoteReference"/>
        </w:rPr>
        <w:footnoteReference w:id="78"/>
      </w:r>
      <w:r w:rsidRPr="00CF3F9B">
        <w:rPr>
          <w:rFonts w:ascii="Times New Roman" w:hAnsi="Times New Roman"/>
        </w:rPr>
        <w:t xml:space="preserve">  Accordingly, we revise and clarify </w:t>
      </w:r>
      <w:r w:rsidR="00C424F2">
        <w:rPr>
          <w:rFonts w:ascii="Times New Roman" w:hAnsi="Times New Roman"/>
        </w:rPr>
        <w:t>the Commission’s</w:t>
      </w:r>
      <w:r w:rsidR="00C424F2" w:rsidRPr="00CF3F9B">
        <w:rPr>
          <w:rFonts w:ascii="Times New Roman" w:hAnsi="Times New Roman"/>
        </w:rPr>
        <w:t xml:space="preserve"> </w:t>
      </w:r>
      <w:r w:rsidRPr="00CF3F9B">
        <w:rPr>
          <w:rFonts w:ascii="Times New Roman" w:hAnsi="Times New Roman"/>
        </w:rPr>
        <w:t xml:space="preserve">rules to resolve a potential conflict that exists between the calculation of Eligible Recovery under section 51.917(d) and a potential reading of sections 69.306(d)(2) and 69.415(c).    </w:t>
      </w:r>
    </w:p>
    <w:p w:rsidR="003127AA" w:rsidRPr="00CF3F9B" w:rsidRDefault="003127AA" w:rsidP="00897042">
      <w:pPr>
        <w:pStyle w:val="ParaNum"/>
        <w:spacing w:after="220" w:line="240" w:lineRule="auto"/>
        <w:rPr>
          <w:rFonts w:ascii="Times New Roman" w:hAnsi="Times New Roman"/>
        </w:rPr>
      </w:pPr>
      <w:r w:rsidRPr="00CF3F9B">
        <w:rPr>
          <w:rFonts w:ascii="Times New Roman" w:hAnsi="Times New Roman"/>
        </w:rPr>
        <w:t>Section 51.917(d) provides the method for calculating a rate-of-return carrier’s Eligible Recovery throughout the ICC reform transition period.</w:t>
      </w:r>
      <w:r w:rsidRPr="00CF3F9B">
        <w:rPr>
          <w:rStyle w:val="FootnoteReference"/>
        </w:rPr>
        <w:footnoteReference w:id="79"/>
      </w:r>
      <w:r w:rsidRPr="00CF3F9B">
        <w:rPr>
          <w:rFonts w:ascii="Times New Roman" w:hAnsi="Times New Roman"/>
        </w:rPr>
        <w:t xml:space="preserve">  Section 51.917(d)(1) states that “[n]otwithstanding any other provision of the Commission’s rules, a Rate-of-Return Carrier may recover the amounts specified in this paragraph [paragraph (d)] through the mechanisms described in paragraphs (e) and (f) of this section.”</w:t>
      </w:r>
      <w:r w:rsidRPr="00CF3F9B">
        <w:rPr>
          <w:rStyle w:val="FootnoteReference"/>
        </w:rPr>
        <w:footnoteReference w:id="80"/>
      </w:r>
      <w:r w:rsidRPr="00CF3F9B">
        <w:rPr>
          <w:rFonts w:ascii="Times New Roman" w:hAnsi="Times New Roman"/>
        </w:rPr>
        <w:t xml:space="preserve">  We read “notwithstanding” in this context to mean that other rules that are inconsistent with the requirements of paragraph (d), or that would produce a result inconsistent with the policies of the </w:t>
      </w:r>
      <w:r w:rsidRPr="00CF3F9B">
        <w:rPr>
          <w:rFonts w:ascii="Times New Roman" w:hAnsi="Times New Roman"/>
          <w:i/>
        </w:rPr>
        <w:t>USF/ICC Transformation Order</w:t>
      </w:r>
      <w:r w:rsidRPr="00CF3F9B">
        <w:rPr>
          <w:rFonts w:ascii="Times New Roman" w:hAnsi="Times New Roman"/>
        </w:rPr>
        <w:t>, must be interpreted consistent with section 51.917.</w:t>
      </w:r>
      <w:r w:rsidRPr="00CF3F9B">
        <w:rPr>
          <w:rStyle w:val="FootnoteReference"/>
        </w:rPr>
        <w:footnoteReference w:id="81"/>
      </w:r>
      <w:r w:rsidRPr="00CF3F9B">
        <w:rPr>
          <w:rFonts w:ascii="Times New Roman" w:hAnsi="Times New Roman"/>
        </w:rPr>
        <w:t xml:space="preserve">  Broadly speaking, section 51.917 establishes a rate-of-return carrier’s Base Period Revenue.</w:t>
      </w:r>
      <w:r w:rsidRPr="00CF3F9B">
        <w:rPr>
          <w:rStyle w:val="FootnoteReference"/>
        </w:rPr>
        <w:footnoteReference w:id="82"/>
      </w:r>
      <w:r w:rsidRPr="00CF3F9B">
        <w:rPr>
          <w:rFonts w:ascii="Times New Roman" w:hAnsi="Times New Roman"/>
        </w:rPr>
        <w:t xml:space="preserve">  A rate-of-return carrier’s Base Period Revenue includes, among other things, its </w:t>
      </w:r>
      <w:r w:rsidR="00794D1B" w:rsidRPr="00CF3F9B">
        <w:rPr>
          <w:rFonts w:ascii="Times New Roman" w:hAnsi="Times New Roman"/>
        </w:rPr>
        <w:t xml:space="preserve">projected </w:t>
      </w:r>
      <w:r w:rsidRPr="00CF3F9B">
        <w:rPr>
          <w:rFonts w:ascii="Times New Roman" w:hAnsi="Times New Roman"/>
        </w:rPr>
        <w:t>2011 Interstate Switched Access Revenue Requirement.</w:t>
      </w:r>
      <w:r w:rsidRPr="00CF3F9B">
        <w:rPr>
          <w:rStyle w:val="FootnoteReference"/>
        </w:rPr>
        <w:footnoteReference w:id="83"/>
      </w:r>
      <w:r w:rsidRPr="00CF3F9B">
        <w:rPr>
          <w:rFonts w:ascii="Times New Roman" w:hAnsi="Times New Roman"/>
        </w:rPr>
        <w:t xml:space="preserve">  A rate-of-return carrier’s </w:t>
      </w:r>
      <w:r w:rsidR="00794D1B" w:rsidRPr="00CF3F9B">
        <w:rPr>
          <w:rFonts w:ascii="Times New Roman" w:hAnsi="Times New Roman"/>
        </w:rPr>
        <w:t xml:space="preserve">projected </w:t>
      </w:r>
      <w:r w:rsidRPr="00CF3F9B">
        <w:rPr>
          <w:rFonts w:ascii="Times New Roman" w:hAnsi="Times New Roman"/>
        </w:rPr>
        <w:t>2011 Interstate Switched Access Revenue Requirement, in turn, includes the revenue requirement that the rate-of-return carrier projected to recover through LSS in the 2011-12 tariff period.</w:t>
      </w:r>
      <w:r w:rsidRPr="00CF3F9B">
        <w:rPr>
          <w:rStyle w:val="FootnoteReference"/>
        </w:rPr>
        <w:footnoteReference w:id="84"/>
      </w:r>
      <w:r w:rsidRPr="00CF3F9B">
        <w:rPr>
          <w:rFonts w:ascii="Times New Roman" w:hAnsi="Times New Roman"/>
        </w:rPr>
        <w:t xml:space="preserve">  Accordingly, the amount previously recovered through LSS has been moved into a rate-of-return carrier’s revenue requirement, and is accounted for in the calculation of a rate-of-return carrier’s Eligible Recovery.</w:t>
      </w:r>
      <w:r w:rsidRPr="00CF3F9B">
        <w:rPr>
          <w:rStyle w:val="FootnoteReference"/>
        </w:rPr>
        <w:footnoteReference w:id="85"/>
      </w:r>
      <w:r w:rsidRPr="00CF3F9B">
        <w:rPr>
          <w:rFonts w:ascii="Times New Roman" w:hAnsi="Times New Roman"/>
        </w:rPr>
        <w:t xml:space="preserve">  </w:t>
      </w:r>
    </w:p>
    <w:p w:rsidR="003127AA" w:rsidRPr="00CF3F9B" w:rsidRDefault="00C00E3E" w:rsidP="00897042">
      <w:pPr>
        <w:pStyle w:val="ParaNum"/>
        <w:spacing w:after="220" w:line="240" w:lineRule="auto"/>
        <w:rPr>
          <w:rFonts w:ascii="Times New Roman" w:hAnsi="Times New Roman"/>
        </w:rPr>
      </w:pPr>
      <w:r w:rsidRPr="00CF3F9B">
        <w:rPr>
          <w:rFonts w:ascii="Times New Roman" w:hAnsi="Times New Roman"/>
          <w:i/>
        </w:rPr>
        <w:t xml:space="preserve">Section 69.306(d)(2) </w:t>
      </w:r>
      <w:r w:rsidR="00497B48">
        <w:rPr>
          <w:rFonts w:ascii="Times New Roman" w:hAnsi="Times New Roman"/>
          <w:i/>
        </w:rPr>
        <w:t>Line-Side Port Costs Calculations</w:t>
      </w:r>
      <w:r w:rsidRPr="00CF3F9B">
        <w:rPr>
          <w:rFonts w:ascii="Times New Roman" w:hAnsi="Times New Roman"/>
        </w:rPr>
        <w:t xml:space="preserve">.  </w:t>
      </w:r>
      <w:r w:rsidR="003127AA" w:rsidRPr="00CF3F9B">
        <w:rPr>
          <w:rFonts w:ascii="Times New Roman" w:hAnsi="Times New Roman"/>
        </w:rPr>
        <w:t xml:space="preserve">Some parties have questioned whether the elimination of LSS as a separate universal service support </w:t>
      </w:r>
      <w:r w:rsidR="001D7398" w:rsidRPr="00CF3F9B">
        <w:rPr>
          <w:rFonts w:ascii="Times New Roman" w:hAnsi="Times New Roman"/>
        </w:rPr>
        <w:t xml:space="preserve">mechanism </w:t>
      </w:r>
      <w:r w:rsidR="003127AA" w:rsidRPr="00CF3F9B">
        <w:rPr>
          <w:rFonts w:ascii="Times New Roman" w:hAnsi="Times New Roman"/>
        </w:rPr>
        <w:t>could be interpreted as altering the section 69.306(d)(2) access charge calculation that shifts line-side port costs to the Common Line category.</w:t>
      </w:r>
      <w:r w:rsidR="003127AA" w:rsidRPr="00CF3F9B">
        <w:rPr>
          <w:rStyle w:val="FootnoteReference"/>
        </w:rPr>
        <w:footnoteReference w:id="86"/>
      </w:r>
      <w:r w:rsidR="003127AA" w:rsidRPr="00CF3F9B">
        <w:rPr>
          <w:rFonts w:ascii="Times New Roman" w:hAnsi="Times New Roman"/>
        </w:rPr>
        <w:t xml:space="preserve">  Section 69.306(d)(2) provides that “line-side port costs shall be assigned to the Common Line </w:t>
      </w:r>
      <w:r w:rsidR="00794D1B" w:rsidRPr="00CF3F9B">
        <w:rPr>
          <w:rFonts w:ascii="Times New Roman" w:hAnsi="Times New Roman"/>
        </w:rPr>
        <w:t>category</w:t>
      </w:r>
      <w:r w:rsidR="003127AA" w:rsidRPr="00CF3F9B">
        <w:rPr>
          <w:rFonts w:ascii="Times New Roman" w:hAnsi="Times New Roman"/>
        </w:rPr>
        <w:t>.  Such amount shall be determined after any Local Switching support has been removed from the interstate Local Switching revenue requirement.”</w:t>
      </w:r>
      <w:r w:rsidR="003127AA" w:rsidRPr="00CF3F9B">
        <w:rPr>
          <w:rStyle w:val="FootnoteReference"/>
        </w:rPr>
        <w:footnoteReference w:id="87"/>
      </w:r>
      <w:r w:rsidR="003127AA" w:rsidRPr="00CF3F9B">
        <w:rPr>
          <w:rFonts w:ascii="Times New Roman" w:hAnsi="Times New Roman"/>
        </w:rPr>
        <w:t xml:space="preserve">  One possible interpretation </w:t>
      </w:r>
      <w:r w:rsidR="00BF1631" w:rsidRPr="00CF3F9B">
        <w:rPr>
          <w:rFonts w:ascii="Times New Roman" w:hAnsi="Times New Roman"/>
        </w:rPr>
        <w:t xml:space="preserve">of this provision </w:t>
      </w:r>
      <w:r w:rsidR="00CD6B25" w:rsidRPr="00CF3F9B">
        <w:rPr>
          <w:rFonts w:ascii="Times New Roman" w:hAnsi="Times New Roman"/>
        </w:rPr>
        <w:t>is</w:t>
      </w:r>
      <w:r w:rsidR="003127AA" w:rsidRPr="00CF3F9B">
        <w:rPr>
          <w:rFonts w:ascii="Times New Roman" w:hAnsi="Times New Roman"/>
        </w:rPr>
        <w:t xml:space="preserve"> that because LSS has been eliminated, there is no amount by which to reduce the Local Switching revenue requirement for purposes of determining the line-side port costs to shift to the Common Line category.  Absent clarification, rate-of-return carriers might apply the section 69.306(d)(2) thirty percent default factor for calculating line-side port costs to the entire, unreduced, Local Switching revenue requirement in order to determine the amount to be shifted to the Common Line category.  </w:t>
      </w:r>
    </w:p>
    <w:p w:rsidR="003127AA" w:rsidRPr="00CF3F9B" w:rsidRDefault="003127AA" w:rsidP="00897042">
      <w:pPr>
        <w:pStyle w:val="ParaNum"/>
        <w:spacing w:after="220" w:line="240" w:lineRule="auto"/>
        <w:rPr>
          <w:rFonts w:ascii="Times New Roman" w:hAnsi="Times New Roman"/>
        </w:rPr>
      </w:pPr>
      <w:r w:rsidRPr="00CF3F9B">
        <w:rPr>
          <w:rFonts w:ascii="Times New Roman" w:hAnsi="Times New Roman"/>
        </w:rPr>
        <w:t xml:space="preserve">We clarify that reading section 69.306(d)(2) to allow rate-of-return carriers to apply the thirty percent default factor to the entire Local Switching revenue requirement would conflict with section 51.917 because the revenue recovery provided for what was formerly LSS is already accounted for in a rate-of-return carrier’s Base Period Revenue.  In essence, such an interpretation would allow a carrier to recover thirty percent of its former LSS amount through higher Subscriber Line Charges, or, more likely, through higher Interstate Common Line Support (ICLS), without reducing the amount of Eligible </w:t>
      </w:r>
      <w:r w:rsidR="00CD6B25" w:rsidRPr="00CF3F9B">
        <w:rPr>
          <w:rFonts w:ascii="Times New Roman" w:hAnsi="Times New Roman"/>
        </w:rPr>
        <w:t>R</w:t>
      </w:r>
      <w:r w:rsidRPr="00CF3F9B">
        <w:rPr>
          <w:rFonts w:ascii="Times New Roman" w:hAnsi="Times New Roman"/>
        </w:rPr>
        <w:t xml:space="preserve">ecovery it would be entitled to receive under section 51.917(d).  Such a result, where rate-of-return carriers recover thirty percent of what was formerly LSS through a multi-million dollar line-port cost shift to the Common Line category, was not anticipated by the </w:t>
      </w:r>
      <w:r w:rsidRPr="00CF3F9B">
        <w:rPr>
          <w:rFonts w:ascii="Times New Roman" w:hAnsi="Times New Roman"/>
          <w:i/>
        </w:rPr>
        <w:t>USF/ICC Transformation Order</w:t>
      </w:r>
      <w:r w:rsidRPr="00CF3F9B">
        <w:rPr>
          <w:rFonts w:ascii="Times New Roman" w:hAnsi="Times New Roman"/>
        </w:rPr>
        <w:t>.</w:t>
      </w:r>
      <w:r w:rsidR="00AE3155" w:rsidRPr="00CF3F9B">
        <w:rPr>
          <w:rStyle w:val="FootnoteReference"/>
        </w:rPr>
        <w:t xml:space="preserve"> </w:t>
      </w:r>
      <w:r w:rsidR="00AE3155" w:rsidRPr="00CF3F9B">
        <w:rPr>
          <w:rStyle w:val="FootnoteReference"/>
        </w:rPr>
        <w:footnoteReference w:id="88"/>
      </w:r>
      <w:r w:rsidRPr="00CF3F9B">
        <w:rPr>
          <w:rFonts w:ascii="Times New Roman" w:hAnsi="Times New Roman"/>
        </w:rPr>
        <w:t xml:space="preserve">  </w:t>
      </w:r>
    </w:p>
    <w:p w:rsidR="003127AA" w:rsidRPr="00CF3F9B" w:rsidRDefault="003127AA" w:rsidP="00897042">
      <w:pPr>
        <w:pStyle w:val="ParaNum"/>
        <w:spacing w:after="220" w:line="240" w:lineRule="auto"/>
        <w:rPr>
          <w:rFonts w:ascii="Times New Roman" w:hAnsi="Times New Roman"/>
        </w:rPr>
      </w:pPr>
      <w:r w:rsidRPr="00CF3F9B">
        <w:rPr>
          <w:rFonts w:ascii="Times New Roman" w:hAnsi="Times New Roman"/>
        </w:rPr>
        <w:t xml:space="preserve">Furthermore, duplicative recovery is inconsistent with the policy goals of the </w:t>
      </w:r>
      <w:r w:rsidRPr="00CF3F9B">
        <w:rPr>
          <w:rFonts w:ascii="Times New Roman" w:hAnsi="Times New Roman"/>
          <w:i/>
        </w:rPr>
        <w:t>USF/ICC Transformation Order</w:t>
      </w:r>
      <w:r w:rsidRPr="00CF3F9B">
        <w:rPr>
          <w:rFonts w:ascii="Times New Roman" w:hAnsi="Times New Roman"/>
        </w:rPr>
        <w:t>.</w:t>
      </w:r>
      <w:r w:rsidRPr="00CF3F9B">
        <w:rPr>
          <w:rStyle w:val="FootnoteReference"/>
        </w:rPr>
        <w:footnoteReference w:id="89"/>
      </w:r>
      <w:r w:rsidRPr="00CF3F9B">
        <w:rPr>
          <w:rFonts w:ascii="Times New Roman" w:hAnsi="Times New Roman"/>
        </w:rPr>
        <w:t xml:space="preserve">  Specifically, section 51.917(d)(1)(vii) provides that “[i]f a Rate-of-Return Carrier recovers any costs or revenues that are already being recovered as Eligible Recovery through Access Recovery Charges or the Connect America Fund from another source, that carrier’s ability to recover reduced switched access revenue from Access Recovery Charges or the Connect America Fund shall be reduced to the extent it receives duplicative recovery.”</w:t>
      </w:r>
      <w:r w:rsidRPr="00CF3F9B">
        <w:rPr>
          <w:rStyle w:val="FootnoteReference"/>
        </w:rPr>
        <w:footnoteReference w:id="90"/>
      </w:r>
      <w:r w:rsidRPr="00CF3F9B">
        <w:rPr>
          <w:rFonts w:ascii="Times New Roman" w:hAnsi="Times New Roman"/>
        </w:rPr>
        <w:t xml:space="preserve">  To avoid the potential for duplicative recovery and the need to adjust future Eligible Recovery calculations to account for such duplicative recovery, we revise section 69.306(d).  Specifically, we clarify that a rate-of-return carrier shall assign line-side port costs to the Common Line category equal to the line-side port costs it shifted in its 2011 Interstate Switched Access Revenue Requirement calculation.  The Bureau found this approach reasonable in the development of the average schedule formulas.</w:t>
      </w:r>
      <w:r w:rsidRPr="00CF3F9B">
        <w:rPr>
          <w:rStyle w:val="FootnoteReference"/>
        </w:rPr>
        <w:footnoteReference w:id="91"/>
      </w:r>
      <w:r w:rsidRPr="00CF3F9B">
        <w:rPr>
          <w:rFonts w:ascii="Times New Roman" w:hAnsi="Times New Roman"/>
        </w:rPr>
        <w:t xml:space="preserve">  This approach is consistent with capping switched access rates and avoids requiring carriers to make unnecessary calculations in the cost allocation process.</w:t>
      </w:r>
    </w:p>
    <w:p w:rsidR="003127AA" w:rsidRPr="00CF3F9B" w:rsidRDefault="003127AA" w:rsidP="00897042">
      <w:pPr>
        <w:pStyle w:val="ParaNum"/>
        <w:spacing w:after="220" w:line="240" w:lineRule="auto"/>
        <w:rPr>
          <w:rFonts w:ascii="Times New Roman" w:hAnsi="Times New Roman"/>
        </w:rPr>
      </w:pPr>
      <w:r w:rsidRPr="00CF3F9B">
        <w:rPr>
          <w:rFonts w:ascii="Times New Roman" w:hAnsi="Times New Roman"/>
          <w:i/>
        </w:rPr>
        <w:t>Section 69.415 Transport Interconnection Charge Calculations</w:t>
      </w:r>
      <w:r w:rsidRPr="00CF3F9B">
        <w:rPr>
          <w:rFonts w:ascii="Times New Roman" w:hAnsi="Times New Roman"/>
        </w:rPr>
        <w:t>.  Similar to section 69.306(d)(2), section 69.415 includes LSS in calculations to determine the allocation of the Transport Interconnection Charge (TIC) among the various access charge expense categories.</w:t>
      </w:r>
      <w:r w:rsidRPr="00CF3F9B">
        <w:rPr>
          <w:rStyle w:val="FootnoteReference"/>
        </w:rPr>
        <w:footnoteReference w:id="92"/>
      </w:r>
      <w:r w:rsidR="00140DAD" w:rsidRPr="00CF3F9B">
        <w:rPr>
          <w:rFonts w:ascii="Times New Roman" w:hAnsi="Times New Roman"/>
        </w:rPr>
        <w:t xml:space="preserve">  T</w:t>
      </w:r>
      <w:r w:rsidRPr="00CF3F9B">
        <w:rPr>
          <w:rFonts w:ascii="Times New Roman" w:hAnsi="Times New Roman"/>
        </w:rPr>
        <w:t xml:space="preserve">he potential for </w:t>
      </w:r>
      <w:r w:rsidR="00140DAD" w:rsidRPr="00CF3F9B">
        <w:rPr>
          <w:rFonts w:ascii="Times New Roman" w:hAnsi="Times New Roman"/>
        </w:rPr>
        <w:t>including a</w:t>
      </w:r>
      <w:r w:rsidRPr="00CF3F9B">
        <w:rPr>
          <w:rFonts w:ascii="Times New Roman" w:hAnsi="Times New Roman"/>
        </w:rPr>
        <w:t xml:space="preserve"> LSS value of zero in the calculation specified in section 69.415 could affect the calculation of Eligible Recovery in a manner contrary to the Commission’s intent and similar to that described in the preceding paragraph.  Therefore, we revise section 69.415 to clarify that the amount </w:t>
      </w:r>
      <w:r w:rsidR="00794D1B" w:rsidRPr="00CF3F9B">
        <w:rPr>
          <w:rFonts w:ascii="Times New Roman" w:hAnsi="Times New Roman"/>
        </w:rPr>
        <w:t xml:space="preserve">of </w:t>
      </w:r>
      <w:r w:rsidRPr="00CF3F9B">
        <w:rPr>
          <w:rFonts w:ascii="Times New Roman" w:hAnsi="Times New Roman"/>
        </w:rPr>
        <w:t>a rate-of-return carrier’s TIC cost</w:t>
      </w:r>
      <w:r w:rsidR="008B621C" w:rsidRPr="00CF3F9B">
        <w:rPr>
          <w:rFonts w:ascii="Times New Roman" w:hAnsi="Times New Roman"/>
        </w:rPr>
        <w:t>s</w:t>
      </w:r>
      <w:r w:rsidRPr="00CF3F9B">
        <w:rPr>
          <w:rFonts w:ascii="Times New Roman" w:hAnsi="Times New Roman"/>
        </w:rPr>
        <w:t xml:space="preserve"> to be reallocated to each category must equal the amount of TIC costs the carrier shifted to each category in its 2011 Interstate Switched Access Revenue Requirement calculation.  The Bureau found this approach reasonable in the development of the average schedule formulas</w:t>
      </w:r>
      <w:r w:rsidR="00140DAD" w:rsidRPr="00CF3F9B">
        <w:rPr>
          <w:rFonts w:ascii="Times New Roman" w:hAnsi="Times New Roman"/>
        </w:rPr>
        <w:t>, and we likewise utilize it here</w:t>
      </w:r>
      <w:r w:rsidRPr="00CF3F9B">
        <w:rPr>
          <w:rFonts w:ascii="Times New Roman" w:hAnsi="Times New Roman"/>
        </w:rPr>
        <w:t>.</w:t>
      </w:r>
      <w:r w:rsidRPr="00CF3F9B">
        <w:rPr>
          <w:rStyle w:val="FootnoteReference"/>
        </w:rPr>
        <w:footnoteReference w:id="93"/>
      </w:r>
      <w:r w:rsidRPr="00CF3F9B">
        <w:rPr>
          <w:rFonts w:ascii="Times New Roman" w:hAnsi="Times New Roman"/>
        </w:rPr>
        <w:t xml:space="preserve">  </w:t>
      </w:r>
    </w:p>
    <w:p w:rsidR="003127AA" w:rsidRPr="00CF3F9B" w:rsidRDefault="003127AA" w:rsidP="00897042">
      <w:pPr>
        <w:pStyle w:val="Heading1"/>
        <w:spacing w:after="220" w:line="240" w:lineRule="auto"/>
        <w:rPr>
          <w:rFonts w:ascii="Times New Roman" w:hAnsi="Times New Roman"/>
        </w:rPr>
      </w:pPr>
      <w:bookmarkStart w:id="9" w:name="_Toc350498402"/>
      <w:r w:rsidRPr="00CF3F9B">
        <w:rPr>
          <w:rFonts w:ascii="Times New Roman" w:hAnsi="Times New Roman"/>
        </w:rPr>
        <w:t xml:space="preserve">Corporate operations expense limit and </w:t>
      </w:r>
      <w:r w:rsidR="006A0C82" w:rsidRPr="00CF3F9B">
        <w:rPr>
          <w:rFonts w:ascii="Times New Roman" w:hAnsi="Times New Roman"/>
        </w:rPr>
        <w:t>mont</w:t>
      </w:r>
      <w:r w:rsidR="00E23A53" w:rsidRPr="00CF3F9B">
        <w:rPr>
          <w:rFonts w:ascii="Times New Roman" w:hAnsi="Times New Roman"/>
        </w:rPr>
        <w:t>H</w:t>
      </w:r>
      <w:r w:rsidR="006A0C82" w:rsidRPr="00CF3F9B">
        <w:rPr>
          <w:rFonts w:ascii="Times New Roman" w:hAnsi="Times New Roman"/>
        </w:rPr>
        <w:t xml:space="preserve">ly </w:t>
      </w:r>
      <w:r w:rsidRPr="00CF3F9B">
        <w:rPr>
          <w:rFonts w:ascii="Times New Roman" w:hAnsi="Times New Roman"/>
        </w:rPr>
        <w:t>$250 per line CAP</w:t>
      </w:r>
      <w:bookmarkEnd w:id="9"/>
      <w:r w:rsidRPr="00CF3F9B">
        <w:rPr>
          <w:rFonts w:ascii="Times New Roman" w:hAnsi="Times New Roman"/>
        </w:rPr>
        <w:t xml:space="preserve">   </w:t>
      </w:r>
    </w:p>
    <w:p w:rsidR="003127AA" w:rsidRPr="00CF3F9B" w:rsidRDefault="003127AA" w:rsidP="00897042">
      <w:pPr>
        <w:pStyle w:val="ParaNum"/>
        <w:spacing w:after="220" w:line="240" w:lineRule="auto"/>
        <w:rPr>
          <w:rFonts w:ascii="Times New Roman" w:hAnsi="Times New Roman"/>
        </w:rPr>
      </w:pPr>
      <w:r w:rsidRPr="00CF3F9B">
        <w:rPr>
          <w:rFonts w:ascii="Times New Roman" w:hAnsi="Times New Roman"/>
          <w:i/>
        </w:rPr>
        <w:t>Background</w:t>
      </w:r>
      <w:r w:rsidRPr="00CF3F9B">
        <w:rPr>
          <w:rFonts w:ascii="Times New Roman" w:hAnsi="Times New Roman"/>
        </w:rPr>
        <w:t xml:space="preserve">.  In the </w:t>
      </w:r>
      <w:r w:rsidRPr="00CF3F9B">
        <w:rPr>
          <w:rFonts w:ascii="Times New Roman" w:hAnsi="Times New Roman"/>
          <w:i/>
        </w:rPr>
        <w:t>USF/ICC Transformation Order</w:t>
      </w:r>
      <w:r w:rsidRPr="00CF3F9B">
        <w:rPr>
          <w:rFonts w:ascii="Times New Roman" w:hAnsi="Times New Roman"/>
        </w:rPr>
        <w:t xml:space="preserve">, the Commission adopted limits on the recovery of certain costs through universal service mechanisms.  Specifically, the rules adopted in the </w:t>
      </w:r>
      <w:r w:rsidRPr="00CF3F9B">
        <w:rPr>
          <w:rFonts w:ascii="Times New Roman" w:hAnsi="Times New Roman"/>
          <w:i/>
        </w:rPr>
        <w:t>USF/ICC Transformation Order</w:t>
      </w:r>
      <w:r w:rsidRPr="00CF3F9B">
        <w:rPr>
          <w:rFonts w:ascii="Times New Roman" w:hAnsi="Times New Roman"/>
        </w:rPr>
        <w:t xml:space="preserve"> limited the amount of corporate operations expenses that a rate-of-return carrier could recover through ICLS in section 54.901(c).</w:t>
      </w:r>
      <w:r w:rsidRPr="00CF3F9B">
        <w:rPr>
          <w:rFonts w:ascii="Times New Roman" w:hAnsi="Times New Roman"/>
          <w:vertAlign w:val="superscript"/>
        </w:rPr>
        <w:footnoteReference w:id="94"/>
      </w:r>
      <w:r w:rsidRPr="00CF3F9B">
        <w:rPr>
          <w:rFonts w:ascii="Times New Roman" w:hAnsi="Times New Roman"/>
        </w:rPr>
        <w:t xml:space="preserve">  The Commission also adopted a presumptive </w:t>
      </w:r>
      <w:r w:rsidR="00BF1631" w:rsidRPr="00CF3F9B">
        <w:rPr>
          <w:rFonts w:ascii="Times New Roman" w:hAnsi="Times New Roman"/>
        </w:rPr>
        <w:t xml:space="preserve">monthly </w:t>
      </w:r>
      <w:r w:rsidRPr="00CF3F9B">
        <w:rPr>
          <w:rFonts w:ascii="Times New Roman" w:hAnsi="Times New Roman"/>
        </w:rPr>
        <w:t>$250 per</w:t>
      </w:r>
      <w:r w:rsidR="00BF1631" w:rsidRPr="00CF3F9B">
        <w:rPr>
          <w:rFonts w:ascii="Times New Roman" w:hAnsi="Times New Roman"/>
        </w:rPr>
        <w:t>-</w:t>
      </w:r>
      <w:r w:rsidRPr="00CF3F9B">
        <w:rPr>
          <w:rFonts w:ascii="Times New Roman" w:hAnsi="Times New Roman"/>
        </w:rPr>
        <w:t xml:space="preserve">line cap on the amount of total high-cost </w:t>
      </w:r>
      <w:r w:rsidR="00BF1631" w:rsidRPr="00CF3F9B">
        <w:rPr>
          <w:rFonts w:ascii="Times New Roman" w:hAnsi="Times New Roman"/>
        </w:rPr>
        <w:t xml:space="preserve">universal service </w:t>
      </w:r>
      <w:r w:rsidRPr="00CF3F9B">
        <w:rPr>
          <w:rFonts w:ascii="Times New Roman" w:hAnsi="Times New Roman"/>
        </w:rPr>
        <w:t>support, which would reduce the amount of ICLS received by certain carriers.</w:t>
      </w:r>
      <w:r w:rsidRPr="00CF3F9B">
        <w:rPr>
          <w:rStyle w:val="FootnoteReference"/>
        </w:rPr>
        <w:footnoteReference w:id="95"/>
      </w:r>
      <w:r w:rsidRPr="00CF3F9B">
        <w:rPr>
          <w:rFonts w:ascii="Times New Roman" w:hAnsi="Times New Roman"/>
        </w:rPr>
        <w:t xml:space="preserve">  Several parties have questioned the extent to which disallowed expenses or reduced ICLS may be recovered through the NECA pooling processes.</w:t>
      </w:r>
      <w:r w:rsidRPr="00CF3F9B">
        <w:rPr>
          <w:rStyle w:val="FootnoteReference"/>
        </w:rPr>
        <w:footnoteReference w:id="96"/>
      </w:r>
      <w:r w:rsidRPr="00CF3F9B">
        <w:rPr>
          <w:rFonts w:ascii="Times New Roman" w:hAnsi="Times New Roman"/>
        </w:rPr>
        <w:t xml:space="preserve">  </w:t>
      </w:r>
    </w:p>
    <w:p w:rsidR="003127AA" w:rsidRPr="00CF3F9B" w:rsidRDefault="003127AA" w:rsidP="00897042">
      <w:pPr>
        <w:pStyle w:val="MediumGrid21"/>
        <w:numPr>
          <w:ilvl w:val="0"/>
          <w:numId w:val="13"/>
        </w:numPr>
        <w:tabs>
          <w:tab w:val="clear" w:pos="1080"/>
          <w:tab w:val="num" w:pos="1440"/>
        </w:tabs>
        <w:spacing w:after="220"/>
        <w:rPr>
          <w:rFonts w:ascii="Times New Roman" w:eastAsia="Times New Roman" w:hAnsi="Times New Roman"/>
          <w:snapToGrid w:val="0"/>
          <w:kern w:val="28"/>
        </w:rPr>
      </w:pPr>
      <w:r w:rsidRPr="00CF3F9B">
        <w:rPr>
          <w:rFonts w:ascii="Times New Roman" w:hAnsi="Times New Roman"/>
          <w:i/>
        </w:rPr>
        <w:t>Discussion</w:t>
      </w:r>
      <w:r w:rsidRPr="00CF3F9B">
        <w:rPr>
          <w:rFonts w:ascii="Times New Roman" w:hAnsi="Times New Roman"/>
        </w:rPr>
        <w:t xml:space="preserve">.  In this Order, we clarify that the recovery limitations for corporate operations expenses adopted in the </w:t>
      </w:r>
      <w:r w:rsidRPr="00CF3F9B">
        <w:rPr>
          <w:rFonts w:ascii="Times New Roman" w:hAnsi="Times New Roman"/>
          <w:i/>
        </w:rPr>
        <w:t>USF/ICC Transformation Order</w:t>
      </w:r>
      <w:r w:rsidRPr="00CF3F9B">
        <w:rPr>
          <w:rFonts w:ascii="Times New Roman" w:hAnsi="Times New Roman"/>
        </w:rPr>
        <w:t xml:space="preserve"> shall operate as limits on a rate-of-return carrier’s ability to recover the disallowed amounts through the NECA pooling processes.  Permitting carriers to receive increased pool settlements to offset such reductions to ICLS would effectively create an implicit support flow to replace the disallowed explicit support.  This treatment is also comparable to the effect that a non-pooling rate-of-return carrier would experience because it cannot look to other carriers to recover amounts it does not receive as a result of the recovery limitations.  Therefore, it is appropriate for NECA to modify its procedures such that the effect of the corporate operations expense limit and the </w:t>
      </w:r>
      <w:r w:rsidR="00BF1631" w:rsidRPr="00CF3F9B">
        <w:rPr>
          <w:rFonts w:ascii="Times New Roman" w:hAnsi="Times New Roman"/>
        </w:rPr>
        <w:t xml:space="preserve">monthly </w:t>
      </w:r>
      <w:r w:rsidRPr="00CF3F9B">
        <w:rPr>
          <w:rFonts w:ascii="Times New Roman" w:hAnsi="Times New Roman"/>
        </w:rPr>
        <w:t>$250 per</w:t>
      </w:r>
      <w:r w:rsidR="00BF1631" w:rsidRPr="00CF3F9B">
        <w:rPr>
          <w:rFonts w:ascii="Times New Roman" w:hAnsi="Times New Roman"/>
        </w:rPr>
        <w:t>-</w:t>
      </w:r>
      <w:r w:rsidRPr="00CF3F9B">
        <w:rPr>
          <w:rFonts w:ascii="Times New Roman" w:hAnsi="Times New Roman"/>
        </w:rPr>
        <w:t xml:space="preserve">line cap are not shifted to common line </w:t>
      </w:r>
      <w:r w:rsidR="00CA49EC" w:rsidRPr="00CF3F9B">
        <w:rPr>
          <w:rFonts w:ascii="Times New Roman" w:hAnsi="Times New Roman"/>
        </w:rPr>
        <w:t xml:space="preserve">NECA </w:t>
      </w:r>
      <w:r w:rsidR="008910F1">
        <w:rPr>
          <w:rFonts w:ascii="Times New Roman" w:hAnsi="Times New Roman"/>
        </w:rPr>
        <w:t>pooling</w:t>
      </w:r>
      <w:r w:rsidR="00CA49EC" w:rsidRPr="00CF3F9B">
        <w:rPr>
          <w:rFonts w:ascii="Times New Roman" w:hAnsi="Times New Roman"/>
        </w:rPr>
        <w:t xml:space="preserve"> carriers</w:t>
      </w:r>
      <w:r w:rsidRPr="00CF3F9B">
        <w:rPr>
          <w:rFonts w:ascii="Times New Roman" w:hAnsi="Times New Roman"/>
        </w:rPr>
        <w:t>.</w:t>
      </w:r>
      <w:r w:rsidR="00F70429" w:rsidRPr="00CF3F9B">
        <w:rPr>
          <w:rStyle w:val="FootnoteReference"/>
        </w:rPr>
        <w:footnoteReference w:id="97"/>
      </w:r>
      <w:r w:rsidRPr="00CF3F9B">
        <w:rPr>
          <w:rFonts w:ascii="Times New Roman" w:hAnsi="Times New Roman"/>
        </w:rPr>
        <w:t xml:space="preserve">  </w:t>
      </w:r>
      <w:r w:rsidRPr="00CF3F9B">
        <w:rPr>
          <w:rFonts w:ascii="Times New Roman" w:eastAsia="Times New Roman" w:hAnsi="Times New Roman"/>
          <w:kern w:val="28"/>
        </w:rPr>
        <w:t>In addition to clarifying the scope of the limitations, we revise section 54.901(c) to clarify operation of the limitations discussed above as they relate to interstate corporate operations expenses allocated to the Common Line category</w:t>
      </w:r>
      <w:r w:rsidR="00140DAD" w:rsidRPr="00CF3F9B">
        <w:rPr>
          <w:rFonts w:ascii="Times New Roman" w:eastAsia="Times New Roman" w:hAnsi="Times New Roman"/>
          <w:kern w:val="28"/>
        </w:rPr>
        <w:t>,</w:t>
      </w:r>
      <w:r w:rsidRPr="00CF3F9B">
        <w:rPr>
          <w:rFonts w:ascii="Times New Roman" w:eastAsia="Times New Roman" w:hAnsi="Times New Roman"/>
          <w:kern w:val="28"/>
        </w:rPr>
        <w:t xml:space="preserve"> consistent with the </w:t>
      </w:r>
      <w:r w:rsidRPr="00CF3F9B">
        <w:rPr>
          <w:rFonts w:ascii="Times New Roman" w:eastAsia="Times New Roman" w:hAnsi="Times New Roman"/>
          <w:i/>
          <w:kern w:val="28"/>
        </w:rPr>
        <w:t>USF/ICC Transformation Order</w:t>
      </w:r>
      <w:r w:rsidRPr="00CF3F9B">
        <w:rPr>
          <w:rFonts w:ascii="Times New Roman" w:eastAsia="Times New Roman" w:hAnsi="Times New Roman"/>
          <w:kern w:val="28"/>
        </w:rPr>
        <w:t xml:space="preserve">.  </w:t>
      </w:r>
      <w:r w:rsidRPr="00CF3F9B">
        <w:rPr>
          <w:rFonts w:ascii="Times New Roman" w:hAnsi="Times New Roman"/>
        </w:rPr>
        <w:t xml:space="preserve">    </w:t>
      </w:r>
    </w:p>
    <w:p w:rsidR="003127AA" w:rsidRPr="00CF3F9B" w:rsidRDefault="003127AA" w:rsidP="00897042">
      <w:pPr>
        <w:pStyle w:val="Heading1"/>
        <w:spacing w:after="220" w:line="240" w:lineRule="auto"/>
        <w:rPr>
          <w:rFonts w:ascii="Times New Roman" w:hAnsi="Times New Roman"/>
        </w:rPr>
      </w:pPr>
      <w:bookmarkStart w:id="10" w:name="_Toc350498403"/>
      <w:r w:rsidRPr="00CF3F9B">
        <w:rPr>
          <w:rFonts w:ascii="Times New Roman" w:hAnsi="Times New Roman"/>
        </w:rPr>
        <w:t>TRUE-UP ADJUSTMENT MECHANISMS</w:t>
      </w:r>
      <w:bookmarkEnd w:id="10"/>
    </w:p>
    <w:p w:rsidR="003127AA" w:rsidRPr="00CF3F9B" w:rsidRDefault="003127AA" w:rsidP="00897042">
      <w:pPr>
        <w:pStyle w:val="MediumGrid21"/>
        <w:numPr>
          <w:ilvl w:val="0"/>
          <w:numId w:val="13"/>
        </w:numPr>
        <w:tabs>
          <w:tab w:val="clear" w:pos="1080"/>
          <w:tab w:val="num" w:pos="1440"/>
        </w:tabs>
        <w:spacing w:after="220"/>
        <w:rPr>
          <w:rFonts w:ascii="Times New Roman" w:eastAsia="Times New Roman" w:hAnsi="Times New Roman"/>
          <w:snapToGrid w:val="0"/>
          <w:kern w:val="28"/>
        </w:rPr>
      </w:pPr>
      <w:r w:rsidRPr="00CF3F9B">
        <w:rPr>
          <w:rFonts w:ascii="Times New Roman" w:hAnsi="Times New Roman"/>
          <w:i/>
        </w:rPr>
        <w:t>Background</w:t>
      </w:r>
      <w:r w:rsidRPr="00CF3F9B">
        <w:rPr>
          <w:rFonts w:ascii="Times New Roman" w:hAnsi="Times New Roman"/>
        </w:rPr>
        <w:t xml:space="preserve">.  In the </w:t>
      </w:r>
      <w:r w:rsidRPr="00CF3F9B">
        <w:rPr>
          <w:rFonts w:ascii="Times New Roman" w:hAnsi="Times New Roman"/>
          <w:i/>
        </w:rPr>
        <w:t>USF/ICC Transformation Order</w:t>
      </w:r>
      <w:r w:rsidRPr="00CF3F9B">
        <w:rPr>
          <w:rFonts w:ascii="Times New Roman" w:hAnsi="Times New Roman"/>
        </w:rPr>
        <w:t>, the Commission required rate-of-return carriers to project ICC revenues for use in determining Eligible Recovery.</w:t>
      </w:r>
      <w:r w:rsidRPr="00CF3F9B">
        <w:rPr>
          <w:rStyle w:val="FootnoteReference"/>
        </w:rPr>
        <w:footnoteReference w:id="98"/>
      </w:r>
      <w:r w:rsidRPr="00CF3F9B">
        <w:rPr>
          <w:rFonts w:ascii="Times New Roman" w:hAnsi="Times New Roman"/>
        </w:rPr>
        <w:t xml:space="preserve">  Because projected demand, an input needed in order to</w:t>
      </w:r>
      <w:r w:rsidR="00BF1631" w:rsidRPr="00CF3F9B">
        <w:rPr>
          <w:rFonts w:ascii="Times New Roman" w:hAnsi="Times New Roman"/>
        </w:rPr>
        <w:t xml:space="preserve"> </w:t>
      </w:r>
      <w:r w:rsidRPr="00CF3F9B">
        <w:rPr>
          <w:rFonts w:ascii="Times New Roman" w:hAnsi="Times New Roman"/>
        </w:rPr>
        <w:t>project ICC revenues, likely differs from actual demand, the Commission adopted a true-up procedure for rate-of-return carriers to adjust their Eligible Recovery to account for any difference between projected and actual switched access revenues resulting from demand variations.</w:t>
      </w:r>
      <w:r w:rsidRPr="00CF3F9B">
        <w:rPr>
          <w:rStyle w:val="FootnoteReference"/>
        </w:rPr>
        <w:footnoteReference w:id="99"/>
      </w:r>
      <w:r w:rsidRPr="00CF3F9B">
        <w:rPr>
          <w:rFonts w:ascii="Times New Roman" w:hAnsi="Times New Roman"/>
        </w:rPr>
        <w:t xml:space="preserve">  </w:t>
      </w:r>
      <w:r w:rsidR="008B621C" w:rsidRPr="00CF3F9B">
        <w:rPr>
          <w:rFonts w:ascii="Times New Roman" w:hAnsi="Times New Roman"/>
        </w:rPr>
        <w:t>T</w:t>
      </w:r>
      <w:r w:rsidRPr="00CF3F9B">
        <w:rPr>
          <w:rFonts w:ascii="Times New Roman" w:hAnsi="Times New Roman"/>
        </w:rPr>
        <w:t>he Commission also adopted true-up procedures for price cap and rate-of-return carriers to adjust their Eligible Recovery to account for any difference between projected and actual ARC revenues resulting from ARC demand variations.</w:t>
      </w:r>
      <w:r w:rsidRPr="00CF3F9B">
        <w:rPr>
          <w:rStyle w:val="FootnoteReference"/>
        </w:rPr>
        <w:footnoteReference w:id="100"/>
      </w:r>
      <w:r w:rsidRPr="00CF3F9B">
        <w:rPr>
          <w:rFonts w:ascii="Times New Roman" w:hAnsi="Times New Roman"/>
        </w:rPr>
        <w:t xml:space="preserve">  Under these true-up procedures, a carrier’s Eligible Recovery for the period reflecting the true-up would be reduced if the carrier’s actual demand exceeded projected demand; likewise a carrier’s Eligible Recovery would be increased if the carrier’s actual demand was less than projected demand.</w:t>
      </w:r>
      <w:r w:rsidRPr="00CF3F9B">
        <w:rPr>
          <w:rStyle w:val="FootnoteReference"/>
        </w:rPr>
        <w:footnoteReference w:id="101"/>
      </w:r>
      <w:r w:rsidRPr="00CF3F9B">
        <w:rPr>
          <w:rFonts w:ascii="Times New Roman" w:hAnsi="Times New Roman"/>
        </w:rPr>
        <w:t xml:space="preserve">  </w:t>
      </w:r>
    </w:p>
    <w:p w:rsidR="003127AA" w:rsidRPr="00CF3F9B" w:rsidRDefault="003127AA" w:rsidP="00897042">
      <w:pPr>
        <w:pStyle w:val="ParaNum"/>
        <w:spacing w:after="220" w:line="240" w:lineRule="auto"/>
        <w:rPr>
          <w:rFonts w:ascii="Times New Roman" w:hAnsi="Times New Roman"/>
        </w:rPr>
      </w:pPr>
      <w:r w:rsidRPr="00CF3F9B">
        <w:rPr>
          <w:rFonts w:ascii="Times New Roman" w:hAnsi="Times New Roman"/>
          <w:i/>
        </w:rPr>
        <w:t>Discussion</w:t>
      </w:r>
      <w:r w:rsidRPr="00CF3F9B">
        <w:rPr>
          <w:rFonts w:ascii="Times New Roman" w:hAnsi="Times New Roman"/>
        </w:rPr>
        <w:t xml:space="preserve">.  The rules implementing the true-up adjustments do not properly calculate the difference between projected and actual revenues resulting from the difference in projected and actual demand consistent with the </w:t>
      </w:r>
      <w:r w:rsidRPr="00CF3F9B">
        <w:rPr>
          <w:rFonts w:ascii="Times New Roman" w:hAnsi="Times New Roman"/>
          <w:i/>
        </w:rPr>
        <w:t>USF/ICC Transformation Order</w:t>
      </w:r>
      <w:r w:rsidRPr="00CF3F9B">
        <w:rPr>
          <w:rFonts w:ascii="Times New Roman" w:hAnsi="Times New Roman"/>
        </w:rPr>
        <w:t>.</w:t>
      </w:r>
      <w:r w:rsidRPr="00CF3F9B">
        <w:rPr>
          <w:rStyle w:val="FootnoteReference"/>
        </w:rPr>
        <w:footnoteReference w:id="102"/>
      </w:r>
      <w:r w:rsidRPr="00CF3F9B">
        <w:rPr>
          <w:rFonts w:ascii="Times New Roman" w:hAnsi="Times New Roman"/>
        </w:rPr>
        <w:t xml:space="preserve">  By not correctly accounting for actual revenues, true-up revenue is incorrectly calculated and is, therefore, not correctly reflected in the steps for calculating Eligible Recovery each year as intended by the </w:t>
      </w:r>
      <w:r w:rsidRPr="00CF3F9B">
        <w:rPr>
          <w:rFonts w:ascii="Times New Roman" w:hAnsi="Times New Roman"/>
          <w:i/>
        </w:rPr>
        <w:t>USF/ICC Transformation Order</w:t>
      </w:r>
      <w:r w:rsidRPr="00CF3F9B">
        <w:rPr>
          <w:rFonts w:ascii="Times New Roman" w:hAnsi="Times New Roman"/>
        </w:rPr>
        <w:t>.</w:t>
      </w:r>
      <w:r w:rsidRPr="00CF3F9B">
        <w:rPr>
          <w:rStyle w:val="FootnoteReference"/>
        </w:rPr>
        <w:footnoteReference w:id="103"/>
      </w:r>
      <w:r w:rsidRPr="00CF3F9B">
        <w:rPr>
          <w:rFonts w:ascii="Times New Roman" w:hAnsi="Times New Roman"/>
        </w:rPr>
        <w:t xml:space="preserve">  Revising the rules is necessary in order for </w:t>
      </w:r>
      <w:r w:rsidR="008B621C" w:rsidRPr="00CF3F9B">
        <w:rPr>
          <w:rFonts w:ascii="Times New Roman" w:hAnsi="Times New Roman"/>
        </w:rPr>
        <w:t xml:space="preserve">price cap and rate-of-return carriers </w:t>
      </w:r>
      <w:r w:rsidRPr="00CF3F9B">
        <w:rPr>
          <w:rFonts w:ascii="Times New Roman" w:hAnsi="Times New Roman"/>
        </w:rPr>
        <w:t xml:space="preserve">to correctly implement the true-up procedures adopted in the </w:t>
      </w:r>
      <w:r w:rsidRPr="00CF3F9B">
        <w:rPr>
          <w:rFonts w:ascii="Times New Roman" w:hAnsi="Times New Roman"/>
          <w:i/>
        </w:rPr>
        <w:t>USF/ICC Transformation Order</w:t>
      </w:r>
      <w:r w:rsidRPr="00CF3F9B">
        <w:rPr>
          <w:rFonts w:ascii="Times New Roman" w:hAnsi="Times New Roman"/>
        </w:rPr>
        <w:t>.  Therefore, we amend sections 51.915</w:t>
      </w:r>
      <w:r w:rsidRPr="00CF3F9B">
        <w:rPr>
          <w:rStyle w:val="FootnoteReference"/>
        </w:rPr>
        <w:footnoteReference w:id="104"/>
      </w:r>
      <w:r w:rsidRPr="00CF3F9B">
        <w:rPr>
          <w:rFonts w:ascii="Times New Roman" w:hAnsi="Times New Roman"/>
        </w:rPr>
        <w:t xml:space="preserve"> and 51.917</w:t>
      </w:r>
      <w:r w:rsidRPr="00CF3F9B">
        <w:rPr>
          <w:rStyle w:val="FootnoteReference"/>
        </w:rPr>
        <w:footnoteReference w:id="105"/>
      </w:r>
      <w:r w:rsidRPr="00CF3F9B">
        <w:rPr>
          <w:rFonts w:ascii="Times New Roman" w:hAnsi="Times New Roman"/>
        </w:rPr>
        <w:t xml:space="preserve"> so that they correctly set out the method for determining the amount of any true-up consistent with the </w:t>
      </w:r>
      <w:r w:rsidRPr="00CF3F9B">
        <w:rPr>
          <w:rFonts w:ascii="Times New Roman" w:hAnsi="Times New Roman"/>
          <w:i/>
        </w:rPr>
        <w:t>USF/ICC Transformation Order</w:t>
      </w:r>
      <w:r w:rsidRPr="00CF3F9B">
        <w:rPr>
          <w:rFonts w:ascii="Times New Roman" w:hAnsi="Times New Roman"/>
        </w:rPr>
        <w:t xml:space="preserve">.  </w:t>
      </w:r>
    </w:p>
    <w:p w:rsidR="003127AA" w:rsidRPr="00CF3F9B" w:rsidRDefault="003127AA" w:rsidP="00897042">
      <w:pPr>
        <w:pStyle w:val="Heading1"/>
        <w:spacing w:after="220" w:line="240" w:lineRule="auto"/>
        <w:rPr>
          <w:rFonts w:ascii="Times New Roman" w:hAnsi="Times New Roman"/>
        </w:rPr>
      </w:pPr>
      <w:bookmarkStart w:id="11" w:name="_Toc350498404"/>
      <w:r w:rsidRPr="00CF3F9B">
        <w:rPr>
          <w:rFonts w:ascii="Times New Roman" w:hAnsi="Times New Roman"/>
        </w:rPr>
        <w:t>Procedural matters</w:t>
      </w:r>
      <w:bookmarkEnd w:id="11"/>
    </w:p>
    <w:p w:rsidR="003127AA" w:rsidRPr="00CF3F9B" w:rsidRDefault="003127AA" w:rsidP="00897042">
      <w:pPr>
        <w:pStyle w:val="Heading2"/>
        <w:spacing w:line="240" w:lineRule="auto"/>
        <w:rPr>
          <w:rFonts w:ascii="Times New Roman" w:hAnsi="Times New Roman"/>
        </w:rPr>
      </w:pPr>
      <w:bookmarkStart w:id="12" w:name="_Toc350498405"/>
      <w:r w:rsidRPr="00CF3F9B">
        <w:rPr>
          <w:rFonts w:ascii="Times New Roman" w:hAnsi="Times New Roman"/>
        </w:rPr>
        <w:t>Paperwork Reduction Act</w:t>
      </w:r>
      <w:bookmarkEnd w:id="12"/>
    </w:p>
    <w:p w:rsidR="003127AA" w:rsidRPr="00CF3F9B" w:rsidRDefault="003127AA" w:rsidP="00897042">
      <w:pPr>
        <w:pStyle w:val="ParaNum"/>
        <w:spacing w:after="220" w:line="240" w:lineRule="auto"/>
        <w:rPr>
          <w:rFonts w:ascii="Times New Roman" w:hAnsi="Times New Roman"/>
        </w:rPr>
      </w:pPr>
      <w:r w:rsidRPr="00CF3F9B">
        <w:rPr>
          <w:rFonts w:ascii="Times New Roman" w:hAnsi="Times New Roman"/>
        </w:rPr>
        <w:t>This document does not contain new or modified information collection requirements subject to the Paperwork Reduction Act of 1995 (PRA).</w:t>
      </w:r>
      <w:r w:rsidRPr="00CF3F9B">
        <w:rPr>
          <w:rStyle w:val="FootnoteReference"/>
        </w:rPr>
        <w:footnoteReference w:id="106"/>
      </w:r>
      <w:r w:rsidRPr="00CF3F9B">
        <w:rPr>
          <w:rFonts w:ascii="Times New Roman" w:hAnsi="Times New Roman"/>
        </w:rPr>
        <w:t xml:space="preserve">  Therefore, the Order does not contain any new or modified information collection burdens for small businesses with fewer than 25 employees, pursuant to the Small Business Paperwork Relief Act of 2002.</w:t>
      </w:r>
      <w:r w:rsidRPr="00CF3F9B">
        <w:rPr>
          <w:rStyle w:val="FootnoteReference"/>
        </w:rPr>
        <w:footnoteReference w:id="107"/>
      </w:r>
      <w:r w:rsidRPr="00CF3F9B">
        <w:rPr>
          <w:rFonts w:ascii="Times New Roman" w:hAnsi="Times New Roman"/>
        </w:rPr>
        <w:t xml:space="preserve"> </w:t>
      </w:r>
    </w:p>
    <w:p w:rsidR="003127AA" w:rsidRPr="00CF3F9B" w:rsidRDefault="003127AA" w:rsidP="00897042">
      <w:pPr>
        <w:pStyle w:val="Heading2"/>
        <w:spacing w:line="240" w:lineRule="auto"/>
        <w:rPr>
          <w:rFonts w:ascii="Times New Roman" w:hAnsi="Times New Roman"/>
        </w:rPr>
      </w:pPr>
      <w:bookmarkStart w:id="13" w:name="_Toc350498406"/>
      <w:r w:rsidRPr="00CF3F9B">
        <w:rPr>
          <w:rFonts w:ascii="Times New Roman" w:hAnsi="Times New Roman"/>
        </w:rPr>
        <w:t>Final Regulatory Flexibility Act Certification</w:t>
      </w:r>
      <w:bookmarkEnd w:id="13"/>
    </w:p>
    <w:p w:rsidR="003127AA" w:rsidRPr="00CF3F9B" w:rsidRDefault="003127AA" w:rsidP="00897042">
      <w:pPr>
        <w:pStyle w:val="ParaNum"/>
        <w:spacing w:after="220" w:line="240" w:lineRule="auto"/>
        <w:rPr>
          <w:rFonts w:ascii="Times New Roman" w:hAnsi="Times New Roman"/>
        </w:rPr>
      </w:pPr>
      <w:r w:rsidRPr="00CF3F9B">
        <w:rPr>
          <w:rFonts w:ascii="Times New Roman" w:hAnsi="Times New Roman"/>
        </w:rPr>
        <w:t>The Regulatory Flexibility Act of 1980, as amended (RFA),</w:t>
      </w:r>
      <w:r w:rsidRPr="00CF3F9B">
        <w:rPr>
          <w:rStyle w:val="FootnoteReference"/>
        </w:rPr>
        <w:footnoteReference w:id="108"/>
      </w:r>
      <w:r w:rsidRPr="00CF3F9B">
        <w:rPr>
          <w:rFonts w:ascii="Times New Roman" w:hAnsi="Times New Roman"/>
          <w:vertAlign w:val="superscript"/>
        </w:rPr>
        <w:t xml:space="preserve"> </w:t>
      </w:r>
      <w:r w:rsidRPr="00CF3F9B">
        <w:rPr>
          <w:rFonts w:ascii="Times New Roman" w:hAnsi="Times New Roman"/>
        </w:rPr>
        <w:t>requires agencies to prepare a regulatory flexibility analysis for rulemaking proceedings, unless the agency certifies that “the rule will not have a significant economic impact on a substantial number of small entities.”</w:t>
      </w:r>
      <w:r w:rsidRPr="00CF3F9B">
        <w:rPr>
          <w:rStyle w:val="FootnoteReference"/>
        </w:rPr>
        <w:footnoteReference w:id="109"/>
      </w:r>
      <w:r w:rsidRPr="00CF3F9B">
        <w:rPr>
          <w:rFonts w:ascii="Times New Roman" w:hAnsi="Times New Roman"/>
        </w:rPr>
        <w:t xml:space="preserve">  The RFA generally defines “small entity” as having the same meaning as the terms “small business,” “small organization,” and “small governmental jurisdiction.”</w:t>
      </w:r>
      <w:r w:rsidRPr="00CF3F9B">
        <w:rPr>
          <w:rStyle w:val="FootnoteReference"/>
        </w:rPr>
        <w:footnoteReference w:id="110"/>
      </w:r>
      <w:r w:rsidRPr="00CF3F9B">
        <w:rPr>
          <w:rFonts w:ascii="Times New Roman" w:hAnsi="Times New Roman"/>
        </w:rPr>
        <w:t xml:space="preserve">  In addition, the term “small business” has the same meaning as the term “small business concern” under the Small Business Act.</w:t>
      </w:r>
      <w:r w:rsidRPr="00CF3F9B">
        <w:rPr>
          <w:rStyle w:val="FootnoteReference"/>
        </w:rPr>
        <w:footnoteReference w:id="111"/>
      </w:r>
      <w:r w:rsidRPr="00CF3F9B">
        <w:rPr>
          <w:rFonts w:ascii="Times New Roman" w:hAnsi="Times New Roman"/>
        </w:rPr>
        <w:t xml:space="preserve">  A small business concern is one which: (1) is independently owned and operated; (2) is not dominant in its field of operation; and (3) satisfies any additional criteria established by the Small Business Administration (SBA).</w:t>
      </w:r>
      <w:r w:rsidRPr="00CF3F9B">
        <w:rPr>
          <w:rStyle w:val="FootnoteReference"/>
        </w:rPr>
        <w:footnoteReference w:id="112"/>
      </w:r>
    </w:p>
    <w:p w:rsidR="003127AA" w:rsidRPr="00CF3F9B" w:rsidRDefault="003127AA" w:rsidP="00897042">
      <w:pPr>
        <w:pStyle w:val="ParaNum"/>
        <w:spacing w:after="220" w:line="240" w:lineRule="auto"/>
        <w:rPr>
          <w:rFonts w:ascii="Times New Roman" w:hAnsi="Times New Roman"/>
        </w:rPr>
      </w:pPr>
      <w:r w:rsidRPr="00CF3F9B">
        <w:rPr>
          <w:rFonts w:ascii="Times New Roman" w:hAnsi="Times New Roman"/>
        </w:rPr>
        <w:t xml:space="preserve">We hereby certify that the rule revisions adopted in this Order will not have a significant economic impact on a substantial number of small entities.  This Order amends rules adopted in the </w:t>
      </w:r>
      <w:r w:rsidRPr="00CF3F9B">
        <w:rPr>
          <w:rFonts w:ascii="Times New Roman" w:hAnsi="Times New Roman"/>
          <w:i/>
        </w:rPr>
        <w:t xml:space="preserve">USF/ICC Transformation Order </w:t>
      </w:r>
      <w:r w:rsidRPr="00CF3F9B">
        <w:rPr>
          <w:rFonts w:ascii="Times New Roman" w:hAnsi="Times New Roman"/>
        </w:rPr>
        <w:t>by</w:t>
      </w:r>
      <w:r w:rsidRPr="00CF3F9B">
        <w:rPr>
          <w:rFonts w:ascii="Times New Roman" w:hAnsi="Times New Roman"/>
          <w:i/>
        </w:rPr>
        <w:t xml:space="preserve"> </w:t>
      </w:r>
      <w:r w:rsidR="00961F4B" w:rsidRPr="00CF3F9B">
        <w:rPr>
          <w:rFonts w:ascii="Times New Roman" w:hAnsi="Times New Roman"/>
        </w:rPr>
        <w:t>correcting conflicts between the new or revised rules and existing rules, as well as addressing omissions or oversights</w:t>
      </w:r>
      <w:r w:rsidRPr="00CF3F9B">
        <w:rPr>
          <w:rFonts w:ascii="Times New Roman" w:hAnsi="Times New Roman"/>
        </w:rPr>
        <w:t xml:space="preserve">.  These revisions do not create any burdens, benefits, or requirements that were not addressed by the Final Regulatory Flexibility Analysis attached to the </w:t>
      </w:r>
      <w:r w:rsidRPr="00CF3F9B">
        <w:rPr>
          <w:rFonts w:ascii="Times New Roman" w:hAnsi="Times New Roman"/>
          <w:i/>
          <w:iCs/>
        </w:rPr>
        <w:t>USF/ICC Transformation Order</w:t>
      </w:r>
      <w:r w:rsidRPr="00CF3F9B">
        <w:rPr>
          <w:rFonts w:ascii="Times New Roman" w:hAnsi="Times New Roman"/>
        </w:rPr>
        <w:t>.</w:t>
      </w:r>
      <w:r w:rsidRPr="00CF3F9B">
        <w:rPr>
          <w:rStyle w:val="FootnoteReference"/>
        </w:rPr>
        <w:footnoteReference w:id="113"/>
      </w:r>
      <w:r w:rsidRPr="00CF3F9B">
        <w:rPr>
          <w:rFonts w:ascii="Times New Roman" w:hAnsi="Times New Roman"/>
        </w:rPr>
        <w:t xml:space="preserve">  The Commission will send a copy of this Order, including a copy of this final certification, to the Chief Counsel for Advocacy of the Small Business Administration.</w:t>
      </w:r>
      <w:r w:rsidRPr="00CF3F9B">
        <w:rPr>
          <w:rStyle w:val="FootnoteReference"/>
        </w:rPr>
        <w:footnoteReference w:id="114"/>
      </w:r>
      <w:r w:rsidRPr="00CF3F9B">
        <w:rPr>
          <w:rFonts w:ascii="Times New Roman" w:hAnsi="Times New Roman"/>
        </w:rPr>
        <w:t xml:space="preserve">  In addition, the Order (or a summary thereof) and certification will be published in the Federal Register.</w:t>
      </w:r>
      <w:r w:rsidRPr="00CF3F9B">
        <w:rPr>
          <w:rStyle w:val="FootnoteReference"/>
        </w:rPr>
        <w:footnoteReference w:id="115"/>
      </w:r>
      <w:r w:rsidRPr="00CF3F9B">
        <w:rPr>
          <w:rFonts w:ascii="Times New Roman" w:hAnsi="Times New Roman"/>
        </w:rPr>
        <w:t xml:space="preserve">  </w:t>
      </w:r>
    </w:p>
    <w:p w:rsidR="003127AA" w:rsidRPr="00CF3F9B" w:rsidRDefault="003127AA" w:rsidP="00897042">
      <w:pPr>
        <w:pStyle w:val="Heading2"/>
        <w:spacing w:line="240" w:lineRule="auto"/>
        <w:rPr>
          <w:rFonts w:ascii="Times New Roman" w:hAnsi="Times New Roman"/>
        </w:rPr>
      </w:pPr>
      <w:bookmarkStart w:id="14" w:name="_Toc350498407"/>
      <w:r w:rsidRPr="00CF3F9B">
        <w:rPr>
          <w:rFonts w:ascii="Times New Roman" w:hAnsi="Times New Roman"/>
        </w:rPr>
        <w:t>Congressional Review Act</w:t>
      </w:r>
      <w:bookmarkEnd w:id="14"/>
    </w:p>
    <w:p w:rsidR="003127AA" w:rsidRPr="00CF3F9B" w:rsidRDefault="003127AA" w:rsidP="00897042">
      <w:pPr>
        <w:pStyle w:val="ParaNum"/>
        <w:spacing w:after="220" w:line="240" w:lineRule="auto"/>
        <w:rPr>
          <w:rFonts w:ascii="Times New Roman" w:hAnsi="Times New Roman"/>
        </w:rPr>
      </w:pPr>
      <w:r w:rsidRPr="00CF3F9B">
        <w:rPr>
          <w:rFonts w:ascii="Times New Roman" w:hAnsi="Times New Roman"/>
        </w:rPr>
        <w:t>The Commission will send a copy of this Order to Congress and the Government Accountability Office pursuant to the Congressional Review Act.</w:t>
      </w:r>
      <w:r w:rsidRPr="00CF3F9B">
        <w:rPr>
          <w:rStyle w:val="FootnoteReference"/>
        </w:rPr>
        <w:footnoteReference w:id="116"/>
      </w:r>
    </w:p>
    <w:p w:rsidR="003127AA" w:rsidRPr="00CF3F9B" w:rsidRDefault="003127AA" w:rsidP="00897042">
      <w:pPr>
        <w:pStyle w:val="Heading1"/>
        <w:numPr>
          <w:ilvl w:val="0"/>
          <w:numId w:val="0"/>
        </w:numPr>
        <w:spacing w:after="220" w:line="240" w:lineRule="auto"/>
        <w:rPr>
          <w:rFonts w:ascii="Times New Roman" w:hAnsi="Times New Roman"/>
        </w:rPr>
      </w:pPr>
      <w:bookmarkStart w:id="15" w:name="_Toc350498408"/>
      <w:r w:rsidRPr="00CF3F9B">
        <w:rPr>
          <w:rFonts w:ascii="Times New Roman" w:hAnsi="Times New Roman"/>
        </w:rPr>
        <w:t xml:space="preserve">X. </w:t>
      </w:r>
      <w:r w:rsidRPr="00CF3F9B">
        <w:rPr>
          <w:rFonts w:ascii="Times New Roman" w:hAnsi="Times New Roman"/>
        </w:rPr>
        <w:tab/>
        <w:t>ORDERING CLAUSES</w:t>
      </w:r>
      <w:bookmarkEnd w:id="15"/>
    </w:p>
    <w:p w:rsidR="003127AA" w:rsidRPr="00CF3F9B" w:rsidRDefault="003127AA" w:rsidP="00897042">
      <w:pPr>
        <w:pStyle w:val="ParaNum"/>
        <w:spacing w:after="220" w:line="240" w:lineRule="auto"/>
        <w:rPr>
          <w:rFonts w:ascii="Times New Roman" w:hAnsi="Times New Roman"/>
        </w:rPr>
      </w:pPr>
      <w:r w:rsidRPr="00CF3F9B">
        <w:rPr>
          <w:rFonts w:ascii="Times New Roman" w:hAnsi="Times New Roman"/>
        </w:rPr>
        <w:t xml:space="preserve">Accordingly, IT IS ORDERED, pursuant to the authority contained in sections 1, 2, 4(i), 201-203, 220, 251, 252, 254, 303(r), and 403 of the Communications Act of 1934, as amended, </w:t>
      </w:r>
      <w:hyperlink r:id="rId8" w:history="1">
        <w:r w:rsidRPr="00CF3F9B">
          <w:rPr>
            <w:rFonts w:ascii="Times New Roman" w:hAnsi="Times New Roman"/>
          </w:rPr>
          <w:t>47 U.S.C. §§ 151</w:t>
        </w:r>
      </w:hyperlink>
      <w:r w:rsidRPr="00CF3F9B">
        <w:rPr>
          <w:rFonts w:ascii="Times New Roman" w:hAnsi="Times New Roman"/>
        </w:rPr>
        <w:t xml:space="preserve">, </w:t>
      </w:r>
      <w:hyperlink r:id="rId9" w:history="1">
        <w:r w:rsidRPr="00CF3F9B">
          <w:rPr>
            <w:rFonts w:ascii="Times New Roman" w:hAnsi="Times New Roman"/>
          </w:rPr>
          <w:t>152</w:t>
        </w:r>
      </w:hyperlink>
      <w:r w:rsidRPr="00CF3F9B">
        <w:rPr>
          <w:rFonts w:ascii="Times New Roman" w:hAnsi="Times New Roman"/>
        </w:rPr>
        <w:t xml:space="preserve">, </w:t>
      </w:r>
      <w:hyperlink r:id="rId10" w:history="1">
        <w:r w:rsidRPr="00CF3F9B">
          <w:rPr>
            <w:rFonts w:ascii="Times New Roman" w:hAnsi="Times New Roman"/>
          </w:rPr>
          <w:t>154(i)</w:t>
        </w:r>
      </w:hyperlink>
      <w:r w:rsidRPr="00CF3F9B">
        <w:rPr>
          <w:rFonts w:ascii="Times New Roman" w:hAnsi="Times New Roman"/>
        </w:rPr>
        <w:t xml:space="preserve">, 201-203, </w:t>
      </w:r>
      <w:hyperlink r:id="rId11" w:history="1">
        <w:r w:rsidRPr="00CF3F9B">
          <w:rPr>
            <w:rFonts w:ascii="Times New Roman" w:hAnsi="Times New Roman"/>
          </w:rPr>
          <w:t>220</w:t>
        </w:r>
      </w:hyperlink>
      <w:r w:rsidRPr="00CF3F9B">
        <w:rPr>
          <w:rFonts w:ascii="Times New Roman" w:hAnsi="Times New Roman"/>
        </w:rPr>
        <w:t xml:space="preserve">, </w:t>
      </w:r>
      <w:hyperlink r:id="rId12" w:history="1">
        <w:r w:rsidRPr="00CF3F9B">
          <w:rPr>
            <w:rFonts w:ascii="Times New Roman" w:hAnsi="Times New Roman"/>
          </w:rPr>
          <w:t>251</w:t>
        </w:r>
      </w:hyperlink>
      <w:r w:rsidRPr="00CF3F9B">
        <w:rPr>
          <w:rFonts w:ascii="Times New Roman" w:hAnsi="Times New Roman"/>
        </w:rPr>
        <w:t xml:space="preserve">, 254, </w:t>
      </w:r>
      <w:hyperlink r:id="rId13" w:history="1">
        <w:r w:rsidRPr="00CF3F9B">
          <w:rPr>
            <w:rFonts w:ascii="Times New Roman" w:hAnsi="Times New Roman"/>
          </w:rPr>
          <w:t>252</w:t>
        </w:r>
      </w:hyperlink>
      <w:r w:rsidRPr="00CF3F9B">
        <w:rPr>
          <w:rFonts w:ascii="Times New Roman" w:hAnsi="Times New Roman"/>
        </w:rPr>
        <w:t xml:space="preserve">, </w:t>
      </w:r>
      <w:hyperlink r:id="rId14" w:history="1">
        <w:r w:rsidRPr="00CF3F9B">
          <w:rPr>
            <w:rFonts w:ascii="Times New Roman" w:hAnsi="Times New Roman"/>
          </w:rPr>
          <w:t>303(r)</w:t>
        </w:r>
      </w:hyperlink>
      <w:r w:rsidRPr="00CF3F9B">
        <w:rPr>
          <w:rFonts w:ascii="Times New Roman" w:hAnsi="Times New Roman"/>
        </w:rPr>
        <w:t xml:space="preserve">, </w:t>
      </w:r>
      <w:r w:rsidR="006B230E">
        <w:rPr>
          <w:rFonts w:ascii="Times New Roman" w:hAnsi="Times New Roman"/>
        </w:rPr>
        <w:t xml:space="preserve">and </w:t>
      </w:r>
      <w:hyperlink r:id="rId15" w:history="1">
        <w:r w:rsidRPr="00CF3F9B">
          <w:rPr>
            <w:rFonts w:ascii="Times New Roman" w:hAnsi="Times New Roman"/>
          </w:rPr>
          <w:t>403</w:t>
        </w:r>
      </w:hyperlink>
      <w:r w:rsidRPr="00CF3F9B">
        <w:rPr>
          <w:rFonts w:ascii="Times New Roman" w:hAnsi="Times New Roman"/>
        </w:rPr>
        <w:t xml:space="preserve">, and pursuant to sections 0.91, 0.201(d), 0.291, 1.3, and 1.427 of the Commission's rules, </w:t>
      </w:r>
      <w:hyperlink r:id="rId16" w:history="1">
        <w:r w:rsidRPr="00CF3F9B">
          <w:rPr>
            <w:rFonts w:ascii="Times New Roman" w:hAnsi="Times New Roman"/>
          </w:rPr>
          <w:t>47 C.F.R. §§ 0.91</w:t>
        </w:r>
      </w:hyperlink>
      <w:r w:rsidRPr="00CF3F9B">
        <w:rPr>
          <w:rFonts w:ascii="Times New Roman" w:hAnsi="Times New Roman"/>
        </w:rPr>
        <w:t xml:space="preserve">, </w:t>
      </w:r>
      <w:hyperlink r:id="rId17" w:history="1">
        <w:r w:rsidRPr="00CF3F9B">
          <w:rPr>
            <w:rFonts w:ascii="Times New Roman" w:hAnsi="Times New Roman"/>
          </w:rPr>
          <w:t>0.201(d)</w:t>
        </w:r>
      </w:hyperlink>
      <w:r w:rsidRPr="00CF3F9B">
        <w:rPr>
          <w:rFonts w:ascii="Times New Roman" w:hAnsi="Times New Roman"/>
        </w:rPr>
        <w:t xml:space="preserve">, </w:t>
      </w:r>
      <w:hyperlink r:id="rId18" w:history="1">
        <w:r w:rsidRPr="00CF3F9B">
          <w:rPr>
            <w:rFonts w:ascii="Times New Roman" w:hAnsi="Times New Roman"/>
          </w:rPr>
          <w:t>0.291</w:t>
        </w:r>
      </w:hyperlink>
      <w:r w:rsidRPr="00CF3F9B">
        <w:rPr>
          <w:rFonts w:ascii="Times New Roman" w:hAnsi="Times New Roman"/>
        </w:rPr>
        <w:t xml:space="preserve">, </w:t>
      </w:r>
      <w:hyperlink r:id="rId19" w:history="1">
        <w:r w:rsidRPr="00CF3F9B">
          <w:rPr>
            <w:rFonts w:ascii="Times New Roman" w:hAnsi="Times New Roman"/>
          </w:rPr>
          <w:t>1.3</w:t>
        </w:r>
      </w:hyperlink>
      <w:r w:rsidRPr="00CF3F9B">
        <w:rPr>
          <w:rFonts w:ascii="Times New Roman" w:hAnsi="Times New Roman"/>
        </w:rPr>
        <w:t xml:space="preserve">, </w:t>
      </w:r>
      <w:r w:rsidR="006B230E">
        <w:rPr>
          <w:rFonts w:ascii="Times New Roman" w:hAnsi="Times New Roman"/>
        </w:rPr>
        <w:t xml:space="preserve">and </w:t>
      </w:r>
      <w:hyperlink r:id="rId20" w:history="1">
        <w:r w:rsidRPr="00CF3F9B">
          <w:rPr>
            <w:rFonts w:ascii="Times New Roman" w:hAnsi="Times New Roman"/>
          </w:rPr>
          <w:t>1.427</w:t>
        </w:r>
      </w:hyperlink>
      <w:r w:rsidRPr="00CF3F9B">
        <w:rPr>
          <w:rFonts w:ascii="Times New Roman" w:hAnsi="Times New Roman"/>
        </w:rPr>
        <w:t xml:space="preserve"> and pursuant to the delegation of authority in paragraph 1404 of 26 </w:t>
      </w:r>
      <w:hyperlink r:id="rId21" w:history="1">
        <w:r w:rsidRPr="00CF3F9B">
          <w:rPr>
            <w:rFonts w:ascii="Times New Roman" w:hAnsi="Times New Roman"/>
          </w:rPr>
          <w:t>FCC Rcd 17663 (2011)</w:t>
        </w:r>
        <w:r w:rsidR="006B230E">
          <w:rPr>
            <w:rFonts w:ascii="Times New Roman" w:hAnsi="Times New Roman"/>
          </w:rPr>
          <w:t>,</w:t>
        </w:r>
        <w:r w:rsidRPr="00CF3F9B">
          <w:rPr>
            <w:rFonts w:ascii="Times New Roman" w:hAnsi="Times New Roman"/>
          </w:rPr>
          <w:t xml:space="preserve"> </w:t>
        </w:r>
      </w:hyperlink>
      <w:r w:rsidRPr="00CF3F9B">
        <w:rPr>
          <w:rFonts w:ascii="Times New Roman" w:hAnsi="Times New Roman"/>
        </w:rPr>
        <w:t>that this Order IS ADOPTED, effective thirty (30) days after publication of the text or summary thereof in the Federal Register.</w:t>
      </w:r>
    </w:p>
    <w:p w:rsidR="003127AA" w:rsidRPr="00CF3F9B" w:rsidRDefault="003127AA" w:rsidP="00897042">
      <w:pPr>
        <w:pStyle w:val="ParaNum"/>
        <w:spacing w:after="220" w:line="240" w:lineRule="auto"/>
        <w:rPr>
          <w:rFonts w:ascii="Times New Roman" w:hAnsi="Times New Roman"/>
        </w:rPr>
      </w:pPr>
      <w:r w:rsidRPr="00CF3F9B">
        <w:rPr>
          <w:rFonts w:ascii="Times New Roman" w:hAnsi="Times New Roman"/>
        </w:rPr>
        <w:t xml:space="preserve">IT IS FURTHER ORDERED that Parts 51, 54 and 69 of the Commission’s rules, 47 C.F.R. sections 51.909, 51.915, 51.917, 54.304, 69.306, and 69.415 are AMENDED as set forth in the Appendix, and such rule amendments shall be effective 30 days after the date of publication of the rule amendments in the Federal Register. </w:t>
      </w:r>
    </w:p>
    <w:p w:rsidR="003127AA" w:rsidRPr="00CF3F9B" w:rsidRDefault="003127AA" w:rsidP="005935C9">
      <w:pPr>
        <w:pStyle w:val="ParaNum"/>
        <w:keepLines/>
        <w:spacing w:after="220" w:line="240" w:lineRule="auto"/>
        <w:rPr>
          <w:rFonts w:ascii="Times New Roman" w:hAnsi="Times New Roman"/>
        </w:rPr>
      </w:pPr>
      <w:r w:rsidRPr="00CF3F9B">
        <w:rPr>
          <w:rFonts w:ascii="Times New Roman" w:hAnsi="Times New Roman"/>
        </w:rPr>
        <w:t xml:space="preserve">IT IS FURTHER ORDERED that, pursuant to section 1.3 of the Commission’s rules, 47 C.F.R. </w:t>
      </w:r>
      <w:r w:rsidR="001476EB" w:rsidRPr="00CF3F9B">
        <w:rPr>
          <w:rFonts w:ascii="Times New Roman" w:hAnsi="Times New Roman"/>
        </w:rPr>
        <w:t>§</w:t>
      </w:r>
      <w:r w:rsidR="001476EB">
        <w:rPr>
          <w:rFonts w:ascii="Times New Roman" w:hAnsi="Times New Roman"/>
        </w:rPr>
        <w:t xml:space="preserve"> </w:t>
      </w:r>
      <w:r w:rsidRPr="00CF3F9B">
        <w:rPr>
          <w:rFonts w:ascii="Times New Roman" w:hAnsi="Times New Roman"/>
        </w:rPr>
        <w:t xml:space="preserve">1.3, and pursuant to the authority delegated in sections 0.91 and 0.291 of the Commission’s rules, 47 C.F.R. §§ 0.91, 0.291, sections 51.915(f)(6), 51.917(f)(3), 54.304(c)(1), (d)(1), 47 C.F.R. §§ 51.915(f)(6), 51.917(f)(3), 54.304(c)(1), </w:t>
      </w:r>
      <w:r w:rsidR="006B230E">
        <w:rPr>
          <w:rFonts w:ascii="Times New Roman" w:hAnsi="Times New Roman"/>
        </w:rPr>
        <w:t xml:space="preserve">and </w:t>
      </w:r>
      <w:r w:rsidRPr="00CF3F9B">
        <w:rPr>
          <w:rFonts w:ascii="Times New Roman" w:hAnsi="Times New Roman"/>
        </w:rPr>
        <w:t xml:space="preserve">(d)(1), ARE WAIVED effective upon release of this Order for the limited purpose specified in paragraph </w:t>
      </w:r>
      <w:r w:rsidR="000956C6" w:rsidRPr="00CF3F9B">
        <w:rPr>
          <w:rFonts w:ascii="Times New Roman" w:hAnsi="Times New Roman"/>
        </w:rPr>
        <w:t>7</w:t>
      </w:r>
      <w:r w:rsidRPr="00CF3F9B">
        <w:rPr>
          <w:rFonts w:ascii="Times New Roman" w:hAnsi="Times New Roman"/>
        </w:rPr>
        <w:t xml:space="preserve">, </w:t>
      </w:r>
      <w:r w:rsidRPr="00CF3F9B">
        <w:rPr>
          <w:rFonts w:ascii="Times New Roman" w:hAnsi="Times New Roman"/>
          <w:i/>
        </w:rPr>
        <w:t>supra</w:t>
      </w:r>
      <w:r w:rsidRPr="00CF3F9B">
        <w:rPr>
          <w:rFonts w:ascii="Times New Roman" w:hAnsi="Times New Roman"/>
        </w:rPr>
        <w:t>, of this Order.</w:t>
      </w:r>
    </w:p>
    <w:p w:rsidR="003127AA" w:rsidRPr="00CF3F9B" w:rsidRDefault="003127AA" w:rsidP="00897042">
      <w:pPr>
        <w:pStyle w:val="ParaNum"/>
        <w:spacing w:after="220" w:line="240" w:lineRule="auto"/>
        <w:rPr>
          <w:rFonts w:ascii="Times New Roman" w:hAnsi="Times New Roman"/>
        </w:rPr>
      </w:pPr>
      <w:r w:rsidRPr="00CF3F9B">
        <w:rPr>
          <w:rFonts w:ascii="Times New Roman" w:hAnsi="Times New Roman"/>
        </w:rPr>
        <w:t xml:space="preserve">IT IS FURTHER ORDERED, pursuant to the authority contained in sections 1-4 of the Communications Act of 1934, as amended, 47 U.S.C. §§ 151-154, and the authority delegated in sections 0.91 and 0.291 of the Commission’s rules, 47 C.F.R. §§ 0.91 and 0.291, </w:t>
      </w:r>
      <w:r w:rsidR="006B230E">
        <w:rPr>
          <w:rFonts w:ascii="Times New Roman" w:hAnsi="Times New Roman"/>
        </w:rPr>
        <w:t xml:space="preserve">that </w:t>
      </w:r>
      <w:r w:rsidRPr="00CF3F9B">
        <w:rPr>
          <w:rFonts w:ascii="Times New Roman" w:hAnsi="Times New Roman"/>
        </w:rPr>
        <w:t xml:space="preserve">the National Exchange Carrier Association, Inc. Petition for Clarification or Waiver, WC Docket No. 12-63, Transmittal Nos. 41, 28, 57 (filed Dec. 27, 2012) is GRANTED to the extent provided herein and DISMISSED AS MOOT to the extent provided herein.  </w:t>
      </w:r>
    </w:p>
    <w:p w:rsidR="00140DAD" w:rsidRPr="00CF3F9B" w:rsidRDefault="003127AA" w:rsidP="00897042">
      <w:pPr>
        <w:pStyle w:val="ParaNum"/>
        <w:spacing w:after="220" w:line="240" w:lineRule="auto"/>
        <w:rPr>
          <w:rFonts w:ascii="Times New Roman" w:hAnsi="Times New Roman"/>
        </w:rPr>
      </w:pPr>
      <w:r w:rsidRPr="00CF3F9B">
        <w:rPr>
          <w:rFonts w:ascii="Times New Roman" w:hAnsi="Times New Roman"/>
        </w:rPr>
        <w:t>IT IS FURTHER ORDERED that the Commission SHALL SEND a copy of this Order to Congress and the Government Accountability Office pursuant to the Congressional Review Act.</w:t>
      </w:r>
      <w:r w:rsidRPr="00CF3F9B">
        <w:rPr>
          <w:rStyle w:val="FootnoteReference"/>
        </w:rPr>
        <w:footnoteReference w:id="117"/>
      </w:r>
    </w:p>
    <w:p w:rsidR="003127AA" w:rsidRPr="00CF3F9B" w:rsidRDefault="003127AA" w:rsidP="00897042">
      <w:pPr>
        <w:pStyle w:val="ParaNum"/>
        <w:spacing w:after="220" w:line="240" w:lineRule="auto"/>
        <w:rPr>
          <w:rFonts w:ascii="Times New Roman" w:hAnsi="Times New Roman"/>
        </w:rPr>
      </w:pPr>
      <w:r w:rsidRPr="00CF3F9B">
        <w:rPr>
          <w:rFonts w:ascii="Times New Roman" w:hAnsi="Times New Roman"/>
        </w:rPr>
        <w:t xml:space="preserve">IT IS FURTHER ORDERED that the Commission’s Consumer and Governmental Affairs Bureau, Reference Information Center, SHALL SEND a copy of this Order, including the Final Regulatory Flexibility Certification, to the Chief Counsel for Advocacy of the Small Business Administration.  </w:t>
      </w:r>
    </w:p>
    <w:p w:rsidR="003127AA" w:rsidRPr="00CF3F9B" w:rsidRDefault="003127AA" w:rsidP="007364AE">
      <w:pPr>
        <w:autoSpaceDE w:val="0"/>
        <w:autoSpaceDN w:val="0"/>
        <w:adjustRightInd w:val="0"/>
        <w:spacing w:after="0" w:line="240" w:lineRule="auto"/>
        <w:ind w:left="3600"/>
        <w:rPr>
          <w:rFonts w:ascii="Times New Roman" w:hAnsi="Times New Roman"/>
          <w:color w:val="000000"/>
        </w:rPr>
      </w:pPr>
      <w:r w:rsidRPr="00CF3F9B">
        <w:rPr>
          <w:rFonts w:ascii="Times New Roman" w:hAnsi="Times New Roman"/>
          <w:color w:val="000000"/>
        </w:rPr>
        <w:t>FEDERAL COMMUNICATIONS COMMISSION</w:t>
      </w:r>
    </w:p>
    <w:p w:rsidR="008461CD" w:rsidRPr="00CF3F9B" w:rsidRDefault="008461CD" w:rsidP="007364AE">
      <w:pPr>
        <w:autoSpaceDE w:val="0"/>
        <w:autoSpaceDN w:val="0"/>
        <w:adjustRightInd w:val="0"/>
        <w:spacing w:after="0" w:line="240" w:lineRule="auto"/>
        <w:ind w:left="3600"/>
        <w:rPr>
          <w:rFonts w:ascii="Times New Roman" w:hAnsi="Times New Roman"/>
          <w:color w:val="000000"/>
        </w:rPr>
      </w:pPr>
    </w:p>
    <w:p w:rsidR="008461CD" w:rsidRPr="00CF3F9B" w:rsidRDefault="008461CD" w:rsidP="007364AE">
      <w:pPr>
        <w:autoSpaceDE w:val="0"/>
        <w:autoSpaceDN w:val="0"/>
        <w:adjustRightInd w:val="0"/>
        <w:spacing w:after="0" w:line="240" w:lineRule="auto"/>
        <w:ind w:left="3600"/>
        <w:rPr>
          <w:rFonts w:ascii="Times New Roman" w:hAnsi="Times New Roman"/>
          <w:color w:val="000000"/>
        </w:rPr>
      </w:pPr>
    </w:p>
    <w:p w:rsidR="008461CD" w:rsidRPr="00CF3F9B" w:rsidRDefault="008461CD" w:rsidP="007364AE">
      <w:pPr>
        <w:autoSpaceDE w:val="0"/>
        <w:autoSpaceDN w:val="0"/>
        <w:adjustRightInd w:val="0"/>
        <w:spacing w:after="0" w:line="240" w:lineRule="auto"/>
        <w:ind w:left="3600"/>
        <w:rPr>
          <w:rFonts w:ascii="Times New Roman" w:hAnsi="Times New Roman"/>
          <w:color w:val="000000"/>
        </w:rPr>
      </w:pPr>
    </w:p>
    <w:p w:rsidR="008461CD" w:rsidRPr="00CF3F9B" w:rsidRDefault="008461CD" w:rsidP="007364AE">
      <w:pPr>
        <w:autoSpaceDE w:val="0"/>
        <w:autoSpaceDN w:val="0"/>
        <w:adjustRightInd w:val="0"/>
        <w:spacing w:after="0" w:line="240" w:lineRule="auto"/>
        <w:ind w:left="3600"/>
        <w:rPr>
          <w:rFonts w:ascii="Times New Roman" w:hAnsi="Times New Roman"/>
          <w:color w:val="000000"/>
        </w:rPr>
      </w:pPr>
    </w:p>
    <w:p w:rsidR="003127AA" w:rsidRPr="00CF3F9B" w:rsidRDefault="001C2464" w:rsidP="007364AE">
      <w:pPr>
        <w:autoSpaceDE w:val="0"/>
        <w:autoSpaceDN w:val="0"/>
        <w:adjustRightInd w:val="0"/>
        <w:spacing w:after="0" w:line="240" w:lineRule="auto"/>
        <w:ind w:left="3600"/>
        <w:rPr>
          <w:rFonts w:ascii="Times New Roman" w:hAnsi="Times New Roman"/>
          <w:color w:val="000000"/>
        </w:rPr>
      </w:pPr>
      <w:r w:rsidRPr="00CF3F9B">
        <w:rPr>
          <w:rFonts w:ascii="Times New Roman" w:hAnsi="Times New Roman"/>
          <w:color w:val="000000"/>
        </w:rPr>
        <w:t>J</w:t>
      </w:r>
      <w:r w:rsidR="003127AA" w:rsidRPr="00CF3F9B">
        <w:rPr>
          <w:rFonts w:ascii="Times New Roman" w:hAnsi="Times New Roman"/>
          <w:color w:val="000000"/>
        </w:rPr>
        <w:t>ulie A. Veach</w:t>
      </w:r>
    </w:p>
    <w:p w:rsidR="003127AA" w:rsidRPr="00CF3F9B" w:rsidRDefault="003127AA" w:rsidP="007364AE">
      <w:pPr>
        <w:autoSpaceDE w:val="0"/>
        <w:autoSpaceDN w:val="0"/>
        <w:adjustRightInd w:val="0"/>
        <w:spacing w:after="0" w:line="240" w:lineRule="auto"/>
        <w:ind w:left="3600"/>
        <w:rPr>
          <w:rFonts w:ascii="Times New Roman" w:hAnsi="Times New Roman"/>
        </w:rPr>
      </w:pPr>
      <w:r w:rsidRPr="00CF3F9B">
        <w:rPr>
          <w:rFonts w:ascii="Times New Roman" w:hAnsi="Times New Roman"/>
        </w:rPr>
        <w:t>Chief, Wireline Competition Bureau</w:t>
      </w:r>
    </w:p>
    <w:p w:rsidR="003127AA" w:rsidRPr="00CF3F9B" w:rsidRDefault="003127AA" w:rsidP="00897042">
      <w:pPr>
        <w:pStyle w:val="ParaNum"/>
        <w:numPr>
          <w:ilvl w:val="0"/>
          <w:numId w:val="0"/>
        </w:numPr>
        <w:spacing w:after="220" w:line="240" w:lineRule="auto"/>
        <w:jc w:val="center"/>
        <w:rPr>
          <w:rFonts w:ascii="Times New Roman" w:hAnsi="Times New Roman"/>
        </w:rPr>
      </w:pPr>
      <w:r w:rsidRPr="00CF3F9B">
        <w:rPr>
          <w:rFonts w:ascii="Times New Roman" w:hAnsi="Times New Roman"/>
        </w:rPr>
        <w:br w:type="page"/>
      </w:r>
      <w:r w:rsidRPr="00CF3F9B">
        <w:rPr>
          <w:rFonts w:ascii="Times New Roman" w:hAnsi="Times New Roman"/>
          <w:b/>
        </w:rPr>
        <w:t>APPENDIX</w:t>
      </w:r>
    </w:p>
    <w:p w:rsidR="005E2C87" w:rsidRPr="00CF3F9B" w:rsidRDefault="003127AA" w:rsidP="00897042">
      <w:pPr>
        <w:pStyle w:val="ParaNum"/>
        <w:numPr>
          <w:ilvl w:val="0"/>
          <w:numId w:val="0"/>
        </w:numPr>
        <w:spacing w:after="220" w:line="240" w:lineRule="auto"/>
        <w:jc w:val="center"/>
        <w:rPr>
          <w:rFonts w:ascii="Times New Roman" w:hAnsi="Times New Roman"/>
          <w:b/>
        </w:rPr>
      </w:pPr>
      <w:r w:rsidRPr="00CF3F9B">
        <w:rPr>
          <w:rFonts w:ascii="Times New Roman" w:hAnsi="Times New Roman"/>
          <w:b/>
        </w:rPr>
        <w:t>Final Rules</w:t>
      </w:r>
    </w:p>
    <w:p w:rsidR="003127AA" w:rsidRPr="00CF3F9B" w:rsidRDefault="003127AA" w:rsidP="00897042">
      <w:pPr>
        <w:pStyle w:val="ParaNum"/>
        <w:numPr>
          <w:ilvl w:val="0"/>
          <w:numId w:val="0"/>
        </w:numPr>
        <w:spacing w:after="220" w:line="240" w:lineRule="auto"/>
        <w:rPr>
          <w:rFonts w:ascii="Times New Roman" w:hAnsi="Times New Roman"/>
        </w:rPr>
      </w:pPr>
      <w:r w:rsidRPr="00CF3F9B">
        <w:rPr>
          <w:rFonts w:ascii="Times New Roman" w:hAnsi="Times New Roman"/>
        </w:rPr>
        <w:t xml:space="preserve">For the reasons discussed in the preamble, the Federal Communications Commission amends 47 C.F.R. parts 51, 54 and 69. </w:t>
      </w:r>
    </w:p>
    <w:p w:rsidR="003127AA" w:rsidRPr="00CF3F9B" w:rsidRDefault="003127AA" w:rsidP="00897042">
      <w:pPr>
        <w:pStyle w:val="ParaNum"/>
        <w:numPr>
          <w:ilvl w:val="0"/>
          <w:numId w:val="0"/>
        </w:numPr>
        <w:spacing w:after="220" w:line="240" w:lineRule="auto"/>
        <w:rPr>
          <w:rFonts w:ascii="Times New Roman" w:hAnsi="Times New Roman"/>
          <w:b/>
          <w:color w:val="000000"/>
        </w:rPr>
      </w:pPr>
      <w:bookmarkStart w:id="16" w:name="Document1zzI3D16DE3035E411E1B6DAFB3B5B5F"/>
      <w:bookmarkEnd w:id="16"/>
      <w:r w:rsidRPr="00CF3F9B">
        <w:rPr>
          <w:rFonts w:ascii="Times New Roman" w:hAnsi="Times New Roman"/>
          <w:b/>
          <w:color w:val="000000"/>
        </w:rPr>
        <w:t>PART 51—INTERCONNECTION</w:t>
      </w:r>
    </w:p>
    <w:p w:rsidR="003127AA" w:rsidRPr="00CF3F9B" w:rsidRDefault="003127AA" w:rsidP="00897042">
      <w:pPr>
        <w:pStyle w:val="Heading3"/>
        <w:tabs>
          <w:tab w:val="clear" w:pos="2160"/>
          <w:tab w:val="left" w:pos="720"/>
        </w:tabs>
        <w:spacing w:after="220" w:line="240" w:lineRule="auto"/>
        <w:ind w:left="720"/>
        <w:rPr>
          <w:rFonts w:ascii="Times New Roman" w:hAnsi="Times New Roman"/>
          <w:b w:val="0"/>
        </w:rPr>
      </w:pPr>
      <w:r w:rsidRPr="00CF3F9B">
        <w:rPr>
          <w:rFonts w:ascii="Times New Roman" w:hAnsi="Times New Roman"/>
          <w:b w:val="0"/>
        </w:rPr>
        <w:t>The authority citation for part 51 continues to read as follows:</w:t>
      </w:r>
    </w:p>
    <w:p w:rsidR="003127AA" w:rsidRPr="00CF3F9B" w:rsidRDefault="005234CD" w:rsidP="00897042">
      <w:pPr>
        <w:pStyle w:val="ParaNum"/>
        <w:numPr>
          <w:ilvl w:val="0"/>
          <w:numId w:val="0"/>
        </w:numPr>
        <w:spacing w:after="220" w:line="240" w:lineRule="auto"/>
        <w:rPr>
          <w:rFonts w:ascii="Times New Roman" w:hAnsi="Times New Roman"/>
          <w:color w:val="000000"/>
        </w:rPr>
      </w:pPr>
      <w:r>
        <w:rPr>
          <w:rFonts w:ascii="Times New Roman" w:hAnsi="Times New Roman"/>
          <w:smallCaps/>
          <w:color w:val="000000"/>
        </w:rPr>
        <w:t>A</w:t>
      </w:r>
      <w:r w:rsidRPr="00897042">
        <w:rPr>
          <w:rFonts w:ascii="Times New Roman" w:hAnsi="Times New Roman"/>
          <w:color w:val="000000"/>
        </w:rPr>
        <w:t>uthority</w:t>
      </w:r>
      <w:r w:rsidR="00285698" w:rsidRPr="00CF3F9B">
        <w:rPr>
          <w:rFonts w:ascii="Times New Roman" w:hAnsi="Times New Roman"/>
          <w:color w:val="000000"/>
        </w:rPr>
        <w:t>:</w:t>
      </w:r>
      <w:r w:rsidR="003127AA" w:rsidRPr="00CF3F9B">
        <w:rPr>
          <w:rFonts w:ascii="Times New Roman" w:hAnsi="Times New Roman"/>
          <w:color w:val="000000"/>
        </w:rPr>
        <w:t xml:space="preserve">  Sections 1–5, 7, 201–05, 207–09, 218, 220, 225–27, 251–54, 256, 271, 303(r), 332</w:t>
      </w:r>
      <w:r w:rsidR="00285698" w:rsidRPr="00CF3F9B">
        <w:rPr>
          <w:rFonts w:ascii="Times New Roman" w:hAnsi="Times New Roman"/>
          <w:color w:val="000000"/>
        </w:rPr>
        <w:t>,</w:t>
      </w:r>
      <w:r w:rsidR="003127AA" w:rsidRPr="00CF3F9B">
        <w:rPr>
          <w:rFonts w:ascii="Times New Roman" w:hAnsi="Times New Roman"/>
          <w:color w:val="000000"/>
        </w:rPr>
        <w:t xml:space="preserve"> 706 of the Telecommunication Act of 1996, </w:t>
      </w:r>
      <w:r w:rsidR="00285698" w:rsidRPr="00CF3F9B">
        <w:rPr>
          <w:rFonts w:ascii="Times New Roman" w:hAnsi="Times New Roman"/>
          <w:color w:val="000000"/>
        </w:rPr>
        <w:t xml:space="preserve">48 Stat. 1070, </w:t>
      </w:r>
      <w:r w:rsidR="003127AA" w:rsidRPr="00CF3F9B">
        <w:rPr>
          <w:rFonts w:ascii="Times New Roman" w:hAnsi="Times New Roman"/>
          <w:color w:val="000000"/>
        </w:rPr>
        <w:t>as amended</w:t>
      </w:r>
      <w:r w:rsidR="00285698" w:rsidRPr="00CF3F9B">
        <w:rPr>
          <w:rFonts w:ascii="Times New Roman" w:hAnsi="Times New Roman"/>
          <w:color w:val="000000"/>
        </w:rPr>
        <w:t>, 1077</w:t>
      </w:r>
      <w:r w:rsidR="003127AA" w:rsidRPr="00CF3F9B">
        <w:rPr>
          <w:rFonts w:ascii="Times New Roman" w:hAnsi="Times New Roman"/>
          <w:color w:val="000000"/>
        </w:rPr>
        <w:t xml:space="preserve">; 47 U.S.C. 151–55, 157, 201–05, 207–09, 218, 220, 225–227, 251–254, 256, 271, 303(r), 332, 1302, 47 U.S.C. 157 </w:t>
      </w:r>
      <w:r w:rsidR="003127AA" w:rsidRPr="00CF3F9B">
        <w:rPr>
          <w:rFonts w:ascii="Times New Roman" w:hAnsi="Times New Roman"/>
          <w:i/>
          <w:color w:val="000000"/>
        </w:rPr>
        <w:t>note</w:t>
      </w:r>
      <w:r w:rsidR="003127AA" w:rsidRPr="00CF3F9B">
        <w:rPr>
          <w:rFonts w:ascii="Times New Roman" w:hAnsi="Times New Roman"/>
          <w:color w:val="000000"/>
        </w:rPr>
        <w:t>, unless otherwise noted.</w:t>
      </w:r>
    </w:p>
    <w:p w:rsidR="003127AA" w:rsidRPr="00CF3F9B" w:rsidRDefault="003127AA" w:rsidP="00897042">
      <w:pPr>
        <w:pStyle w:val="ParaNum"/>
        <w:numPr>
          <w:ilvl w:val="0"/>
          <w:numId w:val="0"/>
        </w:numPr>
        <w:spacing w:after="220" w:line="240" w:lineRule="auto"/>
        <w:rPr>
          <w:rFonts w:ascii="Times New Roman" w:hAnsi="Times New Roman"/>
          <w:b/>
          <w:color w:val="000000"/>
        </w:rPr>
      </w:pPr>
      <w:r w:rsidRPr="00CF3F9B">
        <w:rPr>
          <w:rFonts w:ascii="Times New Roman" w:hAnsi="Times New Roman"/>
          <w:b/>
          <w:color w:val="000000"/>
        </w:rPr>
        <w:t>Subpart J—Transitional Access Service Pricing</w:t>
      </w:r>
    </w:p>
    <w:p w:rsidR="003127AA" w:rsidRPr="00CF3F9B" w:rsidRDefault="003127AA" w:rsidP="00897042">
      <w:pPr>
        <w:pStyle w:val="ParaNum"/>
        <w:numPr>
          <w:ilvl w:val="0"/>
          <w:numId w:val="0"/>
        </w:numPr>
        <w:spacing w:after="220" w:line="240" w:lineRule="auto"/>
        <w:rPr>
          <w:rFonts w:ascii="Times New Roman" w:hAnsi="Times New Roman"/>
          <w:color w:val="000000"/>
        </w:rPr>
      </w:pPr>
      <w:r w:rsidRPr="00CF3F9B">
        <w:rPr>
          <w:rFonts w:ascii="Times New Roman" w:hAnsi="Times New Roman"/>
          <w:color w:val="000000"/>
        </w:rPr>
        <w:t xml:space="preserve">2. </w:t>
      </w:r>
      <w:r w:rsidRPr="00CF3F9B">
        <w:rPr>
          <w:rFonts w:ascii="Times New Roman" w:hAnsi="Times New Roman"/>
          <w:color w:val="000000"/>
        </w:rPr>
        <w:tab/>
        <w:t>Amend 47 C.F.R. § 51.909 by revising paragraphs (a)(3) and (c)(1) and adding paragraphs (a)(4)-(6) to read as follows:</w:t>
      </w:r>
    </w:p>
    <w:p w:rsidR="003127AA" w:rsidRPr="00CF3F9B" w:rsidRDefault="003127AA" w:rsidP="00897042">
      <w:pPr>
        <w:pStyle w:val="ParaNum"/>
        <w:numPr>
          <w:ilvl w:val="0"/>
          <w:numId w:val="0"/>
        </w:numPr>
        <w:spacing w:after="220" w:line="240" w:lineRule="auto"/>
        <w:rPr>
          <w:rFonts w:ascii="Times New Roman" w:hAnsi="Times New Roman"/>
          <w:b/>
          <w:color w:val="000000"/>
          <w:u w:val="single"/>
        </w:rPr>
      </w:pPr>
      <w:r w:rsidRPr="00CF3F9B">
        <w:rPr>
          <w:rFonts w:ascii="Times New Roman" w:hAnsi="Times New Roman"/>
          <w:b/>
          <w:color w:val="000000"/>
          <w:u w:val="single"/>
        </w:rPr>
        <w:t>§ 51.909 Transition of rate-of-return carrier access charges.</w:t>
      </w:r>
    </w:p>
    <w:p w:rsidR="003127AA" w:rsidRPr="00CF3F9B" w:rsidRDefault="003127AA" w:rsidP="00897042">
      <w:pPr>
        <w:pStyle w:val="ParaNum"/>
        <w:numPr>
          <w:ilvl w:val="0"/>
          <w:numId w:val="0"/>
        </w:numPr>
        <w:spacing w:after="220" w:line="240" w:lineRule="auto"/>
        <w:rPr>
          <w:rFonts w:ascii="Times New Roman" w:hAnsi="Times New Roman"/>
          <w:color w:val="000000"/>
        </w:rPr>
      </w:pPr>
      <w:r w:rsidRPr="00CF3F9B">
        <w:rPr>
          <w:rFonts w:ascii="Times New Roman" w:hAnsi="Times New Roman"/>
          <w:color w:val="000000"/>
        </w:rPr>
        <w:t xml:space="preserve">(a) * * * </w:t>
      </w:r>
    </w:p>
    <w:p w:rsidR="003127AA" w:rsidRPr="00CF3F9B" w:rsidRDefault="003127AA" w:rsidP="00897042">
      <w:pPr>
        <w:pStyle w:val="ParaNum"/>
        <w:numPr>
          <w:ilvl w:val="0"/>
          <w:numId w:val="0"/>
        </w:numPr>
        <w:spacing w:after="220" w:line="240" w:lineRule="auto"/>
        <w:ind w:left="720"/>
        <w:rPr>
          <w:rFonts w:ascii="Times New Roman" w:hAnsi="Times New Roman"/>
          <w:color w:val="000000"/>
        </w:rPr>
      </w:pPr>
      <w:r w:rsidRPr="00CF3F9B">
        <w:rPr>
          <w:rFonts w:ascii="Times New Roman" w:hAnsi="Times New Roman"/>
          <w:color w:val="000000"/>
        </w:rPr>
        <w:t xml:space="preserve">(3)  Except as provided in </w:t>
      </w:r>
      <w:r w:rsidRPr="00CF3F9B">
        <w:rPr>
          <w:rFonts w:ascii="Times New Roman" w:hAnsi="Times New Roman"/>
        </w:rPr>
        <w:t>paragraphs (a)(6) and (</w:t>
      </w:r>
      <w:r w:rsidRPr="00CF3F9B">
        <w:rPr>
          <w:rFonts w:ascii="Times New Roman" w:hAnsi="Times New Roman"/>
          <w:color w:val="000000"/>
        </w:rPr>
        <w:t xml:space="preserve">b)(4) of this section, nothing in this section obligates or allows a Rate-of-Return Carrier that has intrastate rates lower than its functionally equivalent interstate rates to make any intrastate tariff filing or intrastate tariff revisions raising such rates. </w:t>
      </w:r>
    </w:p>
    <w:p w:rsidR="003127AA" w:rsidRPr="00CF3F9B" w:rsidRDefault="003127AA" w:rsidP="00897042">
      <w:pPr>
        <w:pStyle w:val="ParaNum"/>
        <w:numPr>
          <w:ilvl w:val="0"/>
          <w:numId w:val="0"/>
        </w:numPr>
        <w:spacing w:after="220" w:line="240" w:lineRule="auto"/>
        <w:ind w:left="720"/>
        <w:rPr>
          <w:rFonts w:ascii="Times New Roman" w:hAnsi="Times New Roman"/>
          <w:color w:val="000000"/>
        </w:rPr>
      </w:pPr>
      <w:r w:rsidRPr="00CF3F9B">
        <w:rPr>
          <w:rFonts w:ascii="Times New Roman" w:hAnsi="Times New Roman"/>
          <w:color w:val="000000"/>
        </w:rPr>
        <w:t>(4)  Notwithstanding the requirements of paragraph (a)(1) of this section, if a Rate-of-Return Carrier enters or exits the National Exchange Carrier Association (Association), as defined in § 69.2(d) of this chapter, traffic-sensitive tariff pursuant to the provisions of § 69.3(e)(6) of this chapter, the Association shall adjust its switched access rate caps referenced in paragraph (a)(1)</w:t>
      </w:r>
      <w:r w:rsidR="00C475F0">
        <w:rPr>
          <w:rFonts w:ascii="Times New Roman" w:hAnsi="Times New Roman"/>
          <w:color w:val="000000"/>
        </w:rPr>
        <w:t xml:space="preserve"> </w:t>
      </w:r>
      <w:r w:rsidRPr="00CF3F9B">
        <w:rPr>
          <w:rFonts w:ascii="Times New Roman" w:hAnsi="Times New Roman"/>
          <w:color w:val="000000"/>
        </w:rPr>
        <w:t>of this section.</w:t>
      </w:r>
    </w:p>
    <w:p w:rsidR="003127AA" w:rsidRPr="00CF3F9B" w:rsidRDefault="003127AA" w:rsidP="00897042">
      <w:pPr>
        <w:pStyle w:val="ParaNum"/>
        <w:numPr>
          <w:ilvl w:val="0"/>
          <w:numId w:val="0"/>
        </w:numPr>
        <w:spacing w:after="220" w:line="240" w:lineRule="auto"/>
        <w:ind w:left="720" w:firstLine="720"/>
        <w:rPr>
          <w:rFonts w:ascii="Times New Roman" w:hAnsi="Times New Roman"/>
          <w:color w:val="000000"/>
        </w:rPr>
      </w:pPr>
      <w:r w:rsidRPr="00CF3F9B">
        <w:rPr>
          <w:rFonts w:ascii="Times New Roman" w:hAnsi="Times New Roman"/>
          <w:color w:val="000000"/>
        </w:rPr>
        <w:t>(i)  For each entering Rate-of-Return Carrier, the Association shall:</w:t>
      </w:r>
    </w:p>
    <w:p w:rsidR="003127AA" w:rsidRPr="00CF3F9B" w:rsidRDefault="003127AA" w:rsidP="00897042">
      <w:pPr>
        <w:pStyle w:val="ParaNum"/>
        <w:numPr>
          <w:ilvl w:val="0"/>
          <w:numId w:val="0"/>
        </w:numPr>
        <w:spacing w:after="220" w:line="240" w:lineRule="auto"/>
        <w:ind w:left="2160"/>
        <w:rPr>
          <w:rFonts w:ascii="Times New Roman" w:hAnsi="Times New Roman"/>
          <w:color w:val="000000"/>
        </w:rPr>
      </w:pPr>
      <w:r w:rsidRPr="00CF3F9B">
        <w:rPr>
          <w:rFonts w:ascii="Times New Roman" w:hAnsi="Times New Roman"/>
          <w:color w:val="000000"/>
        </w:rPr>
        <w:t xml:space="preserve">(A)  Determine each entering Rate-of-Return Carrier’s interstate switched access revenues for the preceding calendar year;  </w:t>
      </w:r>
    </w:p>
    <w:p w:rsidR="003127AA" w:rsidRPr="00CF3F9B" w:rsidRDefault="003127AA" w:rsidP="00897042">
      <w:pPr>
        <w:pStyle w:val="ParaNum"/>
        <w:numPr>
          <w:ilvl w:val="0"/>
          <w:numId w:val="0"/>
        </w:numPr>
        <w:spacing w:after="220" w:line="240" w:lineRule="auto"/>
        <w:ind w:left="2160"/>
        <w:rPr>
          <w:rFonts w:ascii="Times New Roman" w:hAnsi="Times New Roman"/>
          <w:color w:val="000000"/>
        </w:rPr>
      </w:pPr>
      <w:r w:rsidRPr="00CF3F9B">
        <w:rPr>
          <w:rFonts w:ascii="Times New Roman" w:hAnsi="Times New Roman"/>
          <w:color w:val="000000"/>
        </w:rPr>
        <w:t xml:space="preserve">(B)  Determine the revenues that would have been realized by the entering Rate-of-Return Carrier in the preceding calendar year if it had used the Association’s switched access rates (employing the rates for the appropriate bands) as of December 31 of the preceding year and the entering Rate-of-Return Carrier’s switched access demand used to determine switched access revenues under paragraph (a)(4)(i)(A) of this section; and  </w:t>
      </w:r>
    </w:p>
    <w:p w:rsidR="003127AA" w:rsidRPr="00CF3F9B" w:rsidRDefault="003127AA" w:rsidP="00897042">
      <w:pPr>
        <w:pStyle w:val="ParaNum"/>
        <w:numPr>
          <w:ilvl w:val="0"/>
          <w:numId w:val="0"/>
        </w:numPr>
        <w:spacing w:after="220" w:line="240" w:lineRule="auto"/>
        <w:ind w:left="2160"/>
        <w:rPr>
          <w:rFonts w:ascii="Times New Roman" w:hAnsi="Times New Roman"/>
          <w:color w:val="000000"/>
        </w:rPr>
      </w:pPr>
      <w:r w:rsidRPr="00CF3F9B">
        <w:rPr>
          <w:rFonts w:ascii="Times New Roman" w:hAnsi="Times New Roman"/>
          <w:color w:val="000000"/>
        </w:rPr>
        <w:t>(C)  Subtract the sum of the revenues determined pursuant to paragraph (a)(4)(i)(</w:t>
      </w:r>
      <w:r w:rsidR="00537697">
        <w:rPr>
          <w:rFonts w:ascii="Times New Roman" w:hAnsi="Times New Roman"/>
          <w:color w:val="000000"/>
        </w:rPr>
        <w:t>B</w:t>
      </w:r>
      <w:r w:rsidRPr="00CF3F9B">
        <w:rPr>
          <w:rFonts w:ascii="Times New Roman" w:hAnsi="Times New Roman"/>
          <w:color w:val="000000"/>
        </w:rPr>
        <w:t>) of this section from the sum of the revenues determined pursuant to paragraph (a)(4)(i)(</w:t>
      </w:r>
      <w:r w:rsidR="00537697">
        <w:rPr>
          <w:rFonts w:ascii="Times New Roman" w:hAnsi="Times New Roman"/>
          <w:color w:val="000000"/>
        </w:rPr>
        <w:t>A</w:t>
      </w:r>
      <w:r w:rsidRPr="00CF3F9B">
        <w:rPr>
          <w:rFonts w:ascii="Times New Roman" w:hAnsi="Times New Roman"/>
          <w:color w:val="000000"/>
        </w:rPr>
        <w:t xml:space="preserve">) of this section.  </w:t>
      </w:r>
    </w:p>
    <w:p w:rsidR="003127AA" w:rsidRPr="00CF3F9B" w:rsidRDefault="003127AA" w:rsidP="00897042">
      <w:pPr>
        <w:pStyle w:val="ParaNum"/>
        <w:numPr>
          <w:ilvl w:val="0"/>
          <w:numId w:val="0"/>
        </w:numPr>
        <w:spacing w:after="220" w:line="240" w:lineRule="auto"/>
        <w:ind w:left="1440"/>
        <w:rPr>
          <w:rFonts w:ascii="Times New Roman" w:hAnsi="Times New Roman"/>
          <w:color w:val="000000"/>
        </w:rPr>
      </w:pPr>
      <w:r w:rsidRPr="00CF3F9B">
        <w:rPr>
          <w:rFonts w:ascii="Times New Roman" w:hAnsi="Times New Roman"/>
          <w:color w:val="000000"/>
        </w:rPr>
        <w:t>(ii)  The Association shall determine the amount by which each exiting Rate-of-Return Carrier is a net contributor or net recipient to or from the switched access segment of the Association pool as follows:</w:t>
      </w:r>
    </w:p>
    <w:p w:rsidR="003127AA" w:rsidRPr="00CF3F9B" w:rsidRDefault="003127AA" w:rsidP="00897042">
      <w:pPr>
        <w:pStyle w:val="ParaNum"/>
        <w:numPr>
          <w:ilvl w:val="0"/>
          <w:numId w:val="0"/>
        </w:numPr>
        <w:spacing w:after="220" w:line="240" w:lineRule="auto"/>
        <w:ind w:left="2160"/>
        <w:rPr>
          <w:rFonts w:ascii="Times New Roman" w:hAnsi="Times New Roman"/>
          <w:color w:val="000000"/>
        </w:rPr>
      </w:pPr>
      <w:r w:rsidRPr="00CF3F9B">
        <w:rPr>
          <w:rFonts w:ascii="Times New Roman" w:hAnsi="Times New Roman"/>
          <w:color w:val="000000"/>
        </w:rPr>
        <w:t xml:space="preserve">(A)  The Association shall calculate the difference between each exiting Rate-of-Return Carrier’s 2011-2012 tariff year projected interstate switched access revenues excluding Local Switching Support and the Rate-of-Return Carrier’s projected switched access pool settlements excluding Local Switching Support for the same period with a net contribution amount being treated as a positive amount and a net recipient amount being treated as a negative amount.  The Association shall divide the calculated difference by the Rate-of-Return Carrier’s </w:t>
      </w:r>
      <w:r w:rsidRPr="00CF3F9B">
        <w:rPr>
          <w:rFonts w:ascii="Times New Roman" w:hAnsi="Times New Roman"/>
        </w:rPr>
        <w:t xml:space="preserve"> </w:t>
      </w:r>
      <w:r w:rsidRPr="00CF3F9B">
        <w:rPr>
          <w:rFonts w:ascii="Times New Roman" w:hAnsi="Times New Roman"/>
          <w:color w:val="000000"/>
        </w:rPr>
        <w:t>2011-2012 tariff year projected interstate switched access revenues</w:t>
      </w:r>
      <w:r w:rsidRPr="00CF3F9B" w:rsidDel="0003229F">
        <w:rPr>
          <w:rFonts w:ascii="Times New Roman" w:hAnsi="Times New Roman"/>
          <w:color w:val="000000"/>
        </w:rPr>
        <w:t xml:space="preserve"> </w:t>
      </w:r>
      <w:r w:rsidRPr="00CF3F9B">
        <w:rPr>
          <w:rFonts w:ascii="Times New Roman" w:hAnsi="Times New Roman"/>
          <w:color w:val="000000"/>
        </w:rPr>
        <w:t>excluding Local Switching Support to produce a percent net contribution or net receipt factor.</w:t>
      </w:r>
    </w:p>
    <w:p w:rsidR="003127AA" w:rsidRPr="00CF3F9B" w:rsidRDefault="003127AA" w:rsidP="00897042">
      <w:pPr>
        <w:pStyle w:val="ParaNum"/>
        <w:numPr>
          <w:ilvl w:val="0"/>
          <w:numId w:val="0"/>
        </w:numPr>
        <w:spacing w:after="220" w:line="240" w:lineRule="auto"/>
        <w:ind w:left="2160"/>
        <w:rPr>
          <w:rFonts w:ascii="Times New Roman" w:hAnsi="Times New Roman"/>
          <w:color w:val="000000"/>
        </w:rPr>
      </w:pPr>
      <w:r w:rsidRPr="00CF3F9B">
        <w:rPr>
          <w:rFonts w:ascii="Times New Roman" w:hAnsi="Times New Roman"/>
          <w:color w:val="000000"/>
        </w:rPr>
        <w:t xml:space="preserve">(B)  The Association shall multiply the factor calculated in paragraph (a)(4)(ii)(A) of this section by the Rate-of-Return Carrier’s switched access revenues for the preceding calendar year to yield the amount of the Rate-of-Return Carrier’s net contribution or net receipts for the calendar year.  </w:t>
      </w:r>
    </w:p>
    <w:p w:rsidR="003127AA" w:rsidRPr="00CF3F9B" w:rsidRDefault="003127AA" w:rsidP="00897042">
      <w:pPr>
        <w:pStyle w:val="ParaNum"/>
        <w:numPr>
          <w:ilvl w:val="0"/>
          <w:numId w:val="0"/>
        </w:numPr>
        <w:spacing w:after="220" w:line="240" w:lineRule="auto"/>
        <w:ind w:left="1440"/>
        <w:rPr>
          <w:rFonts w:ascii="Times New Roman" w:hAnsi="Times New Roman"/>
          <w:color w:val="000000"/>
        </w:rPr>
      </w:pPr>
      <w:r w:rsidRPr="00CF3F9B">
        <w:rPr>
          <w:rFonts w:ascii="Times New Roman" w:hAnsi="Times New Roman"/>
          <w:color w:val="000000"/>
        </w:rPr>
        <w:t>(iii)  To determine the Association’s adjusted switched access rate</w:t>
      </w:r>
      <w:r w:rsidR="0028125C">
        <w:rPr>
          <w:rFonts w:ascii="Times New Roman" w:hAnsi="Times New Roman"/>
          <w:color w:val="000000"/>
        </w:rPr>
        <w:t xml:space="preserve"> caps</w:t>
      </w:r>
      <w:r w:rsidRPr="00CF3F9B">
        <w:rPr>
          <w:rFonts w:ascii="Times New Roman" w:hAnsi="Times New Roman"/>
          <w:color w:val="000000"/>
        </w:rPr>
        <w:t>, the Association shall:</w:t>
      </w:r>
    </w:p>
    <w:p w:rsidR="003127AA" w:rsidRPr="00CF3F9B" w:rsidRDefault="003127AA" w:rsidP="00897042">
      <w:pPr>
        <w:pStyle w:val="ParaNum"/>
        <w:numPr>
          <w:ilvl w:val="0"/>
          <w:numId w:val="0"/>
        </w:numPr>
        <w:spacing w:after="220" w:line="240" w:lineRule="auto"/>
        <w:ind w:left="2160"/>
        <w:rPr>
          <w:rFonts w:ascii="Times New Roman" w:hAnsi="Times New Roman"/>
          <w:color w:val="000000"/>
        </w:rPr>
      </w:pPr>
      <w:r w:rsidRPr="00CF3F9B">
        <w:rPr>
          <w:rFonts w:ascii="Times New Roman" w:hAnsi="Times New Roman"/>
          <w:color w:val="000000"/>
        </w:rPr>
        <w:t xml:space="preserve">(A)  Add the amounts calculated under paragraphs (a)(4)(i) and (a)(4)(ii) of this section; </w:t>
      </w:r>
    </w:p>
    <w:p w:rsidR="003127AA" w:rsidRPr="00CF3F9B" w:rsidRDefault="003127AA" w:rsidP="00897042">
      <w:pPr>
        <w:pStyle w:val="ParaNum"/>
        <w:numPr>
          <w:ilvl w:val="0"/>
          <w:numId w:val="0"/>
        </w:numPr>
        <w:spacing w:after="220" w:line="240" w:lineRule="auto"/>
        <w:ind w:left="2160"/>
        <w:rPr>
          <w:rFonts w:ascii="Times New Roman" w:hAnsi="Times New Roman"/>
          <w:color w:val="000000"/>
        </w:rPr>
      </w:pPr>
      <w:r w:rsidRPr="00CF3F9B">
        <w:rPr>
          <w:rFonts w:ascii="Times New Roman" w:hAnsi="Times New Roman"/>
          <w:color w:val="000000"/>
        </w:rPr>
        <w:t xml:space="preserve">(B)  Divide the amount determined in paragraph (a)(4)(iii)(A) of this section by the preceding year’s switched access revenues of the Rate-of-Return Carriers that will participate in the Association traffic-sensitive tariff for the next annual tariff period;  </w:t>
      </w:r>
    </w:p>
    <w:p w:rsidR="003127AA" w:rsidRPr="00CF3F9B" w:rsidRDefault="003127AA" w:rsidP="00897042">
      <w:pPr>
        <w:pStyle w:val="ParaNum"/>
        <w:numPr>
          <w:ilvl w:val="0"/>
          <w:numId w:val="0"/>
        </w:numPr>
        <w:spacing w:after="220" w:line="240" w:lineRule="auto"/>
        <w:ind w:left="2160"/>
        <w:rPr>
          <w:rFonts w:ascii="Times New Roman" w:hAnsi="Times New Roman"/>
          <w:color w:val="000000"/>
        </w:rPr>
      </w:pPr>
      <w:r w:rsidRPr="00CF3F9B">
        <w:rPr>
          <w:rFonts w:ascii="Times New Roman" w:hAnsi="Times New Roman"/>
          <w:color w:val="000000"/>
        </w:rPr>
        <w:t xml:space="preserve">(C)  The Association shall proportionately adjust its June 30 switched access rate caps by the percentage amount determined in paragraph (a)(4)(iii)(B) of this section.  </w:t>
      </w:r>
    </w:p>
    <w:p w:rsidR="003127AA" w:rsidRPr="00CF3F9B" w:rsidRDefault="003127AA" w:rsidP="00897042">
      <w:pPr>
        <w:pStyle w:val="ParaNum"/>
        <w:numPr>
          <w:ilvl w:val="0"/>
          <w:numId w:val="0"/>
        </w:numPr>
        <w:spacing w:after="220" w:line="240" w:lineRule="auto"/>
        <w:ind w:left="1440"/>
        <w:rPr>
          <w:rFonts w:ascii="Times New Roman" w:hAnsi="Times New Roman"/>
          <w:color w:val="000000"/>
        </w:rPr>
      </w:pPr>
      <w:r w:rsidRPr="00CF3F9B">
        <w:rPr>
          <w:rFonts w:ascii="Times New Roman" w:hAnsi="Times New Roman"/>
          <w:color w:val="000000"/>
        </w:rPr>
        <w:t>(iv)  The interstate switched access rate</w:t>
      </w:r>
      <w:r w:rsidR="0028125C">
        <w:rPr>
          <w:rFonts w:ascii="Times New Roman" w:hAnsi="Times New Roman"/>
          <w:color w:val="000000"/>
        </w:rPr>
        <w:t xml:space="preserve"> caps</w:t>
      </w:r>
      <w:r w:rsidRPr="00CF3F9B">
        <w:rPr>
          <w:rFonts w:ascii="Times New Roman" w:hAnsi="Times New Roman"/>
          <w:color w:val="000000"/>
        </w:rPr>
        <w:t xml:space="preserve"> determined pursuant to paragraph (a)(4)(iii)(C) of this section shall be the new capped interstate switched access rates for purposes of § 51.909(a) of this Part.  The Association shall provide support in its annual access tariff filing to justify the revised interstate switched access rate caps, the Access Recovery Charges that will be assessed, and the amount of Connect America Fund ICC support each carrier will be eligible to receive.</w:t>
      </w:r>
    </w:p>
    <w:p w:rsidR="003127AA" w:rsidRPr="00CF3F9B" w:rsidRDefault="003127AA" w:rsidP="00897042">
      <w:pPr>
        <w:pStyle w:val="ParaNum"/>
        <w:numPr>
          <w:ilvl w:val="0"/>
          <w:numId w:val="0"/>
        </w:numPr>
        <w:spacing w:after="220" w:line="240" w:lineRule="auto"/>
        <w:ind w:left="720"/>
        <w:rPr>
          <w:rFonts w:ascii="Times New Roman" w:hAnsi="Times New Roman"/>
          <w:color w:val="000000"/>
        </w:rPr>
      </w:pPr>
      <w:r w:rsidRPr="00CF3F9B">
        <w:rPr>
          <w:rFonts w:ascii="Times New Roman" w:hAnsi="Times New Roman"/>
          <w:color w:val="000000"/>
        </w:rPr>
        <w:t xml:space="preserve">(5)  A Rate-of-Return Carrier exiting the Association traffic-sensitive tariff </w:t>
      </w:r>
      <w:r w:rsidR="00841E16" w:rsidRPr="00CF3F9B">
        <w:rPr>
          <w:rFonts w:ascii="Times New Roman" w:hAnsi="Times New Roman"/>
          <w:color w:val="000000"/>
        </w:rPr>
        <w:t xml:space="preserve">pursuant to § 69.3(e)(6) of this chapter </w:t>
      </w:r>
      <w:r w:rsidRPr="00CF3F9B">
        <w:rPr>
          <w:rFonts w:ascii="Times New Roman" w:hAnsi="Times New Roman"/>
          <w:color w:val="000000"/>
        </w:rPr>
        <w:t xml:space="preserve">must establish new switched access rate caps as follows:  </w:t>
      </w:r>
    </w:p>
    <w:p w:rsidR="003127AA" w:rsidRPr="00CF3F9B" w:rsidRDefault="003127AA" w:rsidP="00897042">
      <w:pPr>
        <w:pStyle w:val="ParaNum"/>
        <w:numPr>
          <w:ilvl w:val="0"/>
          <w:numId w:val="0"/>
        </w:numPr>
        <w:spacing w:after="220" w:line="240" w:lineRule="auto"/>
        <w:ind w:left="1440"/>
        <w:rPr>
          <w:rFonts w:ascii="Times New Roman" w:hAnsi="Times New Roman"/>
          <w:color w:val="000000"/>
        </w:rPr>
      </w:pPr>
      <w:r w:rsidRPr="00CF3F9B">
        <w:rPr>
          <w:rFonts w:ascii="Times New Roman" w:hAnsi="Times New Roman"/>
          <w:color w:val="000000"/>
        </w:rPr>
        <w:t xml:space="preserve">(i)  The Rate-of-Return Carrier shall multiply the factor determined in paragraph (a)(4)(ii)(A) of this section by negative one and then </w:t>
      </w:r>
      <w:r w:rsidR="00D46889">
        <w:rPr>
          <w:rFonts w:ascii="Times New Roman" w:hAnsi="Times New Roman"/>
          <w:color w:val="000000"/>
        </w:rPr>
        <w:t xml:space="preserve">proportionately adjust </w:t>
      </w:r>
      <w:r w:rsidRPr="00CF3F9B">
        <w:rPr>
          <w:rFonts w:ascii="Times New Roman" w:hAnsi="Times New Roman"/>
          <w:color w:val="000000"/>
        </w:rPr>
        <w:t>the Association’s capped switched access rates as of the date preceding the effective date of the exiting Rate-of-Return Carrier’s next annual tariff filing</w:t>
      </w:r>
      <w:r w:rsidR="00D46889">
        <w:rPr>
          <w:rFonts w:ascii="Times New Roman" w:hAnsi="Times New Roman"/>
          <w:color w:val="000000"/>
        </w:rPr>
        <w:t xml:space="preserve"> by this </w:t>
      </w:r>
      <w:r w:rsidR="002460E9">
        <w:rPr>
          <w:rFonts w:ascii="Times New Roman" w:hAnsi="Times New Roman"/>
          <w:color w:val="000000"/>
        </w:rPr>
        <w:t>percentage</w:t>
      </w:r>
      <w:r w:rsidRPr="00CF3F9B">
        <w:rPr>
          <w:rFonts w:ascii="Times New Roman" w:hAnsi="Times New Roman"/>
          <w:color w:val="000000"/>
        </w:rPr>
        <w:t>.  A Rate-of-Return Carrier that was a net contributor to the pool will have rate</w:t>
      </w:r>
      <w:r w:rsidR="00D46889">
        <w:rPr>
          <w:rFonts w:ascii="Times New Roman" w:hAnsi="Times New Roman"/>
          <w:color w:val="000000"/>
        </w:rPr>
        <w:t xml:space="preserve"> cap</w:t>
      </w:r>
      <w:r w:rsidRPr="00CF3F9B">
        <w:rPr>
          <w:rFonts w:ascii="Times New Roman" w:hAnsi="Times New Roman"/>
          <w:color w:val="000000"/>
        </w:rPr>
        <w:t>s that are lower than the Association</w:t>
      </w:r>
      <w:r w:rsidR="00C112FC">
        <w:rPr>
          <w:rFonts w:ascii="Times New Roman" w:hAnsi="Times New Roman"/>
          <w:color w:val="000000"/>
        </w:rPr>
        <w:t>’s</w:t>
      </w:r>
      <w:r w:rsidRPr="00CF3F9B">
        <w:rPr>
          <w:rFonts w:ascii="Times New Roman" w:hAnsi="Times New Roman"/>
          <w:color w:val="000000"/>
        </w:rPr>
        <w:t xml:space="preserve"> switched access rate</w:t>
      </w:r>
      <w:r w:rsidR="00D46889">
        <w:rPr>
          <w:rFonts w:ascii="Times New Roman" w:hAnsi="Times New Roman"/>
          <w:color w:val="000000"/>
        </w:rPr>
        <w:t xml:space="preserve"> cap</w:t>
      </w:r>
      <w:r w:rsidRPr="00CF3F9B">
        <w:rPr>
          <w:rFonts w:ascii="Times New Roman" w:hAnsi="Times New Roman"/>
          <w:color w:val="000000"/>
        </w:rPr>
        <w:t>s, while a net recipient will have switched access rate</w:t>
      </w:r>
      <w:r w:rsidR="00D46889">
        <w:rPr>
          <w:rFonts w:ascii="Times New Roman" w:hAnsi="Times New Roman"/>
          <w:color w:val="000000"/>
        </w:rPr>
        <w:t xml:space="preserve"> cap</w:t>
      </w:r>
      <w:r w:rsidRPr="00CF3F9B">
        <w:rPr>
          <w:rFonts w:ascii="Times New Roman" w:hAnsi="Times New Roman"/>
          <w:color w:val="000000"/>
        </w:rPr>
        <w:t>s that are higher than the Association’s switched access rate</w:t>
      </w:r>
      <w:r w:rsidR="00D46889">
        <w:rPr>
          <w:rFonts w:ascii="Times New Roman" w:hAnsi="Times New Roman"/>
          <w:color w:val="000000"/>
        </w:rPr>
        <w:t xml:space="preserve"> cap</w:t>
      </w:r>
      <w:r w:rsidRPr="00CF3F9B">
        <w:rPr>
          <w:rFonts w:ascii="Times New Roman" w:hAnsi="Times New Roman"/>
          <w:color w:val="000000"/>
        </w:rPr>
        <w:t>s;</w:t>
      </w:r>
    </w:p>
    <w:p w:rsidR="003127AA" w:rsidRPr="00CF3F9B" w:rsidRDefault="003127AA" w:rsidP="00897042">
      <w:pPr>
        <w:pStyle w:val="ParaNum"/>
        <w:numPr>
          <w:ilvl w:val="0"/>
          <w:numId w:val="0"/>
        </w:numPr>
        <w:spacing w:after="220" w:line="240" w:lineRule="auto"/>
        <w:ind w:left="1440"/>
        <w:rPr>
          <w:rFonts w:ascii="Times New Roman" w:hAnsi="Times New Roman"/>
          <w:color w:val="000000"/>
        </w:rPr>
      </w:pPr>
      <w:r w:rsidRPr="00CF3F9B">
        <w:rPr>
          <w:rFonts w:ascii="Times New Roman" w:hAnsi="Times New Roman"/>
          <w:color w:val="000000"/>
        </w:rPr>
        <w:t>(ii)  The interstate switched access rate</w:t>
      </w:r>
      <w:r w:rsidR="0028125C">
        <w:rPr>
          <w:rFonts w:ascii="Times New Roman" w:hAnsi="Times New Roman"/>
          <w:color w:val="000000"/>
        </w:rPr>
        <w:t xml:space="preserve"> caps</w:t>
      </w:r>
      <w:r w:rsidRPr="00CF3F9B">
        <w:rPr>
          <w:rFonts w:ascii="Times New Roman" w:hAnsi="Times New Roman"/>
          <w:color w:val="000000"/>
        </w:rPr>
        <w:t xml:space="preserve"> determined pursuant to paragraph (a)(5)(i) of this section shall be the new capped interstate switched access rates of the exiting Rate-of-Return Carrier for purposes of § 51.909(a) of this Part.  An exiting Rate-of-Return Carrier shall provide support in its annual access tariff filing to justify the revised interstate switched access rate caps,</w:t>
      </w:r>
      <w:r w:rsidR="007F112A" w:rsidRPr="00CF3F9B">
        <w:rPr>
          <w:rFonts w:ascii="Times New Roman" w:hAnsi="Times New Roman"/>
          <w:color w:val="000000"/>
        </w:rPr>
        <w:t xml:space="preserve"> </w:t>
      </w:r>
      <w:r w:rsidRPr="00CF3F9B">
        <w:rPr>
          <w:rFonts w:ascii="Times New Roman" w:hAnsi="Times New Roman"/>
          <w:color w:val="000000"/>
        </w:rPr>
        <w:t>the Access Recovery Charges that will be assessed, and the amount of Connect America Fund ICC support the carrier will be eligible to receive</w:t>
      </w:r>
      <w:r w:rsidR="00A83EFB">
        <w:rPr>
          <w:rFonts w:ascii="Times New Roman" w:hAnsi="Times New Roman"/>
          <w:color w:val="000000"/>
        </w:rPr>
        <w:t>.</w:t>
      </w:r>
    </w:p>
    <w:p w:rsidR="003127AA" w:rsidRPr="00CF3F9B" w:rsidRDefault="003127AA" w:rsidP="00897042">
      <w:pPr>
        <w:pStyle w:val="ParaNum"/>
        <w:numPr>
          <w:ilvl w:val="0"/>
          <w:numId w:val="0"/>
        </w:numPr>
        <w:spacing w:after="220" w:line="240" w:lineRule="auto"/>
        <w:ind w:left="720"/>
        <w:rPr>
          <w:rFonts w:ascii="Times New Roman" w:hAnsi="Times New Roman"/>
          <w:color w:val="000000"/>
        </w:rPr>
      </w:pPr>
      <w:r w:rsidRPr="00CF3F9B">
        <w:rPr>
          <w:rFonts w:ascii="Times New Roman" w:hAnsi="Times New Roman"/>
          <w:color w:val="000000"/>
        </w:rPr>
        <w:t>(6)  If the Association revises its interstate switched access rate</w:t>
      </w:r>
      <w:r w:rsidR="0028125C">
        <w:rPr>
          <w:rFonts w:ascii="Times New Roman" w:hAnsi="Times New Roman"/>
          <w:color w:val="000000"/>
        </w:rPr>
        <w:t xml:space="preserve"> caps</w:t>
      </w:r>
      <w:r w:rsidRPr="00CF3F9B">
        <w:rPr>
          <w:rFonts w:ascii="Times New Roman" w:hAnsi="Times New Roman"/>
          <w:color w:val="000000"/>
        </w:rPr>
        <w:t xml:space="preserve"> pursuant to paragraph (a)(4) of this section, each Rate-of-Return Carrier participating in the upcoming annual Association traffic-sensitive tariff shall: </w:t>
      </w:r>
    </w:p>
    <w:p w:rsidR="003127AA" w:rsidRPr="00CF3F9B" w:rsidRDefault="003127AA" w:rsidP="00897042">
      <w:pPr>
        <w:pStyle w:val="ParaNum"/>
        <w:numPr>
          <w:ilvl w:val="0"/>
          <w:numId w:val="0"/>
        </w:numPr>
        <w:spacing w:after="220" w:line="240" w:lineRule="auto"/>
        <w:ind w:left="1440"/>
        <w:rPr>
          <w:rFonts w:ascii="Times New Roman" w:hAnsi="Times New Roman"/>
          <w:color w:val="000000"/>
        </w:rPr>
      </w:pPr>
      <w:r w:rsidRPr="00CF3F9B">
        <w:rPr>
          <w:rFonts w:ascii="Times New Roman" w:hAnsi="Times New Roman"/>
          <w:color w:val="000000"/>
        </w:rPr>
        <w:t>(i)  Revise any of its intrastate switched access rates that would have reached parity with its interstate switched access rates in 2013 to parity with the revised interstate switched access rate levels;</w:t>
      </w:r>
    </w:p>
    <w:p w:rsidR="003127AA" w:rsidRPr="00CF3F9B" w:rsidRDefault="003127AA" w:rsidP="00897042">
      <w:pPr>
        <w:pStyle w:val="ParaNum"/>
        <w:numPr>
          <w:ilvl w:val="0"/>
          <w:numId w:val="0"/>
        </w:numPr>
        <w:spacing w:after="220" w:line="240" w:lineRule="auto"/>
        <w:ind w:left="1440"/>
        <w:rPr>
          <w:rFonts w:ascii="Times New Roman" w:hAnsi="Times New Roman"/>
          <w:color w:val="000000"/>
        </w:rPr>
      </w:pPr>
      <w:r w:rsidRPr="00CF3F9B" w:rsidDel="00483F9D">
        <w:rPr>
          <w:rFonts w:ascii="Times New Roman" w:hAnsi="Times New Roman"/>
          <w:color w:val="000000"/>
        </w:rPr>
        <w:t xml:space="preserve"> </w:t>
      </w:r>
      <w:r w:rsidRPr="00CF3F9B">
        <w:rPr>
          <w:rFonts w:ascii="Times New Roman" w:hAnsi="Times New Roman"/>
          <w:color w:val="000000"/>
        </w:rPr>
        <w:t>(ii)  The Association shall provide Rate-of-Return Carriers that are participating in the Association traffic-sensitive pool with notice of any revisions the Association proposes under paragraph (a)(4) of this section no later than May 1.</w:t>
      </w:r>
    </w:p>
    <w:p w:rsidR="003127AA" w:rsidRPr="00CF3F9B" w:rsidRDefault="003127AA" w:rsidP="00897042">
      <w:pPr>
        <w:pStyle w:val="ParaNum"/>
        <w:numPr>
          <w:ilvl w:val="0"/>
          <w:numId w:val="0"/>
        </w:numPr>
        <w:spacing w:after="220" w:line="240" w:lineRule="auto"/>
        <w:rPr>
          <w:rFonts w:ascii="Times New Roman" w:hAnsi="Times New Roman"/>
          <w:color w:val="000000"/>
        </w:rPr>
      </w:pPr>
      <w:r w:rsidRPr="00CF3F9B">
        <w:rPr>
          <w:rFonts w:ascii="Times New Roman" w:hAnsi="Times New Roman"/>
          <w:color w:val="000000"/>
        </w:rPr>
        <w:t>* * * * *</w:t>
      </w:r>
    </w:p>
    <w:p w:rsidR="003127AA" w:rsidRPr="00CF3F9B" w:rsidRDefault="003127AA" w:rsidP="00897042">
      <w:pPr>
        <w:pStyle w:val="ParaNum"/>
        <w:numPr>
          <w:ilvl w:val="0"/>
          <w:numId w:val="0"/>
        </w:numPr>
        <w:spacing w:after="220" w:line="240" w:lineRule="auto"/>
        <w:rPr>
          <w:rFonts w:ascii="Times New Roman" w:hAnsi="Times New Roman"/>
          <w:color w:val="000000"/>
        </w:rPr>
      </w:pPr>
      <w:r w:rsidRPr="00CF3F9B">
        <w:rPr>
          <w:rFonts w:ascii="Times New Roman" w:hAnsi="Times New Roman"/>
          <w:color w:val="000000"/>
        </w:rPr>
        <w:t>(c) * * *</w:t>
      </w:r>
    </w:p>
    <w:p w:rsidR="003127AA" w:rsidRPr="00CF3F9B" w:rsidRDefault="003127AA" w:rsidP="00897042">
      <w:pPr>
        <w:pStyle w:val="ParaNum"/>
        <w:numPr>
          <w:ilvl w:val="0"/>
          <w:numId w:val="0"/>
        </w:numPr>
        <w:spacing w:after="220" w:line="240" w:lineRule="auto"/>
        <w:ind w:left="720"/>
        <w:rPr>
          <w:rFonts w:ascii="Times New Roman" w:hAnsi="Times New Roman"/>
          <w:color w:val="000000"/>
        </w:rPr>
      </w:pPr>
      <w:r w:rsidRPr="00CF3F9B">
        <w:rPr>
          <w:rFonts w:ascii="Times New Roman" w:hAnsi="Times New Roman"/>
          <w:color w:val="000000"/>
        </w:rPr>
        <w:t>(1) Transitional Intrastate Access Service rates shall be no higher than the Rate-of-Return Carrier’s interstate Terminating End Office Access Service</w:t>
      </w:r>
      <w:r w:rsidRPr="00CF3F9B">
        <w:rPr>
          <w:rFonts w:ascii="Times New Roman" w:hAnsi="Times New Roman"/>
        </w:rPr>
        <w:t>, Terminating Tandem</w:t>
      </w:r>
      <w:r w:rsidR="00CC1590" w:rsidRPr="00CF3F9B">
        <w:rPr>
          <w:rFonts w:ascii="Times New Roman" w:hAnsi="Times New Roman"/>
        </w:rPr>
        <w:t>-</w:t>
      </w:r>
      <w:r w:rsidRPr="00CF3F9B">
        <w:rPr>
          <w:rFonts w:ascii="Times New Roman" w:hAnsi="Times New Roman"/>
        </w:rPr>
        <w:t>Switched Transport Access Service, and Originating and Terminating Dedicated Transport Access Service</w:t>
      </w:r>
      <w:r w:rsidRPr="00CF3F9B">
        <w:rPr>
          <w:rFonts w:ascii="Times New Roman" w:hAnsi="Times New Roman"/>
          <w:color w:val="000000"/>
        </w:rPr>
        <w:t xml:space="preserve"> rates and subject to the same rate structure and all subsequent rate and rate structure modifications.  Except as provided in paragraph (c)(2) of this section, nothing in this section obligates or allows a Rate-of-Return Carrier that has intrastate rates lower than its functionally equivalent interstate rates to make any intrastate tariff filing or intrastate tariff revisions to increase such rates.  </w:t>
      </w:r>
    </w:p>
    <w:p w:rsidR="003127AA" w:rsidRPr="00CF3F9B" w:rsidRDefault="003127AA" w:rsidP="00897042">
      <w:pPr>
        <w:pStyle w:val="ParaNum"/>
        <w:numPr>
          <w:ilvl w:val="0"/>
          <w:numId w:val="0"/>
        </w:numPr>
        <w:spacing w:after="220" w:line="240" w:lineRule="auto"/>
        <w:rPr>
          <w:rFonts w:ascii="Times New Roman" w:hAnsi="Times New Roman"/>
          <w:color w:val="000000"/>
        </w:rPr>
      </w:pPr>
      <w:r w:rsidRPr="00CF3F9B">
        <w:rPr>
          <w:rFonts w:ascii="Times New Roman" w:hAnsi="Times New Roman"/>
          <w:color w:val="000000"/>
        </w:rPr>
        <w:t>* * * * *</w:t>
      </w:r>
    </w:p>
    <w:p w:rsidR="003127AA" w:rsidRPr="00CF3F9B" w:rsidRDefault="003127AA" w:rsidP="00897042">
      <w:pPr>
        <w:pStyle w:val="ParaNum"/>
        <w:numPr>
          <w:ilvl w:val="0"/>
          <w:numId w:val="0"/>
        </w:numPr>
        <w:spacing w:after="220" w:line="240" w:lineRule="auto"/>
        <w:rPr>
          <w:rFonts w:ascii="Times New Roman" w:hAnsi="Times New Roman"/>
          <w:color w:val="000000"/>
        </w:rPr>
      </w:pPr>
      <w:r w:rsidRPr="00CF3F9B">
        <w:rPr>
          <w:rFonts w:ascii="Times New Roman" w:hAnsi="Times New Roman"/>
          <w:color w:val="000000"/>
        </w:rPr>
        <w:t>3.</w:t>
      </w:r>
      <w:r w:rsidRPr="00CF3F9B">
        <w:rPr>
          <w:rFonts w:ascii="Times New Roman" w:hAnsi="Times New Roman"/>
          <w:color w:val="000000"/>
        </w:rPr>
        <w:tab/>
        <w:t>Amend 47 C.F.R. § 51.915 to revise paragraphs (b)(13), (d)(1)(iii)(F), (d)(1)(iv)(F), (d)(1)(v)(F), (d)(1)(vi)(G), (d)(1)(vii)(H), (d)(1)(vii),</w:t>
      </w:r>
      <w:r w:rsidR="00CC1590" w:rsidRPr="00CF3F9B">
        <w:rPr>
          <w:rFonts w:ascii="Times New Roman" w:hAnsi="Times New Roman"/>
          <w:color w:val="000000"/>
        </w:rPr>
        <w:t xml:space="preserve"> (d)(1)(viii)</w:t>
      </w:r>
      <w:r w:rsidRPr="00CF3F9B">
        <w:rPr>
          <w:rFonts w:ascii="Times New Roman" w:hAnsi="Times New Roman"/>
          <w:color w:val="000000"/>
        </w:rPr>
        <w:t xml:space="preserve"> and (f)(6) to read as follows:</w:t>
      </w:r>
    </w:p>
    <w:p w:rsidR="003127AA" w:rsidRPr="00CF3F9B" w:rsidRDefault="003127AA" w:rsidP="00897042">
      <w:pPr>
        <w:pStyle w:val="ParaNum"/>
        <w:numPr>
          <w:ilvl w:val="0"/>
          <w:numId w:val="0"/>
        </w:numPr>
        <w:spacing w:after="220" w:line="240" w:lineRule="auto"/>
        <w:rPr>
          <w:rFonts w:ascii="Times New Roman" w:hAnsi="Times New Roman"/>
          <w:b/>
          <w:color w:val="000000"/>
          <w:u w:val="single"/>
        </w:rPr>
      </w:pPr>
      <w:r w:rsidRPr="00CF3F9B">
        <w:rPr>
          <w:rFonts w:ascii="Times New Roman" w:hAnsi="Times New Roman"/>
          <w:b/>
          <w:color w:val="000000"/>
          <w:u w:val="single"/>
        </w:rPr>
        <w:t>§ 51.915 Recovery mechanism for price cap carriers.</w:t>
      </w:r>
    </w:p>
    <w:p w:rsidR="003127AA" w:rsidRPr="00CF3F9B" w:rsidRDefault="003127AA" w:rsidP="00897042">
      <w:pPr>
        <w:pStyle w:val="ParaNum"/>
        <w:numPr>
          <w:ilvl w:val="0"/>
          <w:numId w:val="0"/>
        </w:numPr>
        <w:spacing w:after="220" w:line="240" w:lineRule="auto"/>
        <w:rPr>
          <w:rFonts w:ascii="Times New Roman" w:hAnsi="Times New Roman"/>
          <w:color w:val="000000"/>
        </w:rPr>
      </w:pPr>
      <w:r w:rsidRPr="00CF3F9B">
        <w:rPr>
          <w:rFonts w:ascii="Times New Roman" w:hAnsi="Times New Roman"/>
          <w:color w:val="000000"/>
        </w:rPr>
        <w:t>* * * * *</w:t>
      </w:r>
    </w:p>
    <w:p w:rsidR="003127AA" w:rsidRPr="00CF3F9B" w:rsidRDefault="003127AA" w:rsidP="00897042">
      <w:pPr>
        <w:spacing w:after="220" w:line="240" w:lineRule="auto"/>
        <w:rPr>
          <w:rFonts w:ascii="Times New Roman" w:hAnsi="Times New Roman"/>
        </w:rPr>
      </w:pPr>
      <w:r w:rsidRPr="00CF3F9B">
        <w:rPr>
          <w:rFonts w:ascii="Times New Roman" w:hAnsi="Times New Roman"/>
        </w:rPr>
        <w:t>(b) * * *</w:t>
      </w:r>
    </w:p>
    <w:p w:rsidR="003127AA" w:rsidRPr="00CF3F9B" w:rsidRDefault="003127AA" w:rsidP="00897042">
      <w:pPr>
        <w:pStyle w:val="ParaNum"/>
        <w:numPr>
          <w:ilvl w:val="0"/>
          <w:numId w:val="0"/>
        </w:numPr>
        <w:spacing w:after="220" w:line="240" w:lineRule="auto"/>
        <w:ind w:left="720"/>
        <w:rPr>
          <w:rFonts w:ascii="Times New Roman" w:hAnsi="Times New Roman"/>
        </w:rPr>
      </w:pPr>
      <w:r w:rsidRPr="00CF3F9B">
        <w:rPr>
          <w:rFonts w:ascii="Times New Roman" w:hAnsi="Times New Roman"/>
        </w:rPr>
        <w:t xml:space="preserve">(13) </w:t>
      </w:r>
      <w:r w:rsidRPr="00CF3F9B">
        <w:rPr>
          <w:rFonts w:ascii="Times New Roman" w:hAnsi="Times New Roman"/>
          <w:i/>
        </w:rPr>
        <w:t>True-up Revenues for Access Recovery Charge</w:t>
      </w:r>
      <w:r w:rsidRPr="00CF3F9B">
        <w:rPr>
          <w:rFonts w:ascii="Times New Roman" w:hAnsi="Times New Roman"/>
        </w:rPr>
        <w:t>. True-up revenues for Access Recovery Charge are equal to (projected demand minus actual realized demand for Access Recovery Charges) times the tariffed Access Recovery Charge. This calculation shall be made separately for each class of service and shall be adjusted to reflect any changes in tariffed rates for the Access Recovery Charge. Realized demand is the demand for which payment has been received</w:t>
      </w:r>
      <w:r w:rsidR="009931D9" w:rsidRPr="00CF3F9B">
        <w:rPr>
          <w:rFonts w:ascii="Times New Roman" w:hAnsi="Times New Roman"/>
        </w:rPr>
        <w:t xml:space="preserve"> </w:t>
      </w:r>
      <w:r w:rsidRPr="00CF3F9B">
        <w:rPr>
          <w:rFonts w:ascii="Times New Roman" w:hAnsi="Times New Roman"/>
        </w:rPr>
        <w:t>by the time the true-up is made.</w:t>
      </w:r>
    </w:p>
    <w:p w:rsidR="003127AA" w:rsidRPr="00CF3F9B" w:rsidRDefault="003127AA" w:rsidP="00897042">
      <w:pPr>
        <w:pStyle w:val="ParaNum"/>
        <w:numPr>
          <w:ilvl w:val="0"/>
          <w:numId w:val="0"/>
        </w:numPr>
        <w:spacing w:after="220" w:line="240" w:lineRule="auto"/>
        <w:rPr>
          <w:rFonts w:ascii="Times New Roman" w:hAnsi="Times New Roman"/>
          <w:color w:val="000000"/>
        </w:rPr>
      </w:pPr>
      <w:r w:rsidRPr="00CF3F9B">
        <w:rPr>
          <w:rFonts w:ascii="Times New Roman" w:hAnsi="Times New Roman"/>
        </w:rPr>
        <w:t>* * * * *</w:t>
      </w:r>
    </w:p>
    <w:p w:rsidR="003127AA" w:rsidRPr="00CF3F9B" w:rsidRDefault="003127AA" w:rsidP="00897042">
      <w:pPr>
        <w:spacing w:after="220" w:line="240" w:lineRule="auto"/>
        <w:rPr>
          <w:rFonts w:ascii="Times New Roman" w:hAnsi="Times New Roman"/>
        </w:rPr>
      </w:pPr>
      <w:r w:rsidRPr="00CF3F9B">
        <w:rPr>
          <w:rFonts w:ascii="Times New Roman" w:hAnsi="Times New Roman"/>
        </w:rPr>
        <w:t>(d) * * *</w:t>
      </w:r>
    </w:p>
    <w:p w:rsidR="002E68FB" w:rsidRPr="00CF3F9B" w:rsidRDefault="003127AA" w:rsidP="00897042">
      <w:pPr>
        <w:spacing w:after="220" w:line="240" w:lineRule="auto"/>
        <w:ind w:firstLine="720"/>
        <w:rPr>
          <w:rFonts w:ascii="Times New Roman" w:hAnsi="Times New Roman"/>
        </w:rPr>
      </w:pPr>
      <w:r w:rsidRPr="00CF3F9B">
        <w:rPr>
          <w:rFonts w:ascii="Times New Roman" w:hAnsi="Times New Roman"/>
        </w:rPr>
        <w:t>(1) * * *</w:t>
      </w:r>
    </w:p>
    <w:p w:rsidR="003127AA" w:rsidRPr="00CF3F9B" w:rsidRDefault="003127AA" w:rsidP="00897042">
      <w:pPr>
        <w:spacing w:after="220" w:line="240" w:lineRule="auto"/>
        <w:ind w:left="720" w:firstLine="720"/>
        <w:rPr>
          <w:rFonts w:ascii="Times New Roman" w:hAnsi="Times New Roman"/>
        </w:rPr>
      </w:pPr>
      <w:r w:rsidRPr="00CF3F9B">
        <w:rPr>
          <w:rFonts w:ascii="Times New Roman" w:hAnsi="Times New Roman"/>
        </w:rPr>
        <w:t>(iii) * * *</w:t>
      </w:r>
    </w:p>
    <w:p w:rsidR="003127AA" w:rsidRPr="00CF3F9B" w:rsidRDefault="003127AA" w:rsidP="00897042">
      <w:pPr>
        <w:spacing w:after="220" w:line="240" w:lineRule="auto"/>
        <w:ind w:left="2160"/>
        <w:rPr>
          <w:rFonts w:ascii="Times New Roman" w:hAnsi="Times New Roman"/>
        </w:rPr>
      </w:pPr>
      <w:r w:rsidRPr="00CF3F9B">
        <w:rPr>
          <w:rFonts w:ascii="Times New Roman" w:hAnsi="Times New Roman"/>
        </w:rPr>
        <w:t>(F) An amount equal to True-up Revenues for Access Recovery Charges for the year beginning July 1, 2012.</w:t>
      </w:r>
    </w:p>
    <w:p w:rsidR="003127AA" w:rsidRPr="00CF3F9B" w:rsidRDefault="003127AA" w:rsidP="00897042">
      <w:pPr>
        <w:spacing w:after="220" w:line="240" w:lineRule="auto"/>
        <w:rPr>
          <w:rFonts w:ascii="Times New Roman" w:hAnsi="Times New Roman"/>
        </w:rPr>
      </w:pPr>
      <w:r w:rsidRPr="00CF3F9B">
        <w:rPr>
          <w:rFonts w:ascii="Times New Roman" w:hAnsi="Times New Roman"/>
        </w:rPr>
        <w:tab/>
      </w:r>
      <w:r w:rsidRPr="00CF3F9B">
        <w:rPr>
          <w:rFonts w:ascii="Times New Roman" w:hAnsi="Times New Roman"/>
        </w:rPr>
        <w:tab/>
        <w:t>(iv) * * *</w:t>
      </w:r>
    </w:p>
    <w:p w:rsidR="003127AA" w:rsidRPr="00CF3F9B" w:rsidRDefault="003127AA" w:rsidP="00897042">
      <w:pPr>
        <w:spacing w:after="220" w:line="240" w:lineRule="auto"/>
        <w:ind w:left="2160"/>
        <w:rPr>
          <w:rFonts w:ascii="Times New Roman" w:hAnsi="Times New Roman"/>
        </w:rPr>
      </w:pPr>
      <w:r w:rsidRPr="00CF3F9B">
        <w:rPr>
          <w:rFonts w:ascii="Times New Roman" w:hAnsi="Times New Roman"/>
        </w:rPr>
        <w:t>(F) An amount equal to True-up Revenues for Access Recovery Charges for the year beginning July 1, 2013.</w:t>
      </w:r>
    </w:p>
    <w:p w:rsidR="003127AA" w:rsidRPr="00CF3F9B" w:rsidRDefault="003127AA" w:rsidP="00897042">
      <w:pPr>
        <w:spacing w:after="220" w:line="240" w:lineRule="auto"/>
        <w:rPr>
          <w:rFonts w:ascii="Times New Roman" w:hAnsi="Times New Roman"/>
        </w:rPr>
      </w:pPr>
      <w:r w:rsidRPr="00CF3F9B">
        <w:rPr>
          <w:rFonts w:ascii="Times New Roman" w:hAnsi="Times New Roman"/>
        </w:rPr>
        <w:tab/>
      </w:r>
      <w:r w:rsidRPr="00CF3F9B">
        <w:rPr>
          <w:rFonts w:ascii="Times New Roman" w:hAnsi="Times New Roman"/>
        </w:rPr>
        <w:tab/>
        <w:t xml:space="preserve">(v) * * * </w:t>
      </w:r>
    </w:p>
    <w:p w:rsidR="003127AA" w:rsidRPr="00CF3F9B" w:rsidRDefault="003127AA" w:rsidP="00897042">
      <w:pPr>
        <w:spacing w:after="220" w:line="240" w:lineRule="auto"/>
        <w:ind w:left="2160"/>
        <w:rPr>
          <w:rFonts w:ascii="Times New Roman" w:hAnsi="Times New Roman"/>
        </w:rPr>
      </w:pPr>
      <w:r w:rsidRPr="00CF3F9B">
        <w:rPr>
          <w:rFonts w:ascii="Times New Roman" w:hAnsi="Times New Roman"/>
        </w:rPr>
        <w:t>(F) An amount equal to True-up Revenues for Access Recovery Charges for the year beginning July 1, 2014.</w:t>
      </w:r>
    </w:p>
    <w:p w:rsidR="003127AA" w:rsidRPr="00CF3F9B" w:rsidRDefault="003127AA" w:rsidP="00897042">
      <w:pPr>
        <w:spacing w:after="220" w:line="240" w:lineRule="auto"/>
        <w:rPr>
          <w:rFonts w:ascii="Times New Roman" w:hAnsi="Times New Roman"/>
        </w:rPr>
      </w:pPr>
      <w:r w:rsidRPr="00CF3F9B">
        <w:rPr>
          <w:rFonts w:ascii="Times New Roman" w:hAnsi="Times New Roman"/>
        </w:rPr>
        <w:tab/>
      </w:r>
      <w:r w:rsidRPr="00CF3F9B">
        <w:rPr>
          <w:rFonts w:ascii="Times New Roman" w:hAnsi="Times New Roman"/>
        </w:rPr>
        <w:tab/>
        <w:t>(vi) * * *</w:t>
      </w:r>
    </w:p>
    <w:p w:rsidR="003127AA" w:rsidRPr="00CF3F9B" w:rsidRDefault="003127AA" w:rsidP="00897042">
      <w:pPr>
        <w:spacing w:after="220" w:line="240" w:lineRule="auto"/>
        <w:ind w:left="2160"/>
        <w:rPr>
          <w:rFonts w:ascii="Times New Roman" w:hAnsi="Times New Roman"/>
        </w:rPr>
      </w:pPr>
      <w:r w:rsidRPr="00CF3F9B">
        <w:rPr>
          <w:rFonts w:ascii="Times New Roman" w:hAnsi="Times New Roman"/>
        </w:rPr>
        <w:t>(G) An amount equal to True-up Revenues for Access Recovery Charges for the year beginning July 1, 2015.</w:t>
      </w:r>
    </w:p>
    <w:p w:rsidR="003127AA" w:rsidRPr="00CF3F9B" w:rsidRDefault="003127AA" w:rsidP="00897042">
      <w:pPr>
        <w:spacing w:after="220" w:line="240" w:lineRule="auto"/>
        <w:ind w:left="720"/>
        <w:rPr>
          <w:rFonts w:ascii="Times New Roman" w:hAnsi="Times New Roman"/>
        </w:rPr>
      </w:pPr>
      <w:r w:rsidRPr="00CF3F9B">
        <w:rPr>
          <w:rFonts w:ascii="Times New Roman" w:hAnsi="Times New Roman"/>
        </w:rPr>
        <w:tab/>
        <w:t>(vii) * * *</w:t>
      </w:r>
    </w:p>
    <w:p w:rsidR="003127AA" w:rsidRPr="00CF3F9B" w:rsidRDefault="003127AA" w:rsidP="00897042">
      <w:pPr>
        <w:spacing w:after="220" w:line="240" w:lineRule="auto"/>
        <w:ind w:left="2160"/>
        <w:rPr>
          <w:rFonts w:ascii="Times New Roman" w:hAnsi="Times New Roman"/>
        </w:rPr>
      </w:pPr>
      <w:r w:rsidRPr="00CF3F9B">
        <w:rPr>
          <w:rFonts w:ascii="Times New Roman" w:hAnsi="Times New Roman"/>
        </w:rPr>
        <w:t>(H) An amount equal to True-up Revenues for Access Recovery Charges for the year beginning July 1, 2016.</w:t>
      </w:r>
    </w:p>
    <w:p w:rsidR="003127AA" w:rsidRPr="00CF3F9B" w:rsidRDefault="003127AA" w:rsidP="00897042">
      <w:pPr>
        <w:spacing w:after="220" w:line="240" w:lineRule="auto"/>
        <w:ind w:left="1440"/>
        <w:rPr>
          <w:rFonts w:ascii="Times New Roman" w:hAnsi="Times New Roman"/>
        </w:rPr>
      </w:pPr>
      <w:r w:rsidRPr="00CF3F9B">
        <w:rPr>
          <w:rFonts w:ascii="Times New Roman" w:hAnsi="Times New Roman"/>
        </w:rPr>
        <w:t>(viii) Beginning July 1, 2019, and in subsequent years, a Price Cap Carrier's eligible recovery will be equal to the amount calculated in paragraph (d)(1)(vii)(A) through (d)(1)(vii)(H) of this section before the application of the Price Cap Carrier Traffic Demand Factor applicable in 2018 multiplied by the appropriate Price Cap Carrier Traffic Demand Factor for the year in question, and then adding an amount equal to True-up Revenues for Access Recovery Charges for the year beginning July 1 two years earlier.</w:t>
      </w:r>
    </w:p>
    <w:p w:rsidR="003127AA" w:rsidRPr="00CF3F9B" w:rsidRDefault="003127AA" w:rsidP="00897042">
      <w:pPr>
        <w:pStyle w:val="ParaNum"/>
        <w:numPr>
          <w:ilvl w:val="0"/>
          <w:numId w:val="0"/>
        </w:numPr>
        <w:spacing w:after="220" w:line="240" w:lineRule="auto"/>
        <w:rPr>
          <w:rFonts w:ascii="Times New Roman" w:hAnsi="Times New Roman"/>
          <w:color w:val="000000"/>
        </w:rPr>
      </w:pPr>
      <w:r w:rsidRPr="00CF3F9B">
        <w:rPr>
          <w:rFonts w:ascii="Times New Roman" w:hAnsi="Times New Roman"/>
          <w:color w:val="000000"/>
        </w:rPr>
        <w:t>* * * * *</w:t>
      </w:r>
    </w:p>
    <w:p w:rsidR="003127AA" w:rsidRPr="00CF3F9B" w:rsidRDefault="003127AA" w:rsidP="00897042">
      <w:pPr>
        <w:pStyle w:val="ParaNum"/>
        <w:numPr>
          <w:ilvl w:val="0"/>
          <w:numId w:val="0"/>
        </w:numPr>
        <w:spacing w:after="220" w:line="240" w:lineRule="auto"/>
        <w:rPr>
          <w:rFonts w:ascii="Times New Roman" w:hAnsi="Times New Roman"/>
          <w:color w:val="000000"/>
        </w:rPr>
      </w:pPr>
      <w:r w:rsidRPr="00CF3F9B">
        <w:rPr>
          <w:rFonts w:ascii="Times New Roman" w:hAnsi="Times New Roman"/>
          <w:color w:val="000000"/>
        </w:rPr>
        <w:t>(f) * * *</w:t>
      </w:r>
    </w:p>
    <w:p w:rsidR="003127AA" w:rsidRPr="00CF3F9B" w:rsidRDefault="003127AA" w:rsidP="00897042">
      <w:pPr>
        <w:pStyle w:val="ParaNum"/>
        <w:numPr>
          <w:ilvl w:val="0"/>
          <w:numId w:val="0"/>
        </w:numPr>
        <w:spacing w:after="220" w:line="240" w:lineRule="auto"/>
        <w:ind w:left="720"/>
        <w:rPr>
          <w:rFonts w:ascii="Times New Roman" w:hAnsi="Times New Roman"/>
          <w:color w:val="000000"/>
        </w:rPr>
      </w:pPr>
      <w:r w:rsidRPr="00CF3F9B">
        <w:rPr>
          <w:rFonts w:ascii="Times New Roman" w:hAnsi="Times New Roman"/>
          <w:color w:val="000000"/>
        </w:rPr>
        <w:t>(6)  A Price Cap Carrier that elects to receive CAF ICC support must certify with its annual access tariff filing that it has complied with paragraphs (d) and (e) of this section, and, after doing so, is eligible to receive the CAF ICC support requested pursuant to paragraph (f) of this section.</w:t>
      </w:r>
    </w:p>
    <w:p w:rsidR="003127AA" w:rsidRPr="00CF3F9B" w:rsidRDefault="003127AA" w:rsidP="00897042">
      <w:pPr>
        <w:pStyle w:val="ParaNum"/>
        <w:numPr>
          <w:ilvl w:val="0"/>
          <w:numId w:val="0"/>
        </w:numPr>
        <w:spacing w:after="220" w:line="240" w:lineRule="auto"/>
        <w:rPr>
          <w:rFonts w:ascii="Times New Roman" w:hAnsi="Times New Roman"/>
          <w:color w:val="000000"/>
        </w:rPr>
      </w:pPr>
      <w:r w:rsidRPr="00CF3F9B">
        <w:rPr>
          <w:rFonts w:ascii="Times New Roman" w:hAnsi="Times New Roman"/>
          <w:color w:val="000000"/>
        </w:rPr>
        <w:t>* * * * *</w:t>
      </w:r>
    </w:p>
    <w:p w:rsidR="003127AA" w:rsidRPr="00CF3F9B" w:rsidRDefault="003127AA" w:rsidP="00897042">
      <w:pPr>
        <w:pStyle w:val="ParaNum"/>
        <w:numPr>
          <w:ilvl w:val="0"/>
          <w:numId w:val="0"/>
        </w:numPr>
        <w:spacing w:after="220" w:line="240" w:lineRule="auto"/>
        <w:rPr>
          <w:rFonts w:ascii="Times New Roman" w:hAnsi="Times New Roman"/>
          <w:color w:val="000000"/>
        </w:rPr>
      </w:pPr>
      <w:r w:rsidRPr="00CF3F9B">
        <w:rPr>
          <w:rFonts w:ascii="Times New Roman" w:hAnsi="Times New Roman"/>
          <w:color w:val="000000"/>
        </w:rPr>
        <w:t xml:space="preserve">3. </w:t>
      </w:r>
      <w:r w:rsidRPr="00CF3F9B">
        <w:rPr>
          <w:rFonts w:ascii="Times New Roman" w:hAnsi="Times New Roman"/>
          <w:color w:val="000000"/>
        </w:rPr>
        <w:tab/>
        <w:t xml:space="preserve">Amend 47 C.F.R. § 51.917 to revise paragraphs </w:t>
      </w:r>
      <w:r w:rsidR="00D63EB1" w:rsidRPr="00CF3F9B">
        <w:rPr>
          <w:rFonts w:ascii="Times New Roman" w:hAnsi="Times New Roman"/>
          <w:color w:val="000000"/>
        </w:rPr>
        <w:t xml:space="preserve">(b)(5), </w:t>
      </w:r>
      <w:r w:rsidRPr="00CF3F9B">
        <w:rPr>
          <w:rFonts w:ascii="Times New Roman" w:hAnsi="Times New Roman"/>
          <w:color w:val="000000"/>
        </w:rPr>
        <w:t>(b)(6), (d)(1)(iii)(D), and (f)(3) to read as follows:</w:t>
      </w:r>
    </w:p>
    <w:p w:rsidR="003127AA" w:rsidRPr="00CF3F9B" w:rsidRDefault="003127AA" w:rsidP="00897042">
      <w:pPr>
        <w:pStyle w:val="ParaNum"/>
        <w:numPr>
          <w:ilvl w:val="0"/>
          <w:numId w:val="0"/>
        </w:numPr>
        <w:spacing w:after="220" w:line="240" w:lineRule="auto"/>
        <w:rPr>
          <w:rFonts w:ascii="Times New Roman" w:hAnsi="Times New Roman"/>
          <w:color w:val="000000"/>
        </w:rPr>
      </w:pPr>
      <w:r w:rsidRPr="00CF3F9B">
        <w:rPr>
          <w:rFonts w:ascii="Times New Roman" w:hAnsi="Times New Roman"/>
          <w:b/>
          <w:color w:val="000000"/>
          <w:u w:val="single"/>
        </w:rPr>
        <w:t>§ 51.917 Revenue recovery for Rate-of-Return Carriers.</w:t>
      </w:r>
    </w:p>
    <w:p w:rsidR="003127AA" w:rsidRPr="00CF3F9B" w:rsidRDefault="003127AA" w:rsidP="00897042">
      <w:pPr>
        <w:pStyle w:val="ParaNum"/>
        <w:numPr>
          <w:ilvl w:val="0"/>
          <w:numId w:val="0"/>
        </w:numPr>
        <w:spacing w:after="220" w:line="240" w:lineRule="auto"/>
        <w:rPr>
          <w:rFonts w:ascii="Times New Roman" w:hAnsi="Times New Roman"/>
          <w:color w:val="000000"/>
        </w:rPr>
      </w:pPr>
      <w:r w:rsidRPr="00CF3F9B">
        <w:rPr>
          <w:rFonts w:ascii="Times New Roman" w:hAnsi="Times New Roman"/>
          <w:color w:val="000000"/>
        </w:rPr>
        <w:t>* * * * *</w:t>
      </w:r>
    </w:p>
    <w:p w:rsidR="003127AA" w:rsidRPr="00CF3F9B" w:rsidRDefault="003127AA" w:rsidP="00897042">
      <w:pPr>
        <w:spacing w:after="220" w:line="240" w:lineRule="auto"/>
        <w:rPr>
          <w:rFonts w:ascii="Times New Roman" w:hAnsi="Times New Roman"/>
        </w:rPr>
      </w:pPr>
      <w:r w:rsidRPr="00CF3F9B">
        <w:rPr>
          <w:rFonts w:ascii="Times New Roman" w:hAnsi="Times New Roman"/>
        </w:rPr>
        <w:t>(b) * * *</w:t>
      </w:r>
    </w:p>
    <w:p w:rsidR="003127AA" w:rsidRPr="00CF3F9B" w:rsidRDefault="003127AA" w:rsidP="00897042">
      <w:pPr>
        <w:spacing w:after="220" w:line="240" w:lineRule="auto"/>
        <w:ind w:left="720"/>
        <w:rPr>
          <w:rFonts w:ascii="Times New Roman" w:hAnsi="Times New Roman"/>
        </w:rPr>
      </w:pPr>
      <w:r w:rsidRPr="00CF3F9B">
        <w:rPr>
          <w:rFonts w:ascii="Times New Roman" w:hAnsi="Times New Roman"/>
        </w:rPr>
        <w:t>* * * * *</w:t>
      </w:r>
    </w:p>
    <w:p w:rsidR="003127AA" w:rsidRPr="00CF3F9B" w:rsidRDefault="003127AA" w:rsidP="00897042">
      <w:pPr>
        <w:spacing w:after="220" w:line="240" w:lineRule="auto"/>
        <w:ind w:left="720"/>
        <w:rPr>
          <w:rFonts w:ascii="Times New Roman" w:hAnsi="Times New Roman"/>
        </w:rPr>
      </w:pPr>
      <w:r w:rsidRPr="00CF3F9B">
        <w:rPr>
          <w:rFonts w:ascii="Times New Roman" w:hAnsi="Times New Roman"/>
        </w:rPr>
        <w:t xml:space="preserve">(5) </w:t>
      </w:r>
      <w:r w:rsidRPr="00CF3F9B">
        <w:rPr>
          <w:rFonts w:ascii="Times New Roman" w:hAnsi="Times New Roman"/>
          <w:i/>
        </w:rPr>
        <w:t>True-up Adjustment</w:t>
      </w:r>
      <w:r w:rsidRPr="00CF3F9B">
        <w:rPr>
          <w:rFonts w:ascii="Times New Roman" w:hAnsi="Times New Roman"/>
        </w:rPr>
        <w:t xml:space="preserve">. The True-up Adjustment is equal to the True-up Revenues for any particular service for the period in question.  </w:t>
      </w:r>
    </w:p>
    <w:p w:rsidR="003127AA" w:rsidRPr="00CF3F9B" w:rsidRDefault="003127AA" w:rsidP="00897042">
      <w:pPr>
        <w:spacing w:after="220" w:line="240" w:lineRule="auto"/>
        <w:ind w:left="720"/>
        <w:rPr>
          <w:rFonts w:ascii="Times New Roman" w:hAnsi="Times New Roman"/>
        </w:rPr>
      </w:pPr>
      <w:r w:rsidRPr="00CF3F9B">
        <w:rPr>
          <w:rFonts w:ascii="Times New Roman" w:hAnsi="Times New Roman"/>
        </w:rPr>
        <w:t xml:space="preserve">(6) </w:t>
      </w:r>
      <w:r w:rsidRPr="00CF3F9B">
        <w:rPr>
          <w:rFonts w:ascii="Times New Roman" w:hAnsi="Times New Roman"/>
          <w:i/>
        </w:rPr>
        <w:t>True-up Revenues</w:t>
      </w:r>
      <w:r w:rsidRPr="00CF3F9B">
        <w:rPr>
          <w:rFonts w:ascii="Times New Roman" w:hAnsi="Times New Roman"/>
        </w:rPr>
        <w:t xml:space="preserve">. True-up Revenues from an access service are equal to (projected demand minus actual realized demand for that service) times the default transition rate for that service specified by § 51.909. True-up Revenues from a non-access service are equal to (projected demand minus actual realized net demand for that service) times the default transition rate for that service specified by </w:t>
      </w:r>
      <w:r w:rsidR="009931D9" w:rsidRPr="00CF3F9B">
        <w:rPr>
          <w:rFonts w:ascii="Times New Roman" w:hAnsi="Times New Roman"/>
        </w:rPr>
        <w:t xml:space="preserve">§ </w:t>
      </w:r>
      <w:r w:rsidRPr="00CF3F9B">
        <w:rPr>
          <w:rFonts w:ascii="Times New Roman" w:hAnsi="Times New Roman"/>
        </w:rPr>
        <w:t xml:space="preserve">20.11(b) or </w:t>
      </w:r>
      <w:r w:rsidR="009931D9" w:rsidRPr="00CF3F9B">
        <w:rPr>
          <w:rFonts w:ascii="Times New Roman" w:hAnsi="Times New Roman"/>
        </w:rPr>
        <w:t xml:space="preserve">§ </w:t>
      </w:r>
      <w:r w:rsidRPr="00CF3F9B">
        <w:rPr>
          <w:rFonts w:ascii="Times New Roman" w:hAnsi="Times New Roman"/>
        </w:rPr>
        <w:t>51.705</w:t>
      </w:r>
      <w:r w:rsidR="009931D9" w:rsidRPr="00CF3F9B">
        <w:rPr>
          <w:rFonts w:ascii="Times New Roman" w:hAnsi="Times New Roman"/>
        </w:rPr>
        <w:t xml:space="preserve"> of this chapter</w:t>
      </w:r>
      <w:r w:rsidRPr="00CF3F9B">
        <w:rPr>
          <w:rFonts w:ascii="Times New Roman" w:hAnsi="Times New Roman"/>
        </w:rPr>
        <w:t>. Realized demand is the demand for which payment has been received, or has been made, as appropriate, by the time the true-up is made.</w:t>
      </w:r>
    </w:p>
    <w:p w:rsidR="003127AA" w:rsidRPr="00CF3F9B" w:rsidRDefault="003127AA" w:rsidP="00897042">
      <w:pPr>
        <w:spacing w:after="220" w:line="240" w:lineRule="auto"/>
        <w:rPr>
          <w:rFonts w:ascii="Times New Roman" w:hAnsi="Times New Roman"/>
        </w:rPr>
      </w:pPr>
      <w:r w:rsidRPr="00CF3F9B">
        <w:rPr>
          <w:rFonts w:ascii="Times New Roman" w:hAnsi="Times New Roman"/>
        </w:rPr>
        <w:t>* * * * *</w:t>
      </w:r>
    </w:p>
    <w:p w:rsidR="003127AA" w:rsidRPr="00CF3F9B" w:rsidRDefault="003127AA" w:rsidP="00897042">
      <w:pPr>
        <w:spacing w:after="220" w:line="240" w:lineRule="auto"/>
        <w:rPr>
          <w:rFonts w:ascii="Times New Roman" w:hAnsi="Times New Roman"/>
        </w:rPr>
      </w:pPr>
      <w:r w:rsidRPr="00CF3F9B">
        <w:rPr>
          <w:rFonts w:ascii="Times New Roman" w:hAnsi="Times New Roman"/>
        </w:rPr>
        <w:t>(d) * * *</w:t>
      </w:r>
    </w:p>
    <w:p w:rsidR="003127AA" w:rsidRPr="00CF3F9B" w:rsidRDefault="003127AA" w:rsidP="00897042">
      <w:pPr>
        <w:spacing w:after="220" w:line="240" w:lineRule="auto"/>
        <w:rPr>
          <w:rFonts w:ascii="Times New Roman" w:hAnsi="Times New Roman"/>
        </w:rPr>
      </w:pPr>
      <w:r w:rsidRPr="00CF3F9B">
        <w:rPr>
          <w:rFonts w:ascii="Times New Roman" w:hAnsi="Times New Roman"/>
        </w:rPr>
        <w:tab/>
        <w:t xml:space="preserve">(1) * * * </w:t>
      </w:r>
    </w:p>
    <w:p w:rsidR="003127AA" w:rsidRPr="00CF3F9B" w:rsidRDefault="003127AA" w:rsidP="00897042">
      <w:pPr>
        <w:spacing w:after="220" w:line="240" w:lineRule="auto"/>
        <w:rPr>
          <w:rFonts w:ascii="Times New Roman" w:hAnsi="Times New Roman"/>
        </w:rPr>
      </w:pPr>
      <w:r w:rsidRPr="00CF3F9B">
        <w:rPr>
          <w:rFonts w:ascii="Times New Roman" w:hAnsi="Times New Roman"/>
        </w:rPr>
        <w:tab/>
      </w:r>
      <w:r w:rsidRPr="00CF3F9B">
        <w:rPr>
          <w:rFonts w:ascii="Times New Roman" w:hAnsi="Times New Roman"/>
        </w:rPr>
        <w:tab/>
        <w:t>(iii) * * *</w:t>
      </w:r>
    </w:p>
    <w:p w:rsidR="003127AA" w:rsidRPr="00CF3F9B" w:rsidRDefault="003127AA" w:rsidP="00897042">
      <w:pPr>
        <w:spacing w:after="220" w:line="240" w:lineRule="auto"/>
        <w:ind w:left="2160"/>
        <w:rPr>
          <w:rFonts w:ascii="Times New Roman" w:hAnsi="Times New Roman"/>
        </w:rPr>
      </w:pPr>
      <w:r w:rsidRPr="00CF3F9B">
        <w:rPr>
          <w:rFonts w:ascii="Times New Roman" w:hAnsi="Times New Roman"/>
        </w:rPr>
        <w:t xml:space="preserve">(D) An amount equal to True-up Revenues for Access Recovery Charges for the year beginning July 1, 2012.  </w:t>
      </w:r>
    </w:p>
    <w:p w:rsidR="003127AA" w:rsidRPr="00CF3F9B" w:rsidRDefault="003127AA" w:rsidP="00897042">
      <w:pPr>
        <w:spacing w:after="220" w:line="240" w:lineRule="auto"/>
        <w:rPr>
          <w:rFonts w:ascii="Times New Roman" w:hAnsi="Times New Roman"/>
        </w:rPr>
      </w:pPr>
      <w:r w:rsidRPr="00CF3F9B">
        <w:rPr>
          <w:rFonts w:ascii="Times New Roman" w:hAnsi="Times New Roman"/>
        </w:rPr>
        <w:t>* * * * *</w:t>
      </w:r>
    </w:p>
    <w:p w:rsidR="003127AA" w:rsidRPr="00CF3F9B" w:rsidRDefault="003127AA" w:rsidP="00897042">
      <w:pPr>
        <w:pStyle w:val="ParaNum"/>
        <w:numPr>
          <w:ilvl w:val="0"/>
          <w:numId w:val="0"/>
        </w:numPr>
        <w:spacing w:after="220" w:line="240" w:lineRule="auto"/>
        <w:rPr>
          <w:rFonts w:ascii="Times New Roman" w:hAnsi="Times New Roman"/>
          <w:color w:val="000000"/>
        </w:rPr>
      </w:pPr>
      <w:r w:rsidRPr="00CF3F9B">
        <w:rPr>
          <w:rFonts w:ascii="Times New Roman" w:hAnsi="Times New Roman"/>
          <w:color w:val="000000"/>
        </w:rPr>
        <w:t>(f) * * *</w:t>
      </w:r>
    </w:p>
    <w:p w:rsidR="003127AA" w:rsidRPr="00CF3F9B" w:rsidRDefault="003127AA" w:rsidP="00897042">
      <w:pPr>
        <w:pStyle w:val="ParaNum"/>
        <w:numPr>
          <w:ilvl w:val="0"/>
          <w:numId w:val="0"/>
        </w:numPr>
        <w:spacing w:after="220" w:line="240" w:lineRule="auto"/>
        <w:ind w:left="720"/>
        <w:rPr>
          <w:rFonts w:ascii="Times New Roman" w:hAnsi="Times New Roman"/>
          <w:color w:val="000000"/>
        </w:rPr>
      </w:pPr>
      <w:r w:rsidRPr="00CF3F9B">
        <w:rPr>
          <w:rFonts w:ascii="Times New Roman" w:hAnsi="Times New Roman"/>
          <w:color w:val="000000"/>
        </w:rPr>
        <w:t>(3)  A Rate-of–Return Carrier that elects to receive CAF ICC support must certify with its annual access tariff filing that it has complied with paragraphs (d) and (e), and, after doing so, is eligible to receive the CAF ICC support requested pursuant to paragraph (f) of this section.</w:t>
      </w:r>
    </w:p>
    <w:p w:rsidR="003127AA" w:rsidRPr="00CF3F9B" w:rsidRDefault="003127AA" w:rsidP="00897042">
      <w:pPr>
        <w:pStyle w:val="ParaNum"/>
        <w:numPr>
          <w:ilvl w:val="0"/>
          <w:numId w:val="0"/>
        </w:numPr>
        <w:spacing w:after="220" w:line="240" w:lineRule="auto"/>
        <w:rPr>
          <w:rFonts w:ascii="Times New Roman" w:hAnsi="Times New Roman"/>
          <w:color w:val="000000"/>
        </w:rPr>
      </w:pPr>
      <w:r w:rsidRPr="00CF3F9B">
        <w:rPr>
          <w:rFonts w:ascii="Times New Roman" w:hAnsi="Times New Roman"/>
          <w:color w:val="000000"/>
        </w:rPr>
        <w:t xml:space="preserve">* * * * * </w:t>
      </w:r>
    </w:p>
    <w:p w:rsidR="003127AA" w:rsidRPr="00CF3F9B" w:rsidRDefault="003127AA" w:rsidP="00897042">
      <w:pPr>
        <w:pStyle w:val="ParaNum"/>
        <w:numPr>
          <w:ilvl w:val="0"/>
          <w:numId w:val="0"/>
        </w:numPr>
        <w:spacing w:after="220" w:line="240" w:lineRule="auto"/>
        <w:rPr>
          <w:rFonts w:ascii="Times New Roman" w:hAnsi="Times New Roman"/>
          <w:color w:val="000000"/>
        </w:rPr>
      </w:pPr>
      <w:r w:rsidRPr="00CF3F9B">
        <w:rPr>
          <w:rFonts w:ascii="Times New Roman" w:hAnsi="Times New Roman"/>
          <w:b/>
          <w:color w:val="000000"/>
        </w:rPr>
        <w:t>PART 54—UNIVERSAL SERVICE</w:t>
      </w:r>
    </w:p>
    <w:p w:rsidR="003127AA" w:rsidRPr="00CF3F9B" w:rsidRDefault="003127AA" w:rsidP="00897042">
      <w:pPr>
        <w:pStyle w:val="ParaNum"/>
        <w:numPr>
          <w:ilvl w:val="0"/>
          <w:numId w:val="0"/>
        </w:numPr>
        <w:spacing w:after="220" w:line="240" w:lineRule="auto"/>
        <w:rPr>
          <w:rFonts w:ascii="Times New Roman" w:hAnsi="Times New Roman"/>
          <w:color w:val="000000"/>
        </w:rPr>
      </w:pPr>
      <w:r w:rsidRPr="00CF3F9B">
        <w:rPr>
          <w:rFonts w:ascii="Times New Roman" w:hAnsi="Times New Roman"/>
          <w:color w:val="000000"/>
        </w:rPr>
        <w:t xml:space="preserve">1. </w:t>
      </w:r>
      <w:r w:rsidRPr="00CF3F9B">
        <w:rPr>
          <w:rFonts w:ascii="Times New Roman" w:hAnsi="Times New Roman"/>
          <w:color w:val="000000"/>
        </w:rPr>
        <w:tab/>
        <w:t>The authority citation for part 54 continues to read as follows:</w:t>
      </w:r>
    </w:p>
    <w:p w:rsidR="003127AA" w:rsidRPr="00CF3F9B" w:rsidRDefault="00FC7461" w:rsidP="00897042">
      <w:pPr>
        <w:pStyle w:val="ParaNum"/>
        <w:numPr>
          <w:ilvl w:val="0"/>
          <w:numId w:val="0"/>
        </w:numPr>
        <w:spacing w:after="220" w:line="240" w:lineRule="auto"/>
        <w:rPr>
          <w:rFonts w:ascii="Times New Roman" w:hAnsi="Times New Roman"/>
          <w:color w:val="000000"/>
        </w:rPr>
      </w:pPr>
      <w:r w:rsidRPr="00897042">
        <w:rPr>
          <w:rFonts w:ascii="Times New Roman" w:hAnsi="Times New Roman"/>
          <w:color w:val="000000"/>
        </w:rPr>
        <w:t>Authority</w:t>
      </w:r>
      <w:r w:rsidR="003127AA" w:rsidRPr="00CF3F9B">
        <w:rPr>
          <w:rFonts w:ascii="Times New Roman" w:hAnsi="Times New Roman"/>
          <w:color w:val="000000"/>
        </w:rPr>
        <w:t>: 47 U.S.C. 151, 154(i), 201, 205, 214, 219, 220, 254, 303(r), 403, and 1302 unless otherwise noted.</w:t>
      </w:r>
    </w:p>
    <w:p w:rsidR="003127AA" w:rsidRPr="00CF3F9B" w:rsidRDefault="003127AA" w:rsidP="00897042">
      <w:pPr>
        <w:pStyle w:val="ParaNum"/>
        <w:numPr>
          <w:ilvl w:val="0"/>
          <w:numId w:val="0"/>
        </w:numPr>
        <w:spacing w:after="220" w:line="240" w:lineRule="auto"/>
        <w:rPr>
          <w:rFonts w:ascii="Times New Roman" w:hAnsi="Times New Roman"/>
          <w:color w:val="000000"/>
        </w:rPr>
      </w:pPr>
      <w:r w:rsidRPr="00CF3F9B">
        <w:rPr>
          <w:rFonts w:ascii="Times New Roman" w:hAnsi="Times New Roman"/>
          <w:b/>
          <w:color w:val="000000"/>
        </w:rPr>
        <w:t>Subpart D—Universal Service Support for High Cost Areas</w:t>
      </w:r>
    </w:p>
    <w:p w:rsidR="003127AA" w:rsidRPr="00CF3F9B" w:rsidRDefault="003127AA" w:rsidP="00897042">
      <w:pPr>
        <w:pStyle w:val="ParaNum"/>
        <w:numPr>
          <w:ilvl w:val="0"/>
          <w:numId w:val="0"/>
        </w:numPr>
        <w:spacing w:after="220" w:line="240" w:lineRule="auto"/>
        <w:rPr>
          <w:rFonts w:ascii="Times New Roman" w:hAnsi="Times New Roman"/>
          <w:color w:val="000000"/>
        </w:rPr>
      </w:pPr>
      <w:r w:rsidRPr="00CF3F9B">
        <w:rPr>
          <w:rFonts w:ascii="Times New Roman" w:hAnsi="Times New Roman"/>
          <w:color w:val="000000"/>
        </w:rPr>
        <w:t>2.</w:t>
      </w:r>
      <w:r w:rsidRPr="00CF3F9B">
        <w:rPr>
          <w:rFonts w:ascii="Times New Roman" w:hAnsi="Times New Roman"/>
          <w:color w:val="000000"/>
        </w:rPr>
        <w:tab/>
        <w:t>Amend 47 C.F.R. § 54.304 to revise paragraphs (c)(1) and (d)(1) to read as follows:</w:t>
      </w:r>
    </w:p>
    <w:p w:rsidR="003127AA" w:rsidRPr="00CF3F9B" w:rsidRDefault="003127AA" w:rsidP="00897042">
      <w:pPr>
        <w:pStyle w:val="ParaNum"/>
        <w:numPr>
          <w:ilvl w:val="0"/>
          <w:numId w:val="0"/>
        </w:numPr>
        <w:spacing w:after="220" w:line="240" w:lineRule="auto"/>
        <w:rPr>
          <w:rFonts w:ascii="Times New Roman" w:hAnsi="Times New Roman"/>
          <w:color w:val="000000"/>
        </w:rPr>
      </w:pPr>
      <w:r w:rsidRPr="00CF3F9B">
        <w:rPr>
          <w:rFonts w:ascii="Times New Roman" w:hAnsi="Times New Roman"/>
          <w:b/>
          <w:color w:val="000000"/>
          <w:u w:val="single"/>
        </w:rPr>
        <w:t xml:space="preserve">§ 54.304 Administration of Connect America Fund Intercarrier Compensation Replacement. </w:t>
      </w:r>
    </w:p>
    <w:p w:rsidR="003127AA" w:rsidRPr="00CF3F9B" w:rsidRDefault="003127AA" w:rsidP="00897042">
      <w:pPr>
        <w:pStyle w:val="ParaNum"/>
        <w:numPr>
          <w:ilvl w:val="0"/>
          <w:numId w:val="0"/>
        </w:numPr>
        <w:spacing w:after="220" w:line="240" w:lineRule="auto"/>
        <w:rPr>
          <w:rFonts w:ascii="Times New Roman" w:hAnsi="Times New Roman"/>
          <w:color w:val="000000"/>
        </w:rPr>
      </w:pPr>
      <w:r w:rsidRPr="00CF3F9B">
        <w:rPr>
          <w:rFonts w:ascii="Times New Roman" w:hAnsi="Times New Roman"/>
          <w:color w:val="000000"/>
        </w:rPr>
        <w:t>* * * * *</w:t>
      </w:r>
    </w:p>
    <w:p w:rsidR="003127AA" w:rsidRPr="00CF3F9B" w:rsidRDefault="003127AA" w:rsidP="00897042">
      <w:pPr>
        <w:pStyle w:val="ParaNum"/>
        <w:numPr>
          <w:ilvl w:val="0"/>
          <w:numId w:val="0"/>
        </w:numPr>
        <w:spacing w:after="220" w:line="240" w:lineRule="auto"/>
        <w:rPr>
          <w:rFonts w:ascii="Times New Roman" w:hAnsi="Times New Roman"/>
          <w:color w:val="000000"/>
        </w:rPr>
      </w:pPr>
      <w:r w:rsidRPr="00CF3F9B">
        <w:rPr>
          <w:rFonts w:ascii="Times New Roman" w:hAnsi="Times New Roman"/>
          <w:color w:val="000000"/>
        </w:rPr>
        <w:t>(c) * * *</w:t>
      </w:r>
    </w:p>
    <w:p w:rsidR="003127AA" w:rsidRPr="00CF3F9B" w:rsidRDefault="003127AA" w:rsidP="00897042">
      <w:pPr>
        <w:pStyle w:val="ParaNum"/>
        <w:numPr>
          <w:ilvl w:val="0"/>
          <w:numId w:val="0"/>
        </w:numPr>
        <w:spacing w:after="220" w:line="240" w:lineRule="auto"/>
        <w:ind w:left="720"/>
        <w:rPr>
          <w:rFonts w:ascii="Times New Roman" w:hAnsi="Times New Roman"/>
          <w:color w:val="000000"/>
        </w:rPr>
      </w:pPr>
      <w:r w:rsidRPr="00CF3F9B">
        <w:rPr>
          <w:rFonts w:ascii="Times New Roman" w:hAnsi="Times New Roman"/>
          <w:color w:val="000000"/>
        </w:rPr>
        <w:t xml:space="preserve">(1)  A Price Cap Carrier seeking CAF ICC support pursuant to § 51.915 of this chapter shall file data with the Administrator, the Commission, and the relevant state commissions no later than June 30, 2012, for the first year, and </w:t>
      </w:r>
      <w:r w:rsidRPr="00CF3F9B">
        <w:rPr>
          <w:rFonts w:ascii="Times New Roman" w:hAnsi="Times New Roman"/>
        </w:rPr>
        <w:t>on the date it files its annual access tariff filing with the Commission</w:t>
      </w:r>
      <w:r w:rsidRPr="00CF3F9B">
        <w:rPr>
          <w:rFonts w:ascii="Times New Roman" w:hAnsi="Times New Roman"/>
          <w:color w:val="000000"/>
        </w:rPr>
        <w:t xml:space="preserve">, in subsequent years, establishing the amount of the </w:t>
      </w:r>
      <w:r w:rsidRPr="00CF3F9B">
        <w:rPr>
          <w:rFonts w:ascii="Times New Roman" w:hAnsi="Times New Roman"/>
        </w:rPr>
        <w:t>Price Cap Carrier’s</w:t>
      </w:r>
      <w:r w:rsidRPr="00CF3F9B">
        <w:rPr>
          <w:rFonts w:ascii="Times New Roman" w:hAnsi="Times New Roman"/>
          <w:color w:val="000000"/>
        </w:rPr>
        <w:t xml:space="preserve"> eligible CAF ICC funding during the upcoming funding period pursuant to § 51.915 of this chapter.  The amount shall include any true-ups, pursuant to § 51.915 of this chapter, associated with an earlier funding period.</w:t>
      </w:r>
    </w:p>
    <w:p w:rsidR="003127AA" w:rsidRPr="00CF3F9B" w:rsidRDefault="003127AA" w:rsidP="00897042">
      <w:pPr>
        <w:pStyle w:val="ParaNum"/>
        <w:numPr>
          <w:ilvl w:val="0"/>
          <w:numId w:val="0"/>
        </w:numPr>
        <w:spacing w:after="220" w:line="240" w:lineRule="auto"/>
        <w:rPr>
          <w:rFonts w:ascii="Times New Roman" w:hAnsi="Times New Roman"/>
          <w:color w:val="000000"/>
        </w:rPr>
      </w:pPr>
      <w:r w:rsidRPr="00CF3F9B">
        <w:rPr>
          <w:rFonts w:ascii="Times New Roman" w:hAnsi="Times New Roman"/>
          <w:color w:val="000000"/>
        </w:rPr>
        <w:t>* * * * *</w:t>
      </w:r>
    </w:p>
    <w:p w:rsidR="003127AA" w:rsidRPr="00CF3F9B" w:rsidRDefault="003127AA" w:rsidP="00897042">
      <w:pPr>
        <w:pStyle w:val="ParaNum"/>
        <w:numPr>
          <w:ilvl w:val="0"/>
          <w:numId w:val="0"/>
        </w:numPr>
        <w:spacing w:after="220" w:line="240" w:lineRule="auto"/>
        <w:rPr>
          <w:rFonts w:ascii="Times New Roman" w:hAnsi="Times New Roman"/>
          <w:color w:val="000000"/>
        </w:rPr>
      </w:pPr>
      <w:r w:rsidRPr="00CF3F9B">
        <w:rPr>
          <w:rFonts w:ascii="Times New Roman" w:hAnsi="Times New Roman"/>
          <w:color w:val="000000"/>
        </w:rPr>
        <w:t>(d) * * *</w:t>
      </w:r>
    </w:p>
    <w:p w:rsidR="003127AA" w:rsidRPr="00CF3F9B" w:rsidRDefault="003127AA" w:rsidP="00897042">
      <w:pPr>
        <w:pStyle w:val="ParaNum"/>
        <w:numPr>
          <w:ilvl w:val="0"/>
          <w:numId w:val="0"/>
        </w:numPr>
        <w:spacing w:after="220" w:line="240" w:lineRule="auto"/>
        <w:ind w:left="720"/>
        <w:rPr>
          <w:rFonts w:ascii="Times New Roman" w:hAnsi="Times New Roman"/>
          <w:color w:val="000000"/>
        </w:rPr>
      </w:pPr>
      <w:r w:rsidRPr="00CF3F9B">
        <w:rPr>
          <w:rFonts w:ascii="Times New Roman" w:hAnsi="Times New Roman"/>
          <w:color w:val="000000"/>
        </w:rPr>
        <w:t xml:space="preserve">(1)  A Rate-of-Return Carrier seeking CAF ICC support shall file data with the Administrator, the Commission, and the relevant state commissions no later than June 30, 2012, for the first year, and </w:t>
      </w:r>
      <w:r w:rsidRPr="00CF3F9B">
        <w:rPr>
          <w:rFonts w:ascii="Times New Roman" w:hAnsi="Times New Roman"/>
        </w:rPr>
        <w:t>on the date it files its annual access tariff filing with the Commission</w:t>
      </w:r>
      <w:r w:rsidRPr="00CF3F9B">
        <w:rPr>
          <w:rFonts w:ascii="Times New Roman" w:hAnsi="Times New Roman"/>
          <w:color w:val="000000"/>
        </w:rPr>
        <w:t xml:space="preserve">, in subsequent years, establishing the </w:t>
      </w:r>
      <w:r w:rsidR="00524C19" w:rsidRPr="00CF3F9B">
        <w:rPr>
          <w:rFonts w:ascii="Times New Roman" w:hAnsi="Times New Roman"/>
        </w:rPr>
        <w:t>R</w:t>
      </w:r>
      <w:r w:rsidRPr="00CF3F9B">
        <w:rPr>
          <w:rFonts w:ascii="Times New Roman" w:hAnsi="Times New Roman"/>
        </w:rPr>
        <w:t>ate-of-</w:t>
      </w:r>
      <w:r w:rsidR="00524C19" w:rsidRPr="00CF3F9B">
        <w:rPr>
          <w:rFonts w:ascii="Times New Roman" w:hAnsi="Times New Roman"/>
        </w:rPr>
        <w:t>R</w:t>
      </w:r>
      <w:r w:rsidRPr="00CF3F9B">
        <w:rPr>
          <w:rFonts w:ascii="Times New Roman" w:hAnsi="Times New Roman"/>
        </w:rPr>
        <w:t xml:space="preserve">eturn </w:t>
      </w:r>
      <w:r w:rsidR="00524C19" w:rsidRPr="00CF3F9B">
        <w:rPr>
          <w:rFonts w:ascii="Times New Roman" w:hAnsi="Times New Roman"/>
        </w:rPr>
        <w:t>C</w:t>
      </w:r>
      <w:r w:rsidRPr="00CF3F9B">
        <w:rPr>
          <w:rFonts w:ascii="Times New Roman" w:hAnsi="Times New Roman"/>
        </w:rPr>
        <w:t>arrier’s</w:t>
      </w:r>
      <w:r w:rsidRPr="00CF3F9B">
        <w:rPr>
          <w:rFonts w:ascii="Times New Roman" w:hAnsi="Times New Roman"/>
          <w:color w:val="000000"/>
        </w:rPr>
        <w:t xml:space="preserve"> projected eligibility for CAF ICC funding during the upcoming funding period pursuant to § 51.917 of this chapter.  The projected amount shall include any true-ups, pursuant to § 51.917 of this chapter, associated with an earlier funding period.</w:t>
      </w:r>
    </w:p>
    <w:p w:rsidR="003127AA" w:rsidRPr="00CF3F9B" w:rsidRDefault="003127AA" w:rsidP="00897042">
      <w:pPr>
        <w:pStyle w:val="ParaNum"/>
        <w:numPr>
          <w:ilvl w:val="0"/>
          <w:numId w:val="0"/>
        </w:numPr>
        <w:spacing w:after="220" w:line="240" w:lineRule="auto"/>
        <w:rPr>
          <w:rFonts w:ascii="Times New Roman" w:hAnsi="Times New Roman"/>
          <w:color w:val="000000"/>
        </w:rPr>
      </w:pPr>
      <w:r w:rsidRPr="00CF3F9B">
        <w:rPr>
          <w:rFonts w:ascii="Times New Roman" w:hAnsi="Times New Roman"/>
          <w:color w:val="000000"/>
        </w:rPr>
        <w:t>* * * * *</w:t>
      </w:r>
    </w:p>
    <w:p w:rsidR="003127AA" w:rsidRPr="00CF3F9B" w:rsidRDefault="003127AA" w:rsidP="00897042">
      <w:pPr>
        <w:pStyle w:val="ParaNum"/>
        <w:numPr>
          <w:ilvl w:val="0"/>
          <w:numId w:val="0"/>
        </w:numPr>
        <w:spacing w:after="220" w:line="240" w:lineRule="auto"/>
        <w:rPr>
          <w:rFonts w:ascii="Times New Roman" w:hAnsi="Times New Roman"/>
          <w:b/>
          <w:color w:val="000000"/>
        </w:rPr>
      </w:pPr>
      <w:r w:rsidRPr="00CF3F9B">
        <w:rPr>
          <w:rFonts w:ascii="Times New Roman" w:hAnsi="Times New Roman"/>
          <w:b/>
          <w:color w:val="000000"/>
        </w:rPr>
        <w:t>Subpart K—Interstate Common Line Support Mechanism Rate-of-Return Carriers</w:t>
      </w:r>
    </w:p>
    <w:p w:rsidR="003127AA" w:rsidRPr="00CF3F9B" w:rsidRDefault="003127AA" w:rsidP="00897042">
      <w:pPr>
        <w:pStyle w:val="ParaNum"/>
        <w:numPr>
          <w:ilvl w:val="0"/>
          <w:numId w:val="0"/>
        </w:numPr>
        <w:spacing w:after="220" w:line="240" w:lineRule="auto"/>
        <w:rPr>
          <w:rFonts w:ascii="Times New Roman" w:hAnsi="Times New Roman"/>
          <w:color w:val="000000"/>
        </w:rPr>
      </w:pPr>
      <w:r w:rsidRPr="00CF3F9B">
        <w:rPr>
          <w:rFonts w:ascii="Times New Roman" w:hAnsi="Times New Roman"/>
          <w:color w:val="000000"/>
        </w:rPr>
        <w:t>3.</w:t>
      </w:r>
      <w:r w:rsidRPr="00CF3F9B">
        <w:rPr>
          <w:rFonts w:ascii="Times New Roman" w:hAnsi="Times New Roman"/>
          <w:color w:val="000000"/>
        </w:rPr>
        <w:tab/>
        <w:t>Amend 47 C.F.R. 54.901 to revise paragraph</w:t>
      </w:r>
      <w:r w:rsidR="00524C19" w:rsidRPr="00CF3F9B">
        <w:rPr>
          <w:rFonts w:ascii="Times New Roman" w:hAnsi="Times New Roman"/>
          <w:color w:val="000000"/>
        </w:rPr>
        <w:t>s</w:t>
      </w:r>
      <w:r w:rsidR="008E7D27" w:rsidRPr="00CF3F9B">
        <w:rPr>
          <w:rFonts w:ascii="Times New Roman" w:hAnsi="Times New Roman"/>
          <w:color w:val="000000"/>
        </w:rPr>
        <w:t xml:space="preserve"> (c)</w:t>
      </w:r>
      <w:r w:rsidRPr="00CF3F9B">
        <w:rPr>
          <w:rFonts w:ascii="Times New Roman" w:hAnsi="Times New Roman"/>
          <w:color w:val="000000"/>
        </w:rPr>
        <w:t xml:space="preserve"> </w:t>
      </w:r>
      <w:r w:rsidR="00524C19" w:rsidRPr="00CF3F9B">
        <w:rPr>
          <w:rFonts w:ascii="Times New Roman" w:hAnsi="Times New Roman"/>
          <w:color w:val="000000"/>
        </w:rPr>
        <w:t xml:space="preserve">and (c)(2) </w:t>
      </w:r>
      <w:r w:rsidRPr="00CF3F9B">
        <w:rPr>
          <w:rFonts w:ascii="Times New Roman" w:hAnsi="Times New Roman"/>
          <w:color w:val="000000"/>
        </w:rPr>
        <w:t>to read as follows:</w:t>
      </w:r>
    </w:p>
    <w:p w:rsidR="003127AA" w:rsidRPr="00CF3F9B" w:rsidRDefault="003127AA" w:rsidP="00897042">
      <w:pPr>
        <w:pStyle w:val="ParaNum"/>
        <w:numPr>
          <w:ilvl w:val="0"/>
          <w:numId w:val="0"/>
        </w:numPr>
        <w:spacing w:after="220" w:line="240" w:lineRule="auto"/>
        <w:rPr>
          <w:rFonts w:ascii="Times New Roman" w:hAnsi="Times New Roman"/>
          <w:b/>
          <w:u w:val="single"/>
        </w:rPr>
      </w:pPr>
      <w:r w:rsidRPr="00CF3F9B">
        <w:rPr>
          <w:rFonts w:ascii="Times New Roman" w:hAnsi="Times New Roman"/>
          <w:b/>
          <w:u w:val="single"/>
        </w:rPr>
        <w:t>§ 54.901 Calculation of Interstate Common Line Support.</w:t>
      </w:r>
    </w:p>
    <w:p w:rsidR="003127AA" w:rsidRPr="00CF3F9B" w:rsidRDefault="003127AA" w:rsidP="00897042">
      <w:pPr>
        <w:pStyle w:val="ParaNum"/>
        <w:numPr>
          <w:ilvl w:val="0"/>
          <w:numId w:val="0"/>
        </w:numPr>
        <w:spacing w:after="220" w:line="240" w:lineRule="auto"/>
        <w:rPr>
          <w:rFonts w:ascii="Times New Roman" w:hAnsi="Times New Roman"/>
        </w:rPr>
      </w:pPr>
      <w:r w:rsidRPr="00CF3F9B">
        <w:rPr>
          <w:rFonts w:ascii="Times New Roman" w:hAnsi="Times New Roman"/>
        </w:rPr>
        <w:t>* * * * *</w:t>
      </w:r>
    </w:p>
    <w:p w:rsidR="003127AA" w:rsidRPr="00CF3F9B" w:rsidRDefault="003127AA" w:rsidP="00897042">
      <w:pPr>
        <w:pStyle w:val="ParaNum"/>
        <w:numPr>
          <w:ilvl w:val="0"/>
          <w:numId w:val="0"/>
        </w:numPr>
        <w:spacing w:after="220" w:line="240" w:lineRule="auto"/>
        <w:rPr>
          <w:rFonts w:ascii="Times New Roman" w:hAnsi="Times New Roman"/>
        </w:rPr>
      </w:pPr>
      <w:r w:rsidRPr="00CF3F9B">
        <w:rPr>
          <w:rFonts w:ascii="Times New Roman" w:hAnsi="Times New Roman"/>
        </w:rPr>
        <w:t>(c) Beginning January 1, 2012, for purposes of calculating the amount of Interstate Common Line Support determined pursuant to paragraph (a) of this section that a non-price cap carrier may receive, the</w:t>
      </w:r>
      <w:r w:rsidRPr="00CF3F9B">
        <w:rPr>
          <w:rFonts w:ascii="Times New Roman" w:hAnsi="Times New Roman"/>
          <w:color w:val="0070C0"/>
          <w:u w:val="single"/>
        </w:rPr>
        <w:t xml:space="preserve"> </w:t>
      </w:r>
      <w:r w:rsidRPr="00CF3F9B">
        <w:rPr>
          <w:rFonts w:ascii="Times New Roman" w:hAnsi="Times New Roman"/>
        </w:rPr>
        <w:t>corporate operations expense allocated to the Common Line Revenue Requirement</w:t>
      </w:r>
      <w:r w:rsidR="001026A4" w:rsidRPr="00CF3F9B">
        <w:rPr>
          <w:rFonts w:ascii="Times New Roman" w:hAnsi="Times New Roman"/>
        </w:rPr>
        <w:t>,</w:t>
      </w:r>
      <w:r w:rsidRPr="00CF3F9B">
        <w:rPr>
          <w:rFonts w:ascii="Times New Roman" w:hAnsi="Times New Roman"/>
        </w:rPr>
        <w:t xml:space="preserve"> pursuant to </w:t>
      </w:r>
      <w:r w:rsidR="001026A4" w:rsidRPr="00CF3F9B">
        <w:rPr>
          <w:rFonts w:ascii="Times New Roman" w:hAnsi="Times New Roman"/>
        </w:rPr>
        <w:t xml:space="preserve">§ </w:t>
      </w:r>
      <w:r w:rsidRPr="00CF3F9B">
        <w:rPr>
          <w:rFonts w:ascii="Times New Roman" w:hAnsi="Times New Roman"/>
        </w:rPr>
        <w:t>69.409 of this chapter, shall be limited to the less</w:t>
      </w:r>
      <w:r w:rsidR="00487A25" w:rsidRPr="00CF3F9B">
        <w:rPr>
          <w:rFonts w:ascii="Times New Roman" w:hAnsi="Times New Roman"/>
        </w:rPr>
        <w:t>e</w:t>
      </w:r>
      <w:r w:rsidRPr="00CF3F9B">
        <w:rPr>
          <w:rFonts w:ascii="Times New Roman" w:hAnsi="Times New Roman"/>
        </w:rPr>
        <w:t>r of:</w:t>
      </w:r>
    </w:p>
    <w:p w:rsidR="003127AA" w:rsidRPr="00CF3F9B" w:rsidRDefault="003127AA" w:rsidP="00897042">
      <w:pPr>
        <w:pStyle w:val="ParaNum"/>
        <w:numPr>
          <w:ilvl w:val="0"/>
          <w:numId w:val="36"/>
        </w:numPr>
        <w:spacing w:after="220" w:line="240" w:lineRule="auto"/>
        <w:rPr>
          <w:rFonts w:ascii="Times New Roman" w:hAnsi="Times New Roman"/>
        </w:rPr>
      </w:pPr>
      <w:r w:rsidRPr="00CF3F9B">
        <w:rPr>
          <w:rFonts w:ascii="Times New Roman" w:hAnsi="Times New Roman"/>
        </w:rPr>
        <w:t>* * *</w:t>
      </w:r>
    </w:p>
    <w:p w:rsidR="003127AA" w:rsidRPr="00CF3F9B" w:rsidRDefault="003127AA" w:rsidP="00897042">
      <w:pPr>
        <w:pStyle w:val="ParaNum"/>
        <w:numPr>
          <w:ilvl w:val="0"/>
          <w:numId w:val="36"/>
        </w:numPr>
        <w:spacing w:after="220" w:line="240" w:lineRule="auto"/>
        <w:rPr>
          <w:rFonts w:ascii="Times New Roman" w:hAnsi="Times New Roman"/>
        </w:rPr>
      </w:pPr>
      <w:r w:rsidRPr="00CF3F9B">
        <w:rPr>
          <w:rFonts w:ascii="Times New Roman" w:hAnsi="Times New Roman"/>
        </w:rPr>
        <w:t>The portion of the monthly per-loop amount computed pursuant to § 36.621(a)(4)(iii) of this chapter that would be allocated to the interstate Common Line Revenue Requirement pursuant to § 69.409 of this chapter.</w:t>
      </w:r>
    </w:p>
    <w:p w:rsidR="004B7703" w:rsidRPr="00CF3F9B" w:rsidRDefault="003127AA" w:rsidP="00897042">
      <w:pPr>
        <w:pStyle w:val="ParaNum"/>
        <w:numPr>
          <w:ilvl w:val="0"/>
          <w:numId w:val="0"/>
        </w:numPr>
        <w:spacing w:after="220" w:line="240" w:lineRule="auto"/>
        <w:rPr>
          <w:rFonts w:ascii="Times New Roman" w:hAnsi="Times New Roman"/>
        </w:rPr>
      </w:pPr>
      <w:r w:rsidRPr="00CF3F9B">
        <w:rPr>
          <w:rFonts w:ascii="Times New Roman" w:hAnsi="Times New Roman"/>
        </w:rPr>
        <w:t>* * * * *</w:t>
      </w:r>
    </w:p>
    <w:p w:rsidR="003127AA" w:rsidRPr="00CF3F9B" w:rsidRDefault="00687D22" w:rsidP="00897042">
      <w:pPr>
        <w:pStyle w:val="ParaNum"/>
        <w:numPr>
          <w:ilvl w:val="0"/>
          <w:numId w:val="0"/>
        </w:numPr>
        <w:spacing w:after="220" w:line="240" w:lineRule="auto"/>
        <w:rPr>
          <w:rFonts w:ascii="Times New Roman" w:hAnsi="Times New Roman"/>
          <w:b/>
        </w:rPr>
      </w:pPr>
      <w:r>
        <w:rPr>
          <w:rFonts w:ascii="Times New Roman" w:hAnsi="Times New Roman"/>
          <w:b/>
        </w:rPr>
        <w:br w:type="page"/>
      </w:r>
      <w:r w:rsidR="003127AA" w:rsidRPr="00CF3F9B">
        <w:rPr>
          <w:rFonts w:ascii="Times New Roman" w:hAnsi="Times New Roman"/>
          <w:b/>
        </w:rPr>
        <w:t>PART 69—ACCESS CHARGES</w:t>
      </w:r>
    </w:p>
    <w:p w:rsidR="003127AA" w:rsidRPr="00CF3F9B" w:rsidRDefault="003127AA" w:rsidP="00897042">
      <w:pPr>
        <w:pStyle w:val="ParaNum"/>
        <w:numPr>
          <w:ilvl w:val="0"/>
          <w:numId w:val="29"/>
        </w:numPr>
        <w:spacing w:after="220" w:line="240" w:lineRule="auto"/>
        <w:ind w:hanging="720"/>
        <w:rPr>
          <w:rFonts w:ascii="Times New Roman" w:hAnsi="Times New Roman"/>
        </w:rPr>
      </w:pPr>
      <w:r w:rsidRPr="00CF3F9B">
        <w:rPr>
          <w:rFonts w:ascii="Times New Roman" w:hAnsi="Times New Roman"/>
        </w:rPr>
        <w:t>The authority citation for part 69 continues to read as follows:</w:t>
      </w:r>
    </w:p>
    <w:p w:rsidR="003127AA" w:rsidRPr="00CF3F9B" w:rsidRDefault="005234CD" w:rsidP="00897042">
      <w:pPr>
        <w:pStyle w:val="ParaNum"/>
        <w:numPr>
          <w:ilvl w:val="0"/>
          <w:numId w:val="0"/>
        </w:numPr>
        <w:spacing w:after="220" w:line="240" w:lineRule="auto"/>
        <w:rPr>
          <w:rFonts w:ascii="Times New Roman" w:hAnsi="Times New Roman"/>
        </w:rPr>
      </w:pPr>
      <w:r>
        <w:rPr>
          <w:rFonts w:ascii="Times New Roman" w:hAnsi="Times New Roman"/>
        </w:rPr>
        <w:t>Authority</w:t>
      </w:r>
      <w:r w:rsidR="003127AA" w:rsidRPr="00CF3F9B">
        <w:rPr>
          <w:rFonts w:ascii="Times New Roman" w:hAnsi="Times New Roman"/>
        </w:rPr>
        <w:t>: 47 U.S.C. 154, 201, 202, 203, 205, 218, 220, 254, 403.</w:t>
      </w:r>
    </w:p>
    <w:p w:rsidR="003127AA" w:rsidRPr="00CF3F9B" w:rsidRDefault="003127AA" w:rsidP="00897042">
      <w:pPr>
        <w:pStyle w:val="ParaNum"/>
        <w:numPr>
          <w:ilvl w:val="0"/>
          <w:numId w:val="0"/>
        </w:numPr>
        <w:spacing w:after="220" w:line="240" w:lineRule="auto"/>
        <w:rPr>
          <w:rFonts w:ascii="Times New Roman" w:hAnsi="Times New Roman"/>
          <w:b/>
        </w:rPr>
      </w:pPr>
      <w:r w:rsidRPr="00CF3F9B">
        <w:rPr>
          <w:rFonts w:ascii="Times New Roman" w:hAnsi="Times New Roman"/>
          <w:b/>
        </w:rPr>
        <w:t>Subpart D—Apportionment of Net Investment</w:t>
      </w:r>
    </w:p>
    <w:p w:rsidR="003127AA" w:rsidRPr="00CF3F9B" w:rsidRDefault="003127AA" w:rsidP="00897042">
      <w:pPr>
        <w:pStyle w:val="ParaNum"/>
        <w:numPr>
          <w:ilvl w:val="0"/>
          <w:numId w:val="29"/>
        </w:numPr>
        <w:spacing w:after="220" w:line="240" w:lineRule="auto"/>
        <w:ind w:hanging="720"/>
        <w:rPr>
          <w:rFonts w:ascii="Times New Roman" w:hAnsi="Times New Roman"/>
        </w:rPr>
      </w:pPr>
      <w:r w:rsidRPr="00CF3F9B">
        <w:rPr>
          <w:rFonts w:ascii="Times New Roman" w:hAnsi="Times New Roman"/>
        </w:rPr>
        <w:t>Amend 47 C.F.R. § 69.306 to revise paragraph (d)(2) and add paragraph (d)(3) to read as follows:</w:t>
      </w:r>
    </w:p>
    <w:p w:rsidR="003127AA" w:rsidRPr="00CF3F9B" w:rsidRDefault="003127AA" w:rsidP="00897042">
      <w:pPr>
        <w:pStyle w:val="ParaNum"/>
        <w:numPr>
          <w:ilvl w:val="0"/>
          <w:numId w:val="0"/>
        </w:numPr>
        <w:spacing w:after="220" w:line="240" w:lineRule="auto"/>
        <w:rPr>
          <w:rFonts w:ascii="Times New Roman" w:hAnsi="Times New Roman"/>
          <w:b/>
          <w:u w:val="single"/>
        </w:rPr>
      </w:pPr>
      <w:r w:rsidRPr="00CF3F9B">
        <w:rPr>
          <w:rFonts w:ascii="Times New Roman" w:hAnsi="Times New Roman"/>
          <w:b/>
          <w:u w:val="single"/>
        </w:rPr>
        <w:t>§ 69.306 Central office equipment (COE).</w:t>
      </w:r>
    </w:p>
    <w:p w:rsidR="003127AA" w:rsidRPr="00CF3F9B" w:rsidRDefault="003127AA" w:rsidP="00897042">
      <w:pPr>
        <w:pStyle w:val="ParaNum"/>
        <w:numPr>
          <w:ilvl w:val="0"/>
          <w:numId w:val="0"/>
        </w:numPr>
        <w:spacing w:after="220" w:line="240" w:lineRule="auto"/>
        <w:rPr>
          <w:rFonts w:ascii="Times New Roman" w:hAnsi="Times New Roman"/>
        </w:rPr>
      </w:pPr>
      <w:r w:rsidRPr="00CF3F9B">
        <w:rPr>
          <w:rFonts w:ascii="Times New Roman" w:hAnsi="Times New Roman"/>
        </w:rPr>
        <w:t>* * * * *</w:t>
      </w:r>
    </w:p>
    <w:p w:rsidR="003127AA" w:rsidRPr="00CF3F9B" w:rsidRDefault="003127AA" w:rsidP="00897042">
      <w:pPr>
        <w:pStyle w:val="ParaNum"/>
        <w:numPr>
          <w:ilvl w:val="0"/>
          <w:numId w:val="0"/>
        </w:numPr>
        <w:spacing w:after="220" w:line="240" w:lineRule="auto"/>
        <w:rPr>
          <w:rFonts w:ascii="Times New Roman" w:hAnsi="Times New Roman"/>
        </w:rPr>
      </w:pPr>
      <w:r w:rsidRPr="00CF3F9B">
        <w:rPr>
          <w:rFonts w:ascii="Times New Roman" w:hAnsi="Times New Roman"/>
        </w:rPr>
        <w:t>(d) * * *</w:t>
      </w:r>
    </w:p>
    <w:p w:rsidR="003127AA" w:rsidRPr="00CF3F9B" w:rsidRDefault="003127AA" w:rsidP="00897042">
      <w:pPr>
        <w:pStyle w:val="ParaNum"/>
        <w:numPr>
          <w:ilvl w:val="0"/>
          <w:numId w:val="0"/>
        </w:numPr>
        <w:spacing w:after="220" w:line="240" w:lineRule="auto"/>
        <w:rPr>
          <w:rFonts w:ascii="Times New Roman" w:hAnsi="Times New Roman"/>
        </w:rPr>
      </w:pPr>
      <w:r w:rsidRPr="00CF3F9B">
        <w:rPr>
          <w:rFonts w:ascii="Times New Roman" w:hAnsi="Times New Roman"/>
        </w:rPr>
        <w:tab/>
        <w:t>(1) * * *</w:t>
      </w:r>
    </w:p>
    <w:p w:rsidR="003127AA" w:rsidRPr="00CF3F9B" w:rsidRDefault="003127AA" w:rsidP="00897042">
      <w:pPr>
        <w:pStyle w:val="ParaNum"/>
        <w:numPr>
          <w:ilvl w:val="0"/>
          <w:numId w:val="0"/>
        </w:numPr>
        <w:spacing w:after="220" w:line="240" w:lineRule="auto"/>
        <w:ind w:left="720"/>
        <w:rPr>
          <w:rFonts w:ascii="Times New Roman" w:hAnsi="Times New Roman"/>
          <w:b/>
        </w:rPr>
      </w:pPr>
      <w:r w:rsidRPr="00CF3F9B">
        <w:rPr>
          <w:rFonts w:ascii="Times New Roman" w:hAnsi="Times New Roman"/>
        </w:rPr>
        <w:t xml:space="preserve">(2) Until June 30, 2012, for non-price cap local exchange carriers, line-side port costs shall be assigned to the Common Line rate element. Such amount shall be determined after any local switching support has been removed from the interstate Local Switching revenue requirement. Non-price cap local exchange carriers may use thirty percent of the interstate Local Switching revenue requirement, minus any local switching support, as a proxy for allocating line port costs to the Common Line category.  </w:t>
      </w:r>
      <w:r w:rsidRPr="00CF3F9B">
        <w:rPr>
          <w:rFonts w:ascii="Times New Roman" w:hAnsi="Times New Roman"/>
          <w:color w:val="0070C0"/>
          <w:u w:val="double"/>
        </w:rPr>
        <w:t xml:space="preserve">  </w:t>
      </w:r>
    </w:p>
    <w:p w:rsidR="003127AA" w:rsidRPr="00CF3F9B" w:rsidRDefault="003127AA" w:rsidP="00897042">
      <w:pPr>
        <w:spacing w:after="220" w:line="240" w:lineRule="auto"/>
        <w:ind w:left="720"/>
        <w:rPr>
          <w:rFonts w:ascii="Times New Roman" w:hAnsi="Times New Roman"/>
        </w:rPr>
      </w:pPr>
      <w:r w:rsidRPr="00CF3F9B">
        <w:rPr>
          <w:rFonts w:ascii="Times New Roman" w:hAnsi="Times New Roman"/>
        </w:rPr>
        <w:t xml:space="preserve">(3) Beginning July 1, 2012, a non-price cap local exchange carrier shall assign line-side port costs to the Common Line rate element equal to the amount of line-side port costs it shifted in its 2011 projected Interstate Switched Access Revenue Requirement.  </w:t>
      </w:r>
    </w:p>
    <w:p w:rsidR="003127AA" w:rsidRPr="00CF3F9B" w:rsidRDefault="003127AA" w:rsidP="00897042">
      <w:pPr>
        <w:pStyle w:val="ParaNum"/>
        <w:numPr>
          <w:ilvl w:val="0"/>
          <w:numId w:val="0"/>
        </w:numPr>
        <w:spacing w:after="220" w:line="240" w:lineRule="auto"/>
        <w:rPr>
          <w:rFonts w:ascii="Times New Roman" w:hAnsi="Times New Roman"/>
        </w:rPr>
      </w:pPr>
      <w:r w:rsidRPr="00CF3F9B">
        <w:rPr>
          <w:rFonts w:ascii="Times New Roman" w:hAnsi="Times New Roman"/>
        </w:rPr>
        <w:t>* * * * *</w:t>
      </w:r>
    </w:p>
    <w:p w:rsidR="003127AA" w:rsidRPr="00CF3F9B" w:rsidRDefault="003127AA" w:rsidP="00897042">
      <w:pPr>
        <w:pStyle w:val="ParaNum"/>
        <w:numPr>
          <w:ilvl w:val="0"/>
          <w:numId w:val="0"/>
        </w:numPr>
        <w:spacing w:after="220" w:line="240" w:lineRule="auto"/>
        <w:rPr>
          <w:rFonts w:ascii="Times New Roman" w:hAnsi="Times New Roman"/>
          <w:b/>
        </w:rPr>
      </w:pPr>
      <w:r w:rsidRPr="00CF3F9B">
        <w:rPr>
          <w:rFonts w:ascii="Times New Roman" w:hAnsi="Times New Roman"/>
          <w:b/>
        </w:rPr>
        <w:t>Subpart E—Apportionment of Expenses</w:t>
      </w:r>
    </w:p>
    <w:p w:rsidR="003127AA" w:rsidRPr="00CF3F9B" w:rsidRDefault="003127AA" w:rsidP="00897042">
      <w:pPr>
        <w:pStyle w:val="ParaNum"/>
        <w:numPr>
          <w:ilvl w:val="0"/>
          <w:numId w:val="29"/>
        </w:numPr>
        <w:spacing w:after="220" w:line="240" w:lineRule="auto"/>
        <w:ind w:left="0" w:firstLine="0"/>
        <w:rPr>
          <w:rFonts w:ascii="Times New Roman" w:hAnsi="Times New Roman"/>
        </w:rPr>
      </w:pPr>
      <w:r w:rsidRPr="00CF3F9B">
        <w:rPr>
          <w:rFonts w:ascii="Times New Roman" w:hAnsi="Times New Roman"/>
        </w:rPr>
        <w:t>Amend 47 C.F.R. § 69.415 to revise paragraphs (b) and (c) and add paragraph (d) to read as follows:</w:t>
      </w:r>
    </w:p>
    <w:p w:rsidR="003127AA" w:rsidRPr="00CF3F9B" w:rsidRDefault="003127AA" w:rsidP="00897042">
      <w:pPr>
        <w:pStyle w:val="ParaNum"/>
        <w:numPr>
          <w:ilvl w:val="0"/>
          <w:numId w:val="0"/>
        </w:numPr>
        <w:spacing w:after="220" w:line="240" w:lineRule="auto"/>
        <w:rPr>
          <w:rFonts w:ascii="Times New Roman" w:hAnsi="Times New Roman"/>
          <w:b/>
          <w:u w:val="single"/>
        </w:rPr>
      </w:pPr>
      <w:r w:rsidRPr="00CF3F9B">
        <w:rPr>
          <w:rFonts w:ascii="Times New Roman" w:hAnsi="Times New Roman"/>
          <w:b/>
          <w:u w:val="single"/>
        </w:rPr>
        <w:t xml:space="preserve">§ 69.415 Reallocation of certain transport expenses.  </w:t>
      </w:r>
    </w:p>
    <w:p w:rsidR="003127AA" w:rsidRPr="00CF3F9B" w:rsidRDefault="003127AA" w:rsidP="00897042">
      <w:pPr>
        <w:pStyle w:val="ParaNum"/>
        <w:numPr>
          <w:ilvl w:val="0"/>
          <w:numId w:val="0"/>
        </w:numPr>
        <w:spacing w:after="220" w:line="240" w:lineRule="auto"/>
        <w:rPr>
          <w:rFonts w:ascii="Times New Roman" w:hAnsi="Times New Roman"/>
        </w:rPr>
      </w:pPr>
      <w:r w:rsidRPr="00CF3F9B">
        <w:rPr>
          <w:rFonts w:ascii="Times New Roman" w:hAnsi="Times New Roman"/>
        </w:rPr>
        <w:t>* * * * *</w:t>
      </w:r>
    </w:p>
    <w:p w:rsidR="003127AA" w:rsidRPr="00CF3F9B" w:rsidRDefault="003127AA" w:rsidP="00897042">
      <w:pPr>
        <w:spacing w:after="220" w:line="240" w:lineRule="auto"/>
        <w:rPr>
          <w:rFonts w:ascii="Times New Roman" w:hAnsi="Times New Roman"/>
        </w:rPr>
      </w:pPr>
      <w:r w:rsidRPr="00CF3F9B">
        <w:rPr>
          <w:rFonts w:ascii="Times New Roman" w:hAnsi="Times New Roman"/>
        </w:rPr>
        <w:t>(b) Until June 30, 2012, the amount to be reallocated is limited to the total revenues recovered through the interconnection charge assessed pursuant to § 69.124 for the 12–month period ending June 30, 2001.</w:t>
      </w:r>
    </w:p>
    <w:p w:rsidR="003127AA" w:rsidRPr="00CF3F9B" w:rsidRDefault="003127AA" w:rsidP="00897042">
      <w:pPr>
        <w:spacing w:after="220" w:line="240" w:lineRule="auto"/>
        <w:rPr>
          <w:rFonts w:ascii="Times New Roman" w:hAnsi="Times New Roman"/>
        </w:rPr>
      </w:pPr>
      <w:r w:rsidRPr="00CF3F9B">
        <w:rPr>
          <w:rFonts w:ascii="Times New Roman" w:hAnsi="Times New Roman"/>
        </w:rPr>
        <w:t>(c) Until June 30, 2012, the reallocation of the amount in paragraph (b) of this section shall be based on each access element's projected revenue requirement divided by the total revenue requirement of all the access elements, provided that:</w:t>
      </w:r>
    </w:p>
    <w:p w:rsidR="003127AA" w:rsidRPr="00CF3F9B" w:rsidRDefault="003127AA" w:rsidP="00897042">
      <w:pPr>
        <w:spacing w:after="220" w:line="240" w:lineRule="auto"/>
        <w:rPr>
          <w:rFonts w:ascii="Times New Roman" w:hAnsi="Times New Roman"/>
        </w:rPr>
      </w:pPr>
      <w:r w:rsidRPr="00CF3F9B">
        <w:rPr>
          <w:rFonts w:ascii="Times New Roman" w:hAnsi="Times New Roman"/>
        </w:rPr>
        <w:t>* * * * *</w:t>
      </w:r>
    </w:p>
    <w:p w:rsidR="003127AA" w:rsidRPr="00CF3F9B" w:rsidRDefault="003127AA" w:rsidP="00897042">
      <w:pPr>
        <w:spacing w:after="220" w:line="240" w:lineRule="auto"/>
        <w:rPr>
          <w:rFonts w:ascii="Times New Roman" w:hAnsi="Times New Roman"/>
        </w:rPr>
      </w:pPr>
      <w:r w:rsidRPr="00CF3F9B">
        <w:rPr>
          <w:rFonts w:ascii="Times New Roman" w:hAnsi="Times New Roman"/>
        </w:rPr>
        <w:t xml:space="preserve">(d) Beginning July 1, 2012, the amount of the Transport Interconnection Charges to be reallocated to each category shall be equal to the amount of Transport Interconnection Charge costs the non-price cap local exchange carrier was projected to shift to each category in projecting its 2011 Interstate Switched Access Revenue Requirement.  </w:t>
      </w:r>
    </w:p>
    <w:p w:rsidR="003127AA" w:rsidRPr="00CF3F9B" w:rsidRDefault="00EE1D97" w:rsidP="00897042">
      <w:pPr>
        <w:pStyle w:val="ParaNum"/>
        <w:numPr>
          <w:ilvl w:val="0"/>
          <w:numId w:val="0"/>
        </w:numPr>
        <w:spacing w:after="220" w:line="240" w:lineRule="auto"/>
        <w:rPr>
          <w:rFonts w:ascii="Times New Roman" w:hAnsi="Times New Roman"/>
        </w:rPr>
      </w:pPr>
      <w:r w:rsidRPr="00CF3F9B">
        <w:rPr>
          <w:rFonts w:ascii="Times New Roman" w:hAnsi="Times New Roman"/>
        </w:rPr>
        <w:t>* * * * *</w:t>
      </w:r>
    </w:p>
    <w:p w:rsidR="001C2464" w:rsidRPr="00CF3F9B" w:rsidRDefault="001C2464" w:rsidP="00897042">
      <w:pPr>
        <w:pStyle w:val="ParaNum"/>
        <w:numPr>
          <w:ilvl w:val="0"/>
          <w:numId w:val="0"/>
        </w:numPr>
        <w:spacing w:before="240" w:after="0" w:line="240" w:lineRule="auto"/>
        <w:rPr>
          <w:rFonts w:ascii="Times New Roman" w:hAnsi="Times New Roman"/>
        </w:rPr>
      </w:pPr>
    </w:p>
    <w:sectPr w:rsidR="001C2464" w:rsidRPr="00CF3F9B" w:rsidSect="0061599D">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B1" w:rsidRDefault="00F40DB1">
      <w:r>
        <w:separator/>
      </w:r>
    </w:p>
  </w:endnote>
  <w:endnote w:type="continuationSeparator" w:id="0">
    <w:p w:rsidR="00F40DB1" w:rsidRDefault="00F40DB1">
      <w:r>
        <w:continuationSeparator/>
      </w:r>
    </w:p>
  </w:endnote>
  <w:endnote w:type="continuationNotice" w:id="1">
    <w:p w:rsidR="00F40DB1" w:rsidRDefault="00F40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Times new romn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347" w:rsidRDefault="000333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9B" w:rsidRPr="00F86D3F" w:rsidRDefault="00CF3F9B">
    <w:pPr>
      <w:pStyle w:val="Footer"/>
      <w:jc w:val="center"/>
      <w:rPr>
        <w:rFonts w:ascii="Times New Roman" w:hAnsi="Times New Roman"/>
      </w:rPr>
    </w:pPr>
    <w:r w:rsidRPr="00F86D3F">
      <w:rPr>
        <w:rFonts w:ascii="Times New Roman" w:hAnsi="Times New Roman"/>
      </w:rPr>
      <w:fldChar w:fldCharType="begin"/>
    </w:r>
    <w:r w:rsidRPr="00F86D3F">
      <w:rPr>
        <w:rFonts w:ascii="Times New Roman" w:hAnsi="Times New Roman"/>
      </w:rPr>
      <w:instrText xml:space="preserve"> PAGE   \* MERGEFORMAT </w:instrText>
    </w:r>
    <w:r w:rsidRPr="00F86D3F">
      <w:rPr>
        <w:rFonts w:ascii="Times New Roman" w:hAnsi="Times New Roman"/>
      </w:rPr>
      <w:fldChar w:fldCharType="separate"/>
    </w:r>
    <w:r w:rsidR="00533349">
      <w:rPr>
        <w:rFonts w:ascii="Times New Roman" w:hAnsi="Times New Roman"/>
        <w:noProof/>
      </w:rPr>
      <w:t>25</w:t>
    </w:r>
    <w:r w:rsidRPr="00F86D3F">
      <w:rPr>
        <w:rFonts w:ascii="Times New Roman" w:hAnsi="Times New Roman"/>
        <w:noProof/>
      </w:rPr>
      <w:fldChar w:fldCharType="end"/>
    </w:r>
  </w:p>
  <w:p w:rsidR="00CF3F9B" w:rsidRPr="00897042" w:rsidRDefault="00CF3F9B">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347" w:rsidRDefault="00033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B1" w:rsidRDefault="00F40DB1" w:rsidP="0097290B">
      <w:pPr>
        <w:spacing w:after="0"/>
      </w:pPr>
      <w:r>
        <w:separator/>
      </w:r>
    </w:p>
  </w:footnote>
  <w:footnote w:type="continuationSeparator" w:id="0">
    <w:p w:rsidR="00F40DB1" w:rsidRPr="005D7AB8" w:rsidRDefault="00F40DB1" w:rsidP="005D7AB8">
      <w:pPr>
        <w:spacing w:after="0"/>
        <w:rPr>
          <w:rFonts w:ascii="Times New Roman" w:hAnsi="Times New Roman"/>
        </w:rPr>
      </w:pPr>
      <w:r w:rsidRPr="005D7AB8">
        <w:rPr>
          <w:rFonts w:ascii="Times New Roman" w:hAnsi="Times New Roman"/>
        </w:rPr>
        <w:separator/>
      </w:r>
    </w:p>
    <w:p w:rsidR="00F40DB1" w:rsidRPr="00897042" w:rsidRDefault="00F40DB1" w:rsidP="0097290B">
      <w:pPr>
        <w:spacing w:after="0"/>
        <w:rPr>
          <w:rFonts w:ascii="Times New Roman" w:hAnsi="Times New Roman"/>
          <w:sz w:val="20"/>
        </w:rPr>
      </w:pPr>
      <w:r w:rsidRPr="005D7AB8">
        <w:rPr>
          <w:rFonts w:ascii="Times New Roman" w:hAnsi="Times New Roman"/>
          <w:sz w:val="20"/>
          <w:szCs w:val="20"/>
        </w:rPr>
        <w:t>(…continued from previous page)</w:t>
      </w:r>
    </w:p>
  </w:footnote>
  <w:footnote w:type="continuationNotice" w:id="1">
    <w:p w:rsidR="00F40DB1" w:rsidRPr="00897042" w:rsidRDefault="00F40DB1">
      <w:pPr>
        <w:spacing w:after="0" w:line="240" w:lineRule="auto"/>
        <w:rPr>
          <w:rFonts w:ascii="Times New Roman" w:hAnsi="Times New Roman"/>
          <w:sz w:val="20"/>
        </w:rPr>
      </w:pPr>
      <w:r w:rsidRPr="005D7AB8">
        <w:rPr>
          <w:rFonts w:ascii="Times New Roman" w:hAnsi="Times New Roman"/>
          <w:sz w:val="20"/>
          <w:szCs w:val="20"/>
        </w:rPr>
        <w:t>(cont</w:t>
      </w:r>
      <w:r>
        <w:rPr>
          <w:rFonts w:ascii="Times New Roman" w:hAnsi="Times New Roman"/>
          <w:sz w:val="20"/>
          <w:szCs w:val="20"/>
        </w:rPr>
        <w:t>inue</w:t>
      </w:r>
      <w:r w:rsidRPr="005D7AB8">
        <w:rPr>
          <w:rFonts w:ascii="Times New Roman" w:hAnsi="Times New Roman"/>
          <w:sz w:val="20"/>
          <w:szCs w:val="20"/>
        </w:rPr>
        <w:t>d</w:t>
      </w:r>
      <w:r>
        <w:rPr>
          <w:rFonts w:ascii="Times New Roman" w:hAnsi="Times New Roman"/>
          <w:sz w:val="20"/>
          <w:szCs w:val="20"/>
        </w:rPr>
        <w:t>…</w:t>
      </w:r>
      <w:r w:rsidRPr="005D7AB8">
        <w:rPr>
          <w:rFonts w:ascii="Times New Roman" w:hAnsi="Times New Roman"/>
          <w:sz w:val="20"/>
          <w:szCs w:val="20"/>
        </w:rPr>
        <w:t>)</w:t>
      </w:r>
    </w:p>
  </w:footnote>
  <w:footnote w:id="2">
    <w:p w:rsidR="00CF3F9B" w:rsidRPr="001D433D" w:rsidRDefault="00CF3F9B">
      <w:pPr>
        <w:pStyle w:val="FootnoteText"/>
      </w:pPr>
      <w:r w:rsidRPr="001D433D">
        <w:rPr>
          <w:rStyle w:val="FootnoteReference"/>
          <w:sz w:val="20"/>
        </w:rPr>
        <w:footnoteRef/>
      </w:r>
      <w:r w:rsidRPr="001D433D">
        <w:t xml:space="preserve"> </w:t>
      </w:r>
      <w:r w:rsidRPr="001D433D">
        <w:rPr>
          <w:i/>
        </w:rPr>
        <w:t>See Connect America Fund et al</w:t>
      </w:r>
      <w:r w:rsidRPr="001D433D">
        <w:t>., WC Docket No. 10-90 et al., Report and Order and Further Notice of Proposed Rulemaking, 26 FCC Rcd 17663, 18149, para. 1404 (2011) (</w:t>
      </w:r>
      <w:r w:rsidRPr="001D433D">
        <w:rPr>
          <w:i/>
        </w:rPr>
        <w:t>USF/ICC Transformation Order</w:t>
      </w:r>
      <w:r w:rsidRPr="001D433D">
        <w:t xml:space="preserve">), </w:t>
      </w:r>
      <w:r w:rsidRPr="001D433D">
        <w:rPr>
          <w:rStyle w:val="Emphasis"/>
        </w:rPr>
        <w:t>pets. for review pending</w:t>
      </w:r>
      <w:r w:rsidRPr="00897042">
        <w:t xml:space="preserve"> </w:t>
      </w:r>
      <w:r w:rsidRPr="001D433D">
        <w:rPr>
          <w:rStyle w:val="Emphasis"/>
        </w:rPr>
        <w:t>sub nom</w:t>
      </w:r>
      <w:r w:rsidR="00AF53DE">
        <w:rPr>
          <w:rStyle w:val="Emphasis"/>
        </w:rPr>
        <w:t>.</w:t>
      </w:r>
      <w:r w:rsidRPr="001D433D">
        <w:rPr>
          <w:rStyle w:val="Emphasis"/>
        </w:rPr>
        <w:t xml:space="preserve"> In re: FCC 11-161</w:t>
      </w:r>
      <w:r w:rsidRPr="001D433D">
        <w:rPr>
          <w:rStyle w:val="Emphasis"/>
          <w:i w:val="0"/>
        </w:rPr>
        <w:t>, No. 11-9900 (10th Cir. filed Dec. 8, 2011</w:t>
      </w:r>
      <w:r w:rsidRPr="00897042">
        <w:t>)</w:t>
      </w:r>
      <w:r w:rsidRPr="001D433D">
        <w:rPr>
          <w:rStyle w:val="Emphasis"/>
          <w:i w:val="0"/>
        </w:rPr>
        <w:t>.</w:t>
      </w:r>
    </w:p>
  </w:footnote>
  <w:footnote w:id="3">
    <w:p w:rsidR="00CF3F9B" w:rsidRPr="001D433D" w:rsidRDefault="00CF3F9B">
      <w:pPr>
        <w:pStyle w:val="FootnoteText"/>
      </w:pPr>
      <w:r w:rsidRPr="001D433D">
        <w:rPr>
          <w:rStyle w:val="FootnoteReference"/>
          <w:sz w:val="20"/>
        </w:rPr>
        <w:footnoteRef/>
      </w:r>
      <w:r w:rsidRPr="001D433D">
        <w:t xml:space="preserve"> </w:t>
      </w:r>
      <w:r w:rsidRPr="001D433D">
        <w:rPr>
          <w:i/>
        </w:rPr>
        <w:t xml:space="preserve">See </w:t>
      </w:r>
      <w:r w:rsidRPr="001D433D">
        <w:t>Letter from Jeffrey E. Dupree, Vice President – Government Relations, National Exchange Carrier Association, Inc., to Marlene H. Dortch, Secretary, FCC, WC Docket No. 10-90 et al. (filed Jan. 25, 2013) (NECA Jan. 25</w:t>
      </w:r>
      <w:r w:rsidRPr="001D433D">
        <w:rPr>
          <w:i/>
        </w:rPr>
        <w:t xml:space="preserve"> Ex Parte</w:t>
      </w:r>
      <w:r w:rsidRPr="001D433D">
        <w:t>); National Exchange Carrier Association, Inc. Petition for Clarification or Waiver, WC Docket No. 12-63, Transmittal Nos. 41, 28, 57 (filed D</w:t>
      </w:r>
      <w:r>
        <w:t xml:space="preserve">ec. 27, 2012) (NECA Petition); </w:t>
      </w:r>
      <w:r w:rsidRPr="001D433D">
        <w:t xml:space="preserve">Letter from David B. Cohen, Vice-President – Policy, United States Telecom Association, to Marlene H. Dortch, Secretary, FCC, WC Docket No. 10-90 et al. (filed Nov. 30, 2012) (USTelecom </w:t>
      </w:r>
      <w:r w:rsidRPr="001D433D">
        <w:rPr>
          <w:i/>
        </w:rPr>
        <w:t>Ex Parte</w:t>
      </w:r>
      <w:r w:rsidRPr="001D433D">
        <w:t xml:space="preserve">); Letter from Jeffery E. Dupree, Vice President – Government Relations, National Exchange Carrier Association, Inc., to Marlene H. Dortch, Secretary, FCC, WC Docket No. 10-90 et al. at 1 (filed Nov. 9, 2012) (NECA Nov. 9 </w:t>
      </w:r>
      <w:r w:rsidRPr="001D433D">
        <w:rPr>
          <w:i/>
        </w:rPr>
        <w:t>Ex Parte</w:t>
      </w:r>
      <w:r w:rsidRPr="001D433D">
        <w:t xml:space="preserve">).  </w:t>
      </w:r>
    </w:p>
  </w:footnote>
  <w:footnote w:id="4">
    <w:p w:rsidR="00CF3F9B" w:rsidRPr="001D433D" w:rsidRDefault="00CF3F9B">
      <w:pPr>
        <w:pStyle w:val="FootnoteText"/>
      </w:pPr>
      <w:r w:rsidRPr="001D433D">
        <w:rPr>
          <w:rStyle w:val="FootnoteReference"/>
          <w:sz w:val="20"/>
        </w:rPr>
        <w:footnoteRef/>
      </w:r>
      <w:r w:rsidRPr="001D433D">
        <w:rPr>
          <w:i/>
        </w:rPr>
        <w:t xml:space="preserve"> See</w:t>
      </w:r>
      <w:r w:rsidRPr="001D433D">
        <w:t xml:space="preserve"> 47 C.F.R. §§ 51.915(f)(6), 51.917(f)(3), 54.304(c)(1), (d)(1).  </w:t>
      </w:r>
    </w:p>
  </w:footnote>
  <w:footnote w:id="5">
    <w:p w:rsidR="00CF3F9B" w:rsidRPr="001D433D" w:rsidRDefault="00CF3F9B">
      <w:pPr>
        <w:pStyle w:val="FootnoteText"/>
      </w:pPr>
      <w:r w:rsidRPr="001D433D">
        <w:rPr>
          <w:rStyle w:val="FootnoteReference"/>
          <w:sz w:val="20"/>
        </w:rPr>
        <w:footnoteRef/>
      </w:r>
      <w:r w:rsidRPr="001D433D">
        <w:t xml:space="preserve"> In this Order, we refer to participation in the “NECA pool” synonymously with participation in the NECA traffic-sensitive tariff.  Rate-of-return carrier election to participate in the NECA traffic-sensitive tariff triggers NECA pool participation.</w:t>
      </w:r>
    </w:p>
  </w:footnote>
  <w:footnote w:id="6">
    <w:p w:rsidR="00CF3F9B" w:rsidRPr="001D433D" w:rsidRDefault="00CF3F9B">
      <w:pPr>
        <w:pStyle w:val="FootnoteText"/>
      </w:pPr>
      <w:r w:rsidRPr="001D433D">
        <w:rPr>
          <w:rStyle w:val="FootnoteReference"/>
          <w:sz w:val="20"/>
        </w:rPr>
        <w:footnoteRef/>
      </w:r>
      <w:r w:rsidRPr="001D433D">
        <w:t xml:space="preserve"> </w:t>
      </w:r>
      <w:r w:rsidRPr="001D433D">
        <w:rPr>
          <w:i/>
        </w:rPr>
        <w:t xml:space="preserve">See </w:t>
      </w:r>
      <w:r w:rsidRPr="001D433D">
        <w:t xml:space="preserve">47 C.F.R. § 51.909(a).       </w:t>
      </w:r>
    </w:p>
  </w:footnote>
  <w:footnote w:id="7">
    <w:p w:rsidR="00CF3F9B" w:rsidRPr="001D433D" w:rsidRDefault="00CF3F9B">
      <w:pPr>
        <w:pStyle w:val="FootnoteText"/>
      </w:pPr>
      <w:r w:rsidRPr="001D433D">
        <w:rPr>
          <w:rStyle w:val="FootnoteReference"/>
          <w:sz w:val="20"/>
        </w:rPr>
        <w:footnoteRef/>
      </w:r>
      <w:r w:rsidRPr="001D433D">
        <w:t xml:space="preserve"> </w:t>
      </w:r>
      <w:r w:rsidRPr="001D433D">
        <w:rPr>
          <w:i/>
        </w:rPr>
        <w:t>See</w:t>
      </w:r>
      <w:r w:rsidRPr="001D433D">
        <w:t xml:space="preserve"> </w:t>
      </w:r>
      <w:r w:rsidRPr="001D433D">
        <w:rPr>
          <w:i/>
        </w:rPr>
        <w:t>generally</w:t>
      </w:r>
      <w:r w:rsidRPr="001D433D">
        <w:t xml:space="preserve"> NECA Petition.</w:t>
      </w:r>
    </w:p>
  </w:footnote>
  <w:footnote w:id="8">
    <w:p w:rsidR="00CF3F9B" w:rsidRPr="001D433D" w:rsidRDefault="00CF3F9B" w:rsidP="003127AA">
      <w:pPr>
        <w:pStyle w:val="FootnoteText"/>
      </w:pPr>
      <w:r w:rsidRPr="001D433D">
        <w:rPr>
          <w:rStyle w:val="FootnoteReference"/>
          <w:sz w:val="20"/>
        </w:rPr>
        <w:footnoteRef/>
      </w:r>
      <w:r w:rsidRPr="001D433D">
        <w:t xml:space="preserve"> </w:t>
      </w:r>
      <w:r w:rsidRPr="001D433D">
        <w:rPr>
          <w:i/>
        </w:rPr>
        <w:t>See</w:t>
      </w:r>
      <w:r w:rsidRPr="001D433D">
        <w:t xml:space="preserve"> </w:t>
      </w:r>
      <w:r w:rsidRPr="001D433D">
        <w:rPr>
          <w:i/>
        </w:rPr>
        <w:t>Joint Petition of Price Cap Holding Companies for Conversion of Average Schedule Affiliates to Price Cap Regulation and for Limited Waiver Relief</w:t>
      </w:r>
      <w:r w:rsidRPr="001D433D">
        <w:t xml:space="preserve">, WC Docket No. 12-63; </w:t>
      </w:r>
      <w:r w:rsidRPr="001D433D">
        <w:rPr>
          <w:i/>
        </w:rPr>
        <w:t>Consolidated Communications Companies Tariff F.C.C. No. 2</w:t>
      </w:r>
      <w:r w:rsidRPr="001D433D">
        <w:t xml:space="preserve">, Transmittal No. 41; </w:t>
      </w:r>
      <w:r w:rsidRPr="001D433D">
        <w:rPr>
          <w:i/>
        </w:rPr>
        <w:t>Frontier Telephone Companies Tariff F.C.C. No. 10</w:t>
      </w:r>
      <w:r w:rsidRPr="001D433D">
        <w:t xml:space="preserve">, Transmittal No. 28; </w:t>
      </w:r>
      <w:r w:rsidRPr="001D433D">
        <w:rPr>
          <w:i/>
        </w:rPr>
        <w:t>Windstream Telephone System Tariff F.C.C. No. 7</w:t>
      </w:r>
      <w:r w:rsidRPr="001D433D">
        <w:t>, Transmittal No. 57, Order, 27 FCC Rcd 15753 (2012) (</w:t>
      </w:r>
      <w:r w:rsidRPr="001D433D">
        <w:rPr>
          <w:i/>
        </w:rPr>
        <w:t>2012 Price Cap Conversion Order</w:t>
      </w:r>
      <w:r w:rsidRPr="001D433D">
        <w:t xml:space="preserve">). </w:t>
      </w:r>
    </w:p>
  </w:footnote>
  <w:footnote w:id="9">
    <w:p w:rsidR="00CF3F9B" w:rsidRPr="001D433D" w:rsidRDefault="00CF3F9B">
      <w:pPr>
        <w:pStyle w:val="FootnoteText"/>
      </w:pPr>
      <w:r w:rsidRPr="001D433D">
        <w:rPr>
          <w:rStyle w:val="FootnoteReference"/>
          <w:sz w:val="20"/>
        </w:rPr>
        <w:footnoteRef/>
      </w:r>
      <w:r w:rsidRPr="001D433D">
        <w:t xml:space="preserve"> </w:t>
      </w:r>
      <w:r w:rsidRPr="001D433D">
        <w:rPr>
          <w:i/>
        </w:rPr>
        <w:t>See</w:t>
      </w:r>
      <w:r w:rsidRPr="001D433D">
        <w:t xml:space="preserve"> 47 C.F.R. § 51.909(c)(1). The terms “access charge” or “access rates” as used in the Order herein refer to “Access Reciprocal Compensation” as that term is defined in section 51.903(h) of the Commission’s rules.  </w:t>
      </w:r>
      <w:r w:rsidRPr="001D433D">
        <w:rPr>
          <w:i/>
        </w:rPr>
        <w:t>See</w:t>
      </w:r>
      <w:r w:rsidRPr="001D433D">
        <w:t xml:space="preserve"> 47 C.F.R. § 51.903(h).  </w:t>
      </w:r>
    </w:p>
  </w:footnote>
  <w:footnote w:id="10">
    <w:p w:rsidR="00CF3F9B" w:rsidRPr="001D433D" w:rsidRDefault="00CF3F9B" w:rsidP="003127AA">
      <w:pPr>
        <w:pStyle w:val="FootnoteText"/>
      </w:pPr>
      <w:r w:rsidRPr="001D433D">
        <w:rPr>
          <w:rStyle w:val="FootnoteReference"/>
          <w:sz w:val="20"/>
        </w:rPr>
        <w:footnoteRef/>
      </w:r>
      <w:r w:rsidRPr="001D433D">
        <w:t xml:space="preserve"> </w:t>
      </w:r>
      <w:r w:rsidRPr="001D433D">
        <w:rPr>
          <w:i/>
        </w:rPr>
        <w:t>See</w:t>
      </w:r>
      <w:r w:rsidRPr="001D433D">
        <w:t xml:space="preserve"> 47 C.F.R. §§ 69.306(d)(2), 69.415(c)(1). </w:t>
      </w:r>
    </w:p>
  </w:footnote>
  <w:footnote w:id="11">
    <w:p w:rsidR="00CF3F9B" w:rsidRPr="001D433D" w:rsidRDefault="00CF3F9B">
      <w:pPr>
        <w:pStyle w:val="FootnoteText"/>
      </w:pPr>
      <w:r w:rsidRPr="001D433D">
        <w:rPr>
          <w:rStyle w:val="FootnoteReference"/>
          <w:sz w:val="20"/>
        </w:rPr>
        <w:footnoteRef/>
      </w:r>
      <w:r w:rsidRPr="001D433D">
        <w:t xml:space="preserve"> </w:t>
      </w:r>
      <w:r w:rsidRPr="001D433D">
        <w:rPr>
          <w:i/>
        </w:rPr>
        <w:t>See</w:t>
      </w:r>
      <w:r w:rsidRPr="001D433D">
        <w:t xml:space="preserve"> 47 C.F.R. §§ 54.901, 54.302.</w:t>
      </w:r>
    </w:p>
  </w:footnote>
  <w:footnote w:id="12">
    <w:p w:rsidR="00CF3F9B" w:rsidRPr="001D433D" w:rsidRDefault="00CF3F9B">
      <w:pPr>
        <w:pStyle w:val="FootnoteText"/>
      </w:pPr>
      <w:r w:rsidRPr="001D433D">
        <w:rPr>
          <w:rStyle w:val="FootnoteReference"/>
          <w:sz w:val="20"/>
        </w:rPr>
        <w:footnoteRef/>
      </w:r>
      <w:r w:rsidRPr="001D433D">
        <w:t xml:space="preserve"> </w:t>
      </w:r>
      <w:r w:rsidRPr="001D433D">
        <w:rPr>
          <w:i/>
        </w:rPr>
        <w:t>See</w:t>
      </w:r>
      <w:r w:rsidRPr="001D433D">
        <w:t xml:space="preserve"> 47 C.F.R. §§ 51.915(b)(13), (d)(1)(iii)(F), (d)(1)(iv)(F), (d)(1)(v)(F), (d)(1)(vi)(F), (d)(1)(vii)(H), (d)(1)(viii), 51.917(b)(6), (d)(1)(iii)(D).  </w:t>
      </w:r>
    </w:p>
  </w:footnote>
  <w:footnote w:id="13">
    <w:p w:rsidR="00CF3F9B" w:rsidRPr="00C04867" w:rsidRDefault="00CF3F9B">
      <w:pPr>
        <w:pStyle w:val="FootnoteText"/>
      </w:pPr>
      <w:r w:rsidRPr="001D433D">
        <w:rPr>
          <w:rStyle w:val="FootnoteReference"/>
          <w:sz w:val="20"/>
        </w:rPr>
        <w:footnoteRef/>
      </w:r>
      <w:r w:rsidRPr="001D433D">
        <w:t xml:space="preserve"> The </w:t>
      </w:r>
      <w:r w:rsidRPr="001D433D">
        <w:rPr>
          <w:i/>
        </w:rPr>
        <w:t>USF/ICC Transformation Order</w:t>
      </w:r>
      <w:r w:rsidRPr="001D433D">
        <w:t xml:space="preserve"> altered the regulatory treatment of interstate and intrastate switched </w:t>
      </w:r>
      <w:r w:rsidRPr="00E17F71">
        <w:t>acce</w:t>
      </w:r>
      <w:r w:rsidRPr="00AF240F">
        <w:t xml:space="preserve">ss </w:t>
      </w:r>
      <w:r w:rsidRPr="00CC6FAD">
        <w:t>traffic, which is now subject to the reciprocal compensation framework under section 251(b)(5) of the Communications Act</w:t>
      </w:r>
      <w:r w:rsidRPr="00655E65">
        <w:t>,</w:t>
      </w:r>
      <w:r w:rsidRPr="00C04867">
        <w:t xml:space="preserve"> rather than the legacy access charge regime.  </w:t>
      </w:r>
      <w:r w:rsidRPr="00C04867">
        <w:rPr>
          <w:i/>
        </w:rPr>
        <w:t>See USF/ICC Transformation Order</w:t>
      </w:r>
      <w:r w:rsidRPr="00C04867">
        <w:t xml:space="preserve">, 26 FCC Rcd at 17914-16, paras. 760-64; </w:t>
      </w:r>
      <w:r w:rsidRPr="00C04867">
        <w:rPr>
          <w:i/>
        </w:rPr>
        <w:t>see</w:t>
      </w:r>
      <w:r w:rsidRPr="00C04867">
        <w:t xml:space="preserve"> 47 U.S.C. § 251(b)(5).  In this Order, the term “legacy switched access” refers to switched access charges or rates under the pre-</w:t>
      </w:r>
      <w:r w:rsidRPr="00C04867">
        <w:rPr>
          <w:i/>
        </w:rPr>
        <w:t>USF/ICC</w:t>
      </w:r>
      <w:r w:rsidRPr="00C04867">
        <w:t xml:space="preserve"> </w:t>
      </w:r>
      <w:r w:rsidRPr="00C04867">
        <w:rPr>
          <w:i/>
        </w:rPr>
        <w:t>Transformation Order</w:t>
      </w:r>
      <w:r w:rsidRPr="00C04867">
        <w:t xml:space="preserve"> access charge regulatory regime as opposed to the reciprocal compensation framework adopted in the </w:t>
      </w:r>
      <w:r w:rsidRPr="00C04867">
        <w:rPr>
          <w:i/>
        </w:rPr>
        <w:t>USF/ICC Transformation Order</w:t>
      </w:r>
      <w:r w:rsidRPr="00C04867">
        <w:t xml:space="preserve">.     </w:t>
      </w:r>
    </w:p>
  </w:footnote>
  <w:footnote w:id="14">
    <w:p w:rsidR="00CF3F9B" w:rsidRPr="00C04867" w:rsidRDefault="00CF3F9B" w:rsidP="003127AA">
      <w:pPr>
        <w:pStyle w:val="FootnoteText"/>
      </w:pPr>
      <w:r w:rsidRPr="00C04867">
        <w:rPr>
          <w:rStyle w:val="FootnoteReference"/>
          <w:sz w:val="20"/>
        </w:rPr>
        <w:footnoteRef/>
      </w:r>
      <w:r w:rsidRPr="00C04867">
        <w:t xml:space="preserve"> </w:t>
      </w:r>
      <w:r w:rsidRPr="00C04867">
        <w:rPr>
          <w:i/>
        </w:rPr>
        <w:t>USF/ICC Transformation Order</w:t>
      </w:r>
      <w:r w:rsidRPr="00C04867">
        <w:t xml:space="preserve">, 26 FCC Rcd at 17934-35, para. 801 and Fig. 9.  </w:t>
      </w:r>
    </w:p>
  </w:footnote>
  <w:footnote w:id="15">
    <w:p w:rsidR="00CF3F9B" w:rsidRPr="00C04867" w:rsidRDefault="00CF3F9B">
      <w:pPr>
        <w:pStyle w:val="FootnoteText"/>
      </w:pPr>
      <w:r w:rsidRPr="00C04867">
        <w:rPr>
          <w:rStyle w:val="FootnoteReference"/>
          <w:sz w:val="20"/>
        </w:rPr>
        <w:footnoteRef/>
      </w:r>
      <w:r w:rsidRPr="00C04867">
        <w:t xml:space="preserve"> </w:t>
      </w:r>
      <w:r w:rsidRPr="00C04867">
        <w:rPr>
          <w:i/>
        </w:rPr>
        <w:t>Id</w:t>
      </w:r>
      <w:r w:rsidRPr="00C04867">
        <w:t>. at 17677, para. 36.</w:t>
      </w:r>
    </w:p>
  </w:footnote>
  <w:footnote w:id="16">
    <w:p w:rsidR="00CF3F9B" w:rsidRPr="00C04867" w:rsidRDefault="00CF3F9B">
      <w:pPr>
        <w:pStyle w:val="FootnoteText"/>
      </w:pPr>
      <w:r w:rsidRPr="00C04867">
        <w:rPr>
          <w:rStyle w:val="FootnoteReference"/>
          <w:sz w:val="20"/>
        </w:rPr>
        <w:footnoteRef/>
      </w:r>
      <w:r w:rsidRPr="00C04867">
        <w:rPr>
          <w:i/>
        </w:rPr>
        <w:t xml:space="preserve"> Id</w:t>
      </w:r>
      <w:r w:rsidRPr="00C04867">
        <w:t>. at 17956, para. 847.</w:t>
      </w:r>
    </w:p>
  </w:footnote>
  <w:footnote w:id="17">
    <w:p w:rsidR="00CF3F9B" w:rsidRPr="00C04867" w:rsidRDefault="00CF3F9B">
      <w:pPr>
        <w:pStyle w:val="FootnoteText"/>
      </w:pPr>
      <w:r w:rsidRPr="00C04867">
        <w:rPr>
          <w:rStyle w:val="FootnoteReference"/>
          <w:sz w:val="20"/>
        </w:rPr>
        <w:footnoteRef/>
      </w:r>
      <w:r w:rsidRPr="00C04867">
        <w:t xml:space="preserve"> </w:t>
      </w:r>
      <w:r w:rsidRPr="00C04867">
        <w:rPr>
          <w:i/>
        </w:rPr>
        <w:t>Id.</w:t>
      </w:r>
      <w:r w:rsidRPr="00C04867">
        <w:t xml:space="preserve"> at 17994, para. 918; 47 C.F.R. § 51.917(d)-(f).</w:t>
      </w:r>
    </w:p>
  </w:footnote>
  <w:footnote w:id="18">
    <w:p w:rsidR="00CF3F9B" w:rsidRPr="00C04867" w:rsidRDefault="00CF3F9B" w:rsidP="003127AA">
      <w:pPr>
        <w:pStyle w:val="FootnoteText"/>
      </w:pPr>
      <w:r w:rsidRPr="00C04867">
        <w:rPr>
          <w:rStyle w:val="FootnoteReference"/>
          <w:sz w:val="20"/>
        </w:rPr>
        <w:footnoteRef/>
      </w:r>
      <w:r w:rsidRPr="00C04867">
        <w:rPr>
          <w:i/>
        </w:rPr>
        <w:t xml:space="preserve"> See</w:t>
      </w:r>
      <w:r w:rsidRPr="00C04867">
        <w:t xml:space="preserve"> 47 C.F.R. §§ 51.915, 51.917.</w:t>
      </w:r>
    </w:p>
  </w:footnote>
  <w:footnote w:id="19">
    <w:p w:rsidR="00CF3F9B" w:rsidRPr="00C04867" w:rsidRDefault="00CF3F9B" w:rsidP="003127AA">
      <w:pPr>
        <w:pStyle w:val="FootnoteText"/>
      </w:pPr>
      <w:r w:rsidRPr="00C04867">
        <w:rPr>
          <w:rStyle w:val="FootnoteReference"/>
          <w:sz w:val="20"/>
        </w:rPr>
        <w:footnoteRef/>
      </w:r>
      <w:r w:rsidRPr="00C04867">
        <w:t xml:space="preserve"> 47 C.F.R. </w:t>
      </w:r>
      <w:bookmarkStart w:id="3" w:name="OLE_LINK3"/>
      <w:bookmarkStart w:id="4" w:name="OLE_LINK4"/>
      <w:r w:rsidRPr="00C04867">
        <w:t>§§</w:t>
      </w:r>
      <w:bookmarkEnd w:id="3"/>
      <w:bookmarkEnd w:id="4"/>
      <w:r w:rsidRPr="00C04867">
        <w:t xml:space="preserve"> 51.915(f)(6), 51.917(f)(3).  The April 1 Connect America Fund ICC certification deadlines were originally established to match April 1 eligible telecommunications carrier (ETC) annual high-cost universal service financial reporting deadlines.  These deadlines were subsequently changed to require reporting on July 1 of each year.  </w:t>
      </w:r>
      <w:r w:rsidRPr="00C04867">
        <w:rPr>
          <w:i/>
        </w:rPr>
        <w:t>See Connect America Fund et al</w:t>
      </w:r>
      <w:r w:rsidRPr="00C04867">
        <w:t xml:space="preserve">., WC Docket No. 10-90 et al., Third Order on Reconsideration, 27 FCC Rcd 5622, 5625-27, paras. 9-13 (2012); </w:t>
      </w:r>
      <w:r w:rsidRPr="00C04867">
        <w:rPr>
          <w:i/>
        </w:rPr>
        <w:t>see also</w:t>
      </w:r>
      <w:r w:rsidRPr="00C04867">
        <w:t xml:space="preserve"> 47 C.F.R. § 54.313.       </w:t>
      </w:r>
    </w:p>
  </w:footnote>
  <w:footnote w:id="20">
    <w:p w:rsidR="00CF3F9B" w:rsidRPr="00C04867" w:rsidRDefault="00CF3F9B" w:rsidP="003127AA">
      <w:pPr>
        <w:pStyle w:val="FootnoteText"/>
      </w:pPr>
      <w:r w:rsidRPr="00C04867">
        <w:rPr>
          <w:rStyle w:val="FootnoteReference"/>
          <w:sz w:val="20"/>
        </w:rPr>
        <w:footnoteRef/>
      </w:r>
      <w:r w:rsidRPr="00C04867">
        <w:t xml:space="preserve"> 47 C.F.R. § 54.304(c)(1), (d)(1).</w:t>
      </w:r>
    </w:p>
  </w:footnote>
  <w:footnote w:id="21">
    <w:p w:rsidR="00CF3F9B" w:rsidRPr="00C04867" w:rsidRDefault="00CF3F9B">
      <w:pPr>
        <w:pStyle w:val="FootnoteText"/>
      </w:pPr>
      <w:r w:rsidRPr="00C04867">
        <w:rPr>
          <w:rStyle w:val="FootnoteReference"/>
          <w:sz w:val="20"/>
        </w:rPr>
        <w:footnoteRef/>
      </w:r>
      <w:r w:rsidRPr="00C04867">
        <w:t xml:space="preserve"> USTelecom </w:t>
      </w:r>
      <w:r w:rsidRPr="00C04867">
        <w:rPr>
          <w:i/>
        </w:rPr>
        <w:t xml:space="preserve">Ex Parte </w:t>
      </w:r>
      <w:r w:rsidRPr="00C04867">
        <w:t xml:space="preserve">at 1-2; NECA Nov. 9 </w:t>
      </w:r>
      <w:r w:rsidRPr="00C04867">
        <w:rPr>
          <w:i/>
        </w:rPr>
        <w:t>Ex Parte</w:t>
      </w:r>
      <w:r w:rsidRPr="00C04867">
        <w:t xml:space="preserve"> at 1-2.</w:t>
      </w:r>
    </w:p>
  </w:footnote>
  <w:footnote w:id="22">
    <w:p w:rsidR="00CF3F9B" w:rsidRPr="00C04867" w:rsidRDefault="00CF3F9B">
      <w:pPr>
        <w:pStyle w:val="FootnoteText"/>
      </w:pPr>
      <w:r w:rsidRPr="00C04867">
        <w:rPr>
          <w:rStyle w:val="FootnoteReference"/>
          <w:sz w:val="20"/>
        </w:rPr>
        <w:footnoteRef/>
      </w:r>
      <w:r w:rsidRPr="00C04867">
        <w:t xml:space="preserve"> NECA Nov. 9 </w:t>
      </w:r>
      <w:r w:rsidRPr="00C04867">
        <w:rPr>
          <w:i/>
        </w:rPr>
        <w:t>Ex Parte</w:t>
      </w:r>
      <w:r w:rsidRPr="00C04867">
        <w:t xml:space="preserve"> at 1.  </w:t>
      </w:r>
    </w:p>
  </w:footnote>
  <w:footnote w:id="23">
    <w:p w:rsidR="00CF3F9B" w:rsidRPr="00C04867" w:rsidRDefault="00CF3F9B" w:rsidP="003127AA">
      <w:pPr>
        <w:pStyle w:val="FootnoteText"/>
      </w:pPr>
      <w:r w:rsidRPr="00C04867">
        <w:rPr>
          <w:rStyle w:val="FootnoteReference"/>
          <w:sz w:val="20"/>
        </w:rPr>
        <w:footnoteRef/>
      </w:r>
      <w:r w:rsidRPr="00C04867">
        <w:t xml:space="preserve"> </w:t>
      </w:r>
      <w:r w:rsidRPr="00C04867">
        <w:rPr>
          <w:i/>
        </w:rPr>
        <w:t>Id</w:t>
      </w:r>
      <w:r w:rsidRPr="00C04867">
        <w:t xml:space="preserve">. </w:t>
      </w:r>
    </w:p>
  </w:footnote>
  <w:footnote w:id="24">
    <w:p w:rsidR="00CF3F9B" w:rsidRPr="00C04867" w:rsidRDefault="00CF3F9B" w:rsidP="003127AA">
      <w:pPr>
        <w:pStyle w:val="FootnoteText"/>
      </w:pPr>
      <w:r w:rsidRPr="00C04867">
        <w:rPr>
          <w:rStyle w:val="FootnoteReference"/>
          <w:sz w:val="20"/>
        </w:rPr>
        <w:footnoteRef/>
      </w:r>
      <w:r w:rsidRPr="00C04867">
        <w:t xml:space="preserve"> </w:t>
      </w:r>
      <w:r w:rsidRPr="00C04867">
        <w:rPr>
          <w:i/>
        </w:rPr>
        <w:t>Id</w:t>
      </w:r>
      <w:r w:rsidRPr="00C04867">
        <w:t>.</w:t>
      </w:r>
    </w:p>
  </w:footnote>
  <w:footnote w:id="25">
    <w:p w:rsidR="00CF3F9B" w:rsidRPr="00C04867" w:rsidRDefault="00CF3F9B" w:rsidP="003127AA">
      <w:pPr>
        <w:pStyle w:val="FootnoteText"/>
      </w:pPr>
      <w:r w:rsidRPr="00C04867">
        <w:rPr>
          <w:rStyle w:val="FootnoteReference"/>
          <w:sz w:val="20"/>
        </w:rPr>
        <w:footnoteRef/>
      </w:r>
      <w:r w:rsidRPr="00C04867">
        <w:t xml:space="preserve"> USTelecom </w:t>
      </w:r>
      <w:r w:rsidRPr="00C04867">
        <w:rPr>
          <w:i/>
        </w:rPr>
        <w:t>Ex Parte</w:t>
      </w:r>
      <w:r w:rsidRPr="00C04867">
        <w:t xml:space="preserve"> at 1.</w:t>
      </w:r>
    </w:p>
  </w:footnote>
  <w:footnote w:id="26">
    <w:p w:rsidR="00CF3F9B" w:rsidRPr="00C04867" w:rsidRDefault="00CF3F9B" w:rsidP="003127AA">
      <w:pPr>
        <w:pStyle w:val="FootnoteText"/>
      </w:pPr>
      <w:r w:rsidRPr="00C04867">
        <w:rPr>
          <w:rStyle w:val="FootnoteReference"/>
          <w:sz w:val="20"/>
        </w:rPr>
        <w:footnoteRef/>
      </w:r>
      <w:r w:rsidRPr="00C04867">
        <w:t xml:space="preserve"> The filing requirements we harmonize in this Order are as follows: (a) carriers are required to file data establishing projected Connect America Fund ICC support by March 31 of each year, </w:t>
      </w:r>
      <w:r w:rsidRPr="00C04867">
        <w:rPr>
          <w:i/>
        </w:rPr>
        <w:t xml:space="preserve">see </w:t>
      </w:r>
      <w:r w:rsidRPr="00C04867">
        <w:t xml:space="preserve">47 C.F.R. § 54.304(c)(1), (d)(1); (b) carriers are required to certify that they properly calculated their ARC and, if they qualify, their Connect America Fund ICC support by April 1 of each year, </w:t>
      </w:r>
      <w:r w:rsidRPr="00C04867">
        <w:rPr>
          <w:i/>
        </w:rPr>
        <w:t>see</w:t>
      </w:r>
      <w:r w:rsidRPr="00C04867">
        <w:t xml:space="preserve"> 47 C.F.R. §§ 54.304(c)(1), (d)(1), 51.915(f)(6), 51.917(f)(3); and (c) carriers are required to provide their ARC rate and Connect America Fund ICC support amount calculations in support of their annual access tariff filings in mid-June of each year, </w:t>
      </w:r>
      <w:r w:rsidRPr="00C04867">
        <w:rPr>
          <w:i/>
        </w:rPr>
        <w:t xml:space="preserve">see </w:t>
      </w:r>
      <w:r w:rsidRPr="00C04867">
        <w:t>47 C.F.R. § 69.3(a)</w:t>
      </w:r>
      <w:r>
        <w:t xml:space="preserve">, </w:t>
      </w:r>
      <w:r>
        <w:rPr>
          <w:i/>
        </w:rPr>
        <w:t>see also Material to be Filed in Support of 2012 Annual Access Tariff Filings</w:t>
      </w:r>
      <w:r>
        <w:t>, WCB/Pricing File No. 12-08, Order, 27 FCC Rcd 3960, 3960-61, paras. 1-3 (Wireline Comp. Bur. 2012).</w:t>
      </w:r>
      <w:r w:rsidRPr="00C04867">
        <w:t xml:space="preserve">    </w:t>
      </w:r>
    </w:p>
  </w:footnote>
  <w:footnote w:id="27">
    <w:p w:rsidR="00CF3F9B" w:rsidRPr="00C04867" w:rsidRDefault="00CF3F9B">
      <w:pPr>
        <w:pStyle w:val="FootnoteText"/>
      </w:pPr>
      <w:r w:rsidRPr="00C04867">
        <w:rPr>
          <w:rStyle w:val="FootnoteReference"/>
          <w:sz w:val="20"/>
        </w:rPr>
        <w:footnoteRef/>
      </w:r>
      <w:r w:rsidRPr="00C04867">
        <w:t xml:space="preserve"> </w:t>
      </w:r>
      <w:r w:rsidRPr="00C04867">
        <w:rPr>
          <w:i/>
        </w:rPr>
        <w:t>See</w:t>
      </w:r>
      <w:r w:rsidRPr="00C04867">
        <w:t xml:space="preserve"> 47 C.F.R. §§ 54.304(c)(1), (d)(1).</w:t>
      </w:r>
    </w:p>
  </w:footnote>
  <w:footnote w:id="28">
    <w:p w:rsidR="00CF3F9B" w:rsidRPr="00C04867" w:rsidRDefault="00CF3F9B" w:rsidP="003127AA">
      <w:pPr>
        <w:pStyle w:val="FootnoteText"/>
      </w:pPr>
      <w:r w:rsidRPr="00C04867">
        <w:rPr>
          <w:rStyle w:val="FootnoteReference"/>
          <w:sz w:val="20"/>
        </w:rPr>
        <w:footnoteRef/>
      </w:r>
      <w:r w:rsidRPr="00C04867">
        <w:t xml:space="preserve"> </w:t>
      </w:r>
      <w:r w:rsidRPr="00C04867">
        <w:rPr>
          <w:i/>
        </w:rPr>
        <w:t>Id.</w:t>
      </w:r>
    </w:p>
  </w:footnote>
  <w:footnote w:id="29">
    <w:p w:rsidR="00CF3F9B" w:rsidRPr="00C04867" w:rsidRDefault="00CF3F9B">
      <w:pPr>
        <w:pStyle w:val="FootnoteText"/>
      </w:pPr>
      <w:r w:rsidRPr="00C04867">
        <w:rPr>
          <w:rStyle w:val="FootnoteReference"/>
          <w:sz w:val="20"/>
        </w:rPr>
        <w:footnoteRef/>
      </w:r>
      <w:r w:rsidRPr="00C04867">
        <w:t xml:space="preserve"> </w:t>
      </w:r>
      <w:r w:rsidRPr="00C04867">
        <w:rPr>
          <w:i/>
        </w:rPr>
        <w:t xml:space="preserve">See </w:t>
      </w:r>
      <w:r w:rsidRPr="00C04867">
        <w:t>47 C.F.R. § 69.3(a)</w:t>
      </w:r>
      <w:r w:rsidR="008957D1">
        <w:t>.</w:t>
      </w:r>
    </w:p>
  </w:footnote>
  <w:footnote w:id="30">
    <w:p w:rsidR="00CF3F9B" w:rsidRPr="00AF240F" w:rsidRDefault="00CF3F9B">
      <w:pPr>
        <w:pStyle w:val="FootnoteText"/>
      </w:pPr>
      <w:r w:rsidRPr="00C04867">
        <w:rPr>
          <w:rStyle w:val="FootnoteReference"/>
          <w:sz w:val="20"/>
        </w:rPr>
        <w:footnoteRef/>
      </w:r>
      <w:r w:rsidRPr="00C04867">
        <w:t xml:space="preserve"> </w:t>
      </w:r>
      <w:r w:rsidRPr="00C04867">
        <w:rPr>
          <w:i/>
        </w:rPr>
        <w:t>See</w:t>
      </w:r>
      <w:r w:rsidRPr="00C04867">
        <w:t xml:space="preserve"> 47 C.F.R. § 1.3; </w:t>
      </w:r>
      <w:r w:rsidRPr="00C04867">
        <w:rPr>
          <w:i/>
          <w:iCs/>
          <w:color w:val="010101"/>
        </w:rPr>
        <w:t>NetworkIP, LLC v. FCC</w:t>
      </w:r>
      <w:r w:rsidRPr="00C04867">
        <w:rPr>
          <w:color w:val="010101"/>
        </w:rPr>
        <w:t>, 548 F.3d 116, 125-128 (D.C. Cir. 2008)</w:t>
      </w:r>
      <w:r>
        <w:rPr>
          <w:color w:val="010101"/>
        </w:rPr>
        <w:t xml:space="preserve">; </w:t>
      </w:r>
      <w:r w:rsidRPr="00C04867">
        <w:rPr>
          <w:i/>
        </w:rPr>
        <w:t>Delta Radio, Inc. v. FCC</w:t>
      </w:r>
      <w:r w:rsidRPr="00E17F71">
        <w:t xml:space="preserve">, </w:t>
      </w:r>
      <w:r w:rsidRPr="00AF240F">
        <w:t>387 F.3d 897, 901 (D.C. Cir. 2004);</w:t>
      </w:r>
      <w:r w:rsidRPr="00AF240F">
        <w:rPr>
          <w:i/>
        </w:rPr>
        <w:t xml:space="preserve"> Northeast Cellular Telephone Co. v. FCC, </w:t>
      </w:r>
      <w:r w:rsidRPr="00AF240F">
        <w:t>897 F.2d 1164, 1166 (D.C. Cir. 1990)</w:t>
      </w:r>
      <w:r w:rsidRPr="00C04867">
        <w:t>;</w:t>
      </w:r>
      <w:r w:rsidRPr="00E17F71">
        <w:rPr>
          <w:i/>
        </w:rPr>
        <w:t xml:space="preserve"> WAIT Radio v. FCC</w:t>
      </w:r>
      <w:r w:rsidRPr="00E17F71">
        <w:t>, 418 F.2d 1153, 1159 (D.C. Cir. 1969)</w:t>
      </w:r>
      <w:r w:rsidRPr="00AF240F">
        <w:t>.</w:t>
      </w:r>
    </w:p>
  </w:footnote>
  <w:footnote w:id="31">
    <w:p w:rsidR="00CF3F9B" w:rsidRPr="00CC6FAD" w:rsidRDefault="00CF3F9B" w:rsidP="003127AA">
      <w:pPr>
        <w:pStyle w:val="FootnoteText"/>
      </w:pPr>
      <w:r w:rsidRPr="00CC6FAD">
        <w:rPr>
          <w:rStyle w:val="FootnoteReference"/>
          <w:sz w:val="20"/>
        </w:rPr>
        <w:footnoteRef/>
      </w:r>
      <w:r w:rsidRPr="00CC6FAD">
        <w:t xml:space="preserve"> 47 C.F.R. §§ 51.915(f)(6), 51.917(f)(3), 54.304(c)(1), (d)(1).  </w:t>
      </w:r>
    </w:p>
  </w:footnote>
  <w:footnote w:id="32">
    <w:p w:rsidR="00CF3F9B" w:rsidRPr="00C04867" w:rsidRDefault="00CF3F9B">
      <w:pPr>
        <w:pStyle w:val="FootnoteText"/>
      </w:pPr>
      <w:r w:rsidRPr="00655E65">
        <w:rPr>
          <w:rStyle w:val="FootnoteReference"/>
          <w:sz w:val="20"/>
        </w:rPr>
        <w:footnoteRef/>
      </w:r>
      <w:r w:rsidRPr="00C04867">
        <w:t xml:space="preserve"> </w:t>
      </w:r>
      <w:r w:rsidRPr="00C04867">
        <w:rPr>
          <w:i/>
        </w:rPr>
        <w:t>See id.</w:t>
      </w:r>
    </w:p>
  </w:footnote>
  <w:footnote w:id="33">
    <w:p w:rsidR="00CF3F9B" w:rsidRPr="00C04867" w:rsidRDefault="00CF3F9B">
      <w:pPr>
        <w:pStyle w:val="FootnoteText"/>
      </w:pPr>
      <w:r w:rsidRPr="00C04867">
        <w:rPr>
          <w:rStyle w:val="FootnoteReference"/>
          <w:sz w:val="20"/>
        </w:rPr>
        <w:footnoteRef/>
      </w:r>
      <w:r w:rsidRPr="00C04867">
        <w:t xml:space="preserve"> 47 C.F.R. § 51.909(a).</w:t>
      </w:r>
    </w:p>
  </w:footnote>
  <w:footnote w:id="34">
    <w:p w:rsidR="00CF3F9B" w:rsidRPr="00C04867" w:rsidRDefault="00CF3F9B" w:rsidP="003127AA">
      <w:pPr>
        <w:pStyle w:val="FootnoteText"/>
      </w:pPr>
      <w:r w:rsidRPr="00C04867">
        <w:rPr>
          <w:rStyle w:val="FootnoteReference"/>
          <w:sz w:val="20"/>
        </w:rPr>
        <w:footnoteRef/>
      </w:r>
      <w:r w:rsidRPr="00C04867">
        <w:t xml:space="preserve"> The Commission stated that “we adopt an approach to Rate-of-Return Eligible Recovery that takes interstate rate-of-return carriers off of rate-of-return based recovery specifically for interstate switched access revenues, but provides them more predictable recovery than exists under the </w:t>
      </w:r>
      <w:r w:rsidRPr="00C04867">
        <w:rPr>
          <w:i/>
        </w:rPr>
        <w:t>status quo</w:t>
      </w:r>
      <w:r w:rsidRPr="00C04867">
        <w:t xml:space="preserve">….” </w:t>
      </w:r>
      <w:r w:rsidR="005935C9">
        <w:t xml:space="preserve"> </w:t>
      </w:r>
      <w:r w:rsidRPr="00C04867">
        <w:rPr>
          <w:i/>
        </w:rPr>
        <w:t>USF/ICC Transformation Order</w:t>
      </w:r>
      <w:r w:rsidRPr="00C04867">
        <w:t>, 26 FCC Rcd at 17983, para. 900.</w:t>
      </w:r>
    </w:p>
  </w:footnote>
  <w:footnote w:id="35">
    <w:p w:rsidR="00CF3F9B" w:rsidRPr="00C04867" w:rsidRDefault="00CF3F9B" w:rsidP="003127AA">
      <w:pPr>
        <w:pStyle w:val="FootnoteText"/>
      </w:pPr>
      <w:r w:rsidRPr="00C04867">
        <w:rPr>
          <w:rStyle w:val="FootnoteReference"/>
          <w:sz w:val="20"/>
        </w:rPr>
        <w:footnoteRef/>
      </w:r>
      <w:r w:rsidRPr="00C04867">
        <w:t xml:space="preserve"> 47 C.F.R. § 51.917.</w:t>
      </w:r>
    </w:p>
  </w:footnote>
  <w:footnote w:id="36">
    <w:p w:rsidR="00CF3F9B" w:rsidRPr="00C04867" w:rsidRDefault="00CF3F9B">
      <w:pPr>
        <w:pStyle w:val="FootnoteText"/>
      </w:pPr>
      <w:r w:rsidRPr="00C04867">
        <w:rPr>
          <w:rStyle w:val="FootnoteReference"/>
          <w:sz w:val="20"/>
        </w:rPr>
        <w:footnoteRef/>
      </w:r>
      <w:r w:rsidRPr="00C04867">
        <w:t xml:space="preserve"> </w:t>
      </w:r>
      <w:r w:rsidRPr="00C04867">
        <w:rPr>
          <w:i/>
        </w:rPr>
        <w:t xml:space="preserve">See </w:t>
      </w:r>
      <w:r w:rsidRPr="00C04867">
        <w:t>47 C.F.R. § 51.917(d).</w:t>
      </w:r>
    </w:p>
  </w:footnote>
  <w:footnote w:id="37">
    <w:p w:rsidR="00CF3F9B" w:rsidRPr="00C04867" w:rsidRDefault="00CF3F9B" w:rsidP="003127AA">
      <w:pPr>
        <w:pStyle w:val="FootnoteText"/>
      </w:pPr>
      <w:r w:rsidRPr="00C04867">
        <w:rPr>
          <w:rStyle w:val="FootnoteReference"/>
          <w:sz w:val="20"/>
        </w:rPr>
        <w:footnoteRef/>
      </w:r>
      <w:r w:rsidRPr="00C04867">
        <w:t xml:space="preserve"> 47 C.F.R. § 51.917(d)(1).  A rate-of-return carrier’s Base Period Revenue reflects a carrier’s collected revenues from intrastate switched access services and reciprocal compensation for the fiscal year beginning October 1, 2010.  It also includes a carrier’s projected interstate switched access revenue requirement supporting its most recent annual tariff filing prior to adoption of the </w:t>
      </w:r>
      <w:r w:rsidRPr="00C04867">
        <w:rPr>
          <w:i/>
        </w:rPr>
        <w:t>USF/ICC Transformation Order</w:t>
      </w:r>
      <w:r w:rsidRPr="00C04867">
        <w:t xml:space="preserve">, which generally would have been the annual filing made in June 2011.  </w:t>
      </w:r>
      <w:r w:rsidRPr="00C04867">
        <w:rPr>
          <w:i/>
        </w:rPr>
        <w:t>See</w:t>
      </w:r>
      <w:r w:rsidRPr="00C04867">
        <w:t xml:space="preserve"> 47 C.F.R. § 51.917(b)(1)(i), (b)(7), (d)(1). </w:t>
      </w:r>
    </w:p>
  </w:footnote>
  <w:footnote w:id="38">
    <w:p w:rsidR="00CF3F9B" w:rsidRPr="00C04867" w:rsidRDefault="00CF3F9B" w:rsidP="003127AA">
      <w:pPr>
        <w:pStyle w:val="FootnoteText"/>
      </w:pPr>
      <w:r w:rsidRPr="00C04867">
        <w:rPr>
          <w:rStyle w:val="FootnoteReference"/>
          <w:sz w:val="20"/>
        </w:rPr>
        <w:footnoteRef/>
      </w:r>
      <w:r w:rsidRPr="00C04867">
        <w:t xml:space="preserve"> </w:t>
      </w:r>
      <w:r w:rsidRPr="00C04867">
        <w:rPr>
          <w:i/>
        </w:rPr>
        <w:t>See</w:t>
      </w:r>
      <w:r w:rsidRPr="00C04867">
        <w:t xml:space="preserve"> 47 C.F.R. § 51.917(e) and (f).</w:t>
      </w:r>
    </w:p>
  </w:footnote>
  <w:footnote w:id="39">
    <w:p w:rsidR="00CF3F9B" w:rsidRPr="00C04867" w:rsidRDefault="00CF3F9B" w:rsidP="003127AA">
      <w:pPr>
        <w:pStyle w:val="FootnoteText"/>
      </w:pPr>
      <w:r w:rsidRPr="00C04867">
        <w:rPr>
          <w:rStyle w:val="FootnoteReference"/>
          <w:sz w:val="20"/>
        </w:rPr>
        <w:footnoteRef/>
      </w:r>
      <w:r w:rsidRPr="00C04867">
        <w:t xml:space="preserve"> </w:t>
      </w:r>
      <w:r w:rsidRPr="00C04867">
        <w:rPr>
          <w:i/>
        </w:rPr>
        <w:t xml:space="preserve">See </w:t>
      </w:r>
      <w:r w:rsidRPr="00C04867">
        <w:t>47 C.F.R. § 51.917(d)(1)(iii).</w:t>
      </w:r>
    </w:p>
  </w:footnote>
  <w:footnote w:id="40">
    <w:p w:rsidR="00CF3F9B" w:rsidRPr="00C04867" w:rsidRDefault="00CF3F9B">
      <w:pPr>
        <w:pStyle w:val="FootnoteText"/>
      </w:pPr>
      <w:r w:rsidRPr="00C04867">
        <w:rPr>
          <w:rStyle w:val="FootnoteReference"/>
          <w:sz w:val="20"/>
        </w:rPr>
        <w:footnoteRef/>
      </w:r>
      <w:r w:rsidRPr="00C04867">
        <w:t xml:space="preserve"> </w:t>
      </w:r>
      <w:r w:rsidRPr="00C04867">
        <w:rPr>
          <w:i/>
        </w:rPr>
        <w:t>USF/ICC Transformation Order</w:t>
      </w:r>
      <w:r w:rsidRPr="00C04867">
        <w:t>, 26 FCC Rcd at 17934, para. 801, Fig. 9, n.1499.</w:t>
      </w:r>
    </w:p>
  </w:footnote>
  <w:footnote w:id="41">
    <w:p w:rsidR="00CF3F9B" w:rsidRPr="00C04867" w:rsidRDefault="00CF3F9B" w:rsidP="00A4733A">
      <w:pPr>
        <w:pStyle w:val="FootnoteText"/>
      </w:pPr>
      <w:r w:rsidRPr="00C04867">
        <w:rPr>
          <w:rStyle w:val="FootnoteReference"/>
          <w:sz w:val="20"/>
        </w:rPr>
        <w:footnoteRef/>
      </w:r>
      <w:r w:rsidRPr="00C04867">
        <w:t xml:space="preserve"> </w:t>
      </w:r>
      <w:r w:rsidRPr="00C04867">
        <w:rPr>
          <w:i/>
        </w:rPr>
        <w:t>See Investigation of Certain 2012 Annual Access Tariffs</w:t>
      </w:r>
      <w:r w:rsidRPr="00C04867">
        <w:t>, WC Docket No. 12-233, Order, 27 FCC Rcd 15557, 15567, para. 23 (2012) (</w:t>
      </w:r>
      <w:r w:rsidRPr="00C04867">
        <w:rPr>
          <w:i/>
        </w:rPr>
        <w:t>Termination Order</w:t>
      </w:r>
      <w:r w:rsidRPr="00C04867">
        <w:t xml:space="preserve">) (citing </w:t>
      </w:r>
      <w:r w:rsidRPr="00C04867">
        <w:rPr>
          <w:i/>
        </w:rPr>
        <w:t>Investigation of Certain 2012 Annual Access Tariffs</w:t>
      </w:r>
      <w:r w:rsidRPr="00C04867">
        <w:t>, WC Docket No. 12-233, Order Designating Issues for Investigation, 27 FCC Rcd 10311, 10320, paras. 25 (Wireline Comp. Bur. 2012) (</w:t>
      </w:r>
      <w:r w:rsidRPr="00C04867">
        <w:rPr>
          <w:i/>
        </w:rPr>
        <w:t>Designation Order</w:t>
      </w:r>
      <w:r w:rsidRPr="00C04867">
        <w:t xml:space="preserve">)). </w:t>
      </w:r>
    </w:p>
  </w:footnote>
  <w:footnote w:id="42">
    <w:p w:rsidR="00CF3F9B" w:rsidRPr="00C04867" w:rsidRDefault="00CF3F9B" w:rsidP="003127AA">
      <w:pPr>
        <w:pStyle w:val="FootnoteText"/>
      </w:pPr>
      <w:r w:rsidRPr="00C04867">
        <w:rPr>
          <w:rStyle w:val="FootnoteReference"/>
          <w:sz w:val="20"/>
        </w:rPr>
        <w:footnoteRef/>
      </w:r>
      <w:r w:rsidRPr="00C04867">
        <w:t xml:space="preserve"> </w:t>
      </w:r>
      <w:r w:rsidRPr="00C04867">
        <w:rPr>
          <w:i/>
        </w:rPr>
        <w:t>Designation Order</w:t>
      </w:r>
      <w:r w:rsidRPr="00C04867">
        <w:t xml:space="preserve">, 27 FCC Rcd at 10319-20, paras. 22-27. </w:t>
      </w:r>
    </w:p>
  </w:footnote>
  <w:footnote w:id="43">
    <w:p w:rsidR="00CF3F9B" w:rsidRPr="00C04867" w:rsidRDefault="00CF3F9B" w:rsidP="003127AA">
      <w:pPr>
        <w:pStyle w:val="FootnoteText"/>
      </w:pPr>
      <w:r w:rsidRPr="00C04867">
        <w:rPr>
          <w:rStyle w:val="FootnoteReference"/>
          <w:sz w:val="20"/>
        </w:rPr>
        <w:footnoteRef/>
      </w:r>
      <w:r w:rsidRPr="00C04867">
        <w:t xml:space="preserve"> </w:t>
      </w:r>
      <w:r w:rsidRPr="00C04867">
        <w:rPr>
          <w:i/>
        </w:rPr>
        <w:t>Id</w:t>
      </w:r>
      <w:r w:rsidRPr="00C04867">
        <w:t xml:space="preserve">. at 10320, para. 25.  </w:t>
      </w:r>
    </w:p>
  </w:footnote>
  <w:footnote w:id="44">
    <w:p w:rsidR="00CF3F9B" w:rsidRPr="00C04867" w:rsidRDefault="00CF3F9B" w:rsidP="003127AA">
      <w:pPr>
        <w:pStyle w:val="FootnoteText"/>
      </w:pPr>
      <w:r w:rsidRPr="00C04867">
        <w:rPr>
          <w:rStyle w:val="FootnoteReference"/>
          <w:sz w:val="20"/>
        </w:rPr>
        <w:footnoteRef/>
      </w:r>
      <w:r w:rsidRPr="00C04867">
        <w:t xml:space="preserve"> </w:t>
      </w:r>
      <w:r w:rsidRPr="00C04867">
        <w:rPr>
          <w:i/>
        </w:rPr>
        <w:t>See Termination Order</w:t>
      </w:r>
      <w:r w:rsidRPr="00C04867">
        <w:t xml:space="preserve">, 27 FCC Rcd at 15586-87.  </w:t>
      </w:r>
    </w:p>
  </w:footnote>
  <w:footnote w:id="45">
    <w:p w:rsidR="00CF3F9B" w:rsidRPr="00C04867" w:rsidRDefault="00CF3F9B">
      <w:pPr>
        <w:pStyle w:val="FootnoteText"/>
      </w:pPr>
      <w:r w:rsidRPr="00C04867">
        <w:rPr>
          <w:rStyle w:val="FootnoteReference"/>
          <w:sz w:val="20"/>
        </w:rPr>
        <w:footnoteRef/>
      </w:r>
      <w:r w:rsidRPr="00C04867">
        <w:t xml:space="preserve"> If net contributors exit the pool, the pool will not receive enough revenue because the rate caps will prevent NECA from raising its switched access rates.  On the other hand, t</w:t>
      </w:r>
      <w:r w:rsidRPr="00C04867">
        <w:rPr>
          <w:snapToGrid w:val="0"/>
        </w:rPr>
        <w:t xml:space="preserve">he rules adopted in the </w:t>
      </w:r>
      <w:r w:rsidRPr="00C04867">
        <w:rPr>
          <w:i/>
          <w:snapToGrid w:val="0"/>
        </w:rPr>
        <w:t>USF/ICC Transformation Order</w:t>
      </w:r>
      <w:r w:rsidRPr="00C04867">
        <w:rPr>
          <w:snapToGrid w:val="0"/>
        </w:rPr>
        <w:t xml:space="preserve"> do not require the rate caps to be lowered, which means that if net recipients exit the pool, the pool will collect more switched access revenues than are necessary to compensate the pooling carriers at their previous settlement levels.  </w:t>
      </w:r>
    </w:p>
  </w:footnote>
  <w:footnote w:id="46">
    <w:p w:rsidR="00CF3F9B" w:rsidRPr="00C04867" w:rsidRDefault="00CF3F9B">
      <w:pPr>
        <w:pStyle w:val="FootnoteText"/>
      </w:pPr>
      <w:r w:rsidRPr="00C04867">
        <w:rPr>
          <w:rStyle w:val="FootnoteReference"/>
          <w:sz w:val="20"/>
        </w:rPr>
        <w:footnoteRef/>
      </w:r>
      <w:r w:rsidRPr="00C04867">
        <w:t xml:space="preserve"> </w:t>
      </w:r>
      <w:r w:rsidRPr="00C04867">
        <w:rPr>
          <w:i/>
        </w:rPr>
        <w:t xml:space="preserve">See </w:t>
      </w:r>
      <w:r w:rsidRPr="00C04867">
        <w:t xml:space="preserve">47 C.F.R. §§ 54.304, 51.917(f)(2), (d), (e); </w:t>
      </w:r>
      <w:r w:rsidRPr="00C04867">
        <w:rPr>
          <w:i/>
        </w:rPr>
        <w:t>USF/ICC Transformation Order</w:t>
      </w:r>
      <w:r w:rsidRPr="00C04867">
        <w:t xml:space="preserve">, 26 FCC Rcd at 17709-12, paras. 115-26.   </w:t>
      </w:r>
    </w:p>
  </w:footnote>
  <w:footnote w:id="47">
    <w:p w:rsidR="00CF3F9B" w:rsidRPr="00C04867" w:rsidRDefault="00CF3F9B">
      <w:pPr>
        <w:pStyle w:val="FootnoteText"/>
      </w:pPr>
      <w:r w:rsidRPr="00C04867">
        <w:rPr>
          <w:rStyle w:val="FootnoteReference"/>
          <w:sz w:val="20"/>
        </w:rPr>
        <w:footnoteRef/>
      </w:r>
      <w:r w:rsidRPr="00C04867">
        <w:t xml:space="preserve"> 47 C.F.R. §§ 61.38, 61.39.</w:t>
      </w:r>
    </w:p>
  </w:footnote>
  <w:footnote w:id="48">
    <w:p w:rsidR="00CF3F9B" w:rsidRPr="00AF240F" w:rsidRDefault="00CF3F9B">
      <w:pPr>
        <w:pStyle w:val="FootnoteText"/>
      </w:pPr>
      <w:r w:rsidRPr="00C04867">
        <w:rPr>
          <w:rStyle w:val="FootnoteReference"/>
          <w:sz w:val="20"/>
        </w:rPr>
        <w:footnoteRef/>
      </w:r>
      <w:r w:rsidRPr="00C04867">
        <w:t xml:space="preserve"> </w:t>
      </w:r>
      <w:r w:rsidRPr="00C04867">
        <w:rPr>
          <w:i/>
        </w:rPr>
        <w:t>See</w:t>
      </w:r>
      <w:r w:rsidRPr="00E17F71">
        <w:t xml:space="preserve"> </w:t>
      </w:r>
      <w:r w:rsidRPr="00C04867">
        <w:rPr>
          <w:i/>
        </w:rPr>
        <w:t>2012 Price Cap Conversion Order</w:t>
      </w:r>
      <w:r w:rsidRPr="00E17F71">
        <w:t xml:space="preserve">, 26 FCC Rcd at </w:t>
      </w:r>
      <w:r w:rsidRPr="00C04867">
        <w:t>1575</w:t>
      </w:r>
      <w:r w:rsidRPr="00E17F71">
        <w:t>9</w:t>
      </w:r>
      <w:r w:rsidRPr="00C04867">
        <w:t xml:space="preserve">, para. </w:t>
      </w:r>
      <w:r w:rsidRPr="00E17F71">
        <w:t>1</w:t>
      </w:r>
      <w:r w:rsidRPr="00C04867">
        <w:t>7</w:t>
      </w:r>
      <w:r w:rsidRPr="00E17F71">
        <w:t xml:space="preserve">.  </w:t>
      </w:r>
      <w:r w:rsidRPr="00AF240F">
        <w:t>If a carrier that was a significant net contributor to the pool were allowed to exit the pool</w:t>
      </w:r>
      <w:r w:rsidRPr="00CC6FAD">
        <w:t xml:space="preserve"> and charge NECA rates, the exiting carrier would </w:t>
      </w:r>
      <w:r>
        <w:t>receive</w:t>
      </w:r>
      <w:r w:rsidRPr="00CC6FAD">
        <w:t xml:space="preserve"> revenues that, </w:t>
      </w:r>
      <w:r w:rsidRPr="00655E65">
        <w:t xml:space="preserve">had </w:t>
      </w:r>
      <w:r>
        <w:t xml:space="preserve">it </w:t>
      </w:r>
      <w:r w:rsidRPr="00655E65">
        <w:t xml:space="preserve">remained in the pool, </w:t>
      </w:r>
      <w:r w:rsidRPr="00C04867">
        <w:t xml:space="preserve">would </w:t>
      </w:r>
      <w:r>
        <w:t>reduce</w:t>
      </w:r>
      <w:r w:rsidRPr="00C04867">
        <w:t xml:space="preserve"> the remaining pooling carriers’ Eligible Recovery.  Moreover, if the higher rates produced enough revenue so that the realized revenues more than offset any Eligible Recovery</w:t>
      </w:r>
      <w:r>
        <w:t xml:space="preserve">, </w:t>
      </w:r>
      <w:r w:rsidRPr="00C04867">
        <w:t xml:space="preserve">the exiting carrier would retain the revenues.  Such a windfall for an exiting net contributor would encourage such carriers to exit the pool, </w:t>
      </w:r>
      <w:r>
        <w:t xml:space="preserve">thereby </w:t>
      </w:r>
      <w:r w:rsidRPr="00C04867">
        <w:t xml:space="preserve">discouraging pool participation, contrary to the Commission’s pooling neutral policies.  </w:t>
      </w:r>
      <w:r w:rsidRPr="00C04867">
        <w:rPr>
          <w:i/>
        </w:rPr>
        <w:t>See</w:t>
      </w:r>
      <w:r w:rsidRPr="00E17F71">
        <w:t xml:space="preserve"> </w:t>
      </w:r>
      <w:r w:rsidRPr="00C04867">
        <w:rPr>
          <w:i/>
        </w:rPr>
        <w:t>Connect America Fund et al</w:t>
      </w:r>
      <w:r w:rsidRPr="00E17F71">
        <w:t>., WC Docket No. 10-90</w:t>
      </w:r>
      <w:r w:rsidR="006B5DB1">
        <w:t xml:space="preserve"> et al.</w:t>
      </w:r>
      <w:r w:rsidRPr="00E17F71">
        <w:t>, Notice of Proposed Rulemaking and Further Notice of Proposed Rulemaking, 26 FCC Rcd 4554, 4760,</w:t>
      </w:r>
      <w:r w:rsidR="008A25A8">
        <w:t xml:space="preserve"> paras. 644-45 (2011)</w:t>
      </w:r>
      <w:r w:rsidRPr="00E17F71">
        <w:t xml:space="preserve">; </w:t>
      </w:r>
      <w:r w:rsidRPr="00C04867">
        <w:rPr>
          <w:i/>
        </w:rPr>
        <w:t>Regulation of Small Telephone Companies</w:t>
      </w:r>
      <w:r w:rsidRPr="00E17F71">
        <w:t>, CC Docket No. 86-467, 2 FCC Rcd 3811, 3811-12, paras. 5-</w:t>
      </w:r>
      <w:r w:rsidRPr="00AF240F">
        <w:t>7</w:t>
      </w:r>
      <w:r>
        <w:t xml:space="preserve"> (1987)</w:t>
      </w:r>
      <w:r w:rsidRPr="00AF240F">
        <w:t>.</w:t>
      </w:r>
    </w:p>
  </w:footnote>
  <w:footnote w:id="49">
    <w:p w:rsidR="00CF3F9B" w:rsidRPr="00C04867" w:rsidRDefault="00CF3F9B">
      <w:pPr>
        <w:pStyle w:val="FootnoteText"/>
      </w:pPr>
      <w:r w:rsidRPr="00C04867">
        <w:rPr>
          <w:rStyle w:val="FootnoteReference"/>
          <w:sz w:val="20"/>
        </w:rPr>
        <w:footnoteRef/>
      </w:r>
      <w:r w:rsidRPr="00C04867">
        <w:t xml:space="preserve"> In the </w:t>
      </w:r>
      <w:r w:rsidRPr="00C04867">
        <w:rPr>
          <w:i/>
        </w:rPr>
        <w:t>2012 Price Cap Conversion Order</w:t>
      </w:r>
      <w:r w:rsidRPr="00C04867">
        <w:t>, the Commission waived section 51.909(a) of its rules “</w:t>
      </w:r>
      <w:r w:rsidRPr="00C04867">
        <w:rPr>
          <w:i/>
        </w:rPr>
        <w:t>to the extent necessary</w:t>
      </w:r>
      <w:r w:rsidRPr="00C04867">
        <w:t xml:space="preserve"> to allow NECA to increase its switched access rates by an amount necessary to reflect the lost contributions to switched access rates of the pool.”  </w:t>
      </w:r>
      <w:r w:rsidRPr="00C04867">
        <w:rPr>
          <w:i/>
        </w:rPr>
        <w:t>2012 Price Cap Conversion Order</w:t>
      </w:r>
      <w:r w:rsidRPr="00C04867">
        <w:t xml:space="preserve">, 27 FCC Rcd at 15764, para. 32 (emphasis added).  The </w:t>
      </w:r>
      <w:r w:rsidRPr="00C04867">
        <w:rPr>
          <w:i/>
        </w:rPr>
        <w:t>2012 Price Cap Conversion Order</w:t>
      </w:r>
      <w:r w:rsidRPr="00C04867">
        <w:t xml:space="preserve"> highlighted the need for clarification but does not represent a determination that waiver of the cap was in fact necessary.  Our clarification today establishes that such waivers of section 51.909(a) will in the future not be necessary in connection with entry to and exit from the NECA pool pursuant to sections 69.3(e)(6) of the Commission’s rules.  </w:t>
      </w:r>
      <w:r w:rsidRPr="00C04867">
        <w:rPr>
          <w:i/>
        </w:rPr>
        <w:t>See</w:t>
      </w:r>
      <w:r w:rsidRPr="00C04867">
        <w:t xml:space="preserve"> 47 C.F.R. §</w:t>
      </w:r>
      <w:r w:rsidR="0052714D" w:rsidRPr="0052714D">
        <w:t>§</w:t>
      </w:r>
      <w:r w:rsidRPr="00C04867">
        <w:t xml:space="preserve"> 51.909(a)</w:t>
      </w:r>
      <w:r w:rsidR="0052714D">
        <w:t xml:space="preserve">, </w:t>
      </w:r>
      <w:r w:rsidR="0052714D" w:rsidRPr="0052714D">
        <w:t>69.3(e)(6)</w:t>
      </w:r>
      <w:r w:rsidRPr="00C04867">
        <w:t>.</w:t>
      </w:r>
    </w:p>
  </w:footnote>
  <w:footnote w:id="50">
    <w:p w:rsidR="00CF3F9B" w:rsidRPr="00C04867" w:rsidRDefault="00CF3F9B">
      <w:pPr>
        <w:pStyle w:val="FootnoteText"/>
      </w:pPr>
      <w:r w:rsidRPr="00C04867">
        <w:rPr>
          <w:rStyle w:val="FootnoteReference"/>
          <w:sz w:val="20"/>
        </w:rPr>
        <w:footnoteRef/>
      </w:r>
      <w:r w:rsidRPr="00C04867">
        <w:t xml:space="preserve"> </w:t>
      </w:r>
      <w:r w:rsidRPr="00C04867">
        <w:rPr>
          <w:i/>
        </w:rPr>
        <w:t>See 2012 Price Cap Conversion Order</w:t>
      </w:r>
      <w:r w:rsidRPr="00C04867">
        <w:t>, 27 FCC Rcd at 15764-65, paras. 32-33.</w:t>
      </w:r>
    </w:p>
  </w:footnote>
  <w:footnote w:id="51">
    <w:p w:rsidR="00CF3F9B" w:rsidRPr="00C04867" w:rsidRDefault="00CF3F9B">
      <w:pPr>
        <w:pStyle w:val="FootnoteText"/>
      </w:pPr>
      <w:r w:rsidRPr="00C04867">
        <w:rPr>
          <w:rStyle w:val="FootnoteReference"/>
          <w:sz w:val="20"/>
        </w:rPr>
        <w:footnoteRef/>
      </w:r>
      <w:r w:rsidRPr="00C04867">
        <w:t xml:space="preserve"> </w:t>
      </w:r>
      <w:r w:rsidRPr="00C04867">
        <w:rPr>
          <w:i/>
        </w:rPr>
        <w:t>See</w:t>
      </w:r>
      <w:r w:rsidRPr="00C04867">
        <w:t xml:space="preserve"> </w:t>
      </w:r>
      <w:r w:rsidRPr="00C04867">
        <w:rPr>
          <w:i/>
        </w:rPr>
        <w:t>USF/ICC Transformation Order</w:t>
      </w:r>
      <w:r w:rsidRPr="00C04867">
        <w:t xml:space="preserve">, 26 FCC Rcd at 17929, para. 790.  </w:t>
      </w:r>
    </w:p>
  </w:footnote>
  <w:footnote w:id="52">
    <w:p w:rsidR="00CF3F9B" w:rsidRPr="00C04867" w:rsidRDefault="00CF3F9B">
      <w:pPr>
        <w:pStyle w:val="FootnoteText"/>
      </w:pPr>
      <w:r w:rsidRPr="00C04867">
        <w:rPr>
          <w:rStyle w:val="FootnoteReference"/>
          <w:sz w:val="20"/>
        </w:rPr>
        <w:footnoteRef/>
      </w:r>
      <w:r w:rsidRPr="00C04867">
        <w:t xml:space="preserve"> 47 C.F.R. § 51.909(b) and (c).  </w:t>
      </w:r>
      <w:r w:rsidRPr="00C04867">
        <w:rPr>
          <w:i/>
        </w:rPr>
        <w:t>See</w:t>
      </w:r>
      <w:r w:rsidRPr="00C04867">
        <w:t xml:space="preserve"> </w:t>
      </w:r>
      <w:r w:rsidRPr="00C04867">
        <w:rPr>
          <w:i/>
        </w:rPr>
        <w:t>USF/ICC Transformation Order</w:t>
      </w:r>
      <w:r w:rsidRPr="00C04867">
        <w:t>, 26 FCC Rcd at 17934-35, para. 801 and Fig. 9.</w:t>
      </w:r>
    </w:p>
  </w:footnote>
  <w:footnote w:id="53">
    <w:p w:rsidR="00CF3F9B" w:rsidRPr="00C04867" w:rsidRDefault="00CF3F9B">
      <w:pPr>
        <w:pStyle w:val="FootnoteText"/>
      </w:pPr>
      <w:r w:rsidRPr="00C04867">
        <w:rPr>
          <w:rStyle w:val="FootnoteReference"/>
          <w:sz w:val="20"/>
        </w:rPr>
        <w:footnoteRef/>
      </w:r>
      <w:r w:rsidRPr="00C04867">
        <w:t xml:space="preserve"> </w:t>
      </w:r>
      <w:r w:rsidRPr="00C04867">
        <w:rPr>
          <w:i/>
        </w:rPr>
        <w:t>See Connect America Fund et al.</w:t>
      </w:r>
      <w:r w:rsidRPr="00C04867">
        <w:t>, WC Docket No. 10-90 et al., Order, 27</w:t>
      </w:r>
      <w:r>
        <w:t xml:space="preserve"> FCC Rcd 5986, 5988-89, para. 7</w:t>
      </w:r>
      <w:r w:rsidR="000C1111">
        <w:t xml:space="preserve"> (Wireline Comp. Bur. 2012)</w:t>
      </w:r>
      <w:r>
        <w:t>.</w:t>
      </w:r>
    </w:p>
  </w:footnote>
  <w:footnote w:id="54">
    <w:p w:rsidR="00CF3F9B" w:rsidRPr="00C04867" w:rsidRDefault="00CF3F9B">
      <w:pPr>
        <w:pStyle w:val="FootnoteText"/>
      </w:pPr>
      <w:r w:rsidRPr="00C04867">
        <w:rPr>
          <w:rStyle w:val="FootnoteReference"/>
          <w:sz w:val="20"/>
        </w:rPr>
        <w:footnoteRef/>
      </w:r>
      <w:r w:rsidRPr="00C04867">
        <w:t xml:space="preserve"> Subject to the rule revisions we adopt herein, the ICC switched access rate transition requires rate-of-return carriers’ intrastate switched access rates subject to the transition to be no higher than the corresponding capped interstate rate cap beginning July 1, 2013</w:t>
      </w:r>
      <w:r>
        <w:t>,</w:t>
      </w:r>
      <w:r w:rsidRPr="00C04867">
        <w:t xml:space="preserve"> and subject to the same rate structure and all subsequent rate and rate structure modifications.  </w:t>
      </w:r>
      <w:r w:rsidRPr="00C04867">
        <w:rPr>
          <w:i/>
        </w:rPr>
        <w:t>See</w:t>
      </w:r>
      <w:r w:rsidRPr="00C04867">
        <w:t xml:space="preserve"> 47 C.F.R. § 51.909(c)(1).  Carriers are free to charge less than the maximum switched access rates, but must impute the maximum assessable switched access rate for purposes of calculating Eligible Recovery.  47 C.F.R. § 51.917(b)(1).       </w:t>
      </w:r>
    </w:p>
  </w:footnote>
  <w:footnote w:id="55">
    <w:p w:rsidR="00CF3F9B" w:rsidRPr="00C04867" w:rsidRDefault="00CF3F9B">
      <w:pPr>
        <w:pStyle w:val="FootnoteText"/>
      </w:pPr>
      <w:r w:rsidRPr="00C04867">
        <w:rPr>
          <w:rStyle w:val="FootnoteReference"/>
          <w:sz w:val="20"/>
        </w:rPr>
        <w:footnoteRef/>
      </w:r>
      <w:r w:rsidRPr="00C04867">
        <w:t xml:space="preserve"> </w:t>
      </w:r>
      <w:r w:rsidRPr="00C04867">
        <w:rPr>
          <w:i/>
        </w:rPr>
        <w:t>See</w:t>
      </w:r>
      <w:r w:rsidRPr="00C04867">
        <w:t xml:space="preserve"> Appendix at 47 C.F.R. § 51.909(a)(6).</w:t>
      </w:r>
    </w:p>
  </w:footnote>
  <w:footnote w:id="56">
    <w:p w:rsidR="00CF3F9B" w:rsidRPr="00C04867" w:rsidRDefault="00CF3F9B">
      <w:pPr>
        <w:pStyle w:val="FootnoteText"/>
      </w:pPr>
      <w:r w:rsidRPr="00C04867">
        <w:rPr>
          <w:rStyle w:val="FootnoteReference"/>
          <w:sz w:val="20"/>
        </w:rPr>
        <w:footnoteRef/>
      </w:r>
      <w:r w:rsidRPr="00C04867">
        <w:t xml:space="preserve"> </w:t>
      </w:r>
      <w:r w:rsidRPr="00C04867">
        <w:rPr>
          <w:i/>
        </w:rPr>
        <w:t>See</w:t>
      </w:r>
      <w:r w:rsidRPr="00C04867">
        <w:t xml:space="preserve"> NECA Petition, </w:t>
      </w:r>
      <w:r w:rsidRPr="00C04867">
        <w:rPr>
          <w:i/>
        </w:rPr>
        <w:t>supra</w:t>
      </w:r>
      <w:r w:rsidRPr="00C04867">
        <w:t xml:space="preserve"> note 2. </w:t>
      </w:r>
    </w:p>
  </w:footnote>
  <w:footnote w:id="57">
    <w:p w:rsidR="00CF3F9B" w:rsidRPr="00C04867" w:rsidRDefault="00CF3F9B">
      <w:pPr>
        <w:pStyle w:val="FootnoteText"/>
      </w:pPr>
      <w:r w:rsidRPr="00C04867">
        <w:rPr>
          <w:rStyle w:val="FootnoteReference"/>
          <w:sz w:val="20"/>
        </w:rPr>
        <w:footnoteRef/>
      </w:r>
      <w:r w:rsidRPr="00C04867">
        <w:t xml:space="preserve"> </w:t>
      </w:r>
      <w:r w:rsidRPr="00C04867">
        <w:rPr>
          <w:i/>
        </w:rPr>
        <w:t>See generally</w:t>
      </w:r>
      <w:r w:rsidRPr="00C04867">
        <w:t xml:space="preserve"> </w:t>
      </w:r>
      <w:r w:rsidRPr="00C04867">
        <w:rPr>
          <w:i/>
        </w:rPr>
        <w:t>2012 Price Cap Conversion Order</w:t>
      </w:r>
      <w:r w:rsidRPr="00C04867">
        <w:t>, 27 FCC Rcd 15753.</w:t>
      </w:r>
    </w:p>
  </w:footnote>
  <w:footnote w:id="58">
    <w:p w:rsidR="00CF3F9B" w:rsidRPr="00C04867" w:rsidRDefault="00CF3F9B">
      <w:pPr>
        <w:pStyle w:val="FootnoteText"/>
      </w:pPr>
      <w:r w:rsidRPr="00C04867">
        <w:rPr>
          <w:rStyle w:val="FootnoteReference"/>
          <w:sz w:val="20"/>
        </w:rPr>
        <w:footnoteRef/>
      </w:r>
      <w:r w:rsidRPr="00C04867">
        <w:t xml:space="preserve"> </w:t>
      </w:r>
      <w:r w:rsidRPr="00C04867">
        <w:rPr>
          <w:i/>
        </w:rPr>
        <w:t>Id</w:t>
      </w:r>
      <w:r w:rsidRPr="00C04867">
        <w:t>.</w:t>
      </w:r>
      <w:r w:rsidR="00A353DB">
        <w:t xml:space="preserve"> at 1.</w:t>
      </w:r>
    </w:p>
  </w:footnote>
  <w:footnote w:id="59">
    <w:p w:rsidR="00CF3F9B" w:rsidRPr="00C04867" w:rsidRDefault="00CF3F9B">
      <w:pPr>
        <w:pStyle w:val="FootnoteText"/>
      </w:pPr>
      <w:r w:rsidRPr="00C04867">
        <w:rPr>
          <w:rStyle w:val="FootnoteReference"/>
          <w:sz w:val="20"/>
        </w:rPr>
        <w:footnoteRef/>
      </w:r>
      <w:r w:rsidRPr="00C04867">
        <w:t xml:space="preserve"> </w:t>
      </w:r>
      <w:r w:rsidRPr="00C04867">
        <w:rPr>
          <w:i/>
        </w:rPr>
        <w:t>Id.</w:t>
      </w:r>
      <w:r w:rsidRPr="00C04867">
        <w:t xml:space="preserve"> at 15764-65, paras. 32-33.</w:t>
      </w:r>
    </w:p>
  </w:footnote>
  <w:footnote w:id="60">
    <w:p w:rsidR="00CF3F9B" w:rsidRPr="00C04867" w:rsidRDefault="00CF3F9B">
      <w:pPr>
        <w:pStyle w:val="FootnoteText"/>
      </w:pPr>
      <w:r w:rsidRPr="00C04867">
        <w:rPr>
          <w:rStyle w:val="FootnoteReference"/>
          <w:sz w:val="20"/>
        </w:rPr>
        <w:footnoteRef/>
      </w:r>
      <w:r w:rsidRPr="00C04867">
        <w:t xml:space="preserve"> NECA Petition at 3-5.  NECA proposes that, in the alternative to clarifying adjustments to intrastate switched access rates as a result of the change to NECA interstate rates effective January 1, 2013, “the Commission could consider extending its waiver of 51.909(a) [granted in the </w:t>
      </w:r>
      <w:r w:rsidRPr="00C04867">
        <w:rPr>
          <w:i/>
        </w:rPr>
        <w:t>2012 Price Cap Conversion Order</w:t>
      </w:r>
      <w:r w:rsidRPr="00C04867">
        <w:t xml:space="preserve">] to the relevant provisions of 51.909(b) as well, so as to make clear the rule does not require further adjustments to intrastate switched access rates.”  </w:t>
      </w:r>
      <w:r w:rsidRPr="00C04867">
        <w:rPr>
          <w:i/>
        </w:rPr>
        <w:t>Id</w:t>
      </w:r>
      <w:r w:rsidRPr="00C04867">
        <w:t xml:space="preserve">. at 4-5.  Because this Order clarifies whether adjustments are required to intrastate switched access rates as a result of the change in NECA intrastate switched access rates effective January 1, 2013, we need not address NECA’s alternative waiver proposal and hereby dismiss that request as moot.    </w:t>
      </w:r>
    </w:p>
  </w:footnote>
  <w:footnote w:id="61">
    <w:p w:rsidR="00CF3F9B" w:rsidRPr="00C04867" w:rsidRDefault="00CF3F9B">
      <w:pPr>
        <w:pStyle w:val="FootnoteText"/>
      </w:pPr>
      <w:r w:rsidRPr="00C04867">
        <w:rPr>
          <w:rStyle w:val="FootnoteReference"/>
          <w:sz w:val="20"/>
        </w:rPr>
        <w:footnoteRef/>
      </w:r>
      <w:r w:rsidRPr="00C04867">
        <w:t xml:space="preserve"> 47 C.F.R. § 51.909(b).  </w:t>
      </w:r>
      <w:r w:rsidRPr="00C04867">
        <w:rPr>
          <w:i/>
        </w:rPr>
        <w:t>See also July 3, 2012 Annual Access Charge Tariff Filings</w:t>
      </w:r>
      <w:r w:rsidRPr="00C04867">
        <w:t>, WCB/Pricing No. 12-07, Order, 27 FCC Rcd 2981, 2982, para. 3 (Pric. Pol. Div. 2012) (</w:t>
      </w:r>
      <w:r w:rsidRPr="00C04867">
        <w:rPr>
          <w:i/>
        </w:rPr>
        <w:t>2012 Annual Access Tariff Procedures Order</w:t>
      </w:r>
      <w:r w:rsidRPr="00C04867">
        <w:t>) (the Commission moved the 2012 annual access charge tariff effective date from July 1, 2012 to July 3, 2012).</w:t>
      </w:r>
    </w:p>
  </w:footnote>
  <w:footnote w:id="62">
    <w:p w:rsidR="00CF3F9B" w:rsidRPr="00C04867" w:rsidRDefault="00CF3F9B">
      <w:pPr>
        <w:pStyle w:val="FootnoteText"/>
      </w:pPr>
      <w:r w:rsidRPr="00C04867">
        <w:rPr>
          <w:rStyle w:val="FootnoteReference"/>
          <w:sz w:val="20"/>
        </w:rPr>
        <w:footnoteRef/>
      </w:r>
      <w:r w:rsidRPr="00C04867">
        <w:t xml:space="preserve"> 47 C.F.R. §§ 51.907(c), 51.909(c). </w:t>
      </w:r>
    </w:p>
  </w:footnote>
  <w:footnote w:id="63">
    <w:p w:rsidR="00CF3F9B" w:rsidRPr="00C04867" w:rsidRDefault="00CF3F9B">
      <w:pPr>
        <w:pStyle w:val="FootnoteText"/>
      </w:pPr>
      <w:r w:rsidRPr="00C04867">
        <w:rPr>
          <w:rStyle w:val="FootnoteReference"/>
          <w:sz w:val="20"/>
        </w:rPr>
        <w:footnoteRef/>
      </w:r>
      <w:r w:rsidRPr="00C04867">
        <w:t xml:space="preserve"> Requiring carriers to adjust their 2013 intrastate rates to account for interstate rate increases would trigger ratemaking obligations, requiring carriers to re</w:t>
      </w:r>
      <w:r w:rsidR="0072107A">
        <w:t>-</w:t>
      </w:r>
      <w:r w:rsidRPr="00C04867">
        <w:t xml:space="preserve">file their adjusted intrastate rates in every state in which they provide service.  </w:t>
      </w:r>
    </w:p>
  </w:footnote>
  <w:footnote w:id="64">
    <w:p w:rsidR="00CF3F9B" w:rsidRPr="00C04867" w:rsidRDefault="00CF3F9B" w:rsidP="003127AA">
      <w:pPr>
        <w:pStyle w:val="FootnoteText"/>
      </w:pPr>
      <w:r w:rsidRPr="00C04867">
        <w:rPr>
          <w:rStyle w:val="FootnoteReference"/>
          <w:sz w:val="20"/>
        </w:rPr>
        <w:footnoteRef/>
      </w:r>
      <w:r w:rsidRPr="00C04867">
        <w:t xml:space="preserve"> </w:t>
      </w:r>
      <w:r w:rsidRPr="00C04867">
        <w:rPr>
          <w:i/>
        </w:rPr>
        <w:t>See</w:t>
      </w:r>
      <w:r w:rsidRPr="00C04867">
        <w:t xml:space="preserve"> 47 C.F.R. § 51.909(a).   </w:t>
      </w:r>
    </w:p>
  </w:footnote>
  <w:footnote w:id="65">
    <w:p w:rsidR="00CF3F9B" w:rsidRPr="00C04867" w:rsidRDefault="00CF3F9B">
      <w:pPr>
        <w:pStyle w:val="FootnoteText"/>
      </w:pPr>
      <w:r w:rsidRPr="00C04867">
        <w:rPr>
          <w:rStyle w:val="FootnoteReference"/>
          <w:sz w:val="20"/>
        </w:rPr>
        <w:footnoteRef/>
      </w:r>
      <w:r w:rsidRPr="00C04867">
        <w:t xml:space="preserve"> Carriers will, however, have to adjust their interstate switched access rates going forward to reflect changes in NECA switched access rates.  </w:t>
      </w:r>
      <w:r w:rsidRPr="00C04867">
        <w:rPr>
          <w:i/>
        </w:rPr>
        <w:t>See</w:t>
      </w:r>
      <w:r w:rsidRPr="00C04867">
        <w:t xml:space="preserve"> Appendix § 51.909(c)(1).      </w:t>
      </w:r>
    </w:p>
  </w:footnote>
  <w:footnote w:id="66">
    <w:p w:rsidR="00CF3F9B" w:rsidRPr="00C04867" w:rsidRDefault="00CF3F9B">
      <w:pPr>
        <w:pStyle w:val="FootnoteText"/>
      </w:pPr>
      <w:r w:rsidRPr="00C04867">
        <w:rPr>
          <w:rStyle w:val="FootnoteReference"/>
          <w:sz w:val="20"/>
        </w:rPr>
        <w:footnoteRef/>
      </w:r>
      <w:r w:rsidRPr="00C04867">
        <w:t xml:space="preserve"> NECA Petition at 5-7. </w:t>
      </w:r>
    </w:p>
  </w:footnote>
  <w:footnote w:id="67">
    <w:p w:rsidR="00CF3F9B" w:rsidRPr="00C04867" w:rsidRDefault="00CF3F9B">
      <w:pPr>
        <w:pStyle w:val="FootnoteText"/>
      </w:pPr>
      <w:r w:rsidRPr="00C04867">
        <w:rPr>
          <w:rStyle w:val="FootnoteReference"/>
          <w:sz w:val="20"/>
        </w:rPr>
        <w:footnoteRef/>
      </w:r>
      <w:r w:rsidRPr="00C04867">
        <w:t xml:space="preserve"> NECA Petition at 5; </w:t>
      </w:r>
      <w:r w:rsidRPr="00C04867">
        <w:rPr>
          <w:i/>
        </w:rPr>
        <w:t xml:space="preserve">see </w:t>
      </w:r>
      <w:r w:rsidRPr="00C04867">
        <w:t>47 C.F.R. § 51.909(d).</w:t>
      </w:r>
    </w:p>
  </w:footnote>
  <w:footnote w:id="68">
    <w:p w:rsidR="00CF3F9B" w:rsidRPr="00C04867" w:rsidRDefault="00CF3F9B">
      <w:pPr>
        <w:pStyle w:val="FootnoteText"/>
      </w:pPr>
      <w:r w:rsidRPr="00C04867">
        <w:rPr>
          <w:rStyle w:val="FootnoteReference"/>
          <w:sz w:val="20"/>
        </w:rPr>
        <w:footnoteRef/>
      </w:r>
      <w:r w:rsidRPr="00C04867">
        <w:t xml:space="preserve"> </w:t>
      </w:r>
      <w:r w:rsidRPr="00C04867">
        <w:rPr>
          <w:i/>
        </w:rPr>
        <w:t>See</w:t>
      </w:r>
      <w:r w:rsidRPr="00C04867">
        <w:t xml:space="preserve"> NECA Petition at 7-8.</w:t>
      </w:r>
    </w:p>
  </w:footnote>
  <w:footnote w:id="69">
    <w:p w:rsidR="00CF3F9B" w:rsidRPr="00C04867" w:rsidRDefault="00CF3F9B">
      <w:pPr>
        <w:pStyle w:val="FootnoteText"/>
      </w:pPr>
      <w:r w:rsidRPr="00C04867">
        <w:rPr>
          <w:rStyle w:val="FootnoteReference"/>
          <w:sz w:val="20"/>
        </w:rPr>
        <w:footnoteRef/>
      </w:r>
      <w:r w:rsidRPr="00C04867">
        <w:t xml:space="preserve"> </w:t>
      </w:r>
      <w:r w:rsidRPr="00C04867">
        <w:rPr>
          <w:i/>
        </w:rPr>
        <w:t xml:space="preserve">See supra </w:t>
      </w:r>
      <w:r w:rsidRPr="00C04867">
        <w:t>para. 15; 47 C.F.R. § 51.909(c)(1).</w:t>
      </w:r>
    </w:p>
  </w:footnote>
  <w:footnote w:id="70">
    <w:p w:rsidR="00CF3F9B" w:rsidRPr="00C04867" w:rsidRDefault="00CF3F9B">
      <w:pPr>
        <w:pStyle w:val="FootnoteText"/>
      </w:pPr>
      <w:r w:rsidRPr="00C04867">
        <w:rPr>
          <w:rStyle w:val="FootnoteReference"/>
          <w:sz w:val="20"/>
        </w:rPr>
        <w:footnoteRef/>
      </w:r>
      <w:r w:rsidRPr="00C04867">
        <w:t xml:space="preserve"> </w:t>
      </w:r>
      <w:r w:rsidRPr="00C04867">
        <w:rPr>
          <w:i/>
        </w:rPr>
        <w:t>See</w:t>
      </w:r>
      <w:r w:rsidRPr="00C04867">
        <w:t xml:space="preserve"> </w:t>
      </w:r>
      <w:r w:rsidRPr="00C04867">
        <w:rPr>
          <w:i/>
        </w:rPr>
        <w:t>USF/ICC Transformation Order</w:t>
      </w:r>
      <w:r w:rsidRPr="00C04867">
        <w:t>, 26 FCC Rcd at 17933-36, paras. 800-01 and Fig. 9.</w:t>
      </w:r>
    </w:p>
  </w:footnote>
  <w:footnote w:id="71">
    <w:p w:rsidR="00CF3F9B" w:rsidRPr="00C04867" w:rsidRDefault="00CF3F9B" w:rsidP="003127AA">
      <w:pPr>
        <w:pStyle w:val="FootnoteText"/>
      </w:pPr>
      <w:r w:rsidRPr="00C04867">
        <w:rPr>
          <w:rStyle w:val="FootnoteReference"/>
          <w:sz w:val="20"/>
        </w:rPr>
        <w:footnoteRef/>
      </w:r>
      <w:r w:rsidRPr="00C04867">
        <w:t xml:space="preserve"> </w:t>
      </w:r>
      <w:r w:rsidRPr="00C04867">
        <w:rPr>
          <w:i/>
        </w:rPr>
        <w:t xml:space="preserve">See </w:t>
      </w:r>
      <w:r w:rsidRPr="00C04867">
        <w:t xml:space="preserve">47 C.F.R. §§ 51.907(b), 51.909(b). </w:t>
      </w:r>
      <w:r w:rsidRPr="00C04867">
        <w:rPr>
          <w:i/>
        </w:rPr>
        <w:t>See also 2012 Annual Access Tariff Procedures Order</w:t>
      </w:r>
      <w:r w:rsidRPr="00C04867">
        <w:t>, 27 FCC Rcd at 2982, para. 3.</w:t>
      </w:r>
    </w:p>
  </w:footnote>
  <w:footnote w:id="72">
    <w:p w:rsidR="00CF3F9B" w:rsidRPr="00C04867" w:rsidRDefault="00CF3F9B">
      <w:pPr>
        <w:pStyle w:val="FootnoteText"/>
      </w:pPr>
      <w:r w:rsidRPr="00C04867">
        <w:rPr>
          <w:rStyle w:val="FootnoteReference"/>
          <w:sz w:val="20"/>
        </w:rPr>
        <w:footnoteRef/>
      </w:r>
      <w:r w:rsidRPr="00C04867">
        <w:t xml:space="preserve"> </w:t>
      </w:r>
      <w:r w:rsidRPr="00C04867">
        <w:rPr>
          <w:i/>
        </w:rPr>
        <w:t>See</w:t>
      </w:r>
      <w:r w:rsidRPr="00C04867">
        <w:t xml:space="preserve"> 47 C.F.R. §§ 51.907(c), 51.909(c); </w:t>
      </w:r>
      <w:r w:rsidRPr="00C04867">
        <w:rPr>
          <w:i/>
        </w:rPr>
        <w:t>see USF/ICC Transformation Order</w:t>
      </w:r>
      <w:r w:rsidRPr="00C04867">
        <w:t xml:space="preserve">, 26 FCC Rcd at 17933-36, paras. 800-01 and Fig. 9.     </w:t>
      </w:r>
    </w:p>
  </w:footnote>
  <w:footnote w:id="73">
    <w:p w:rsidR="00CF3F9B" w:rsidRPr="00C04867" w:rsidRDefault="00CF3F9B">
      <w:pPr>
        <w:pStyle w:val="FootnoteText"/>
      </w:pPr>
      <w:r w:rsidRPr="00C04867">
        <w:rPr>
          <w:rStyle w:val="FootnoteReference"/>
          <w:sz w:val="20"/>
        </w:rPr>
        <w:footnoteRef/>
      </w:r>
      <w:r w:rsidRPr="00C04867">
        <w:t xml:space="preserve"> </w:t>
      </w:r>
      <w:r w:rsidRPr="00C04867">
        <w:rPr>
          <w:i/>
        </w:rPr>
        <w:t>See</w:t>
      </w:r>
      <w:r w:rsidRPr="00C04867">
        <w:t xml:space="preserve"> 47 C.F.R. § 51.909(c)(1).  </w:t>
      </w:r>
    </w:p>
  </w:footnote>
  <w:footnote w:id="74">
    <w:p w:rsidR="00CF3F9B" w:rsidRPr="00C04867" w:rsidRDefault="00CF3F9B" w:rsidP="003127AA">
      <w:pPr>
        <w:pStyle w:val="FootnoteText"/>
      </w:pPr>
      <w:r w:rsidRPr="00C04867">
        <w:rPr>
          <w:rStyle w:val="FootnoteReference"/>
          <w:sz w:val="20"/>
        </w:rPr>
        <w:footnoteRef/>
      </w:r>
      <w:r w:rsidRPr="00C04867">
        <w:t xml:space="preserve"> </w:t>
      </w:r>
      <w:r w:rsidRPr="00C04867">
        <w:rPr>
          <w:i/>
        </w:rPr>
        <w:t>See USF/ICC Transformation Order</w:t>
      </w:r>
      <w:r w:rsidRPr="00C04867">
        <w:t>, 26 FCC Rcd at 18149, para. 1404.</w:t>
      </w:r>
    </w:p>
  </w:footnote>
  <w:footnote w:id="75">
    <w:p w:rsidR="00CF3F9B" w:rsidRPr="00C04867" w:rsidRDefault="00CF3F9B">
      <w:pPr>
        <w:pStyle w:val="FootnoteText"/>
      </w:pPr>
      <w:r w:rsidRPr="00C04867">
        <w:rPr>
          <w:rStyle w:val="FootnoteReference"/>
          <w:sz w:val="20"/>
        </w:rPr>
        <w:footnoteRef/>
      </w:r>
      <w:r w:rsidRPr="00C04867">
        <w:t xml:space="preserve"> </w:t>
      </w:r>
      <w:r w:rsidRPr="00C04867">
        <w:rPr>
          <w:i/>
        </w:rPr>
        <w:t>See</w:t>
      </w:r>
      <w:r w:rsidRPr="00C04867">
        <w:t xml:space="preserve"> 47 C.F.R. § 54.301(a)(1); </w:t>
      </w:r>
      <w:r w:rsidRPr="00C04867">
        <w:rPr>
          <w:i/>
        </w:rPr>
        <w:t>USF/ICC Transformation Order</w:t>
      </w:r>
      <w:r w:rsidRPr="00C04867">
        <w:t>, 26 FCC Rcd at 17758-60, paras. 253-57.</w:t>
      </w:r>
    </w:p>
  </w:footnote>
  <w:footnote w:id="76">
    <w:p w:rsidR="00CF3F9B" w:rsidRPr="00C04867" w:rsidRDefault="00CF3F9B" w:rsidP="00131891">
      <w:pPr>
        <w:pStyle w:val="FootnoteText"/>
      </w:pPr>
      <w:r w:rsidRPr="00C04867">
        <w:rPr>
          <w:rStyle w:val="FootnoteReference"/>
          <w:sz w:val="20"/>
        </w:rPr>
        <w:footnoteRef/>
      </w:r>
      <w:r w:rsidRPr="00C04867">
        <w:t xml:space="preserve"> </w:t>
      </w:r>
      <w:r w:rsidRPr="00C04867">
        <w:rPr>
          <w:i/>
        </w:rPr>
        <w:t>See</w:t>
      </w:r>
      <w:r w:rsidRPr="00C04867">
        <w:t xml:space="preserve"> 47 C.F.R. § 51.917(d).</w:t>
      </w:r>
    </w:p>
  </w:footnote>
  <w:footnote w:id="77">
    <w:p w:rsidR="00CF3F9B" w:rsidRPr="00C04867" w:rsidRDefault="00CF3F9B">
      <w:pPr>
        <w:pStyle w:val="FootnoteText"/>
      </w:pPr>
      <w:r w:rsidRPr="00C04867">
        <w:rPr>
          <w:rStyle w:val="FootnoteReference"/>
          <w:sz w:val="20"/>
        </w:rPr>
        <w:footnoteRef/>
      </w:r>
      <w:r w:rsidRPr="00C04867">
        <w:t xml:space="preserve"> </w:t>
      </w:r>
      <w:r w:rsidRPr="00C04867">
        <w:rPr>
          <w:i/>
        </w:rPr>
        <w:t>See</w:t>
      </w:r>
      <w:r w:rsidRPr="00C04867">
        <w:t xml:space="preserve"> 47 C.F.R. §§ 69.306(d)(2), 69.415(c)(1).</w:t>
      </w:r>
    </w:p>
  </w:footnote>
  <w:footnote w:id="78">
    <w:p w:rsidR="00CF3F9B" w:rsidRPr="00C04867" w:rsidRDefault="00CF3F9B">
      <w:pPr>
        <w:pStyle w:val="FootnoteText"/>
      </w:pPr>
      <w:r w:rsidRPr="00C04867">
        <w:rPr>
          <w:rStyle w:val="FootnoteReference"/>
          <w:sz w:val="20"/>
        </w:rPr>
        <w:footnoteRef/>
      </w:r>
      <w:r w:rsidRPr="00C04867">
        <w:t xml:space="preserve"> </w:t>
      </w:r>
      <w:r w:rsidRPr="00C04867">
        <w:rPr>
          <w:i/>
        </w:rPr>
        <w:t>See USF/ICC Transformation Order</w:t>
      </w:r>
      <w:r w:rsidRPr="00C04867">
        <w:t xml:space="preserve">, 26 FCC Rcd at 17964-65, para. 862 n.1664. </w:t>
      </w:r>
    </w:p>
  </w:footnote>
  <w:footnote w:id="79">
    <w:p w:rsidR="00CF3F9B" w:rsidRPr="00C04867" w:rsidRDefault="00CF3F9B">
      <w:pPr>
        <w:pStyle w:val="FootnoteText"/>
      </w:pPr>
      <w:r w:rsidRPr="00C04867">
        <w:rPr>
          <w:rStyle w:val="FootnoteReference"/>
          <w:sz w:val="20"/>
        </w:rPr>
        <w:footnoteRef/>
      </w:r>
      <w:r w:rsidRPr="00C04867">
        <w:t xml:space="preserve"> </w:t>
      </w:r>
      <w:r w:rsidRPr="00C04867">
        <w:rPr>
          <w:i/>
        </w:rPr>
        <w:t>See</w:t>
      </w:r>
      <w:r w:rsidRPr="00C04867">
        <w:t xml:space="preserve"> 47 C.F.R. § 51.917(d).</w:t>
      </w:r>
    </w:p>
  </w:footnote>
  <w:footnote w:id="80">
    <w:p w:rsidR="00CF3F9B" w:rsidRPr="00C04867" w:rsidRDefault="00CF3F9B">
      <w:pPr>
        <w:pStyle w:val="FootnoteText"/>
      </w:pPr>
      <w:r w:rsidRPr="00C04867">
        <w:rPr>
          <w:rStyle w:val="FootnoteReference"/>
          <w:sz w:val="20"/>
        </w:rPr>
        <w:footnoteRef/>
      </w:r>
      <w:r w:rsidRPr="00C04867">
        <w:t xml:space="preserve"> 47 C.F.R. § 51.917(d)(1).</w:t>
      </w:r>
    </w:p>
  </w:footnote>
  <w:footnote w:id="81">
    <w:p w:rsidR="00CF3F9B" w:rsidRPr="00C04867" w:rsidRDefault="00CF3F9B">
      <w:pPr>
        <w:pStyle w:val="FootnoteText"/>
      </w:pPr>
      <w:r w:rsidRPr="00C04867">
        <w:rPr>
          <w:rStyle w:val="FootnoteReference"/>
          <w:sz w:val="20"/>
        </w:rPr>
        <w:footnoteRef/>
      </w:r>
      <w:r w:rsidRPr="00C04867">
        <w:t xml:space="preserve"> </w:t>
      </w:r>
      <w:r w:rsidRPr="00C04867">
        <w:rPr>
          <w:i/>
        </w:rPr>
        <w:t>See Implementation of the DTV Delay Act et al</w:t>
      </w:r>
      <w:r w:rsidRPr="00C04867">
        <w:t xml:space="preserve">., MB Docket No. 07-148 et al., Second Report and Order and Notice of Proposed Rulemaking, 24 FCC Rcd 2526, 2552-53, paras. 70-71 (2009) (finding both that a “notwithstanding” clause contained in DTV Delay Act excused compliance with otherwise applicable legal requirements that would impede Commission actions to implement DTV Delay Act by the statutory deadline, and that the plain meaning of the language was reinforced by circumstances surrounding its passage).  </w:t>
      </w:r>
      <w:r w:rsidRPr="00C04867">
        <w:rPr>
          <w:i/>
        </w:rPr>
        <w:t>See also id</w:t>
      </w:r>
      <w:r w:rsidRPr="00C04867">
        <w:t xml:space="preserve">. at 2552, para. 71 (quoting </w:t>
      </w:r>
      <w:r w:rsidRPr="00C04867">
        <w:rPr>
          <w:i/>
        </w:rPr>
        <w:t>Liberty Maritime Corp. v. United States</w:t>
      </w:r>
      <w:r w:rsidRPr="00C04867">
        <w:t>, 928 F.2d 413, 416 (D.C. Cir. 1991)) (“In other contexts, the D.C. Circuit has interpreted similar ‘notwithstanding’ language ‘to supersede all other laws,’ stating that ‘a clearer statement is difficult to imagine.’”).</w:t>
      </w:r>
    </w:p>
  </w:footnote>
  <w:footnote w:id="82">
    <w:p w:rsidR="00CF3F9B" w:rsidRPr="00C04867" w:rsidRDefault="00CF3F9B">
      <w:pPr>
        <w:pStyle w:val="FootnoteText"/>
      </w:pPr>
      <w:r w:rsidRPr="00C04867">
        <w:rPr>
          <w:rStyle w:val="FootnoteReference"/>
          <w:sz w:val="20"/>
        </w:rPr>
        <w:footnoteRef/>
      </w:r>
      <w:r w:rsidRPr="00C04867">
        <w:t xml:space="preserve"> </w:t>
      </w:r>
      <w:r w:rsidR="008116E7" w:rsidRPr="00897042">
        <w:rPr>
          <w:i/>
        </w:rPr>
        <w:t>See</w:t>
      </w:r>
      <w:r w:rsidR="008116E7">
        <w:t xml:space="preserve"> </w:t>
      </w:r>
      <w:r w:rsidR="008116E7" w:rsidRPr="00897042">
        <w:t>47 C.F.R.</w:t>
      </w:r>
      <w:r w:rsidR="008116E7">
        <w:t xml:space="preserve"> §</w:t>
      </w:r>
      <w:r w:rsidR="008116E7" w:rsidRPr="00897042">
        <w:t xml:space="preserve"> 51.917</w:t>
      </w:r>
      <w:r w:rsidRPr="00D947B3">
        <w:t>.</w:t>
      </w:r>
    </w:p>
  </w:footnote>
  <w:footnote w:id="83">
    <w:p w:rsidR="00CF3F9B" w:rsidRPr="00C04867" w:rsidRDefault="00CF3F9B">
      <w:pPr>
        <w:pStyle w:val="FootnoteText"/>
      </w:pPr>
      <w:r w:rsidRPr="00C04867">
        <w:rPr>
          <w:rStyle w:val="FootnoteReference"/>
          <w:sz w:val="20"/>
        </w:rPr>
        <w:footnoteRef/>
      </w:r>
      <w:r w:rsidRPr="00C04867">
        <w:t xml:space="preserve"> </w:t>
      </w:r>
      <w:r w:rsidRPr="00C04867">
        <w:rPr>
          <w:i/>
        </w:rPr>
        <w:t>See</w:t>
      </w:r>
      <w:r w:rsidRPr="00C04867">
        <w:t xml:space="preserve"> 47 C.F.R. § 51.917(b)(7)(i).  </w:t>
      </w:r>
    </w:p>
  </w:footnote>
  <w:footnote w:id="84">
    <w:p w:rsidR="00CF3F9B" w:rsidRPr="00C04867" w:rsidRDefault="00CF3F9B">
      <w:pPr>
        <w:pStyle w:val="FootnoteText"/>
      </w:pPr>
      <w:r w:rsidRPr="00C04867">
        <w:rPr>
          <w:rStyle w:val="FootnoteReference"/>
          <w:sz w:val="20"/>
        </w:rPr>
        <w:footnoteRef/>
      </w:r>
      <w:r w:rsidRPr="00C04867">
        <w:rPr>
          <w:i/>
        </w:rPr>
        <w:t xml:space="preserve"> See USF/ICC Transformation Order</w:t>
      </w:r>
      <w:r w:rsidRPr="00C04867">
        <w:t xml:space="preserve">, 26 FCC Rcd at 17760, para. 257; </w:t>
      </w:r>
      <w:r w:rsidRPr="00C04867">
        <w:rPr>
          <w:i/>
        </w:rPr>
        <w:t>id</w:t>
      </w:r>
      <w:r w:rsidRPr="00C04867">
        <w:t xml:space="preserve">. at 17969, para. 872.  </w:t>
      </w:r>
    </w:p>
  </w:footnote>
  <w:footnote w:id="85">
    <w:p w:rsidR="00CF3F9B" w:rsidRPr="00C04867" w:rsidRDefault="00CF3F9B">
      <w:pPr>
        <w:pStyle w:val="FootnoteText"/>
      </w:pPr>
      <w:r w:rsidRPr="00C04867">
        <w:rPr>
          <w:rStyle w:val="FootnoteReference"/>
          <w:sz w:val="20"/>
        </w:rPr>
        <w:footnoteRef/>
      </w:r>
      <w:r w:rsidRPr="00C04867">
        <w:t xml:space="preserve"> </w:t>
      </w:r>
      <w:r w:rsidRPr="00C04867">
        <w:rPr>
          <w:i/>
        </w:rPr>
        <w:t>See</w:t>
      </w:r>
      <w:r w:rsidRPr="00C04867">
        <w:t xml:space="preserve"> 47 C.F.R. § 51.917(d).</w:t>
      </w:r>
    </w:p>
  </w:footnote>
  <w:footnote w:id="86">
    <w:p w:rsidR="00CF3F9B" w:rsidRPr="00C04867" w:rsidRDefault="00CF3F9B">
      <w:pPr>
        <w:pStyle w:val="FootnoteText"/>
      </w:pPr>
      <w:r w:rsidRPr="00C04867">
        <w:rPr>
          <w:rStyle w:val="FootnoteReference"/>
          <w:sz w:val="20"/>
        </w:rPr>
        <w:footnoteRef/>
      </w:r>
      <w:r w:rsidRPr="00C04867">
        <w:t xml:space="preserve"> </w:t>
      </w:r>
      <w:r w:rsidRPr="00C04867">
        <w:rPr>
          <w:i/>
        </w:rPr>
        <w:t xml:space="preserve">See </w:t>
      </w:r>
      <w:r w:rsidRPr="00C04867">
        <w:t xml:space="preserve">NECA Jan. 25 </w:t>
      </w:r>
      <w:r w:rsidRPr="00C04867">
        <w:rPr>
          <w:i/>
        </w:rPr>
        <w:t>Ex Parte</w:t>
      </w:r>
      <w:r w:rsidR="00BC5E10">
        <w:rPr>
          <w:i/>
        </w:rPr>
        <w:t xml:space="preserve"> </w:t>
      </w:r>
      <w:r w:rsidR="00BC5E10" w:rsidRPr="00897042">
        <w:t>at 1</w:t>
      </w:r>
      <w:r w:rsidRPr="001561A7">
        <w:t>.</w:t>
      </w:r>
      <w:r w:rsidRPr="00C04867">
        <w:t xml:space="preserve">  </w:t>
      </w:r>
    </w:p>
  </w:footnote>
  <w:footnote w:id="87">
    <w:p w:rsidR="00CF3F9B" w:rsidRPr="00C04867" w:rsidRDefault="00CF3F9B">
      <w:pPr>
        <w:pStyle w:val="FootnoteText"/>
      </w:pPr>
      <w:r w:rsidRPr="00C04867">
        <w:rPr>
          <w:rStyle w:val="FootnoteReference"/>
          <w:sz w:val="20"/>
        </w:rPr>
        <w:footnoteRef/>
      </w:r>
      <w:r w:rsidRPr="00C04867">
        <w:t xml:space="preserve"> 47 C.F.R. § 69.306(d)(2).</w:t>
      </w:r>
    </w:p>
  </w:footnote>
  <w:footnote w:id="88">
    <w:p w:rsidR="00CF3F9B" w:rsidRPr="00C04867" w:rsidRDefault="00CF3F9B" w:rsidP="00AE3155">
      <w:pPr>
        <w:pStyle w:val="FootnoteText"/>
      </w:pPr>
      <w:r w:rsidRPr="00C04867">
        <w:rPr>
          <w:rStyle w:val="FootnoteReference"/>
          <w:sz w:val="20"/>
        </w:rPr>
        <w:footnoteRef/>
      </w:r>
      <w:r w:rsidRPr="00C04867">
        <w:t xml:space="preserve"> For 2011, LSS was projected to total $383.5 million.  </w:t>
      </w:r>
      <w:r w:rsidRPr="00C04867">
        <w:rPr>
          <w:smallCaps/>
        </w:rPr>
        <w:t>Federal-State Joint Board on Universal Service, Universal Service Monitoring Report</w:t>
      </w:r>
      <w:r w:rsidRPr="00C04867">
        <w:t xml:space="preserve">, CC Docket No. 98-202, page 1-30, Table 1.10 (2011), </w:t>
      </w:r>
      <w:r w:rsidRPr="00C04867">
        <w:rPr>
          <w:i/>
        </w:rPr>
        <w:t>available at</w:t>
      </w:r>
      <w:r w:rsidRPr="00C04867">
        <w:t xml:space="preserve"> </w:t>
      </w:r>
      <w:hyperlink r:id="rId1" w:history="1">
        <w:r w:rsidRPr="00C04867">
          <w:rPr>
            <w:rStyle w:val="Hyperlink"/>
            <w:color w:val="auto"/>
            <w:u w:val="none"/>
          </w:rPr>
          <w:t>http://hraunfoss.fcc.gov/edocs_public/attachmatch/DOC-311775A1.pdf</w:t>
        </w:r>
      </w:hyperlink>
      <w:r w:rsidRPr="00C04867">
        <w:t xml:space="preserve"> (last visited Feb. 20, 2013). </w:t>
      </w:r>
    </w:p>
  </w:footnote>
  <w:footnote w:id="89">
    <w:p w:rsidR="00CF3F9B" w:rsidRPr="00C04867" w:rsidRDefault="00CF3F9B">
      <w:pPr>
        <w:pStyle w:val="FootnoteText"/>
      </w:pPr>
      <w:r w:rsidRPr="00C04867">
        <w:rPr>
          <w:rStyle w:val="FootnoteReference"/>
          <w:sz w:val="20"/>
        </w:rPr>
        <w:footnoteRef/>
      </w:r>
      <w:r w:rsidRPr="00C04867">
        <w:t xml:space="preserve"> </w:t>
      </w:r>
      <w:r w:rsidRPr="00C04867">
        <w:rPr>
          <w:i/>
        </w:rPr>
        <w:t>See, e.g., USF/ICC Transformation Order</w:t>
      </w:r>
      <w:r w:rsidRPr="00C04867">
        <w:t xml:space="preserve">, 26 FCC Rcd at 17964-65, para. 862 n.1664 (“If an incumbent LEC receives recovery of any costs or revenues that are already being recovered as Eligible Recovery through ARCs or the [Connect America Fund], that LEC’s ability to recover reduced switched access revenue from ARCs or the CAF shall be reduced to the extent it receives duplicative recovery.”). </w:t>
      </w:r>
    </w:p>
  </w:footnote>
  <w:footnote w:id="90">
    <w:p w:rsidR="00CF3F9B" w:rsidRPr="00C04867" w:rsidRDefault="00CF3F9B">
      <w:pPr>
        <w:pStyle w:val="FootnoteText"/>
      </w:pPr>
      <w:r w:rsidRPr="00C04867">
        <w:rPr>
          <w:rStyle w:val="FootnoteReference"/>
          <w:sz w:val="20"/>
        </w:rPr>
        <w:footnoteRef/>
      </w:r>
      <w:r w:rsidRPr="00C04867">
        <w:t xml:space="preserve"> 47 C.F.R. § 51.917(d)(1)(vii).</w:t>
      </w:r>
    </w:p>
  </w:footnote>
  <w:footnote w:id="91">
    <w:p w:rsidR="00CF3F9B" w:rsidRPr="00C04867" w:rsidRDefault="00CF3F9B">
      <w:pPr>
        <w:pStyle w:val="FootnoteText"/>
      </w:pPr>
      <w:r w:rsidRPr="00C04867">
        <w:rPr>
          <w:rStyle w:val="FootnoteReference"/>
          <w:sz w:val="20"/>
        </w:rPr>
        <w:footnoteRef/>
      </w:r>
      <w:r w:rsidRPr="00C04867">
        <w:t xml:space="preserve"> </w:t>
      </w:r>
      <w:r w:rsidRPr="00C04867">
        <w:rPr>
          <w:i/>
        </w:rPr>
        <w:t>See National Exchange Carrier Association, Inc. 2011 Modification of Average Schedules</w:t>
      </w:r>
      <w:r w:rsidRPr="00C04867">
        <w:t xml:space="preserve">, WC Docket No. 10-251; </w:t>
      </w:r>
      <w:r w:rsidRPr="00C04867">
        <w:rPr>
          <w:i/>
        </w:rPr>
        <w:t>National Exchange Carrier Association, Inc. 2012 Modification of Average Schedules</w:t>
      </w:r>
      <w:r w:rsidRPr="00C04867">
        <w:t>, WC Docket No. 11-204, Order, 27 FCC Rcd 6209, 6211, para. 6 (Wireline Comp. Bur. 2012) (</w:t>
      </w:r>
      <w:r w:rsidRPr="00C04867">
        <w:rPr>
          <w:i/>
        </w:rPr>
        <w:t>Average Schedule Order</w:t>
      </w:r>
      <w:r w:rsidRPr="00C04867">
        <w:t>).</w:t>
      </w:r>
    </w:p>
  </w:footnote>
  <w:footnote w:id="92">
    <w:p w:rsidR="00CF3F9B" w:rsidRPr="00C04867" w:rsidRDefault="00CF3F9B">
      <w:pPr>
        <w:pStyle w:val="FootnoteText"/>
      </w:pPr>
      <w:r w:rsidRPr="00C04867">
        <w:rPr>
          <w:rStyle w:val="FootnoteReference"/>
          <w:sz w:val="20"/>
        </w:rPr>
        <w:footnoteRef/>
      </w:r>
      <w:r w:rsidRPr="00C04867">
        <w:t xml:space="preserve"> Section 69.415(c) provides, in pertinent part, that the reallocation of the TIC shall be based on “each access element’s projected revenue requirement divided by the total revenue requirement of all the access elements, provided that . . . Local switching support shall not be included in the local switching category’s projected revenue requirement, or in the total projected revenue requirement . . . .”  47 C.F.R. § 69.415(c).</w:t>
      </w:r>
    </w:p>
  </w:footnote>
  <w:footnote w:id="93">
    <w:p w:rsidR="00CF3F9B" w:rsidRPr="00C04867" w:rsidRDefault="00CF3F9B">
      <w:pPr>
        <w:pStyle w:val="FootnoteText"/>
      </w:pPr>
      <w:r w:rsidRPr="00C04867">
        <w:rPr>
          <w:rStyle w:val="FootnoteReference"/>
          <w:sz w:val="20"/>
        </w:rPr>
        <w:footnoteRef/>
      </w:r>
      <w:r w:rsidRPr="00C04867">
        <w:t xml:space="preserve"> </w:t>
      </w:r>
      <w:r w:rsidRPr="00C04867">
        <w:rPr>
          <w:i/>
        </w:rPr>
        <w:t>Average Schedule Order</w:t>
      </w:r>
      <w:r w:rsidRPr="00C04867">
        <w:t>, 27 FCC Rcd at 6210-11, paras. 4-6.</w:t>
      </w:r>
    </w:p>
  </w:footnote>
  <w:footnote w:id="94">
    <w:p w:rsidR="00CF3F9B" w:rsidRPr="00C04867" w:rsidRDefault="00CF3F9B" w:rsidP="003127AA">
      <w:pPr>
        <w:pStyle w:val="FootnoteText"/>
      </w:pPr>
      <w:r w:rsidRPr="00C04867">
        <w:rPr>
          <w:rStyle w:val="FootnoteReference"/>
          <w:sz w:val="20"/>
        </w:rPr>
        <w:footnoteRef/>
      </w:r>
      <w:r w:rsidRPr="00C04867">
        <w:t xml:space="preserve"> 47 C.F.R. § 54.901(c); </w:t>
      </w:r>
      <w:r w:rsidRPr="00C04867">
        <w:rPr>
          <w:i/>
        </w:rPr>
        <w:t>USF/ICC Transformation Order</w:t>
      </w:r>
      <w:r w:rsidRPr="00C04867">
        <w:t>, 26 FCC Rcd at 17747-49, paras. 227-33.</w:t>
      </w:r>
    </w:p>
  </w:footnote>
  <w:footnote w:id="95">
    <w:p w:rsidR="00CF3F9B" w:rsidRPr="00C04867" w:rsidRDefault="00CF3F9B">
      <w:pPr>
        <w:pStyle w:val="FootnoteText"/>
      </w:pPr>
      <w:r w:rsidRPr="00C04867">
        <w:rPr>
          <w:rStyle w:val="FootnoteReference"/>
          <w:sz w:val="20"/>
        </w:rPr>
        <w:footnoteRef/>
      </w:r>
      <w:r w:rsidRPr="00C04867">
        <w:t xml:space="preserve"> 47 C.F.R. § 54.302.  The Commission expressly invited carriers to seek waiver of this rule if they could demonstrate a need for support in excess of $250 per-line, per-month.  </w:t>
      </w:r>
      <w:r w:rsidRPr="00C04867">
        <w:rPr>
          <w:i/>
        </w:rPr>
        <w:t>USF/ICC Transformation Order</w:t>
      </w:r>
      <w:r w:rsidRPr="00C04867">
        <w:t xml:space="preserve">, 26 FCC Rcd at 17766, para. 278. </w:t>
      </w:r>
      <w:r>
        <w:t xml:space="preserve"> Further, t</w:t>
      </w:r>
      <w:r w:rsidRPr="00C04867">
        <w:t xml:space="preserve">he Commission considered and rejected petitions for reconsideration of its decision to extend the corporate operations expense limit to ICLS and the $250 monthly per-line cap on total high-cost universal service support.  </w:t>
      </w:r>
      <w:r w:rsidRPr="00C04867">
        <w:rPr>
          <w:i/>
        </w:rPr>
        <w:t>See</w:t>
      </w:r>
      <w:r w:rsidRPr="00C04867">
        <w:t xml:space="preserve"> </w:t>
      </w:r>
      <w:r w:rsidRPr="00C04867">
        <w:rPr>
          <w:i/>
        </w:rPr>
        <w:t>Connect America Fund</w:t>
      </w:r>
      <w:r w:rsidRPr="00C04867">
        <w:t xml:space="preserve">, WC Docket No. 10-90; </w:t>
      </w:r>
      <w:r w:rsidRPr="00C04867">
        <w:rPr>
          <w:i/>
        </w:rPr>
        <w:t>High-Cost Universal Service Support</w:t>
      </w:r>
      <w:r w:rsidRPr="00C04867">
        <w:t xml:space="preserve">, WC Docket No. 05-337, Sixth Order on Reconsideration and Memorandum Opinion and Order, FCC 13-16 (rel. Feb. 27, 2013).  </w:t>
      </w:r>
    </w:p>
  </w:footnote>
  <w:footnote w:id="96">
    <w:p w:rsidR="00CF3F9B" w:rsidRPr="00C04867" w:rsidRDefault="00CF3F9B">
      <w:pPr>
        <w:pStyle w:val="FootnoteText"/>
      </w:pPr>
      <w:r w:rsidRPr="00C04867">
        <w:rPr>
          <w:rStyle w:val="FootnoteReference"/>
          <w:sz w:val="20"/>
        </w:rPr>
        <w:footnoteRef/>
      </w:r>
      <w:r w:rsidRPr="00C04867">
        <w:t xml:space="preserve"> </w:t>
      </w:r>
      <w:r w:rsidRPr="00C04867">
        <w:rPr>
          <w:i/>
        </w:rPr>
        <w:t>See, e.g.</w:t>
      </w:r>
      <w:r w:rsidRPr="00C04867">
        <w:t xml:space="preserve"> NECA Jan. 25 </w:t>
      </w:r>
      <w:r w:rsidRPr="00C04867">
        <w:rPr>
          <w:i/>
        </w:rPr>
        <w:t>Ex Parte</w:t>
      </w:r>
      <w:r w:rsidR="00CC2933">
        <w:t xml:space="preserve"> at 1.  </w:t>
      </w:r>
    </w:p>
  </w:footnote>
  <w:footnote w:id="97">
    <w:p w:rsidR="00CF3F9B" w:rsidRPr="00C04867" w:rsidRDefault="00CF3F9B">
      <w:pPr>
        <w:pStyle w:val="FootnoteText"/>
      </w:pPr>
      <w:r w:rsidRPr="00C04867">
        <w:rPr>
          <w:rStyle w:val="FootnoteReference"/>
          <w:sz w:val="20"/>
        </w:rPr>
        <w:footnoteRef/>
      </w:r>
      <w:r w:rsidRPr="00C04867">
        <w:t xml:space="preserve"> </w:t>
      </w:r>
      <w:r w:rsidRPr="00C04867">
        <w:rPr>
          <w:i/>
        </w:rPr>
        <w:t>See</w:t>
      </w:r>
      <w:r w:rsidRPr="00C04867">
        <w:t xml:space="preserve"> 47 C.F.R. §§ 54.901(c), 54.302. </w:t>
      </w:r>
    </w:p>
  </w:footnote>
  <w:footnote w:id="98">
    <w:p w:rsidR="00CF3F9B" w:rsidRPr="00C04867" w:rsidRDefault="00CF3F9B" w:rsidP="003127AA">
      <w:pPr>
        <w:pStyle w:val="FootnoteText"/>
        <w:spacing w:before="120"/>
      </w:pPr>
      <w:r w:rsidRPr="00C04867">
        <w:rPr>
          <w:rStyle w:val="FootnoteReference"/>
          <w:sz w:val="20"/>
        </w:rPr>
        <w:footnoteRef/>
      </w:r>
      <w:r w:rsidRPr="00C04867">
        <w:t xml:space="preserve"> </w:t>
      </w:r>
      <w:r w:rsidRPr="00C04867">
        <w:rPr>
          <w:i/>
        </w:rPr>
        <w:t>See USF/ICC Transformation Order</w:t>
      </w:r>
      <w:r w:rsidRPr="00C04867">
        <w:t xml:space="preserve">, 26 FCC Rcd at 17892-93, paras. 898-99.  </w:t>
      </w:r>
    </w:p>
  </w:footnote>
  <w:footnote w:id="99">
    <w:p w:rsidR="00CF3F9B" w:rsidRPr="00C04867" w:rsidRDefault="00CF3F9B" w:rsidP="003127AA">
      <w:pPr>
        <w:pStyle w:val="FootnoteText"/>
        <w:spacing w:before="120"/>
      </w:pPr>
      <w:r w:rsidRPr="00C04867">
        <w:rPr>
          <w:rStyle w:val="FootnoteReference"/>
          <w:sz w:val="20"/>
        </w:rPr>
        <w:footnoteRef/>
      </w:r>
      <w:r w:rsidRPr="00C04867">
        <w:t xml:space="preserve"> 47 C.F.R. § 51.917(d)(1)(iii); </w:t>
      </w:r>
      <w:r w:rsidRPr="00C04867">
        <w:rPr>
          <w:i/>
        </w:rPr>
        <w:t>see USF/ICC Transformation Order</w:t>
      </w:r>
      <w:r w:rsidRPr="00C04867">
        <w:t xml:space="preserve">, 26 FCC Rcd at 17892-93, paras. 898-99.  </w:t>
      </w:r>
    </w:p>
  </w:footnote>
  <w:footnote w:id="100">
    <w:p w:rsidR="00CF3F9B" w:rsidRPr="00C04867" w:rsidRDefault="00CF3F9B">
      <w:pPr>
        <w:pStyle w:val="FootnoteText"/>
      </w:pPr>
      <w:r w:rsidRPr="00C04867">
        <w:rPr>
          <w:rStyle w:val="FootnoteReference"/>
          <w:sz w:val="20"/>
        </w:rPr>
        <w:footnoteRef/>
      </w:r>
      <w:r w:rsidRPr="00C04867">
        <w:t xml:space="preserve"> 47 C.F.R. §§ 51.915(d)(1)(iii)(F), (d)(1)(iv)(F), (d)(1)(v)(F), (d)(1)(v)(F), (d)(1)(vi)(G), (d)(1)(vii)(H), (d)(1)(viii), 51.917(d)(1)(iii)(D).  </w:t>
      </w:r>
    </w:p>
  </w:footnote>
  <w:footnote w:id="101">
    <w:p w:rsidR="00CF3F9B" w:rsidRPr="00C04867" w:rsidRDefault="00CF3F9B" w:rsidP="003127AA">
      <w:pPr>
        <w:pStyle w:val="FootnoteText"/>
        <w:spacing w:before="120"/>
      </w:pPr>
      <w:r w:rsidRPr="00C04867">
        <w:rPr>
          <w:rStyle w:val="FootnoteReference"/>
          <w:sz w:val="20"/>
        </w:rPr>
        <w:footnoteRef/>
      </w:r>
      <w:r w:rsidRPr="00C04867">
        <w:t xml:space="preserve"> </w:t>
      </w:r>
      <w:r w:rsidRPr="00C04867">
        <w:rPr>
          <w:i/>
        </w:rPr>
        <w:t>See USF/ICC Transformation Order</w:t>
      </w:r>
      <w:r w:rsidRPr="00C04867">
        <w:t xml:space="preserve">, 26 FCC Rcd at 17893, para. 899.  </w:t>
      </w:r>
    </w:p>
  </w:footnote>
  <w:footnote w:id="102">
    <w:p w:rsidR="00CF3F9B" w:rsidRPr="00C04867" w:rsidRDefault="00CF3F9B" w:rsidP="003127AA">
      <w:pPr>
        <w:pStyle w:val="FootnoteText"/>
        <w:spacing w:before="120"/>
      </w:pPr>
      <w:r w:rsidRPr="00C04867">
        <w:rPr>
          <w:rStyle w:val="FootnoteReference"/>
          <w:sz w:val="20"/>
        </w:rPr>
        <w:footnoteRef/>
      </w:r>
      <w:r w:rsidRPr="00C04867">
        <w:t xml:space="preserve"> </w:t>
      </w:r>
      <w:r w:rsidRPr="00C04867">
        <w:rPr>
          <w:i/>
        </w:rPr>
        <w:t>See id.</w:t>
      </w:r>
      <w:r w:rsidRPr="00C04867">
        <w:t xml:space="preserve"> at 17892-93, paras. 898-99.  </w:t>
      </w:r>
    </w:p>
  </w:footnote>
  <w:footnote w:id="103">
    <w:p w:rsidR="00CF3F9B" w:rsidRPr="00C04867" w:rsidRDefault="00CF3F9B" w:rsidP="003127AA">
      <w:pPr>
        <w:pStyle w:val="FootnoteText"/>
        <w:spacing w:before="120"/>
      </w:pPr>
      <w:r w:rsidRPr="00C04867">
        <w:rPr>
          <w:rStyle w:val="FootnoteReference"/>
          <w:sz w:val="20"/>
        </w:rPr>
        <w:footnoteRef/>
      </w:r>
      <w:r w:rsidRPr="00C04867">
        <w:t xml:space="preserve"> </w:t>
      </w:r>
      <w:r w:rsidRPr="00C04867">
        <w:rPr>
          <w:i/>
        </w:rPr>
        <w:t>See id.</w:t>
      </w:r>
      <w:r w:rsidRPr="00C04867">
        <w:t xml:space="preserve">  </w:t>
      </w:r>
    </w:p>
  </w:footnote>
  <w:footnote w:id="104">
    <w:p w:rsidR="00CF3F9B" w:rsidRPr="00C04867" w:rsidRDefault="00CF3F9B" w:rsidP="003127AA">
      <w:pPr>
        <w:pStyle w:val="FootnoteText"/>
        <w:spacing w:before="120"/>
      </w:pPr>
      <w:r w:rsidRPr="00C04867">
        <w:rPr>
          <w:rStyle w:val="FootnoteReference"/>
          <w:sz w:val="20"/>
        </w:rPr>
        <w:footnoteRef/>
      </w:r>
      <w:r w:rsidRPr="00C04867">
        <w:t xml:space="preserve"> </w:t>
      </w:r>
      <w:r w:rsidRPr="00C04867">
        <w:rPr>
          <w:i/>
        </w:rPr>
        <w:t>See</w:t>
      </w:r>
      <w:r w:rsidRPr="00C04867">
        <w:t xml:space="preserve"> 47 C.F.R. §§ 51.915(b)(13), (d)(1)(iii)(F), (d)(1)(iv)(F), (d)(1)(v)(F), (d)(1)(v)(F), (d)(1)(vi)(G), (d)(1)(vii)(H), (d)(1)(viii).</w:t>
      </w:r>
    </w:p>
  </w:footnote>
  <w:footnote w:id="105">
    <w:p w:rsidR="00CF3F9B" w:rsidRPr="00C04867" w:rsidRDefault="00CF3F9B" w:rsidP="003127AA">
      <w:pPr>
        <w:pStyle w:val="FootnoteText"/>
        <w:spacing w:before="120"/>
      </w:pPr>
      <w:r w:rsidRPr="00C04867">
        <w:rPr>
          <w:rStyle w:val="FootnoteReference"/>
          <w:sz w:val="20"/>
        </w:rPr>
        <w:footnoteRef/>
      </w:r>
      <w:r w:rsidRPr="00C04867">
        <w:t xml:space="preserve"> </w:t>
      </w:r>
      <w:r w:rsidRPr="00C04867">
        <w:rPr>
          <w:i/>
        </w:rPr>
        <w:t xml:space="preserve">See </w:t>
      </w:r>
      <w:r w:rsidRPr="00C04867">
        <w:t xml:space="preserve">47 C.F.R. §§ 51.917(b)(5)-(6), (d)(1)(iii)(D).  </w:t>
      </w:r>
    </w:p>
  </w:footnote>
  <w:footnote w:id="106">
    <w:p w:rsidR="00CF3F9B" w:rsidRPr="00C04867" w:rsidRDefault="00CF3F9B">
      <w:pPr>
        <w:pStyle w:val="FootnoteText"/>
      </w:pPr>
      <w:r w:rsidRPr="00C04867">
        <w:rPr>
          <w:rStyle w:val="FootnoteReference"/>
          <w:sz w:val="20"/>
        </w:rPr>
        <w:footnoteRef/>
      </w:r>
      <w:r w:rsidRPr="00C04867">
        <w:t xml:space="preserve"> Pub. Law No. 104-13; 44 U.S.C. Part 35.  </w:t>
      </w:r>
    </w:p>
  </w:footnote>
  <w:footnote w:id="107">
    <w:p w:rsidR="00CF3F9B" w:rsidRPr="00C04867" w:rsidRDefault="00CF3F9B">
      <w:pPr>
        <w:pStyle w:val="FootnoteText"/>
      </w:pPr>
      <w:r w:rsidRPr="00C04867">
        <w:rPr>
          <w:rStyle w:val="FootnoteReference"/>
          <w:sz w:val="20"/>
        </w:rPr>
        <w:footnoteRef/>
      </w:r>
      <w:r w:rsidRPr="00C04867">
        <w:t xml:space="preserve"> </w:t>
      </w:r>
      <w:hyperlink r:id="rId2" w:history="1">
        <w:r w:rsidRPr="00C04867">
          <w:t>Pub. Law No. 107-198</w:t>
        </w:r>
      </w:hyperlink>
      <w:r w:rsidRPr="00C04867">
        <w:t xml:space="preserve">; </w:t>
      </w:r>
      <w:r w:rsidRPr="00C04867">
        <w:rPr>
          <w:i/>
        </w:rPr>
        <w:t>see</w:t>
      </w:r>
      <w:r w:rsidRPr="00C04867">
        <w:t xml:space="preserve"> </w:t>
      </w:r>
      <w:hyperlink r:id="rId3" w:history="1">
        <w:r w:rsidRPr="00C04867">
          <w:t>44 U.S.C. § 3506(c)(4)</w:t>
        </w:r>
      </w:hyperlink>
      <w:r w:rsidRPr="00C04867">
        <w:t>.</w:t>
      </w:r>
    </w:p>
  </w:footnote>
  <w:footnote w:id="108">
    <w:p w:rsidR="00CF3F9B" w:rsidRPr="00C04867" w:rsidRDefault="00CF3F9B">
      <w:pPr>
        <w:pStyle w:val="FootnoteText"/>
      </w:pPr>
      <w:r w:rsidRPr="00C04867">
        <w:rPr>
          <w:rStyle w:val="FootnoteReference"/>
          <w:sz w:val="20"/>
        </w:rPr>
        <w:footnoteRef/>
      </w:r>
      <w:r w:rsidRPr="00C04867">
        <w:t xml:space="preserve"> </w:t>
      </w:r>
      <w:r w:rsidRPr="00C04867">
        <w:rPr>
          <w:color w:val="000000"/>
        </w:rPr>
        <w:t xml:space="preserve">The RFA, </w:t>
      </w:r>
      <w:r w:rsidRPr="00C04867">
        <w:rPr>
          <w:i/>
          <w:iCs/>
          <w:color w:val="000000"/>
        </w:rPr>
        <w:t>see</w:t>
      </w:r>
      <w:r w:rsidRPr="00C04867">
        <w:rPr>
          <w:iCs/>
          <w:color w:val="000000"/>
        </w:rPr>
        <w:t xml:space="preserve"> </w:t>
      </w:r>
      <w:hyperlink r:id="rId4" w:history="1">
        <w:r w:rsidRPr="00C04867">
          <w:t xml:space="preserve">5 U.S.C. § 601 </w:t>
        </w:r>
      </w:hyperlink>
      <w:hyperlink r:id="rId5" w:history="1">
        <w:r w:rsidRPr="00C04867">
          <w:rPr>
            <w:i/>
            <w:iCs/>
          </w:rPr>
          <w:t>et seq.</w:t>
        </w:r>
      </w:hyperlink>
      <w:hyperlink r:id="rId6" w:history="1">
        <w:r w:rsidRPr="00C04867">
          <w:t>,</w:t>
        </w:r>
      </w:hyperlink>
      <w:r w:rsidRPr="00C04867">
        <w:rPr>
          <w:color w:val="000000"/>
        </w:rPr>
        <w:t xml:space="preserve"> has been amended by the Contract With America Advancement Act of 1996, </w:t>
      </w:r>
      <w:hyperlink r:id="rId7" w:history="1">
        <w:r w:rsidRPr="00C04867">
          <w:t>Pub. L. No. 104-121, 110 Stat. 847 (1996)</w:t>
        </w:r>
      </w:hyperlink>
      <w:r w:rsidRPr="00C04867">
        <w:rPr>
          <w:color w:val="000000"/>
        </w:rPr>
        <w:t xml:space="preserve"> (CWAAA).  Title II of the CWAAA is the Small Business Regulatory Enforcement Fairness Act of 1996 (SBREFA).</w:t>
      </w:r>
    </w:p>
  </w:footnote>
  <w:footnote w:id="109">
    <w:p w:rsidR="00CF3F9B" w:rsidRPr="00C04867" w:rsidRDefault="00CF3F9B">
      <w:pPr>
        <w:pStyle w:val="FootnoteText"/>
      </w:pPr>
      <w:r w:rsidRPr="00C04867">
        <w:rPr>
          <w:rStyle w:val="FootnoteReference"/>
          <w:sz w:val="20"/>
        </w:rPr>
        <w:footnoteRef/>
      </w:r>
      <w:r w:rsidRPr="00C04867">
        <w:t xml:space="preserve"> </w:t>
      </w:r>
      <w:hyperlink r:id="rId8" w:history="1">
        <w:r w:rsidRPr="00C04867">
          <w:t>5 U.S.C. § 605(b)</w:t>
        </w:r>
      </w:hyperlink>
      <w:r w:rsidRPr="00C04867">
        <w:rPr>
          <w:color w:val="000000"/>
        </w:rPr>
        <w:t>.</w:t>
      </w:r>
    </w:p>
  </w:footnote>
  <w:footnote w:id="110">
    <w:p w:rsidR="00CF3F9B" w:rsidRPr="00C04867" w:rsidRDefault="00CF3F9B">
      <w:pPr>
        <w:pStyle w:val="FootnoteText"/>
      </w:pPr>
      <w:r w:rsidRPr="00C04867">
        <w:rPr>
          <w:rStyle w:val="FootnoteReference"/>
          <w:sz w:val="20"/>
        </w:rPr>
        <w:footnoteRef/>
      </w:r>
      <w:r w:rsidRPr="00C04867">
        <w:t xml:space="preserve"> </w:t>
      </w:r>
      <w:hyperlink r:id="rId9" w:history="1">
        <w:r w:rsidRPr="00C04867">
          <w:t>5 U.S.C. § 601(6)</w:t>
        </w:r>
      </w:hyperlink>
      <w:r w:rsidRPr="00C04867">
        <w:t>.</w:t>
      </w:r>
    </w:p>
  </w:footnote>
  <w:footnote w:id="111">
    <w:p w:rsidR="00CF3F9B" w:rsidRPr="00C04867" w:rsidRDefault="00CF3F9B">
      <w:pPr>
        <w:pStyle w:val="FootnoteText"/>
      </w:pPr>
      <w:r w:rsidRPr="00C04867">
        <w:rPr>
          <w:rStyle w:val="FootnoteReference"/>
          <w:sz w:val="20"/>
        </w:rPr>
        <w:footnoteRef/>
      </w:r>
      <w:r w:rsidRPr="00C04867">
        <w:t xml:space="preserve"> </w:t>
      </w:r>
      <w:hyperlink r:id="rId10" w:history="1">
        <w:r w:rsidRPr="00C04867">
          <w:t>5 U.S.C. § 601(3)</w:t>
        </w:r>
      </w:hyperlink>
      <w:r w:rsidRPr="00C04867">
        <w:rPr>
          <w:color w:val="000000"/>
        </w:rPr>
        <w:t xml:space="preserve"> (incorporating by reference the definition of “small business concern” in Small Business Act, </w:t>
      </w:r>
      <w:hyperlink r:id="rId11" w:history="1">
        <w:r w:rsidRPr="00C04867">
          <w:t>15 U.S.C. § 632</w:t>
        </w:r>
      </w:hyperlink>
      <w:r w:rsidRPr="00C04867">
        <w:rPr>
          <w:color w:val="000000"/>
        </w:rPr>
        <w:t>).  Pursuant to</w:t>
      </w:r>
      <w:r w:rsidRPr="00C04867">
        <w:t xml:space="preserve"> </w:t>
      </w:r>
      <w:hyperlink r:id="rId12" w:history="1">
        <w:r w:rsidRPr="00C04867">
          <w:t>5 U.S.C. § 601(3)</w:t>
        </w:r>
      </w:hyperlink>
      <w:r w:rsidRPr="00C04867">
        <w:rPr>
          <w:color w:val="000000"/>
        </w:rPr>
        <w:t>,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12">
    <w:p w:rsidR="00CF3F9B" w:rsidRPr="00C04867" w:rsidRDefault="00CF3F9B">
      <w:pPr>
        <w:pStyle w:val="FootnoteText"/>
      </w:pPr>
      <w:r w:rsidRPr="00C04867">
        <w:rPr>
          <w:rStyle w:val="FootnoteReference"/>
          <w:sz w:val="20"/>
        </w:rPr>
        <w:footnoteRef/>
      </w:r>
      <w:r w:rsidRPr="00C04867">
        <w:t xml:space="preserve"> </w:t>
      </w:r>
      <w:r w:rsidRPr="00C04867">
        <w:rPr>
          <w:color w:val="000000"/>
        </w:rPr>
        <w:t xml:space="preserve">Small Business Act, </w:t>
      </w:r>
      <w:hyperlink r:id="rId13" w:history="1">
        <w:r w:rsidRPr="00C04867">
          <w:t>15 U.S.C. § 632</w:t>
        </w:r>
      </w:hyperlink>
      <w:r w:rsidRPr="00C04867">
        <w:t>.</w:t>
      </w:r>
    </w:p>
  </w:footnote>
  <w:footnote w:id="113">
    <w:p w:rsidR="00CF3F9B" w:rsidRPr="00C04867" w:rsidRDefault="00CF3F9B">
      <w:pPr>
        <w:pStyle w:val="FootnoteText"/>
      </w:pPr>
      <w:r w:rsidRPr="00C04867">
        <w:rPr>
          <w:rStyle w:val="FootnoteReference"/>
          <w:sz w:val="20"/>
        </w:rPr>
        <w:footnoteRef/>
      </w:r>
      <w:r w:rsidRPr="00C04867">
        <w:t xml:space="preserve"> </w:t>
      </w:r>
      <w:r w:rsidRPr="00C04867">
        <w:rPr>
          <w:i/>
        </w:rPr>
        <w:t>See USF/ICC Transformation Order</w:t>
      </w:r>
      <w:r w:rsidRPr="00C04867">
        <w:t xml:space="preserve">, 26 FCC Rcd at 18324-63, App. O.  </w:t>
      </w:r>
    </w:p>
  </w:footnote>
  <w:footnote w:id="114">
    <w:p w:rsidR="00CF3F9B" w:rsidRPr="00C04867" w:rsidRDefault="00CF3F9B">
      <w:pPr>
        <w:pStyle w:val="FootnoteText"/>
      </w:pPr>
      <w:r w:rsidRPr="00C04867">
        <w:rPr>
          <w:rStyle w:val="FootnoteReference"/>
          <w:sz w:val="20"/>
        </w:rPr>
        <w:footnoteRef/>
      </w:r>
      <w:r w:rsidRPr="00C04867">
        <w:t xml:space="preserve"> </w:t>
      </w:r>
      <w:hyperlink r:id="rId14" w:history="1">
        <w:r w:rsidRPr="00C04867">
          <w:t>15 U.S.C. § 632</w:t>
        </w:r>
      </w:hyperlink>
      <w:r w:rsidRPr="00C04867">
        <w:t>.</w:t>
      </w:r>
    </w:p>
  </w:footnote>
  <w:footnote w:id="115">
    <w:p w:rsidR="00CF3F9B" w:rsidRPr="00C04867" w:rsidRDefault="00CF3F9B">
      <w:pPr>
        <w:pStyle w:val="FootnoteText"/>
      </w:pPr>
      <w:r w:rsidRPr="00C04867">
        <w:rPr>
          <w:rStyle w:val="FootnoteReference"/>
          <w:sz w:val="20"/>
        </w:rPr>
        <w:footnoteRef/>
      </w:r>
      <w:r w:rsidRPr="00C04867">
        <w:t xml:space="preserve"> </w:t>
      </w:r>
      <w:r w:rsidRPr="00C04867">
        <w:rPr>
          <w:i/>
          <w:iCs/>
        </w:rPr>
        <w:t>Id.</w:t>
      </w:r>
    </w:p>
  </w:footnote>
  <w:footnote w:id="116">
    <w:p w:rsidR="00CF3F9B" w:rsidRPr="00C04867" w:rsidRDefault="00CF3F9B">
      <w:pPr>
        <w:pStyle w:val="FootnoteText"/>
      </w:pPr>
      <w:r w:rsidRPr="00C04867">
        <w:rPr>
          <w:rStyle w:val="FootnoteReference"/>
          <w:sz w:val="20"/>
        </w:rPr>
        <w:footnoteRef/>
      </w:r>
      <w:r w:rsidRPr="00C04867">
        <w:t xml:space="preserve"> </w:t>
      </w:r>
      <w:r w:rsidRPr="00C04867">
        <w:rPr>
          <w:i/>
          <w:iCs/>
          <w:color w:val="000000"/>
        </w:rPr>
        <w:t>See</w:t>
      </w:r>
      <w:r w:rsidRPr="00C04867">
        <w:rPr>
          <w:iCs/>
          <w:color w:val="000000"/>
        </w:rPr>
        <w:t xml:space="preserve"> </w:t>
      </w:r>
      <w:hyperlink r:id="rId15" w:history="1">
        <w:r w:rsidRPr="00C04867">
          <w:t>5 U.S.C. § 801(a)(1)(A)</w:t>
        </w:r>
      </w:hyperlink>
      <w:r w:rsidRPr="00C04867">
        <w:t>.</w:t>
      </w:r>
    </w:p>
  </w:footnote>
  <w:footnote w:id="117">
    <w:p w:rsidR="00CF3F9B" w:rsidRPr="00C04867" w:rsidRDefault="00CF3F9B">
      <w:pPr>
        <w:pStyle w:val="FootnoteText"/>
      </w:pPr>
      <w:r w:rsidRPr="00C04867">
        <w:rPr>
          <w:rStyle w:val="FootnoteReference"/>
          <w:sz w:val="20"/>
        </w:rPr>
        <w:footnoteRef/>
      </w:r>
      <w:r w:rsidRPr="00C04867">
        <w:t xml:space="preserve"> </w:t>
      </w:r>
      <w:r w:rsidRPr="00C04867">
        <w:rPr>
          <w:i/>
          <w:iCs/>
        </w:rPr>
        <w:t>Id</w:t>
      </w:r>
      <w:r w:rsidRPr="00C0486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347" w:rsidRDefault="000333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9B" w:rsidRDefault="00537697" w:rsidP="001C2464">
    <w:pPr>
      <w:pStyle w:val="Heade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161925</wp:posOffset>
              </wp:positionV>
              <wp:extent cx="59436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5pt" to="46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" o:allowincell="f" strokeweight="1.5pt"/>
          </w:pict>
        </mc:Fallback>
      </mc:AlternateContent>
    </w:r>
    <w:r w:rsidR="00CF3F9B" w:rsidRPr="001C2464">
      <w:tab/>
      <w:t>Federal Communications Commission</w:t>
    </w:r>
    <w:r w:rsidR="00CF3F9B" w:rsidRPr="001C2464">
      <w:tab/>
    </w:r>
    <w:r w:rsidR="00CF3F9B" w:rsidRPr="00365B14">
      <w:t>DA 13-</w:t>
    </w:r>
    <w:r w:rsidR="00DF73C7">
      <w:t>564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45" w:rsidRDefault="00537697" w:rsidP="00803645">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161925</wp:posOffset>
              </wp:positionV>
              <wp:extent cx="59436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5pt" to="46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" o:allowincell="f" strokeweight="1.5pt"/>
          </w:pict>
        </mc:Fallback>
      </mc:AlternateContent>
    </w:r>
    <w:r w:rsidR="00803645" w:rsidRPr="001C2464">
      <w:tab/>
      <w:t>Federal Communications Commission</w:t>
    </w:r>
    <w:r w:rsidR="00803645" w:rsidRPr="001C2464">
      <w:tab/>
    </w:r>
    <w:r w:rsidR="00803645" w:rsidRPr="00365B14">
      <w:t>DA 13-</w:t>
    </w:r>
    <w:r w:rsidR="00803645">
      <w:t>564</w:t>
    </w:r>
  </w:p>
  <w:p w:rsidR="00CF3F9B" w:rsidRDefault="00CF3F9B" w:rsidP="001C24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5A49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A783C"/>
    <w:multiLevelType w:val="singleLevel"/>
    <w:tmpl w:val="9510200C"/>
    <w:lvl w:ilvl="0">
      <w:start w:val="1"/>
      <w:numFmt w:val="decimal"/>
      <w:pStyle w:val="DocumentMap"/>
      <w:lvlText w:val="%1."/>
      <w:lvlJc w:val="left"/>
      <w:pPr>
        <w:tabs>
          <w:tab w:val="num" w:pos="1080"/>
        </w:tabs>
        <w:ind w:left="0" w:firstLine="720"/>
      </w:pPr>
      <w:rPr>
        <w:b w:val="0"/>
        <w:i w:val="0"/>
        <w:sz w:val="22"/>
        <w:szCs w:val="22"/>
      </w:rPr>
    </w:lvl>
  </w:abstractNum>
  <w:abstractNum w:abstractNumId="2">
    <w:nsid w:val="05BB157D"/>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0680012E"/>
    <w:multiLevelType w:val="hybridMultilevel"/>
    <w:tmpl w:val="63BC7AF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0F27788F"/>
    <w:multiLevelType w:val="hybridMultilevel"/>
    <w:tmpl w:val="CBC60A3E"/>
    <w:lvl w:ilvl="0" w:tplc="63E6E05C">
      <w:start w:val="3"/>
      <w:numFmt w:val="bullet"/>
      <w:lvlText w:val=""/>
      <w:lvlJc w:val="left"/>
      <w:pPr>
        <w:ind w:left="720" w:hanging="360"/>
      </w:pPr>
      <w:rPr>
        <w:rFonts w:ascii="Symbol" w:eastAsia="Times New Roman" w:hAnsi="Symbol" w:cs="Times New Roman" w:hint="default"/>
        <w:color w:val="FF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38671D"/>
    <w:multiLevelType w:val="hybridMultilevel"/>
    <w:tmpl w:val="52F63070"/>
    <w:lvl w:ilvl="0" w:tplc="04090001">
      <w:start w:val="3"/>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EA13F8"/>
    <w:multiLevelType w:val="hybridMultilevel"/>
    <w:tmpl w:val="3DF2FF0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22F88"/>
    <w:multiLevelType w:val="hybridMultilevel"/>
    <w:tmpl w:val="3FFE658A"/>
    <w:lvl w:ilvl="0" w:tplc="74649CE0">
      <w:start w:val="1"/>
      <w:numFmt w:val="decimal"/>
      <w:lvlText w:val="%1."/>
      <w:lvlJc w:val="left"/>
      <w:pPr>
        <w:tabs>
          <w:tab w:val="num" w:pos="360"/>
        </w:tabs>
        <w:ind w:left="360" w:hanging="360"/>
      </w:pPr>
      <w:rPr>
        <w:b w:val="0"/>
      </w:rPr>
    </w:lvl>
    <w:lvl w:ilvl="1" w:tplc="35904AA4"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9">
    <w:nsid w:val="1D2B387F"/>
    <w:multiLevelType w:val="hybridMultilevel"/>
    <w:tmpl w:val="0B16B522"/>
    <w:lvl w:ilvl="0" w:tplc="85C66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821AA6"/>
    <w:multiLevelType w:val="multilevel"/>
    <w:tmpl w:val="73668406"/>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22B410C7"/>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2">
    <w:nsid w:val="22BF3E03"/>
    <w:multiLevelType w:val="hybridMultilevel"/>
    <w:tmpl w:val="55A8A1D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537202"/>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5">
    <w:nsid w:val="248246F3"/>
    <w:multiLevelType w:val="singleLevel"/>
    <w:tmpl w:val="B1F45678"/>
    <w:lvl w:ilvl="0">
      <w:start w:val="1"/>
      <w:numFmt w:val="decimal"/>
      <w:lvlText w:val="%1."/>
      <w:lvlJc w:val="left"/>
      <w:pPr>
        <w:tabs>
          <w:tab w:val="num" w:pos="1080"/>
        </w:tabs>
        <w:ind w:left="0" w:firstLine="720"/>
      </w:pPr>
    </w:lvl>
  </w:abstractNum>
  <w:abstractNum w:abstractNumId="16">
    <w:nsid w:val="24D94A5F"/>
    <w:multiLevelType w:val="hybridMultilevel"/>
    <w:tmpl w:val="DD5E0B9C"/>
    <w:lvl w:ilvl="0" w:tplc="D180CED0">
      <w:start w:val="1"/>
      <w:numFmt w:val="decimal"/>
      <w:lvlText w:val="%1."/>
      <w:lvlJc w:val="left"/>
      <w:pPr>
        <w:tabs>
          <w:tab w:val="num" w:pos="1080"/>
        </w:tabs>
        <w:ind w:left="0" w:firstLine="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06CBB"/>
    <w:multiLevelType w:val="multilevel"/>
    <w:tmpl w:val="616028C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8">
    <w:nsid w:val="29322F34"/>
    <w:multiLevelType w:val="hybridMultilevel"/>
    <w:tmpl w:val="0366D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B307E7"/>
    <w:multiLevelType w:val="hybridMultilevel"/>
    <w:tmpl w:val="6D62AD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91451A"/>
    <w:multiLevelType w:val="hybridMultilevel"/>
    <w:tmpl w:val="CD4ED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B834EE"/>
    <w:multiLevelType w:val="hybridMultilevel"/>
    <w:tmpl w:val="78C2479E"/>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2">
    <w:nsid w:val="3D0F1B3D"/>
    <w:multiLevelType w:val="singleLevel"/>
    <w:tmpl w:val="4DCCE696"/>
    <w:lvl w:ilvl="0">
      <w:start w:val="1"/>
      <w:numFmt w:val="decimal"/>
      <w:lvlText w:val="%1."/>
      <w:lvlJc w:val="left"/>
      <w:pPr>
        <w:tabs>
          <w:tab w:val="num" w:pos="1980"/>
        </w:tabs>
        <w:ind w:left="90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4204494E"/>
    <w:multiLevelType w:val="hybridMultilevel"/>
    <w:tmpl w:val="7028321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DF5E5C"/>
    <w:multiLevelType w:val="hybridMultilevel"/>
    <w:tmpl w:val="6E3A1250"/>
    <w:lvl w:ilvl="0" w:tplc="01A0D84C">
      <w:start w:val="3"/>
      <w:numFmt w:val="bullet"/>
      <w:lvlText w:val=""/>
      <w:lvlJc w:val="left"/>
      <w:pPr>
        <w:ind w:left="720" w:hanging="360"/>
      </w:pPr>
      <w:rPr>
        <w:rFonts w:ascii="Symbol" w:eastAsia="Times New Roman" w:hAnsi="Symbol" w:cs="Times New Roman" w:hint="default"/>
        <w:color w:val="FF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BA1AF5"/>
    <w:multiLevelType w:val="hybridMultilevel"/>
    <w:tmpl w:val="F1422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46360E"/>
    <w:multiLevelType w:val="hybridMultilevel"/>
    <w:tmpl w:val="C0B2E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794642"/>
    <w:multiLevelType w:val="multilevel"/>
    <w:tmpl w:val="8A2AEC76"/>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53C151EC"/>
    <w:multiLevelType w:val="hybridMultilevel"/>
    <w:tmpl w:val="99C8F43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1F6B38"/>
    <w:multiLevelType w:val="multilevel"/>
    <w:tmpl w:val="7A7EC5BC"/>
    <w:lvl w:ilvl="0">
      <w:start w:val="1"/>
      <w:numFmt w:val="upperRoman"/>
      <w:pStyle w:val="Bullet"/>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1">
    <w:nsid w:val="572B5FC2"/>
    <w:multiLevelType w:val="hybridMultilevel"/>
    <w:tmpl w:val="DE50550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33">
    <w:nsid w:val="631C044E"/>
    <w:multiLevelType w:val="hybridMultilevel"/>
    <w:tmpl w:val="F0F6CC5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417D84"/>
    <w:multiLevelType w:val="hybridMultilevel"/>
    <w:tmpl w:val="A07AEE7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A534F5"/>
    <w:multiLevelType w:val="hybridMultilevel"/>
    <w:tmpl w:val="D18C82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204517"/>
    <w:multiLevelType w:val="hybridMultilevel"/>
    <w:tmpl w:val="6934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E15A84"/>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8">
    <w:nsid w:val="7A403155"/>
    <w:multiLevelType w:val="hybridMultilevel"/>
    <w:tmpl w:val="7592F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2"/>
  </w:num>
  <w:num w:numId="3">
    <w:abstractNumId w:val="8"/>
  </w:num>
  <w:num w:numId="4">
    <w:abstractNumId w:val="0"/>
  </w:num>
  <w:num w:numId="5">
    <w:abstractNumId w:val="2"/>
  </w:num>
  <w:num w:numId="6">
    <w:abstractNumId w:val="10"/>
  </w:num>
  <w:num w:numId="7">
    <w:abstractNumId w:val="11"/>
  </w:num>
  <w:num w:numId="8">
    <w:abstractNumId w:val="27"/>
  </w:num>
  <w:num w:numId="9">
    <w:abstractNumId w:val="13"/>
  </w:num>
  <w:num w:numId="10">
    <w:abstractNumId w:val="37"/>
  </w:num>
  <w:num w:numId="11">
    <w:abstractNumId w:val="22"/>
  </w:num>
  <w:num w:numId="12">
    <w:abstractNumId w:val="14"/>
  </w:num>
  <w:num w:numId="13">
    <w:abstractNumId w:val="32"/>
  </w:num>
  <w:num w:numId="14">
    <w:abstractNumId w:val="17"/>
  </w:num>
  <w:num w:numId="15">
    <w:abstractNumId w:val="28"/>
  </w:num>
  <w:num w:numId="16">
    <w:abstractNumId w:val="15"/>
  </w:num>
  <w:num w:numId="17">
    <w:abstractNumId w:val="4"/>
  </w:num>
  <w:num w:numId="18">
    <w:abstractNumId w:val="21"/>
  </w:num>
  <w:num w:numId="19">
    <w:abstractNumId w:val="16"/>
  </w:num>
  <w:num w:numId="20">
    <w:abstractNumId w:val="35"/>
  </w:num>
  <w:num w:numId="21">
    <w:abstractNumId w:val="36"/>
  </w:num>
  <w:num w:numId="22">
    <w:abstractNumId w:val="38"/>
  </w:num>
  <w:num w:numId="23">
    <w:abstractNumId w:val="1"/>
  </w:num>
  <w:num w:numId="24">
    <w:abstractNumId w:val="32"/>
    <w:lvlOverride w:ilvl="0">
      <w:startOverride w:val="3"/>
    </w:lvlOverride>
  </w:num>
  <w:num w:numId="25">
    <w:abstractNumId w:val="33"/>
  </w:num>
  <w:num w:numId="26">
    <w:abstractNumId w:val="31"/>
  </w:num>
  <w:num w:numId="27">
    <w:abstractNumId w:val="7"/>
  </w:num>
  <w:num w:numId="28">
    <w:abstractNumId w:val="34"/>
  </w:num>
  <w:num w:numId="29">
    <w:abstractNumId w:val="25"/>
  </w:num>
  <w:num w:numId="30">
    <w:abstractNumId w:val="23"/>
  </w:num>
  <w:num w:numId="31">
    <w:abstractNumId w:val="3"/>
  </w:num>
  <w:num w:numId="32">
    <w:abstractNumId w:val="29"/>
  </w:num>
  <w:num w:numId="33">
    <w:abstractNumId w:val="17"/>
    <w:lvlOverride w:ilvl="0">
      <w:startOverride w:val="3"/>
    </w:lvlOverride>
  </w:num>
  <w:num w:numId="34">
    <w:abstractNumId w:val="32"/>
    <w:lvlOverride w:ilvl="0">
      <w:startOverride w:val="1"/>
    </w:lvlOverride>
  </w:num>
  <w:num w:numId="35">
    <w:abstractNumId w:val="6"/>
  </w:num>
  <w:num w:numId="36">
    <w:abstractNumId w:val="9"/>
  </w:num>
  <w:num w:numId="37">
    <w:abstractNumId w:val="5"/>
  </w:num>
  <w:num w:numId="38">
    <w:abstractNumId w:val="24"/>
  </w:num>
  <w:num w:numId="39">
    <w:abstractNumId w:val="19"/>
  </w:num>
  <w:num w:numId="40">
    <w:abstractNumId w:val="12"/>
  </w:num>
  <w:num w:numId="41">
    <w:abstractNumId w:val="20"/>
  </w:num>
  <w:num w:numId="42">
    <w:abstractNumId w:val="18"/>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removePersonalInformation/>
  <w:removeDateAndTime/>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D01"/>
    <w:rsid w:val="0000646B"/>
    <w:rsid w:val="0000752F"/>
    <w:rsid w:val="00027D88"/>
    <w:rsid w:val="00033347"/>
    <w:rsid w:val="00045017"/>
    <w:rsid w:val="0004690D"/>
    <w:rsid w:val="0004763C"/>
    <w:rsid w:val="00050634"/>
    <w:rsid w:val="00050C62"/>
    <w:rsid w:val="000522FE"/>
    <w:rsid w:val="00054851"/>
    <w:rsid w:val="00057678"/>
    <w:rsid w:val="00062BDE"/>
    <w:rsid w:val="00073B6F"/>
    <w:rsid w:val="000750E9"/>
    <w:rsid w:val="00092E64"/>
    <w:rsid w:val="000956C6"/>
    <w:rsid w:val="000A2BE3"/>
    <w:rsid w:val="000A4BD1"/>
    <w:rsid w:val="000B0EB6"/>
    <w:rsid w:val="000B436E"/>
    <w:rsid w:val="000B5F03"/>
    <w:rsid w:val="000C1111"/>
    <w:rsid w:val="000D304F"/>
    <w:rsid w:val="000E2886"/>
    <w:rsid w:val="001026A4"/>
    <w:rsid w:val="00102E06"/>
    <w:rsid w:val="00104E8C"/>
    <w:rsid w:val="00115045"/>
    <w:rsid w:val="001152DA"/>
    <w:rsid w:val="00115924"/>
    <w:rsid w:val="00117057"/>
    <w:rsid w:val="001222B6"/>
    <w:rsid w:val="00131891"/>
    <w:rsid w:val="00134A8D"/>
    <w:rsid w:val="001361B1"/>
    <w:rsid w:val="00137757"/>
    <w:rsid w:val="00140DAD"/>
    <w:rsid w:val="00142A08"/>
    <w:rsid w:val="001476EB"/>
    <w:rsid w:val="001561A7"/>
    <w:rsid w:val="00161DB3"/>
    <w:rsid w:val="00175DCE"/>
    <w:rsid w:val="001774A2"/>
    <w:rsid w:val="001A076D"/>
    <w:rsid w:val="001B24B4"/>
    <w:rsid w:val="001B47FD"/>
    <w:rsid w:val="001B759F"/>
    <w:rsid w:val="001C2464"/>
    <w:rsid w:val="001C378D"/>
    <w:rsid w:val="001C4048"/>
    <w:rsid w:val="001D433D"/>
    <w:rsid w:val="001D5D82"/>
    <w:rsid w:val="001D7398"/>
    <w:rsid w:val="001F1B3F"/>
    <w:rsid w:val="001F3962"/>
    <w:rsid w:val="001F557F"/>
    <w:rsid w:val="0020418C"/>
    <w:rsid w:val="00217D2E"/>
    <w:rsid w:val="002320CD"/>
    <w:rsid w:val="00244CFE"/>
    <w:rsid w:val="002460E9"/>
    <w:rsid w:val="00271F92"/>
    <w:rsid w:val="00274A0F"/>
    <w:rsid w:val="00276D69"/>
    <w:rsid w:val="0028125C"/>
    <w:rsid w:val="00285698"/>
    <w:rsid w:val="002875EB"/>
    <w:rsid w:val="002955A0"/>
    <w:rsid w:val="0029686D"/>
    <w:rsid w:val="002B0CBE"/>
    <w:rsid w:val="002B6957"/>
    <w:rsid w:val="002C0590"/>
    <w:rsid w:val="002C09FC"/>
    <w:rsid w:val="002C3D73"/>
    <w:rsid w:val="002C56B8"/>
    <w:rsid w:val="002D37F8"/>
    <w:rsid w:val="002D7348"/>
    <w:rsid w:val="002E4B9E"/>
    <w:rsid w:val="002E68FB"/>
    <w:rsid w:val="002E7184"/>
    <w:rsid w:val="002F4EEB"/>
    <w:rsid w:val="003017C2"/>
    <w:rsid w:val="003127AA"/>
    <w:rsid w:val="0032097F"/>
    <w:rsid w:val="003225BC"/>
    <w:rsid w:val="00322B1F"/>
    <w:rsid w:val="00322B95"/>
    <w:rsid w:val="003269F6"/>
    <w:rsid w:val="0033182A"/>
    <w:rsid w:val="00360031"/>
    <w:rsid w:val="00361603"/>
    <w:rsid w:val="00365B14"/>
    <w:rsid w:val="003665F2"/>
    <w:rsid w:val="003671AA"/>
    <w:rsid w:val="0037355A"/>
    <w:rsid w:val="003740AB"/>
    <w:rsid w:val="00377649"/>
    <w:rsid w:val="00381B43"/>
    <w:rsid w:val="003824A6"/>
    <w:rsid w:val="00384EDB"/>
    <w:rsid w:val="003B4541"/>
    <w:rsid w:val="003E0143"/>
    <w:rsid w:val="003E136B"/>
    <w:rsid w:val="003E42BD"/>
    <w:rsid w:val="003E540C"/>
    <w:rsid w:val="003E7A36"/>
    <w:rsid w:val="003F1C95"/>
    <w:rsid w:val="003F45A8"/>
    <w:rsid w:val="0040284D"/>
    <w:rsid w:val="00406BD5"/>
    <w:rsid w:val="00406E38"/>
    <w:rsid w:val="00407787"/>
    <w:rsid w:val="00412A87"/>
    <w:rsid w:val="00424511"/>
    <w:rsid w:val="00426390"/>
    <w:rsid w:val="004310D7"/>
    <w:rsid w:val="00432077"/>
    <w:rsid w:val="00436D20"/>
    <w:rsid w:val="00445E06"/>
    <w:rsid w:val="00460F24"/>
    <w:rsid w:val="00465D19"/>
    <w:rsid w:val="004660CC"/>
    <w:rsid w:val="00474C3F"/>
    <w:rsid w:val="00487A25"/>
    <w:rsid w:val="00491C3C"/>
    <w:rsid w:val="00497B48"/>
    <w:rsid w:val="004A139C"/>
    <w:rsid w:val="004B3822"/>
    <w:rsid w:val="004B49AF"/>
    <w:rsid w:val="004B53CD"/>
    <w:rsid w:val="004B7703"/>
    <w:rsid w:val="004C287E"/>
    <w:rsid w:val="004D0515"/>
    <w:rsid w:val="004D6C3D"/>
    <w:rsid w:val="004E0F2F"/>
    <w:rsid w:val="004F1AC1"/>
    <w:rsid w:val="0050439F"/>
    <w:rsid w:val="00510E32"/>
    <w:rsid w:val="005174BA"/>
    <w:rsid w:val="00520C6C"/>
    <w:rsid w:val="005234CD"/>
    <w:rsid w:val="00524C19"/>
    <w:rsid w:val="005270F3"/>
    <w:rsid w:val="0052714D"/>
    <w:rsid w:val="00533349"/>
    <w:rsid w:val="00533987"/>
    <w:rsid w:val="00533D3D"/>
    <w:rsid w:val="00537697"/>
    <w:rsid w:val="0054187A"/>
    <w:rsid w:val="005576F2"/>
    <w:rsid w:val="00586C52"/>
    <w:rsid w:val="0059350A"/>
    <w:rsid w:val="005935C9"/>
    <w:rsid w:val="005A20C1"/>
    <w:rsid w:val="005A5278"/>
    <w:rsid w:val="005B0817"/>
    <w:rsid w:val="005B1A18"/>
    <w:rsid w:val="005B7CCC"/>
    <w:rsid w:val="005C33A3"/>
    <w:rsid w:val="005C3D0E"/>
    <w:rsid w:val="005D2D91"/>
    <w:rsid w:val="005D7AB8"/>
    <w:rsid w:val="005E2C87"/>
    <w:rsid w:val="005E4D67"/>
    <w:rsid w:val="005E738E"/>
    <w:rsid w:val="00603FAD"/>
    <w:rsid w:val="0061599D"/>
    <w:rsid w:val="00623BFF"/>
    <w:rsid w:val="00631696"/>
    <w:rsid w:val="00636127"/>
    <w:rsid w:val="00655E65"/>
    <w:rsid w:val="00687D22"/>
    <w:rsid w:val="006904CB"/>
    <w:rsid w:val="00692AF1"/>
    <w:rsid w:val="006A0C82"/>
    <w:rsid w:val="006A311E"/>
    <w:rsid w:val="006A423E"/>
    <w:rsid w:val="006A7DB2"/>
    <w:rsid w:val="006B0101"/>
    <w:rsid w:val="006B0944"/>
    <w:rsid w:val="006B0D0F"/>
    <w:rsid w:val="006B230E"/>
    <w:rsid w:val="006B34F7"/>
    <w:rsid w:val="006B5B88"/>
    <w:rsid w:val="006B5DB1"/>
    <w:rsid w:val="006C1C2C"/>
    <w:rsid w:val="006C7F72"/>
    <w:rsid w:val="006D39AE"/>
    <w:rsid w:val="006D7997"/>
    <w:rsid w:val="006E0DAA"/>
    <w:rsid w:val="006E64E2"/>
    <w:rsid w:val="006F0BB8"/>
    <w:rsid w:val="006F1C78"/>
    <w:rsid w:val="006F28E8"/>
    <w:rsid w:val="0071519B"/>
    <w:rsid w:val="0072107A"/>
    <w:rsid w:val="007314FF"/>
    <w:rsid w:val="007326F4"/>
    <w:rsid w:val="0073545A"/>
    <w:rsid w:val="007364AE"/>
    <w:rsid w:val="007607DE"/>
    <w:rsid w:val="00760A0B"/>
    <w:rsid w:val="007658A0"/>
    <w:rsid w:val="00776E24"/>
    <w:rsid w:val="007849D2"/>
    <w:rsid w:val="00794D1B"/>
    <w:rsid w:val="007A00E1"/>
    <w:rsid w:val="007A503B"/>
    <w:rsid w:val="007C0FEC"/>
    <w:rsid w:val="007C154B"/>
    <w:rsid w:val="007C2381"/>
    <w:rsid w:val="007C393B"/>
    <w:rsid w:val="007C4F1B"/>
    <w:rsid w:val="007C6D6F"/>
    <w:rsid w:val="007D4618"/>
    <w:rsid w:val="007D46AD"/>
    <w:rsid w:val="007E7AF4"/>
    <w:rsid w:val="007E7FDF"/>
    <w:rsid w:val="007F112A"/>
    <w:rsid w:val="007F2D85"/>
    <w:rsid w:val="007F4595"/>
    <w:rsid w:val="007F7B3C"/>
    <w:rsid w:val="00800302"/>
    <w:rsid w:val="00802FE7"/>
    <w:rsid w:val="00803645"/>
    <w:rsid w:val="008116E7"/>
    <w:rsid w:val="0081429C"/>
    <w:rsid w:val="00815B1D"/>
    <w:rsid w:val="008160B7"/>
    <w:rsid w:val="00817C04"/>
    <w:rsid w:val="00824844"/>
    <w:rsid w:val="00825981"/>
    <w:rsid w:val="0082677E"/>
    <w:rsid w:val="008314DA"/>
    <w:rsid w:val="008324FF"/>
    <w:rsid w:val="00841E16"/>
    <w:rsid w:val="008426C6"/>
    <w:rsid w:val="008447B8"/>
    <w:rsid w:val="008461CD"/>
    <w:rsid w:val="00861ACF"/>
    <w:rsid w:val="008638F9"/>
    <w:rsid w:val="00863C7D"/>
    <w:rsid w:val="00865DAD"/>
    <w:rsid w:val="00870D6D"/>
    <w:rsid w:val="0087257F"/>
    <w:rsid w:val="00877380"/>
    <w:rsid w:val="008910F1"/>
    <w:rsid w:val="00893F5A"/>
    <w:rsid w:val="00894D3B"/>
    <w:rsid w:val="008957D1"/>
    <w:rsid w:val="00896F25"/>
    <w:rsid w:val="00897042"/>
    <w:rsid w:val="008A25A8"/>
    <w:rsid w:val="008A450B"/>
    <w:rsid w:val="008B147C"/>
    <w:rsid w:val="008B2558"/>
    <w:rsid w:val="008B621C"/>
    <w:rsid w:val="008B6EDD"/>
    <w:rsid w:val="008D1F4E"/>
    <w:rsid w:val="008D7CC0"/>
    <w:rsid w:val="008E7D27"/>
    <w:rsid w:val="00906512"/>
    <w:rsid w:val="009226F9"/>
    <w:rsid w:val="00923D79"/>
    <w:rsid w:val="00936C58"/>
    <w:rsid w:val="009370AC"/>
    <w:rsid w:val="00937490"/>
    <w:rsid w:val="009378CF"/>
    <w:rsid w:val="00937FA6"/>
    <w:rsid w:val="009562E1"/>
    <w:rsid w:val="00961F4B"/>
    <w:rsid w:val="00962AF5"/>
    <w:rsid w:val="00966107"/>
    <w:rsid w:val="00967010"/>
    <w:rsid w:val="0097290B"/>
    <w:rsid w:val="009920AB"/>
    <w:rsid w:val="009931D9"/>
    <w:rsid w:val="009A1030"/>
    <w:rsid w:val="009A23AD"/>
    <w:rsid w:val="009A71C3"/>
    <w:rsid w:val="009B051E"/>
    <w:rsid w:val="009B60E4"/>
    <w:rsid w:val="009D7FD9"/>
    <w:rsid w:val="009E1D56"/>
    <w:rsid w:val="009E37FC"/>
    <w:rsid w:val="00A0263C"/>
    <w:rsid w:val="00A11711"/>
    <w:rsid w:val="00A21042"/>
    <w:rsid w:val="00A278EE"/>
    <w:rsid w:val="00A27D8F"/>
    <w:rsid w:val="00A353DB"/>
    <w:rsid w:val="00A35FA9"/>
    <w:rsid w:val="00A4266D"/>
    <w:rsid w:val="00A4733A"/>
    <w:rsid w:val="00A47FD8"/>
    <w:rsid w:val="00A51841"/>
    <w:rsid w:val="00A54FAC"/>
    <w:rsid w:val="00A5741D"/>
    <w:rsid w:val="00A620B6"/>
    <w:rsid w:val="00A76D2C"/>
    <w:rsid w:val="00A80030"/>
    <w:rsid w:val="00A83EFB"/>
    <w:rsid w:val="00A8737E"/>
    <w:rsid w:val="00A87DAB"/>
    <w:rsid w:val="00AA74BC"/>
    <w:rsid w:val="00AB4D04"/>
    <w:rsid w:val="00AB6794"/>
    <w:rsid w:val="00AC0433"/>
    <w:rsid w:val="00AD08DC"/>
    <w:rsid w:val="00AD4204"/>
    <w:rsid w:val="00AD6DC8"/>
    <w:rsid w:val="00AE0402"/>
    <w:rsid w:val="00AE233C"/>
    <w:rsid w:val="00AE3155"/>
    <w:rsid w:val="00AE683C"/>
    <w:rsid w:val="00AF240F"/>
    <w:rsid w:val="00AF53DE"/>
    <w:rsid w:val="00B00F41"/>
    <w:rsid w:val="00B1138A"/>
    <w:rsid w:val="00B14A69"/>
    <w:rsid w:val="00B204F0"/>
    <w:rsid w:val="00B22DC2"/>
    <w:rsid w:val="00B32E22"/>
    <w:rsid w:val="00B42171"/>
    <w:rsid w:val="00B4371B"/>
    <w:rsid w:val="00B43D25"/>
    <w:rsid w:val="00B50487"/>
    <w:rsid w:val="00B5256D"/>
    <w:rsid w:val="00B575CA"/>
    <w:rsid w:val="00B70B89"/>
    <w:rsid w:val="00B76694"/>
    <w:rsid w:val="00B77F1E"/>
    <w:rsid w:val="00B90C76"/>
    <w:rsid w:val="00B958C0"/>
    <w:rsid w:val="00BA34CC"/>
    <w:rsid w:val="00BA42ED"/>
    <w:rsid w:val="00BC3BBB"/>
    <w:rsid w:val="00BC44A4"/>
    <w:rsid w:val="00BC5E10"/>
    <w:rsid w:val="00BD3F51"/>
    <w:rsid w:val="00BE3B6A"/>
    <w:rsid w:val="00BE4351"/>
    <w:rsid w:val="00BF1631"/>
    <w:rsid w:val="00C00E3E"/>
    <w:rsid w:val="00C04867"/>
    <w:rsid w:val="00C078AD"/>
    <w:rsid w:val="00C1075D"/>
    <w:rsid w:val="00C112FC"/>
    <w:rsid w:val="00C11E18"/>
    <w:rsid w:val="00C1582F"/>
    <w:rsid w:val="00C27EC2"/>
    <w:rsid w:val="00C355D5"/>
    <w:rsid w:val="00C424F2"/>
    <w:rsid w:val="00C46396"/>
    <w:rsid w:val="00C475F0"/>
    <w:rsid w:val="00C65138"/>
    <w:rsid w:val="00C668BA"/>
    <w:rsid w:val="00C71B13"/>
    <w:rsid w:val="00C72277"/>
    <w:rsid w:val="00C747FE"/>
    <w:rsid w:val="00C90FE3"/>
    <w:rsid w:val="00C93D13"/>
    <w:rsid w:val="00CA49EC"/>
    <w:rsid w:val="00CB4A49"/>
    <w:rsid w:val="00CC1590"/>
    <w:rsid w:val="00CC2933"/>
    <w:rsid w:val="00CC3CEA"/>
    <w:rsid w:val="00CC6FAD"/>
    <w:rsid w:val="00CD06E4"/>
    <w:rsid w:val="00CD1229"/>
    <w:rsid w:val="00CD6B25"/>
    <w:rsid w:val="00CD7C35"/>
    <w:rsid w:val="00CE0673"/>
    <w:rsid w:val="00CE7226"/>
    <w:rsid w:val="00CF3F9B"/>
    <w:rsid w:val="00D00FEA"/>
    <w:rsid w:val="00D13B4E"/>
    <w:rsid w:val="00D14C8E"/>
    <w:rsid w:val="00D16FF5"/>
    <w:rsid w:val="00D175B1"/>
    <w:rsid w:val="00D22A09"/>
    <w:rsid w:val="00D324CD"/>
    <w:rsid w:val="00D413E6"/>
    <w:rsid w:val="00D42D7B"/>
    <w:rsid w:val="00D43F0D"/>
    <w:rsid w:val="00D46889"/>
    <w:rsid w:val="00D63EB1"/>
    <w:rsid w:val="00D717D9"/>
    <w:rsid w:val="00D90026"/>
    <w:rsid w:val="00D91E2C"/>
    <w:rsid w:val="00D947B3"/>
    <w:rsid w:val="00D94B49"/>
    <w:rsid w:val="00DA5614"/>
    <w:rsid w:val="00DC5C27"/>
    <w:rsid w:val="00DD2856"/>
    <w:rsid w:val="00DD3479"/>
    <w:rsid w:val="00DE3F81"/>
    <w:rsid w:val="00DF4912"/>
    <w:rsid w:val="00DF73C7"/>
    <w:rsid w:val="00E00A85"/>
    <w:rsid w:val="00E108F4"/>
    <w:rsid w:val="00E10A30"/>
    <w:rsid w:val="00E11074"/>
    <w:rsid w:val="00E11CC2"/>
    <w:rsid w:val="00E17F71"/>
    <w:rsid w:val="00E22FDE"/>
    <w:rsid w:val="00E23A53"/>
    <w:rsid w:val="00E250DE"/>
    <w:rsid w:val="00E40A15"/>
    <w:rsid w:val="00E41F4E"/>
    <w:rsid w:val="00E41F71"/>
    <w:rsid w:val="00E466BE"/>
    <w:rsid w:val="00E61356"/>
    <w:rsid w:val="00E629ED"/>
    <w:rsid w:val="00E7143B"/>
    <w:rsid w:val="00E71D99"/>
    <w:rsid w:val="00E7305A"/>
    <w:rsid w:val="00E73669"/>
    <w:rsid w:val="00E8205D"/>
    <w:rsid w:val="00E90773"/>
    <w:rsid w:val="00E90893"/>
    <w:rsid w:val="00E922DB"/>
    <w:rsid w:val="00E9471C"/>
    <w:rsid w:val="00EA54BE"/>
    <w:rsid w:val="00EB3D04"/>
    <w:rsid w:val="00ED2FCA"/>
    <w:rsid w:val="00ED473B"/>
    <w:rsid w:val="00EE0A75"/>
    <w:rsid w:val="00EE1D97"/>
    <w:rsid w:val="00EE244D"/>
    <w:rsid w:val="00EF1977"/>
    <w:rsid w:val="00F0243B"/>
    <w:rsid w:val="00F02CB7"/>
    <w:rsid w:val="00F1019D"/>
    <w:rsid w:val="00F10D6C"/>
    <w:rsid w:val="00F142B0"/>
    <w:rsid w:val="00F406A6"/>
    <w:rsid w:val="00F40DB1"/>
    <w:rsid w:val="00F437B2"/>
    <w:rsid w:val="00F504DA"/>
    <w:rsid w:val="00F52E97"/>
    <w:rsid w:val="00F5569D"/>
    <w:rsid w:val="00F70429"/>
    <w:rsid w:val="00F72233"/>
    <w:rsid w:val="00F85269"/>
    <w:rsid w:val="00F86D3F"/>
    <w:rsid w:val="00F93F45"/>
    <w:rsid w:val="00F95E67"/>
    <w:rsid w:val="00FB2866"/>
    <w:rsid w:val="00FC3B4C"/>
    <w:rsid w:val="00FC7461"/>
    <w:rsid w:val="00FC7902"/>
    <w:rsid w:val="00FD1148"/>
    <w:rsid w:val="00FE2D2A"/>
    <w:rsid w:val="00FE5892"/>
    <w:rsid w:val="00FE7D01"/>
    <w:rsid w:val="00FF1A60"/>
    <w:rsid w:val="00FF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E24"/>
    <w:pPr>
      <w:spacing w:after="200" w:line="276" w:lineRule="auto"/>
    </w:pPr>
    <w:rPr>
      <w:rFonts w:asciiTheme="minorHAnsi" w:eastAsiaTheme="minorHAnsi" w:hAnsiTheme="minorHAnsi" w:cstheme="minorBidi"/>
      <w:sz w:val="22"/>
      <w:szCs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rsid w:val="00377649"/>
    <w:pPr>
      <w:keepNext/>
      <w:numPr>
        <w:numId w:val="14"/>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rsid w:val="0097290B"/>
    <w:pPr>
      <w:keepNext/>
      <w:numPr>
        <w:ilvl w:val="1"/>
        <w:numId w:val="14"/>
      </w:numPr>
      <w:spacing w:after="2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qFormat/>
    <w:rsid w:val="0097290B"/>
    <w:pPr>
      <w:keepNext/>
      <w:numPr>
        <w:ilvl w:val="2"/>
        <w:numId w:val="14"/>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rsid w:val="0097290B"/>
    <w:pPr>
      <w:keepNext/>
      <w:numPr>
        <w:ilvl w:val="3"/>
        <w:numId w:val="14"/>
      </w:numPr>
      <w:tabs>
        <w:tab w:val="left" w:pos="2880"/>
      </w:tabs>
      <w:spacing w:after="120"/>
      <w:outlineLvl w:val="3"/>
    </w:pPr>
    <w:rPr>
      <w:b/>
    </w:rPr>
  </w:style>
  <w:style w:type="paragraph" w:styleId="Heading5">
    <w:name w:val="heading 5"/>
    <w:aliases w:val="Heading 5 Char"/>
    <w:basedOn w:val="Normal"/>
    <w:next w:val="ParaNum"/>
    <w:qFormat/>
    <w:rsid w:val="0097290B"/>
    <w:pPr>
      <w:keepNext/>
      <w:numPr>
        <w:ilvl w:val="4"/>
        <w:numId w:val="14"/>
      </w:numPr>
      <w:tabs>
        <w:tab w:val="left" w:pos="3600"/>
      </w:tabs>
      <w:suppressAutoHyphens/>
      <w:spacing w:after="120"/>
      <w:outlineLvl w:val="4"/>
    </w:pPr>
    <w:rPr>
      <w:b/>
    </w:rPr>
  </w:style>
  <w:style w:type="paragraph" w:styleId="Heading6">
    <w:name w:val="heading 6"/>
    <w:aliases w:val="h6"/>
    <w:basedOn w:val="Normal"/>
    <w:next w:val="ParaNum"/>
    <w:qFormat/>
    <w:rsid w:val="0097290B"/>
    <w:pPr>
      <w:numPr>
        <w:ilvl w:val="5"/>
        <w:numId w:val="14"/>
      </w:numPr>
      <w:tabs>
        <w:tab w:val="left" w:pos="4320"/>
      </w:tabs>
      <w:spacing w:after="120"/>
      <w:outlineLvl w:val="5"/>
    </w:pPr>
    <w:rPr>
      <w:b/>
    </w:rPr>
  </w:style>
  <w:style w:type="paragraph" w:styleId="Heading7">
    <w:name w:val="heading 7"/>
    <w:aliases w:val="Heading 7 Char"/>
    <w:basedOn w:val="Normal"/>
    <w:next w:val="ParaNum"/>
    <w:qFormat/>
    <w:rsid w:val="0097290B"/>
    <w:pPr>
      <w:numPr>
        <w:ilvl w:val="6"/>
        <w:numId w:val="14"/>
      </w:numPr>
      <w:tabs>
        <w:tab w:val="left" w:pos="5040"/>
      </w:tabs>
      <w:spacing w:after="120"/>
      <w:ind w:left="5040" w:hanging="720"/>
      <w:outlineLvl w:val="6"/>
    </w:pPr>
    <w:rPr>
      <w:b/>
    </w:rPr>
  </w:style>
  <w:style w:type="paragraph" w:styleId="Heading8">
    <w:name w:val="heading 8"/>
    <w:basedOn w:val="Normal"/>
    <w:next w:val="ParaNum"/>
    <w:qFormat/>
    <w:rsid w:val="0097290B"/>
    <w:pPr>
      <w:numPr>
        <w:ilvl w:val="7"/>
        <w:numId w:val="14"/>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97290B"/>
    <w:pPr>
      <w:numPr>
        <w:ilvl w:val="8"/>
        <w:numId w:val="1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76E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6E24"/>
  </w:style>
  <w:style w:type="paragraph" w:customStyle="1" w:styleId="ParaNum">
    <w:name w:val="ParaNum"/>
    <w:basedOn w:val="Normal"/>
    <w:link w:val="ParaNumCharChar1"/>
    <w:rsid w:val="0097290B"/>
    <w:pPr>
      <w:numPr>
        <w:numId w:val="13"/>
      </w:numPr>
      <w:tabs>
        <w:tab w:val="clear" w:pos="1080"/>
        <w:tab w:val="num" w:pos="1440"/>
      </w:tabs>
      <w:spacing w:after="120"/>
    </w:p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semiHidden/>
    <w:rsid w:val="00377649"/>
    <w:pPr>
      <w:spacing w:after="120"/>
    </w:pPr>
  </w:style>
  <w:style w:type="character" w:styleId="FootnoteReference">
    <w:name w:val="footnote reference"/>
    <w:aliases w:val="Style 12,(NECG) Footnote Reference,Style 13,Appel note de bas de p,Style 124,fr,o,Style 3,FR,Style 17,Footnote Reference/,Style 6,Style 7"/>
    <w:semiHidden/>
    <w:rsid w:val="00377649"/>
    <w:rPr>
      <w:rFonts w:ascii="Times New Roman" w:hAnsi="Times New Roman"/>
      <w:dstrike w:val="0"/>
      <w:color w:val="auto"/>
      <w:sz w:val="22"/>
      <w:vertAlign w:val="superscript"/>
    </w:rPr>
  </w:style>
  <w:style w:type="paragraph" w:styleId="Header">
    <w:name w:val="header"/>
    <w:basedOn w:val="Normal"/>
    <w:autoRedefine/>
    <w:rsid w:val="001C2464"/>
    <w:pPr>
      <w:tabs>
        <w:tab w:val="center" w:pos="4680"/>
        <w:tab w:val="right" w:pos="9360"/>
      </w:tabs>
    </w:pPr>
    <w:rPr>
      <w:rFonts w:ascii="Times New Roman" w:hAnsi="Times New Roman"/>
      <w:b/>
    </w:rPr>
  </w:style>
  <w:style w:type="paragraph" w:styleId="Footer">
    <w:name w:val="footer"/>
    <w:basedOn w:val="Normal"/>
    <w:link w:val="FooterChar"/>
    <w:rsid w:val="0097290B"/>
    <w:pPr>
      <w:tabs>
        <w:tab w:val="center" w:pos="4320"/>
        <w:tab w:val="right" w:pos="8640"/>
      </w:tabs>
    </w:pPr>
  </w:style>
  <w:style w:type="character" w:styleId="PageNumber">
    <w:name w:val="page number"/>
    <w:rsid w:val="00377649"/>
  </w:style>
  <w:style w:type="character" w:customStyle="1" w:styleId="ParaNumCharChar1">
    <w:name w:val="ParaNum Char Char1"/>
    <w:link w:val="ParaNum"/>
    <w:locked/>
    <w:rPr>
      <w:rFonts w:ascii="Calibri" w:eastAsia="Calibri" w:hAnsi="Calibri" w:cs="Times New Roman"/>
      <w:sz w:val="22"/>
      <w:szCs w:val="22"/>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semiHidden/>
    <w:locked/>
  </w:style>
  <w:style w:type="paragraph" w:customStyle="1" w:styleId="sectionheading">
    <w:name w:val="sectionheading"/>
    <w:basedOn w:val="Normal"/>
    <w:rsid w:val="0097290B"/>
    <w:pPr>
      <w:spacing w:before="100" w:beforeAutospacing="1" w:after="100" w:afterAutospacing="1"/>
    </w:pPr>
    <w:rPr>
      <w:sz w:val="24"/>
      <w:szCs w:val="24"/>
    </w:rPr>
  </w:style>
  <w:style w:type="character" w:styleId="Emphasis">
    <w:name w:val="Emphasis"/>
    <w:qFormat/>
    <w:rPr>
      <w:i/>
      <w:iCs/>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rsid w:val="008461CD"/>
    <w:rPr>
      <w:rFonts w:ascii="Calibri" w:eastAsia="Calibri" w:hAnsi="Calibri" w:cs="Times New Roman"/>
      <w:b/>
      <w:sz w:val="22"/>
      <w:szCs w:val="22"/>
    </w:rPr>
  </w:style>
  <w:style w:type="character" w:customStyle="1" w:styleId="apple-converted-space">
    <w:name w:val="apple-converted-space"/>
    <w:basedOn w:val="DefaultParagraphFont"/>
  </w:style>
  <w:style w:type="paragraph" w:styleId="ListBullet">
    <w:name w:val="List Bullet"/>
    <w:basedOn w:val="Normal"/>
    <w:rsid w:val="0097290B"/>
    <w:pPr>
      <w:numPr>
        <w:numId w:val="4"/>
      </w:numPr>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sid w:val="0097290B"/>
    <w:rPr>
      <w:sz w:val="20"/>
      <w:lang w:val="x-none" w:eastAsia="x-non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rsid w:val="0097290B"/>
    <w:rPr>
      <w:sz w:val="20"/>
    </w:rPr>
  </w:style>
  <w:style w:type="character" w:styleId="EndnoteReference">
    <w:name w:val="endnote reference"/>
    <w:semiHidden/>
    <w:rsid w:val="00377649"/>
    <w:rPr>
      <w:vertAlign w:val="superscript"/>
    </w:rPr>
  </w:style>
  <w:style w:type="paragraph" w:styleId="TOC1">
    <w:name w:val="toc 1"/>
    <w:basedOn w:val="Normal"/>
    <w:next w:val="Normal"/>
    <w:rsid w:val="0097290B"/>
    <w:pPr>
      <w:tabs>
        <w:tab w:val="left" w:pos="360"/>
        <w:tab w:val="right" w:leader="dot" w:pos="9360"/>
      </w:tabs>
      <w:suppressAutoHyphens/>
      <w:ind w:left="360" w:right="720" w:hanging="360"/>
    </w:pPr>
    <w:rPr>
      <w:caps/>
      <w:noProof/>
    </w:rPr>
  </w:style>
  <w:style w:type="paragraph" w:styleId="TOC2">
    <w:name w:val="toc 2"/>
    <w:basedOn w:val="Normal"/>
    <w:next w:val="Normal"/>
    <w:rsid w:val="0097290B"/>
    <w:pPr>
      <w:tabs>
        <w:tab w:val="left" w:pos="720"/>
        <w:tab w:val="right" w:leader="dot" w:pos="9360"/>
      </w:tabs>
      <w:suppressAutoHyphens/>
      <w:ind w:left="720" w:right="720" w:hanging="360"/>
    </w:pPr>
    <w:rPr>
      <w:noProof/>
    </w:rPr>
  </w:style>
  <w:style w:type="paragraph" w:styleId="TOC3">
    <w:name w:val="toc 3"/>
    <w:basedOn w:val="Normal"/>
    <w:next w:val="Normal"/>
    <w:rsid w:val="0097290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7290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7290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7290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7290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7290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7290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7290B"/>
    <w:pPr>
      <w:tabs>
        <w:tab w:val="right" w:pos="9360"/>
      </w:tabs>
      <w:suppressAutoHyphens/>
    </w:pPr>
  </w:style>
  <w:style w:type="character" w:customStyle="1" w:styleId="EquationCaption">
    <w:name w:val="_Equation Caption"/>
    <w:rsid w:val="00377649"/>
  </w:style>
  <w:style w:type="paragraph" w:styleId="BlockText">
    <w:name w:val="Block Text"/>
    <w:basedOn w:val="Normal"/>
    <w:rsid w:val="0097290B"/>
    <w:pPr>
      <w:spacing w:after="240"/>
      <w:ind w:left="1440" w:right="1440"/>
    </w:pPr>
  </w:style>
  <w:style w:type="paragraph" w:customStyle="1" w:styleId="Paratitle">
    <w:name w:val="Para title"/>
    <w:basedOn w:val="Normal"/>
    <w:rsid w:val="0097290B"/>
    <w:pPr>
      <w:tabs>
        <w:tab w:val="center" w:pos="9270"/>
      </w:tabs>
      <w:spacing w:after="240"/>
    </w:pPr>
    <w:rPr>
      <w:spacing w:val="-2"/>
    </w:rPr>
  </w:style>
  <w:style w:type="paragraph" w:customStyle="1" w:styleId="Bullet">
    <w:name w:val="Bullet"/>
    <w:basedOn w:val="Normal"/>
    <w:rsid w:val="0097290B"/>
    <w:pPr>
      <w:numPr>
        <w:numId w:val="1"/>
      </w:numPr>
      <w:tabs>
        <w:tab w:val="left" w:pos="2160"/>
      </w:tabs>
      <w:spacing w:after="220"/>
      <w:ind w:left="2160"/>
    </w:pPr>
  </w:style>
  <w:style w:type="paragraph" w:customStyle="1" w:styleId="TableFormat">
    <w:name w:val="TableFormat"/>
    <w:basedOn w:val="Bullet"/>
    <w:rsid w:val="0097290B"/>
    <w:pPr>
      <w:numPr>
        <w:numId w:val="0"/>
      </w:numPr>
      <w:tabs>
        <w:tab w:val="clear" w:pos="2160"/>
        <w:tab w:val="left" w:pos="5040"/>
      </w:tabs>
      <w:ind w:left="5040" w:hanging="3600"/>
    </w:pPr>
  </w:style>
  <w:style w:type="paragraph" w:customStyle="1" w:styleId="TOCTitle">
    <w:name w:val="TOC Title"/>
    <w:basedOn w:val="Normal"/>
    <w:rsid w:val="0037764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77649"/>
    <w:pPr>
      <w:jc w:val="center"/>
    </w:pPr>
    <w:rPr>
      <w:rFonts w:ascii="Times New Roman Bold" w:hAnsi="Times New Roman Bold"/>
      <w:b/>
      <w:bCs/>
      <w:caps/>
    </w:rPr>
  </w:style>
  <w:style w:type="character" w:styleId="Hyperlink">
    <w:name w:val="Hyperlink"/>
    <w:rsid w:val="00377649"/>
    <w:rPr>
      <w:color w:val="0000FF"/>
      <w:u w:val="single"/>
    </w:rPr>
  </w:style>
  <w:style w:type="paragraph" w:styleId="CommentSubject">
    <w:name w:val="annotation subject"/>
    <w:basedOn w:val="CommentText"/>
    <w:next w:val="CommentText"/>
    <w:link w:val="CommentSubjectChar"/>
    <w:rsid w:val="0097290B"/>
    <w:rPr>
      <w:b/>
      <w:bCs/>
    </w:rPr>
  </w:style>
  <w:style w:type="character" w:customStyle="1" w:styleId="CommentTextChar">
    <w:name w:val="Comment Text Char"/>
    <w:link w:val="CommentText"/>
    <w:semiHidden/>
    <w:rPr>
      <w:rFonts w:ascii="Calibri" w:eastAsia="Calibri" w:hAnsi="Calibri" w:cs="Times New Roman"/>
      <w:szCs w:val="22"/>
      <w:lang w:val="x-none" w:eastAsia="x-none"/>
    </w:rPr>
  </w:style>
  <w:style w:type="character" w:customStyle="1" w:styleId="CommentSubjectChar">
    <w:name w:val="Comment Subject Char"/>
    <w:link w:val="CommentSubject"/>
    <w:rPr>
      <w:rFonts w:ascii="Calibri" w:eastAsia="Calibri" w:hAnsi="Calibri" w:cs="Times New Roman"/>
      <w:b/>
      <w:bCs/>
      <w:szCs w:val="22"/>
      <w:lang w:val="x-none" w:eastAsia="x-none"/>
    </w:rPr>
  </w:style>
  <w:style w:type="paragraph" w:customStyle="1" w:styleId="Default">
    <w:name w:val="Default"/>
    <w:pPr>
      <w:autoSpaceDE w:val="0"/>
      <w:autoSpaceDN w:val="0"/>
      <w:adjustRightInd w:val="0"/>
    </w:pPr>
    <w:rPr>
      <w:color w:val="000000"/>
      <w:sz w:val="24"/>
      <w:szCs w:val="24"/>
    </w:rPr>
  </w:style>
  <w:style w:type="character" w:customStyle="1" w:styleId="ALTSFOOTNOTEChar1">
    <w:name w:val="ALTS FOOTNOTE Char1"/>
    <w:aliases w:val="Footnote Text Char Char,Footnote Text Char1 Char Char,Footnote Text Char Char Char Char,ALTS FOOTNOTE Char Char Char Char,fn Char Char Char Char,Footnote Text Char Char1 Char,ALTS FOOTNOTE Char Char1 Char,fn Char Char1 Char"/>
    <w:rsid w:val="00B46FD8"/>
    <w:rPr>
      <w:lang w:val="en-US" w:eastAsia="en-US" w:bidi="ar-SA"/>
    </w:rPr>
  </w:style>
  <w:style w:type="character" w:customStyle="1" w:styleId="ParaNumChar">
    <w:name w:val="ParaNum Char"/>
    <w:locked/>
    <w:rsid w:val="00193A05"/>
    <w:rPr>
      <w:sz w:val="22"/>
      <w:lang w:val="en-US" w:eastAsia="en-US" w:bidi="ar-SA"/>
    </w:rPr>
  </w:style>
  <w:style w:type="paragraph" w:customStyle="1" w:styleId="StyleParaNumTimesnewromnaLeftAfter0pt">
    <w:name w:val="Style ParaNum + Times new romna Left After:  0 pt"/>
    <w:basedOn w:val="ParaNum"/>
    <w:rsid w:val="00193A05"/>
    <w:pPr>
      <w:numPr>
        <w:numId w:val="0"/>
      </w:numPr>
      <w:tabs>
        <w:tab w:val="num" w:pos="720"/>
        <w:tab w:val="left" w:pos="1440"/>
      </w:tabs>
      <w:spacing w:after="0"/>
      <w:ind w:left="720" w:hanging="720"/>
    </w:pPr>
    <w:rPr>
      <w:rFonts w:ascii="Times new romna" w:hAnsi="Times new romna"/>
      <w:snapToGrid w:val="0"/>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 Char Char Char Char,f Char Char"/>
    <w:semiHidden/>
    <w:locked/>
    <w:rsid w:val="001A0020"/>
    <w:rPr>
      <w:lang w:val="en-US" w:eastAsia="en-US" w:bidi="ar-SA"/>
    </w:rPr>
  </w:style>
  <w:style w:type="paragraph" w:styleId="DocumentMap">
    <w:name w:val="Document Map"/>
    <w:basedOn w:val="Normal"/>
    <w:semiHidden/>
    <w:rsid w:val="001A0020"/>
    <w:pPr>
      <w:numPr>
        <w:numId w:val="23"/>
      </w:numPr>
      <w:shd w:val="clear" w:color="auto" w:fill="000080"/>
      <w:tabs>
        <w:tab w:val="clear" w:pos="1080"/>
      </w:tabs>
      <w:ind w:firstLine="0"/>
    </w:pPr>
    <w:rPr>
      <w:rFonts w:ascii="Tahoma" w:hAnsi="Tahoma"/>
      <w:sz w:val="24"/>
    </w:rPr>
  </w:style>
  <w:style w:type="paragraph" w:customStyle="1" w:styleId="LightList-Accent31">
    <w:name w:val="Light List - Accent 31"/>
    <w:hidden/>
    <w:uiPriority w:val="99"/>
    <w:semiHidden/>
    <w:rsid w:val="005B4D8A"/>
    <w:rPr>
      <w:snapToGrid w:val="0"/>
      <w:kern w:val="28"/>
      <w:sz w:val="22"/>
    </w:rPr>
  </w:style>
  <w:style w:type="paragraph" w:customStyle="1" w:styleId="MediumList2-Accent21">
    <w:name w:val="Medium List 2 - Accent 21"/>
    <w:hidden/>
    <w:uiPriority w:val="99"/>
    <w:semiHidden/>
    <w:rsid w:val="00CB364B"/>
    <w:rPr>
      <w:snapToGrid w:val="0"/>
      <w:kern w:val="28"/>
      <w:sz w:val="22"/>
    </w:rPr>
  </w:style>
  <w:style w:type="paragraph" w:customStyle="1" w:styleId="ColorfulShading-Accent11">
    <w:name w:val="Colorful Shading - Accent 11"/>
    <w:hidden/>
    <w:uiPriority w:val="99"/>
    <w:semiHidden/>
    <w:rsid w:val="00256F02"/>
    <w:rPr>
      <w:snapToGrid w:val="0"/>
      <w:kern w:val="28"/>
      <w:sz w:val="22"/>
    </w:rPr>
  </w:style>
  <w:style w:type="paragraph" w:customStyle="1" w:styleId="MediumGrid21">
    <w:name w:val="Medium Grid 21"/>
    <w:uiPriority w:val="1"/>
    <w:qFormat/>
    <w:rsid w:val="005244FE"/>
    <w:rPr>
      <w:rFonts w:ascii="Calibri" w:eastAsia="Calibri" w:hAnsi="Calibri"/>
      <w:sz w:val="22"/>
      <w:szCs w:val="22"/>
    </w:rPr>
  </w:style>
  <w:style w:type="paragraph" w:styleId="Revision">
    <w:name w:val="Revision"/>
    <w:hidden/>
    <w:uiPriority w:val="99"/>
    <w:semiHidden/>
    <w:rsid w:val="005D2D91"/>
    <w:rPr>
      <w:snapToGrid w:val="0"/>
      <w:kern w:val="28"/>
      <w:sz w:val="22"/>
    </w:rPr>
  </w:style>
  <w:style w:type="paragraph" w:styleId="TOCHeading">
    <w:name w:val="TOC Heading"/>
    <w:basedOn w:val="Heading1"/>
    <w:next w:val="Normal"/>
    <w:uiPriority w:val="39"/>
    <w:semiHidden/>
    <w:unhideWhenUsed/>
    <w:qFormat/>
    <w:rsid w:val="006F28E8"/>
    <w:pPr>
      <w:keepLines/>
      <w:numPr>
        <w:numId w:val="0"/>
      </w:numPr>
      <w:tabs>
        <w:tab w:val="left" w:pos="720"/>
      </w:tabs>
      <w:suppressAutoHyphens w:val="0"/>
      <w:spacing w:before="480" w:after="0"/>
      <w:outlineLvl w:val="9"/>
    </w:pPr>
    <w:rPr>
      <w:rFonts w:ascii="Cambria" w:eastAsia="MS Gothic" w:hAnsi="Cambria"/>
      <w:bCs/>
      <w:caps w:val="0"/>
      <w:snapToGrid w:val="0"/>
      <w:color w:val="365F91"/>
      <w:sz w:val="28"/>
      <w:szCs w:val="28"/>
      <w:lang w:eastAsia="ja-JP"/>
    </w:rPr>
  </w:style>
  <w:style w:type="character" w:customStyle="1" w:styleId="FooterChar">
    <w:name w:val="Footer Char"/>
    <w:link w:val="Footer"/>
    <w:rsid w:val="00F86D3F"/>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E24"/>
    <w:pPr>
      <w:spacing w:after="200" w:line="276" w:lineRule="auto"/>
    </w:pPr>
    <w:rPr>
      <w:rFonts w:asciiTheme="minorHAnsi" w:eastAsiaTheme="minorHAnsi" w:hAnsiTheme="minorHAnsi" w:cstheme="minorBidi"/>
      <w:sz w:val="22"/>
      <w:szCs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rsid w:val="00377649"/>
    <w:pPr>
      <w:keepNext/>
      <w:numPr>
        <w:numId w:val="14"/>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rsid w:val="0097290B"/>
    <w:pPr>
      <w:keepNext/>
      <w:numPr>
        <w:ilvl w:val="1"/>
        <w:numId w:val="14"/>
      </w:numPr>
      <w:spacing w:after="2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qFormat/>
    <w:rsid w:val="0097290B"/>
    <w:pPr>
      <w:keepNext/>
      <w:numPr>
        <w:ilvl w:val="2"/>
        <w:numId w:val="14"/>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rsid w:val="0097290B"/>
    <w:pPr>
      <w:keepNext/>
      <w:numPr>
        <w:ilvl w:val="3"/>
        <w:numId w:val="14"/>
      </w:numPr>
      <w:tabs>
        <w:tab w:val="left" w:pos="2880"/>
      </w:tabs>
      <w:spacing w:after="120"/>
      <w:outlineLvl w:val="3"/>
    </w:pPr>
    <w:rPr>
      <w:b/>
    </w:rPr>
  </w:style>
  <w:style w:type="paragraph" w:styleId="Heading5">
    <w:name w:val="heading 5"/>
    <w:aliases w:val="Heading 5 Char"/>
    <w:basedOn w:val="Normal"/>
    <w:next w:val="ParaNum"/>
    <w:qFormat/>
    <w:rsid w:val="0097290B"/>
    <w:pPr>
      <w:keepNext/>
      <w:numPr>
        <w:ilvl w:val="4"/>
        <w:numId w:val="14"/>
      </w:numPr>
      <w:tabs>
        <w:tab w:val="left" w:pos="3600"/>
      </w:tabs>
      <w:suppressAutoHyphens/>
      <w:spacing w:after="120"/>
      <w:outlineLvl w:val="4"/>
    </w:pPr>
    <w:rPr>
      <w:b/>
    </w:rPr>
  </w:style>
  <w:style w:type="paragraph" w:styleId="Heading6">
    <w:name w:val="heading 6"/>
    <w:aliases w:val="h6"/>
    <w:basedOn w:val="Normal"/>
    <w:next w:val="ParaNum"/>
    <w:qFormat/>
    <w:rsid w:val="0097290B"/>
    <w:pPr>
      <w:numPr>
        <w:ilvl w:val="5"/>
        <w:numId w:val="14"/>
      </w:numPr>
      <w:tabs>
        <w:tab w:val="left" w:pos="4320"/>
      </w:tabs>
      <w:spacing w:after="120"/>
      <w:outlineLvl w:val="5"/>
    </w:pPr>
    <w:rPr>
      <w:b/>
    </w:rPr>
  </w:style>
  <w:style w:type="paragraph" w:styleId="Heading7">
    <w:name w:val="heading 7"/>
    <w:aliases w:val="Heading 7 Char"/>
    <w:basedOn w:val="Normal"/>
    <w:next w:val="ParaNum"/>
    <w:qFormat/>
    <w:rsid w:val="0097290B"/>
    <w:pPr>
      <w:numPr>
        <w:ilvl w:val="6"/>
        <w:numId w:val="14"/>
      </w:numPr>
      <w:tabs>
        <w:tab w:val="left" w:pos="5040"/>
      </w:tabs>
      <w:spacing w:after="120"/>
      <w:ind w:left="5040" w:hanging="720"/>
      <w:outlineLvl w:val="6"/>
    </w:pPr>
    <w:rPr>
      <w:b/>
    </w:rPr>
  </w:style>
  <w:style w:type="paragraph" w:styleId="Heading8">
    <w:name w:val="heading 8"/>
    <w:basedOn w:val="Normal"/>
    <w:next w:val="ParaNum"/>
    <w:qFormat/>
    <w:rsid w:val="0097290B"/>
    <w:pPr>
      <w:numPr>
        <w:ilvl w:val="7"/>
        <w:numId w:val="14"/>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97290B"/>
    <w:pPr>
      <w:numPr>
        <w:ilvl w:val="8"/>
        <w:numId w:val="1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76E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6E24"/>
  </w:style>
  <w:style w:type="paragraph" w:customStyle="1" w:styleId="ParaNum">
    <w:name w:val="ParaNum"/>
    <w:basedOn w:val="Normal"/>
    <w:link w:val="ParaNumCharChar1"/>
    <w:rsid w:val="0097290B"/>
    <w:pPr>
      <w:numPr>
        <w:numId w:val="13"/>
      </w:numPr>
      <w:tabs>
        <w:tab w:val="clear" w:pos="1080"/>
        <w:tab w:val="num" w:pos="1440"/>
      </w:tabs>
      <w:spacing w:after="120"/>
    </w:p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semiHidden/>
    <w:rsid w:val="00377649"/>
    <w:pPr>
      <w:spacing w:after="120"/>
    </w:pPr>
  </w:style>
  <w:style w:type="character" w:styleId="FootnoteReference">
    <w:name w:val="footnote reference"/>
    <w:aliases w:val="Style 12,(NECG) Footnote Reference,Style 13,Appel note de bas de p,Style 124,fr,o,Style 3,FR,Style 17,Footnote Reference/,Style 6,Style 7"/>
    <w:semiHidden/>
    <w:rsid w:val="00377649"/>
    <w:rPr>
      <w:rFonts w:ascii="Times New Roman" w:hAnsi="Times New Roman"/>
      <w:dstrike w:val="0"/>
      <w:color w:val="auto"/>
      <w:sz w:val="22"/>
      <w:vertAlign w:val="superscript"/>
    </w:rPr>
  </w:style>
  <w:style w:type="paragraph" w:styleId="Header">
    <w:name w:val="header"/>
    <w:basedOn w:val="Normal"/>
    <w:autoRedefine/>
    <w:rsid w:val="001C2464"/>
    <w:pPr>
      <w:tabs>
        <w:tab w:val="center" w:pos="4680"/>
        <w:tab w:val="right" w:pos="9360"/>
      </w:tabs>
    </w:pPr>
    <w:rPr>
      <w:rFonts w:ascii="Times New Roman" w:hAnsi="Times New Roman"/>
      <w:b/>
    </w:rPr>
  </w:style>
  <w:style w:type="paragraph" w:styleId="Footer">
    <w:name w:val="footer"/>
    <w:basedOn w:val="Normal"/>
    <w:link w:val="FooterChar"/>
    <w:rsid w:val="0097290B"/>
    <w:pPr>
      <w:tabs>
        <w:tab w:val="center" w:pos="4320"/>
        <w:tab w:val="right" w:pos="8640"/>
      </w:tabs>
    </w:pPr>
  </w:style>
  <w:style w:type="character" w:styleId="PageNumber">
    <w:name w:val="page number"/>
    <w:rsid w:val="00377649"/>
  </w:style>
  <w:style w:type="character" w:customStyle="1" w:styleId="ParaNumCharChar1">
    <w:name w:val="ParaNum Char Char1"/>
    <w:link w:val="ParaNum"/>
    <w:locked/>
    <w:rPr>
      <w:rFonts w:ascii="Calibri" w:eastAsia="Calibri" w:hAnsi="Calibri" w:cs="Times New Roman"/>
      <w:sz w:val="22"/>
      <w:szCs w:val="22"/>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semiHidden/>
    <w:locked/>
  </w:style>
  <w:style w:type="paragraph" w:customStyle="1" w:styleId="sectionheading">
    <w:name w:val="sectionheading"/>
    <w:basedOn w:val="Normal"/>
    <w:rsid w:val="0097290B"/>
    <w:pPr>
      <w:spacing w:before="100" w:beforeAutospacing="1" w:after="100" w:afterAutospacing="1"/>
    </w:pPr>
    <w:rPr>
      <w:sz w:val="24"/>
      <w:szCs w:val="24"/>
    </w:rPr>
  </w:style>
  <w:style w:type="character" w:styleId="Emphasis">
    <w:name w:val="Emphasis"/>
    <w:qFormat/>
    <w:rPr>
      <w:i/>
      <w:iCs/>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rsid w:val="008461CD"/>
    <w:rPr>
      <w:rFonts w:ascii="Calibri" w:eastAsia="Calibri" w:hAnsi="Calibri" w:cs="Times New Roman"/>
      <w:b/>
      <w:sz w:val="22"/>
      <w:szCs w:val="22"/>
    </w:rPr>
  </w:style>
  <w:style w:type="character" w:customStyle="1" w:styleId="apple-converted-space">
    <w:name w:val="apple-converted-space"/>
    <w:basedOn w:val="DefaultParagraphFont"/>
  </w:style>
  <w:style w:type="paragraph" w:styleId="ListBullet">
    <w:name w:val="List Bullet"/>
    <w:basedOn w:val="Normal"/>
    <w:rsid w:val="0097290B"/>
    <w:pPr>
      <w:numPr>
        <w:numId w:val="4"/>
      </w:numPr>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sid w:val="0097290B"/>
    <w:rPr>
      <w:sz w:val="20"/>
      <w:lang w:val="x-none" w:eastAsia="x-non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rsid w:val="0097290B"/>
    <w:rPr>
      <w:sz w:val="20"/>
    </w:rPr>
  </w:style>
  <w:style w:type="character" w:styleId="EndnoteReference">
    <w:name w:val="endnote reference"/>
    <w:semiHidden/>
    <w:rsid w:val="00377649"/>
    <w:rPr>
      <w:vertAlign w:val="superscript"/>
    </w:rPr>
  </w:style>
  <w:style w:type="paragraph" w:styleId="TOC1">
    <w:name w:val="toc 1"/>
    <w:basedOn w:val="Normal"/>
    <w:next w:val="Normal"/>
    <w:rsid w:val="0097290B"/>
    <w:pPr>
      <w:tabs>
        <w:tab w:val="left" w:pos="360"/>
        <w:tab w:val="right" w:leader="dot" w:pos="9360"/>
      </w:tabs>
      <w:suppressAutoHyphens/>
      <w:ind w:left="360" w:right="720" w:hanging="360"/>
    </w:pPr>
    <w:rPr>
      <w:caps/>
      <w:noProof/>
    </w:rPr>
  </w:style>
  <w:style w:type="paragraph" w:styleId="TOC2">
    <w:name w:val="toc 2"/>
    <w:basedOn w:val="Normal"/>
    <w:next w:val="Normal"/>
    <w:rsid w:val="0097290B"/>
    <w:pPr>
      <w:tabs>
        <w:tab w:val="left" w:pos="720"/>
        <w:tab w:val="right" w:leader="dot" w:pos="9360"/>
      </w:tabs>
      <w:suppressAutoHyphens/>
      <w:ind w:left="720" w:right="720" w:hanging="360"/>
    </w:pPr>
    <w:rPr>
      <w:noProof/>
    </w:rPr>
  </w:style>
  <w:style w:type="paragraph" w:styleId="TOC3">
    <w:name w:val="toc 3"/>
    <w:basedOn w:val="Normal"/>
    <w:next w:val="Normal"/>
    <w:rsid w:val="0097290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7290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7290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7290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7290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7290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7290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7290B"/>
    <w:pPr>
      <w:tabs>
        <w:tab w:val="right" w:pos="9360"/>
      </w:tabs>
      <w:suppressAutoHyphens/>
    </w:pPr>
  </w:style>
  <w:style w:type="character" w:customStyle="1" w:styleId="EquationCaption">
    <w:name w:val="_Equation Caption"/>
    <w:rsid w:val="00377649"/>
  </w:style>
  <w:style w:type="paragraph" w:styleId="BlockText">
    <w:name w:val="Block Text"/>
    <w:basedOn w:val="Normal"/>
    <w:rsid w:val="0097290B"/>
    <w:pPr>
      <w:spacing w:after="240"/>
      <w:ind w:left="1440" w:right="1440"/>
    </w:pPr>
  </w:style>
  <w:style w:type="paragraph" w:customStyle="1" w:styleId="Paratitle">
    <w:name w:val="Para title"/>
    <w:basedOn w:val="Normal"/>
    <w:rsid w:val="0097290B"/>
    <w:pPr>
      <w:tabs>
        <w:tab w:val="center" w:pos="9270"/>
      </w:tabs>
      <w:spacing w:after="240"/>
    </w:pPr>
    <w:rPr>
      <w:spacing w:val="-2"/>
    </w:rPr>
  </w:style>
  <w:style w:type="paragraph" w:customStyle="1" w:styleId="Bullet">
    <w:name w:val="Bullet"/>
    <w:basedOn w:val="Normal"/>
    <w:rsid w:val="0097290B"/>
    <w:pPr>
      <w:numPr>
        <w:numId w:val="1"/>
      </w:numPr>
      <w:tabs>
        <w:tab w:val="left" w:pos="2160"/>
      </w:tabs>
      <w:spacing w:after="220"/>
      <w:ind w:left="2160"/>
    </w:pPr>
  </w:style>
  <w:style w:type="paragraph" w:customStyle="1" w:styleId="TableFormat">
    <w:name w:val="TableFormat"/>
    <w:basedOn w:val="Bullet"/>
    <w:rsid w:val="0097290B"/>
    <w:pPr>
      <w:numPr>
        <w:numId w:val="0"/>
      </w:numPr>
      <w:tabs>
        <w:tab w:val="clear" w:pos="2160"/>
        <w:tab w:val="left" w:pos="5040"/>
      </w:tabs>
      <w:ind w:left="5040" w:hanging="3600"/>
    </w:pPr>
  </w:style>
  <w:style w:type="paragraph" w:customStyle="1" w:styleId="TOCTitle">
    <w:name w:val="TOC Title"/>
    <w:basedOn w:val="Normal"/>
    <w:rsid w:val="0037764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77649"/>
    <w:pPr>
      <w:jc w:val="center"/>
    </w:pPr>
    <w:rPr>
      <w:rFonts w:ascii="Times New Roman Bold" w:hAnsi="Times New Roman Bold"/>
      <w:b/>
      <w:bCs/>
      <w:caps/>
    </w:rPr>
  </w:style>
  <w:style w:type="character" w:styleId="Hyperlink">
    <w:name w:val="Hyperlink"/>
    <w:rsid w:val="00377649"/>
    <w:rPr>
      <w:color w:val="0000FF"/>
      <w:u w:val="single"/>
    </w:rPr>
  </w:style>
  <w:style w:type="paragraph" w:styleId="CommentSubject">
    <w:name w:val="annotation subject"/>
    <w:basedOn w:val="CommentText"/>
    <w:next w:val="CommentText"/>
    <w:link w:val="CommentSubjectChar"/>
    <w:rsid w:val="0097290B"/>
    <w:rPr>
      <w:b/>
      <w:bCs/>
    </w:rPr>
  </w:style>
  <w:style w:type="character" w:customStyle="1" w:styleId="CommentTextChar">
    <w:name w:val="Comment Text Char"/>
    <w:link w:val="CommentText"/>
    <w:semiHidden/>
    <w:rPr>
      <w:rFonts w:ascii="Calibri" w:eastAsia="Calibri" w:hAnsi="Calibri" w:cs="Times New Roman"/>
      <w:szCs w:val="22"/>
      <w:lang w:val="x-none" w:eastAsia="x-none"/>
    </w:rPr>
  </w:style>
  <w:style w:type="character" w:customStyle="1" w:styleId="CommentSubjectChar">
    <w:name w:val="Comment Subject Char"/>
    <w:link w:val="CommentSubject"/>
    <w:rPr>
      <w:rFonts w:ascii="Calibri" w:eastAsia="Calibri" w:hAnsi="Calibri" w:cs="Times New Roman"/>
      <w:b/>
      <w:bCs/>
      <w:szCs w:val="22"/>
      <w:lang w:val="x-none" w:eastAsia="x-none"/>
    </w:rPr>
  </w:style>
  <w:style w:type="paragraph" w:customStyle="1" w:styleId="Default">
    <w:name w:val="Default"/>
    <w:pPr>
      <w:autoSpaceDE w:val="0"/>
      <w:autoSpaceDN w:val="0"/>
      <w:adjustRightInd w:val="0"/>
    </w:pPr>
    <w:rPr>
      <w:color w:val="000000"/>
      <w:sz w:val="24"/>
      <w:szCs w:val="24"/>
    </w:rPr>
  </w:style>
  <w:style w:type="character" w:customStyle="1" w:styleId="ALTSFOOTNOTEChar1">
    <w:name w:val="ALTS FOOTNOTE Char1"/>
    <w:aliases w:val="Footnote Text Char Char,Footnote Text Char1 Char Char,Footnote Text Char Char Char Char,ALTS FOOTNOTE Char Char Char Char,fn Char Char Char Char,Footnote Text Char Char1 Char,ALTS FOOTNOTE Char Char1 Char,fn Char Char1 Char"/>
    <w:rsid w:val="00B46FD8"/>
    <w:rPr>
      <w:lang w:val="en-US" w:eastAsia="en-US" w:bidi="ar-SA"/>
    </w:rPr>
  </w:style>
  <w:style w:type="character" w:customStyle="1" w:styleId="ParaNumChar">
    <w:name w:val="ParaNum Char"/>
    <w:locked/>
    <w:rsid w:val="00193A05"/>
    <w:rPr>
      <w:sz w:val="22"/>
      <w:lang w:val="en-US" w:eastAsia="en-US" w:bidi="ar-SA"/>
    </w:rPr>
  </w:style>
  <w:style w:type="paragraph" w:customStyle="1" w:styleId="StyleParaNumTimesnewromnaLeftAfter0pt">
    <w:name w:val="Style ParaNum + Times new romna Left After:  0 pt"/>
    <w:basedOn w:val="ParaNum"/>
    <w:rsid w:val="00193A05"/>
    <w:pPr>
      <w:numPr>
        <w:numId w:val="0"/>
      </w:numPr>
      <w:tabs>
        <w:tab w:val="num" w:pos="720"/>
        <w:tab w:val="left" w:pos="1440"/>
      </w:tabs>
      <w:spacing w:after="0"/>
      <w:ind w:left="720" w:hanging="720"/>
    </w:pPr>
    <w:rPr>
      <w:rFonts w:ascii="Times new romna" w:hAnsi="Times new romna"/>
      <w:snapToGrid w:val="0"/>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 Char Char Char Char,f Char Char"/>
    <w:semiHidden/>
    <w:locked/>
    <w:rsid w:val="001A0020"/>
    <w:rPr>
      <w:lang w:val="en-US" w:eastAsia="en-US" w:bidi="ar-SA"/>
    </w:rPr>
  </w:style>
  <w:style w:type="paragraph" w:styleId="DocumentMap">
    <w:name w:val="Document Map"/>
    <w:basedOn w:val="Normal"/>
    <w:semiHidden/>
    <w:rsid w:val="001A0020"/>
    <w:pPr>
      <w:numPr>
        <w:numId w:val="23"/>
      </w:numPr>
      <w:shd w:val="clear" w:color="auto" w:fill="000080"/>
      <w:tabs>
        <w:tab w:val="clear" w:pos="1080"/>
      </w:tabs>
      <w:ind w:firstLine="0"/>
    </w:pPr>
    <w:rPr>
      <w:rFonts w:ascii="Tahoma" w:hAnsi="Tahoma"/>
      <w:sz w:val="24"/>
    </w:rPr>
  </w:style>
  <w:style w:type="paragraph" w:customStyle="1" w:styleId="LightList-Accent31">
    <w:name w:val="Light List - Accent 31"/>
    <w:hidden/>
    <w:uiPriority w:val="99"/>
    <w:semiHidden/>
    <w:rsid w:val="005B4D8A"/>
    <w:rPr>
      <w:snapToGrid w:val="0"/>
      <w:kern w:val="28"/>
      <w:sz w:val="22"/>
    </w:rPr>
  </w:style>
  <w:style w:type="paragraph" w:customStyle="1" w:styleId="MediumList2-Accent21">
    <w:name w:val="Medium List 2 - Accent 21"/>
    <w:hidden/>
    <w:uiPriority w:val="99"/>
    <w:semiHidden/>
    <w:rsid w:val="00CB364B"/>
    <w:rPr>
      <w:snapToGrid w:val="0"/>
      <w:kern w:val="28"/>
      <w:sz w:val="22"/>
    </w:rPr>
  </w:style>
  <w:style w:type="paragraph" w:customStyle="1" w:styleId="ColorfulShading-Accent11">
    <w:name w:val="Colorful Shading - Accent 11"/>
    <w:hidden/>
    <w:uiPriority w:val="99"/>
    <w:semiHidden/>
    <w:rsid w:val="00256F02"/>
    <w:rPr>
      <w:snapToGrid w:val="0"/>
      <w:kern w:val="28"/>
      <w:sz w:val="22"/>
    </w:rPr>
  </w:style>
  <w:style w:type="paragraph" w:customStyle="1" w:styleId="MediumGrid21">
    <w:name w:val="Medium Grid 21"/>
    <w:uiPriority w:val="1"/>
    <w:qFormat/>
    <w:rsid w:val="005244FE"/>
    <w:rPr>
      <w:rFonts w:ascii="Calibri" w:eastAsia="Calibri" w:hAnsi="Calibri"/>
      <w:sz w:val="22"/>
      <w:szCs w:val="22"/>
    </w:rPr>
  </w:style>
  <w:style w:type="paragraph" w:styleId="Revision">
    <w:name w:val="Revision"/>
    <w:hidden/>
    <w:uiPriority w:val="99"/>
    <w:semiHidden/>
    <w:rsid w:val="005D2D91"/>
    <w:rPr>
      <w:snapToGrid w:val="0"/>
      <w:kern w:val="28"/>
      <w:sz w:val="22"/>
    </w:rPr>
  </w:style>
  <w:style w:type="paragraph" w:styleId="TOCHeading">
    <w:name w:val="TOC Heading"/>
    <w:basedOn w:val="Heading1"/>
    <w:next w:val="Normal"/>
    <w:uiPriority w:val="39"/>
    <w:semiHidden/>
    <w:unhideWhenUsed/>
    <w:qFormat/>
    <w:rsid w:val="006F28E8"/>
    <w:pPr>
      <w:keepLines/>
      <w:numPr>
        <w:numId w:val="0"/>
      </w:numPr>
      <w:tabs>
        <w:tab w:val="left" w:pos="720"/>
      </w:tabs>
      <w:suppressAutoHyphens w:val="0"/>
      <w:spacing w:before="480" w:after="0"/>
      <w:outlineLvl w:val="9"/>
    </w:pPr>
    <w:rPr>
      <w:rFonts w:ascii="Cambria" w:eastAsia="MS Gothic" w:hAnsi="Cambria"/>
      <w:bCs/>
      <w:caps w:val="0"/>
      <w:snapToGrid w:val="0"/>
      <w:color w:val="365F91"/>
      <w:sz w:val="28"/>
      <w:szCs w:val="28"/>
      <w:lang w:eastAsia="ja-JP"/>
    </w:rPr>
  </w:style>
  <w:style w:type="character" w:customStyle="1" w:styleId="FooterChar">
    <w:name w:val="Footer Char"/>
    <w:link w:val="Footer"/>
    <w:rsid w:val="00F86D3F"/>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511175">
      <w:bodyDiv w:val="1"/>
      <w:marLeft w:val="0"/>
      <w:marRight w:val="0"/>
      <w:marTop w:val="0"/>
      <w:marBottom w:val="0"/>
      <w:divBdr>
        <w:top w:val="none" w:sz="0" w:space="0" w:color="auto"/>
        <w:left w:val="none" w:sz="0" w:space="0" w:color="auto"/>
        <w:bottom w:val="none" w:sz="0" w:space="0" w:color="auto"/>
        <w:right w:val="none" w:sz="0" w:space="0" w:color="auto"/>
      </w:divBdr>
    </w:div>
    <w:div w:id="1346054501">
      <w:bodyDiv w:val="1"/>
      <w:marLeft w:val="0"/>
      <w:marRight w:val="0"/>
      <w:marTop w:val="0"/>
      <w:marBottom w:val="0"/>
      <w:divBdr>
        <w:top w:val="none" w:sz="0" w:space="0" w:color="auto"/>
        <w:left w:val="none" w:sz="0" w:space="0" w:color="auto"/>
        <w:bottom w:val="none" w:sz="0" w:space="0" w:color="auto"/>
        <w:right w:val="none" w:sz="0" w:space="0" w:color="auto"/>
      </w:divBdr>
      <w:divsChild>
        <w:div w:id="822896866">
          <w:marLeft w:val="0"/>
          <w:marRight w:val="0"/>
          <w:marTop w:val="0"/>
          <w:marBottom w:val="0"/>
          <w:divBdr>
            <w:top w:val="none" w:sz="0" w:space="0" w:color="auto"/>
            <w:left w:val="none" w:sz="0" w:space="0" w:color="auto"/>
            <w:bottom w:val="none" w:sz="0" w:space="0" w:color="auto"/>
            <w:right w:val="none" w:sz="0" w:space="0" w:color="auto"/>
          </w:divBdr>
          <w:divsChild>
            <w:div w:id="120653415">
              <w:marLeft w:val="0"/>
              <w:marRight w:val="0"/>
              <w:marTop w:val="0"/>
              <w:marBottom w:val="0"/>
              <w:divBdr>
                <w:top w:val="none" w:sz="0" w:space="0" w:color="auto"/>
                <w:left w:val="none" w:sz="0" w:space="0" w:color="auto"/>
                <w:bottom w:val="none" w:sz="0" w:space="0" w:color="auto"/>
                <w:right w:val="none" w:sz="0" w:space="0" w:color="auto"/>
              </w:divBdr>
            </w:div>
            <w:div w:id="14553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6561">
      <w:bodyDiv w:val="1"/>
      <w:marLeft w:val="0"/>
      <w:marRight w:val="0"/>
      <w:marTop w:val="0"/>
      <w:marBottom w:val="0"/>
      <w:divBdr>
        <w:top w:val="none" w:sz="0" w:space="0" w:color="auto"/>
        <w:left w:val="none" w:sz="0" w:space="0" w:color="auto"/>
        <w:bottom w:val="none" w:sz="0" w:space="0" w:color="auto"/>
        <w:right w:val="none" w:sz="0" w:space="0" w:color="auto"/>
      </w:divBdr>
      <w:divsChild>
        <w:div w:id="1295597008">
          <w:marLeft w:val="0"/>
          <w:marRight w:val="0"/>
          <w:marTop w:val="0"/>
          <w:marBottom w:val="0"/>
          <w:divBdr>
            <w:top w:val="none" w:sz="0" w:space="0" w:color="auto"/>
            <w:left w:val="none" w:sz="0" w:space="0" w:color="auto"/>
            <w:bottom w:val="none" w:sz="0" w:space="0" w:color="auto"/>
            <w:right w:val="none" w:sz="0" w:space="0" w:color="auto"/>
          </w:divBdr>
          <w:divsChild>
            <w:div w:id="1226334280">
              <w:marLeft w:val="0"/>
              <w:marRight w:val="0"/>
              <w:marTop w:val="0"/>
              <w:marBottom w:val="0"/>
              <w:divBdr>
                <w:top w:val="none" w:sz="0" w:space="0" w:color="auto"/>
                <w:left w:val="none" w:sz="0" w:space="0" w:color="auto"/>
                <w:bottom w:val="none" w:sz="0" w:space="0" w:color="auto"/>
                <w:right w:val="none" w:sz="0" w:space="0" w:color="auto"/>
              </w:divBdr>
            </w:div>
            <w:div w:id="1651708818">
              <w:marLeft w:val="0"/>
              <w:marRight w:val="0"/>
              <w:marTop w:val="0"/>
              <w:marBottom w:val="0"/>
              <w:divBdr>
                <w:top w:val="none" w:sz="0" w:space="0" w:color="auto"/>
                <w:left w:val="none" w:sz="0" w:space="0" w:color="auto"/>
                <w:bottom w:val="none" w:sz="0" w:space="0" w:color="auto"/>
                <w:right w:val="none" w:sz="0" w:space="0" w:color="auto"/>
              </w:divBdr>
              <w:divsChild>
                <w:div w:id="1027291396">
                  <w:marLeft w:val="0"/>
                  <w:marRight w:val="0"/>
                  <w:marTop w:val="240"/>
                  <w:marBottom w:val="0"/>
                  <w:divBdr>
                    <w:top w:val="none" w:sz="0" w:space="0" w:color="auto"/>
                    <w:left w:val="none" w:sz="0" w:space="0" w:color="auto"/>
                    <w:bottom w:val="none" w:sz="0" w:space="0" w:color="auto"/>
                    <w:right w:val="none" w:sz="0" w:space="0" w:color="auto"/>
                  </w:divBdr>
                  <w:divsChild>
                    <w:div w:id="843740563">
                      <w:marLeft w:val="0"/>
                      <w:marRight w:val="0"/>
                      <w:marTop w:val="240"/>
                      <w:marBottom w:val="0"/>
                      <w:divBdr>
                        <w:top w:val="none" w:sz="0" w:space="0" w:color="auto"/>
                        <w:left w:val="none" w:sz="0" w:space="0" w:color="auto"/>
                        <w:bottom w:val="none" w:sz="0" w:space="0" w:color="auto"/>
                        <w:right w:val="none" w:sz="0" w:space="0" w:color="auto"/>
                      </w:divBdr>
                      <w:divsChild>
                        <w:div w:id="532113777">
                          <w:marLeft w:val="0"/>
                          <w:marRight w:val="0"/>
                          <w:marTop w:val="0"/>
                          <w:marBottom w:val="0"/>
                          <w:divBdr>
                            <w:top w:val="none" w:sz="0" w:space="0" w:color="auto"/>
                            <w:left w:val="none" w:sz="0" w:space="0" w:color="auto"/>
                            <w:bottom w:val="none" w:sz="0" w:space="0" w:color="auto"/>
                            <w:right w:val="none" w:sz="0" w:space="0" w:color="auto"/>
                          </w:divBdr>
                          <w:divsChild>
                            <w:div w:id="5854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3309">
                      <w:marLeft w:val="0"/>
                      <w:marRight w:val="0"/>
                      <w:marTop w:val="240"/>
                      <w:marBottom w:val="0"/>
                      <w:divBdr>
                        <w:top w:val="none" w:sz="0" w:space="0" w:color="auto"/>
                        <w:left w:val="none" w:sz="0" w:space="0" w:color="auto"/>
                        <w:bottom w:val="none" w:sz="0" w:space="0" w:color="auto"/>
                        <w:right w:val="none" w:sz="0" w:space="0" w:color="auto"/>
                      </w:divBdr>
                      <w:divsChild>
                        <w:div w:id="271397079">
                          <w:marLeft w:val="0"/>
                          <w:marRight w:val="0"/>
                          <w:marTop w:val="0"/>
                          <w:marBottom w:val="0"/>
                          <w:divBdr>
                            <w:top w:val="none" w:sz="0" w:space="0" w:color="auto"/>
                            <w:left w:val="none" w:sz="0" w:space="0" w:color="auto"/>
                            <w:bottom w:val="none" w:sz="0" w:space="0" w:color="auto"/>
                            <w:right w:val="none" w:sz="0" w:space="0" w:color="auto"/>
                          </w:divBdr>
                          <w:divsChild>
                            <w:div w:id="20255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876">
                      <w:marLeft w:val="0"/>
                      <w:marRight w:val="0"/>
                      <w:marTop w:val="240"/>
                      <w:marBottom w:val="0"/>
                      <w:divBdr>
                        <w:top w:val="none" w:sz="0" w:space="0" w:color="auto"/>
                        <w:left w:val="none" w:sz="0" w:space="0" w:color="auto"/>
                        <w:bottom w:val="none" w:sz="0" w:space="0" w:color="auto"/>
                        <w:right w:val="none" w:sz="0" w:space="0" w:color="auto"/>
                      </w:divBdr>
                      <w:divsChild>
                        <w:div w:id="113867750">
                          <w:marLeft w:val="0"/>
                          <w:marRight w:val="0"/>
                          <w:marTop w:val="0"/>
                          <w:marBottom w:val="0"/>
                          <w:divBdr>
                            <w:top w:val="none" w:sz="0" w:space="0" w:color="auto"/>
                            <w:left w:val="none" w:sz="0" w:space="0" w:color="auto"/>
                            <w:bottom w:val="none" w:sz="0" w:space="0" w:color="auto"/>
                            <w:right w:val="none" w:sz="0" w:space="0" w:color="auto"/>
                          </w:divBdr>
                          <w:divsChild>
                            <w:div w:id="8430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38896">
                      <w:marLeft w:val="0"/>
                      <w:marRight w:val="0"/>
                      <w:marTop w:val="0"/>
                      <w:marBottom w:val="0"/>
                      <w:divBdr>
                        <w:top w:val="none" w:sz="0" w:space="0" w:color="auto"/>
                        <w:left w:val="none" w:sz="0" w:space="0" w:color="auto"/>
                        <w:bottom w:val="none" w:sz="0" w:space="0" w:color="auto"/>
                        <w:right w:val="none" w:sz="0" w:space="0" w:color="auto"/>
                      </w:divBdr>
                      <w:divsChild>
                        <w:div w:id="1841505761">
                          <w:marLeft w:val="0"/>
                          <w:marRight w:val="0"/>
                          <w:marTop w:val="0"/>
                          <w:marBottom w:val="0"/>
                          <w:divBdr>
                            <w:top w:val="none" w:sz="0" w:space="0" w:color="auto"/>
                            <w:left w:val="none" w:sz="0" w:space="0" w:color="auto"/>
                            <w:bottom w:val="none" w:sz="0" w:space="0" w:color="auto"/>
                            <w:right w:val="none" w:sz="0" w:space="0" w:color="auto"/>
                          </w:divBdr>
                        </w:div>
                      </w:divsChild>
                    </w:div>
                    <w:div w:id="2077194236">
                      <w:marLeft w:val="0"/>
                      <w:marRight w:val="0"/>
                      <w:marTop w:val="240"/>
                      <w:marBottom w:val="0"/>
                      <w:divBdr>
                        <w:top w:val="none" w:sz="0" w:space="0" w:color="auto"/>
                        <w:left w:val="none" w:sz="0" w:space="0" w:color="auto"/>
                        <w:bottom w:val="none" w:sz="0" w:space="0" w:color="auto"/>
                        <w:right w:val="none" w:sz="0" w:space="0" w:color="auto"/>
                      </w:divBdr>
                      <w:divsChild>
                        <w:div w:id="1125588560">
                          <w:marLeft w:val="0"/>
                          <w:marRight w:val="0"/>
                          <w:marTop w:val="0"/>
                          <w:marBottom w:val="0"/>
                          <w:divBdr>
                            <w:top w:val="none" w:sz="0" w:space="0" w:color="auto"/>
                            <w:left w:val="none" w:sz="0" w:space="0" w:color="auto"/>
                            <w:bottom w:val="none" w:sz="0" w:space="0" w:color="auto"/>
                            <w:right w:val="none" w:sz="0" w:space="0" w:color="auto"/>
                          </w:divBdr>
                          <w:divsChild>
                            <w:div w:id="14669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4168">
                  <w:marLeft w:val="0"/>
                  <w:marRight w:val="0"/>
                  <w:marTop w:val="240"/>
                  <w:marBottom w:val="0"/>
                  <w:divBdr>
                    <w:top w:val="none" w:sz="0" w:space="0" w:color="auto"/>
                    <w:left w:val="none" w:sz="0" w:space="0" w:color="auto"/>
                    <w:bottom w:val="none" w:sz="0" w:space="0" w:color="auto"/>
                    <w:right w:val="none" w:sz="0" w:space="0" w:color="auto"/>
                  </w:divBdr>
                  <w:divsChild>
                    <w:div w:id="1607230403">
                      <w:marLeft w:val="0"/>
                      <w:marRight w:val="0"/>
                      <w:marTop w:val="0"/>
                      <w:marBottom w:val="0"/>
                      <w:divBdr>
                        <w:top w:val="none" w:sz="0" w:space="0" w:color="auto"/>
                        <w:left w:val="none" w:sz="0" w:space="0" w:color="auto"/>
                        <w:bottom w:val="none" w:sz="0" w:space="0" w:color="auto"/>
                        <w:right w:val="none" w:sz="0" w:space="0" w:color="auto"/>
                      </w:divBdr>
                      <w:divsChild>
                        <w:div w:id="191242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81549">
                  <w:marLeft w:val="0"/>
                  <w:marRight w:val="0"/>
                  <w:marTop w:val="240"/>
                  <w:marBottom w:val="0"/>
                  <w:divBdr>
                    <w:top w:val="none" w:sz="0" w:space="0" w:color="auto"/>
                    <w:left w:val="none" w:sz="0" w:space="0" w:color="auto"/>
                    <w:bottom w:val="none" w:sz="0" w:space="0" w:color="auto"/>
                    <w:right w:val="none" w:sz="0" w:space="0" w:color="auto"/>
                  </w:divBdr>
                  <w:divsChild>
                    <w:div w:id="1207177884">
                      <w:marLeft w:val="0"/>
                      <w:marRight w:val="0"/>
                      <w:marTop w:val="0"/>
                      <w:marBottom w:val="0"/>
                      <w:divBdr>
                        <w:top w:val="none" w:sz="0" w:space="0" w:color="auto"/>
                        <w:left w:val="none" w:sz="0" w:space="0" w:color="auto"/>
                        <w:bottom w:val="none" w:sz="0" w:space="0" w:color="auto"/>
                        <w:right w:val="none" w:sz="0" w:space="0" w:color="auto"/>
                      </w:divBdr>
                      <w:divsChild>
                        <w:div w:id="18762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Find/Default.wl?rs=dfa1.0&amp;vr=2.0&amp;DB=1000546&amp;DocName=47USCAS151&amp;FindType=L" TargetMode="External"/><Relationship Id="rId13" Type="http://schemas.openxmlformats.org/officeDocument/2006/relationships/hyperlink" Target="http://www.westlaw.com/Find/Default.wl?rs=dfa1.0&amp;vr=2.0&amp;DB=1000546&amp;DocName=47USCAS252&amp;FindType=L" TargetMode="External"/><Relationship Id="rId18" Type="http://schemas.openxmlformats.org/officeDocument/2006/relationships/hyperlink" Target="http://www.westlaw.com/Find/Default.wl?rs=dfa1.0&amp;vr=2.0&amp;DB=1000547&amp;DocName=47CFRS0.291&amp;FindType=L"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www.westlaw.com/Find/Default.wl?rs=dfa1.0&amp;vr=2.0&amp;DB=0001016&amp;FindType=Y&amp;SerialNum=2026548225" TargetMode="External"/><Relationship Id="rId7" Type="http://schemas.openxmlformats.org/officeDocument/2006/relationships/endnotes" Target="endnotes.xml"/><Relationship Id="rId12" Type="http://schemas.openxmlformats.org/officeDocument/2006/relationships/hyperlink" Target="http://www.westlaw.com/Find/Default.wl?rs=dfa1.0&amp;vr=2.0&amp;DB=1000546&amp;DocName=47USCAS251&amp;FindType=L" TargetMode="External"/><Relationship Id="rId17" Type="http://schemas.openxmlformats.org/officeDocument/2006/relationships/hyperlink" Target="http://www.westlaw.com/Find/Default.wl?rs=dfa1.0&amp;vr=2.0&amp;DB=1000547&amp;DocName=47CFRS0.201&amp;FindType=L&amp;ReferencePositionType=T&amp;ReferencePosition=SP_5ba1000067d06"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westlaw.com/Find/Default.wl?rs=dfa1.0&amp;vr=2.0&amp;DB=1000547&amp;DocName=47CFRS0.91&amp;FindType=L" TargetMode="External"/><Relationship Id="rId20" Type="http://schemas.openxmlformats.org/officeDocument/2006/relationships/hyperlink" Target="http://www.westlaw.com/Find/Default.wl?rs=dfa1.0&amp;vr=2.0&amp;DB=1000547&amp;DocName=47CFRS1.427&amp;FindType=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stlaw.com/Find/Default.wl?rs=dfa1.0&amp;vr=2.0&amp;DB=1000546&amp;DocName=47USCAS220&amp;FindType=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estlaw.com/Find/Default.wl?rs=dfa1.0&amp;vr=2.0&amp;DB=1000546&amp;DocName=47USCAS403&amp;FindType=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westlaw.com/Find/Default.wl?rs=dfa1.0&amp;vr=2.0&amp;DB=1000546&amp;DocName=47USCAS154&amp;FindType=L&amp;ReferencePositionType=T&amp;ReferencePosition=SP_17a3000024864" TargetMode="External"/><Relationship Id="rId19" Type="http://schemas.openxmlformats.org/officeDocument/2006/relationships/hyperlink" Target="http://www.westlaw.com/Find/Default.wl?rs=dfa1.0&amp;vr=2.0&amp;DB=1000547&amp;DocName=47CFRS1.3&amp;FindType=L" TargetMode="External"/><Relationship Id="rId4" Type="http://schemas.openxmlformats.org/officeDocument/2006/relationships/settings" Target="settings.xml"/><Relationship Id="rId9" Type="http://schemas.openxmlformats.org/officeDocument/2006/relationships/hyperlink" Target="http://www.westlaw.com/Find/Default.wl?rs=dfa1.0&amp;vr=2.0&amp;DB=1000546&amp;DocName=47USCAS152&amp;FindType=L" TargetMode="External"/><Relationship Id="rId14" Type="http://schemas.openxmlformats.org/officeDocument/2006/relationships/hyperlink" Target="http://www.westlaw.com/Find/Default.wl?rs=dfa1.0&amp;vr=2.0&amp;DB=1000546&amp;DocName=47USCAS303&amp;FindType=L&amp;ReferencePositionType=T&amp;ReferencePosition=SP_3505000063ea7"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Find/Default.wl?rs=dfa1.0&amp;vr=2.0&amp;DB=1000546&amp;DocName=5USCAS605&amp;FindType=L&amp;ReferencePositionType=T&amp;ReferencePosition=SP_a83b000018c76" TargetMode="External"/><Relationship Id="rId13" Type="http://schemas.openxmlformats.org/officeDocument/2006/relationships/hyperlink" Target="http://www.westlaw.com/Find/Default.wl?rs=dfa1.0&amp;vr=2.0&amp;DB=1000546&amp;DocName=15USCAS632&amp;FindType=L" TargetMode="External"/><Relationship Id="rId3" Type="http://schemas.openxmlformats.org/officeDocument/2006/relationships/hyperlink" Target="http://www.westlaw.com/Find/Default.wl?rs=dfa1.0&amp;vr=2.0&amp;DB=1000546&amp;DocName=44USCAS3506&amp;FindType=L&amp;ReferencePositionType=T&amp;ReferencePosition=SP_0c120000563a1" TargetMode="External"/><Relationship Id="rId7" Type="http://schemas.openxmlformats.org/officeDocument/2006/relationships/hyperlink" Target="http://www.westlaw.com/Find/Default.wl?rs=dfa1.0&amp;vr=2.0&amp;DB=1077005&amp;DocName=UU%28IF64742C516-7D4953A3C50-10EB0250951%29&amp;FindType=l" TargetMode="External"/><Relationship Id="rId12" Type="http://schemas.openxmlformats.org/officeDocument/2006/relationships/hyperlink" Target="http://www.westlaw.com/Find/Default.wl?rs=dfa1.0&amp;vr=2.0&amp;DB=1000546&amp;DocName=5USCAS601&amp;FindType=L&amp;ReferencePositionType=T&amp;ReferencePosition=SP_d08f0000f5f67" TargetMode="External"/><Relationship Id="rId2" Type="http://schemas.openxmlformats.org/officeDocument/2006/relationships/hyperlink" Target="http://www.westlaw.com/Find/Default.wl?rs=dfa1.0&amp;vr=2.0&amp;DB=1077005&amp;DocName=UU%28I1482EAD8CD-DB42F7A5CCA-3C0AF73B4D4%29&amp;FindType=l" TargetMode="External"/><Relationship Id="rId1" Type="http://schemas.openxmlformats.org/officeDocument/2006/relationships/hyperlink" Target="http://hraunfoss.fcc.gov/edocs_public/attachmatch/DOC-311775A1.pdf" TargetMode="External"/><Relationship Id="rId6" Type="http://schemas.openxmlformats.org/officeDocument/2006/relationships/hyperlink" Target="http://www.westlaw.com/Find/Default.wl?rs=dfa1.0&amp;vr=2.0&amp;DB=1000546&amp;DocName=5USCAS601&amp;FindType=L" TargetMode="External"/><Relationship Id="rId11" Type="http://schemas.openxmlformats.org/officeDocument/2006/relationships/hyperlink" Target="http://www.westlaw.com/Find/Default.wl?rs=dfa1.0&amp;vr=2.0&amp;DB=1000546&amp;DocName=15USCAS632&amp;FindType=L" TargetMode="External"/><Relationship Id="rId5" Type="http://schemas.openxmlformats.org/officeDocument/2006/relationships/hyperlink" Target="http://www.westlaw.com/Find/Default.wl?rs=dfa1.0&amp;vr=2.0&amp;DB=1000546&amp;DocName=5USCAS601&amp;FindType=L" TargetMode="External"/><Relationship Id="rId15" Type="http://schemas.openxmlformats.org/officeDocument/2006/relationships/hyperlink" Target="http://www.westlaw.com/Find/Default.wl?rs=dfa1.0&amp;vr=2.0&amp;DB=1000546&amp;DocName=5USCAS801&amp;FindType=L&amp;ReferencePositionType=T&amp;ReferencePosition=SP_a5e1000094854" TargetMode="External"/><Relationship Id="rId10" Type="http://schemas.openxmlformats.org/officeDocument/2006/relationships/hyperlink" Target="http://www.westlaw.com/Find/Default.wl?rs=dfa1.0&amp;vr=2.0&amp;DB=1000546&amp;DocName=5USCAS601&amp;FindType=L&amp;ReferencePositionType=T&amp;ReferencePosition=SP_d08f0000f5f67" TargetMode="External"/><Relationship Id="rId4" Type="http://schemas.openxmlformats.org/officeDocument/2006/relationships/hyperlink" Target="http://www.westlaw.com/Find/Default.wl?rs=dfa1.0&amp;vr=2.0&amp;DB=1000546&amp;DocName=5USCAS601&amp;FindType=L" TargetMode="External"/><Relationship Id="rId9" Type="http://schemas.openxmlformats.org/officeDocument/2006/relationships/hyperlink" Target="http://www.westlaw.com/Find/Default.wl?rs=dfa1.0&amp;vr=2.0&amp;DB=1000546&amp;DocName=5USCAS601&amp;FindType=L&amp;ReferencePositionType=T&amp;ReferencePosition=SP_1e9a0000fd6a3" TargetMode="External"/><Relationship Id="rId14" Type="http://schemas.openxmlformats.org/officeDocument/2006/relationships/hyperlink" Target="http://www.westlaw.com/Find/Default.wl?rs=dfa1.0&amp;vr=2.0&amp;DB=1000546&amp;DocName=15USCAS632&amp;FindTyp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8605</Words>
  <Characters>47858</Characters>
  <Application>Microsoft Office Word</Application>
  <DocSecurity>0</DocSecurity>
  <Lines>762</Lines>
  <Paragraphs>232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56669</CharactersWithSpaces>
  <SharedDoc>false</SharedDoc>
  <HyperlinkBase> </HyperlinkBase>
  <HLinks>
    <vt:vector size="174" baseType="variant">
      <vt:variant>
        <vt:i4>3276925</vt:i4>
      </vt:variant>
      <vt:variant>
        <vt:i4>39</vt:i4>
      </vt:variant>
      <vt:variant>
        <vt:i4>0</vt:i4>
      </vt:variant>
      <vt:variant>
        <vt:i4>5</vt:i4>
      </vt:variant>
      <vt:variant>
        <vt:lpwstr>http://www.westlaw.com/Find/Default.wl?rs=dfa1.0&amp;vr=2.0&amp;DB=0001016&amp;FindType=Y&amp;SerialNum=2026548225</vt:lpwstr>
      </vt:variant>
      <vt:variant>
        <vt:lpwstr/>
      </vt:variant>
      <vt:variant>
        <vt:i4>1572885</vt:i4>
      </vt:variant>
      <vt:variant>
        <vt:i4>36</vt:i4>
      </vt:variant>
      <vt:variant>
        <vt:i4>0</vt:i4>
      </vt:variant>
      <vt:variant>
        <vt:i4>5</vt:i4>
      </vt:variant>
      <vt:variant>
        <vt:lpwstr>http://www.westlaw.com/Find/Default.wl?rs=dfa1.0&amp;vr=2.0&amp;DB=1000547&amp;DocName=47CFRS1.427&amp;FindType=L</vt:lpwstr>
      </vt:variant>
      <vt:variant>
        <vt:lpwstr/>
      </vt:variant>
      <vt:variant>
        <vt:i4>2621479</vt:i4>
      </vt:variant>
      <vt:variant>
        <vt:i4>33</vt:i4>
      </vt:variant>
      <vt:variant>
        <vt:i4>0</vt:i4>
      </vt:variant>
      <vt:variant>
        <vt:i4>5</vt:i4>
      </vt:variant>
      <vt:variant>
        <vt:lpwstr>http://www.westlaw.com/Find/Default.wl?rs=dfa1.0&amp;vr=2.0&amp;DB=1000547&amp;DocName=47CFRS1.3&amp;FindType=L</vt:lpwstr>
      </vt:variant>
      <vt:variant>
        <vt:lpwstr/>
      </vt:variant>
      <vt:variant>
        <vt:i4>1638430</vt:i4>
      </vt:variant>
      <vt:variant>
        <vt:i4>30</vt:i4>
      </vt:variant>
      <vt:variant>
        <vt:i4>0</vt:i4>
      </vt:variant>
      <vt:variant>
        <vt:i4>5</vt:i4>
      </vt:variant>
      <vt:variant>
        <vt:lpwstr>http://www.westlaw.com/Find/Default.wl?rs=dfa1.0&amp;vr=2.0&amp;DB=1000547&amp;DocName=47CFRS0.291&amp;FindType=L</vt:lpwstr>
      </vt:variant>
      <vt:variant>
        <vt:lpwstr/>
      </vt:variant>
      <vt:variant>
        <vt:i4>6094955</vt:i4>
      </vt:variant>
      <vt:variant>
        <vt:i4>27</vt:i4>
      </vt:variant>
      <vt:variant>
        <vt:i4>0</vt:i4>
      </vt:variant>
      <vt:variant>
        <vt:i4>5</vt:i4>
      </vt:variant>
      <vt:variant>
        <vt:lpwstr>http://www.westlaw.com/Find/Default.wl?rs=dfa1.0&amp;vr=2.0&amp;DB=1000547&amp;DocName=47CFRS0.201&amp;FindType=L&amp;ReferencePositionType=T&amp;ReferencePosition=SP_5ba1000067d06</vt:lpwstr>
      </vt:variant>
      <vt:variant>
        <vt:lpwstr/>
      </vt:variant>
      <vt:variant>
        <vt:i4>4784144</vt:i4>
      </vt:variant>
      <vt:variant>
        <vt:i4>24</vt:i4>
      </vt:variant>
      <vt:variant>
        <vt:i4>0</vt:i4>
      </vt:variant>
      <vt:variant>
        <vt:i4>5</vt:i4>
      </vt:variant>
      <vt:variant>
        <vt:lpwstr>http://www.westlaw.com/Find/Default.wl?rs=dfa1.0&amp;vr=2.0&amp;DB=1000547&amp;DocName=47CFRS0.91&amp;FindType=L</vt:lpwstr>
      </vt:variant>
      <vt:variant>
        <vt:lpwstr/>
      </vt:variant>
      <vt:variant>
        <vt:i4>327695</vt:i4>
      </vt:variant>
      <vt:variant>
        <vt:i4>21</vt:i4>
      </vt:variant>
      <vt:variant>
        <vt:i4>0</vt:i4>
      </vt:variant>
      <vt:variant>
        <vt:i4>5</vt:i4>
      </vt:variant>
      <vt:variant>
        <vt:lpwstr>http://www.westlaw.com/Find/Default.wl?rs=dfa1.0&amp;vr=2.0&amp;DB=1000546&amp;DocName=47USCAS403&amp;FindType=L</vt:lpwstr>
      </vt:variant>
      <vt:variant>
        <vt:lpwstr/>
      </vt:variant>
      <vt:variant>
        <vt:i4>1245228</vt:i4>
      </vt:variant>
      <vt:variant>
        <vt:i4>18</vt:i4>
      </vt:variant>
      <vt:variant>
        <vt:i4>0</vt:i4>
      </vt:variant>
      <vt:variant>
        <vt:i4>5</vt:i4>
      </vt:variant>
      <vt:variant>
        <vt:lpwstr>http://www.westlaw.com/Find/Default.wl?rs=dfa1.0&amp;vr=2.0&amp;DB=1000546&amp;DocName=47USCAS303&amp;FindType=L&amp;ReferencePositionType=T&amp;ReferencePosition=SP_3505000063ea7</vt:lpwstr>
      </vt:variant>
      <vt:variant>
        <vt:lpwstr/>
      </vt:variant>
      <vt:variant>
        <vt:i4>8</vt:i4>
      </vt:variant>
      <vt:variant>
        <vt:i4>15</vt:i4>
      </vt:variant>
      <vt:variant>
        <vt:i4>0</vt:i4>
      </vt:variant>
      <vt:variant>
        <vt:i4>5</vt:i4>
      </vt:variant>
      <vt:variant>
        <vt:lpwstr>http://www.westlaw.com/Find/Default.wl?rs=dfa1.0&amp;vr=2.0&amp;DB=1000546&amp;DocName=47USCAS252&amp;FindType=L</vt:lpwstr>
      </vt:variant>
      <vt:variant>
        <vt:lpwstr/>
      </vt:variant>
      <vt:variant>
        <vt:i4>11</vt:i4>
      </vt:variant>
      <vt:variant>
        <vt:i4>12</vt:i4>
      </vt:variant>
      <vt:variant>
        <vt:i4>0</vt:i4>
      </vt:variant>
      <vt:variant>
        <vt:i4>5</vt:i4>
      </vt:variant>
      <vt:variant>
        <vt:lpwstr>http://www.westlaw.com/Find/Default.wl?rs=dfa1.0&amp;vr=2.0&amp;DB=1000546&amp;DocName=47USCAS251&amp;FindType=L</vt:lpwstr>
      </vt:variant>
      <vt:variant>
        <vt:lpwstr/>
      </vt:variant>
      <vt:variant>
        <vt:i4>458762</vt:i4>
      </vt:variant>
      <vt:variant>
        <vt:i4>9</vt:i4>
      </vt:variant>
      <vt:variant>
        <vt:i4>0</vt:i4>
      </vt:variant>
      <vt:variant>
        <vt:i4>5</vt:i4>
      </vt:variant>
      <vt:variant>
        <vt:lpwstr>http://www.westlaw.com/Find/Default.wl?rs=dfa1.0&amp;vr=2.0&amp;DB=1000546&amp;DocName=47USCAS220&amp;FindType=L</vt:lpwstr>
      </vt:variant>
      <vt:variant>
        <vt:lpwstr/>
      </vt:variant>
      <vt:variant>
        <vt:i4>4325411</vt:i4>
      </vt:variant>
      <vt:variant>
        <vt:i4>6</vt:i4>
      </vt:variant>
      <vt:variant>
        <vt:i4>0</vt:i4>
      </vt:variant>
      <vt:variant>
        <vt:i4>5</vt:i4>
      </vt:variant>
      <vt:variant>
        <vt:lpwstr>http://www.westlaw.com/Find/Default.wl?rs=dfa1.0&amp;vr=2.0&amp;DB=1000546&amp;DocName=47USCAS154&amp;FindType=L&amp;ReferencePositionType=T&amp;ReferencePosition=SP_17a3000024864</vt:lpwstr>
      </vt:variant>
      <vt:variant>
        <vt:lpwstr/>
      </vt:variant>
      <vt:variant>
        <vt:i4>11</vt:i4>
      </vt:variant>
      <vt:variant>
        <vt:i4>3</vt:i4>
      </vt:variant>
      <vt:variant>
        <vt:i4>0</vt:i4>
      </vt:variant>
      <vt:variant>
        <vt:i4>5</vt:i4>
      </vt:variant>
      <vt:variant>
        <vt:lpwstr>http://www.westlaw.com/Find/Default.wl?rs=dfa1.0&amp;vr=2.0&amp;DB=1000546&amp;DocName=47USCAS152&amp;FindType=L</vt:lpwstr>
      </vt:variant>
      <vt:variant>
        <vt:lpwstr/>
      </vt:variant>
      <vt:variant>
        <vt:i4>8</vt:i4>
      </vt:variant>
      <vt:variant>
        <vt:i4>0</vt:i4>
      </vt:variant>
      <vt:variant>
        <vt:i4>0</vt:i4>
      </vt:variant>
      <vt:variant>
        <vt:i4>5</vt:i4>
      </vt:variant>
      <vt:variant>
        <vt:lpwstr>http://www.westlaw.com/Find/Default.wl?rs=dfa1.0&amp;vr=2.0&amp;DB=1000546&amp;DocName=47USCAS151&amp;FindType=L</vt:lpwstr>
      </vt:variant>
      <vt:variant>
        <vt:lpwstr/>
      </vt:variant>
      <vt:variant>
        <vt:i4>6619219</vt:i4>
      </vt:variant>
      <vt:variant>
        <vt:i4>42</vt:i4>
      </vt:variant>
      <vt:variant>
        <vt:i4>0</vt:i4>
      </vt:variant>
      <vt:variant>
        <vt:i4>5</vt:i4>
      </vt:variant>
      <vt:variant>
        <vt:lpwstr>http://www.westlaw.com/Find/Default.wl?rs=dfa1.0&amp;vr=2.0&amp;DB=1000546&amp;DocName=5USCAS801&amp;FindType=L&amp;ReferencePositionType=T&amp;ReferencePosition=SP_a5e1000094854</vt:lpwstr>
      </vt:variant>
      <vt:variant>
        <vt:lpwstr/>
      </vt:variant>
      <vt:variant>
        <vt:i4>196622</vt:i4>
      </vt:variant>
      <vt:variant>
        <vt:i4>39</vt:i4>
      </vt:variant>
      <vt:variant>
        <vt:i4>0</vt:i4>
      </vt:variant>
      <vt:variant>
        <vt:i4>5</vt:i4>
      </vt:variant>
      <vt:variant>
        <vt:lpwstr>http://www.westlaw.com/Find/Default.wl?rs=dfa1.0&amp;vr=2.0&amp;DB=1000546&amp;DocName=15USCAS632&amp;FindType=L</vt:lpwstr>
      </vt:variant>
      <vt:variant>
        <vt:lpwstr/>
      </vt:variant>
      <vt:variant>
        <vt:i4>196622</vt:i4>
      </vt:variant>
      <vt:variant>
        <vt:i4>36</vt:i4>
      </vt:variant>
      <vt:variant>
        <vt:i4>0</vt:i4>
      </vt:variant>
      <vt:variant>
        <vt:i4>5</vt:i4>
      </vt:variant>
      <vt:variant>
        <vt:lpwstr>http://www.westlaw.com/Find/Default.wl?rs=dfa1.0&amp;vr=2.0&amp;DB=1000546&amp;DocName=15USCAS632&amp;FindType=L</vt:lpwstr>
      </vt:variant>
      <vt:variant>
        <vt:lpwstr/>
      </vt:variant>
      <vt:variant>
        <vt:i4>3211267</vt:i4>
      </vt:variant>
      <vt:variant>
        <vt:i4>33</vt:i4>
      </vt:variant>
      <vt:variant>
        <vt:i4>0</vt:i4>
      </vt:variant>
      <vt:variant>
        <vt:i4>5</vt:i4>
      </vt:variant>
      <vt:variant>
        <vt:lpwstr>http://www.westlaw.com/Find/Default.wl?rs=dfa1.0&amp;vr=2.0&amp;DB=1000546&amp;DocName=5USCAS601&amp;FindType=L&amp;ReferencePositionType=T&amp;ReferencePosition=SP_d08f0000f5f67</vt:lpwstr>
      </vt:variant>
      <vt:variant>
        <vt:lpwstr/>
      </vt:variant>
      <vt:variant>
        <vt:i4>196622</vt:i4>
      </vt:variant>
      <vt:variant>
        <vt:i4>30</vt:i4>
      </vt:variant>
      <vt:variant>
        <vt:i4>0</vt:i4>
      </vt:variant>
      <vt:variant>
        <vt:i4>5</vt:i4>
      </vt:variant>
      <vt:variant>
        <vt:lpwstr>http://www.westlaw.com/Find/Default.wl?rs=dfa1.0&amp;vr=2.0&amp;DB=1000546&amp;DocName=15USCAS632&amp;FindType=L</vt:lpwstr>
      </vt:variant>
      <vt:variant>
        <vt:lpwstr/>
      </vt:variant>
      <vt:variant>
        <vt:i4>3211267</vt:i4>
      </vt:variant>
      <vt:variant>
        <vt:i4>27</vt:i4>
      </vt:variant>
      <vt:variant>
        <vt:i4>0</vt:i4>
      </vt:variant>
      <vt:variant>
        <vt:i4>5</vt:i4>
      </vt:variant>
      <vt:variant>
        <vt:lpwstr>http://www.westlaw.com/Find/Default.wl?rs=dfa1.0&amp;vr=2.0&amp;DB=1000546&amp;DocName=5USCAS601&amp;FindType=L&amp;ReferencePositionType=T&amp;ReferencePosition=SP_d08f0000f5f67</vt:lpwstr>
      </vt:variant>
      <vt:variant>
        <vt:lpwstr/>
      </vt:variant>
      <vt:variant>
        <vt:i4>3211351</vt:i4>
      </vt:variant>
      <vt:variant>
        <vt:i4>24</vt:i4>
      </vt:variant>
      <vt:variant>
        <vt:i4>0</vt:i4>
      </vt:variant>
      <vt:variant>
        <vt:i4>5</vt:i4>
      </vt:variant>
      <vt:variant>
        <vt:lpwstr>http://www.westlaw.com/Find/Default.wl?rs=dfa1.0&amp;vr=2.0&amp;DB=1000546&amp;DocName=5USCAS601&amp;FindType=L&amp;ReferencePositionType=T&amp;ReferencePosition=SP_1e9a0000fd6a3</vt:lpwstr>
      </vt:variant>
      <vt:variant>
        <vt:lpwstr/>
      </vt:variant>
      <vt:variant>
        <vt:i4>6815747</vt:i4>
      </vt:variant>
      <vt:variant>
        <vt:i4>21</vt:i4>
      </vt:variant>
      <vt:variant>
        <vt:i4>0</vt:i4>
      </vt:variant>
      <vt:variant>
        <vt:i4>5</vt:i4>
      </vt:variant>
      <vt:variant>
        <vt:lpwstr>http://www.westlaw.com/Find/Default.wl?rs=dfa1.0&amp;vr=2.0&amp;DB=1000546&amp;DocName=5USCAS605&amp;FindType=L&amp;ReferencePositionType=T&amp;ReferencePosition=SP_a83b000018c76</vt:lpwstr>
      </vt:variant>
      <vt:variant>
        <vt:lpwstr/>
      </vt:variant>
      <vt:variant>
        <vt:i4>4325465</vt:i4>
      </vt:variant>
      <vt:variant>
        <vt:i4>18</vt:i4>
      </vt:variant>
      <vt:variant>
        <vt:i4>0</vt:i4>
      </vt:variant>
      <vt:variant>
        <vt:i4>5</vt:i4>
      </vt:variant>
      <vt:variant>
        <vt:lpwstr>http://www.westlaw.com/Find/Default.wl?rs=dfa1.0&amp;vr=2.0&amp;DB=1077005&amp;DocName=UU%28IF64742C516-7D4953A3C50-10EB0250951%29&amp;FindType=l</vt:lpwstr>
      </vt:variant>
      <vt:variant>
        <vt:lpwstr/>
      </vt:variant>
      <vt:variant>
        <vt:i4>3014782</vt:i4>
      </vt:variant>
      <vt:variant>
        <vt:i4>15</vt:i4>
      </vt:variant>
      <vt:variant>
        <vt:i4>0</vt:i4>
      </vt:variant>
      <vt:variant>
        <vt:i4>5</vt:i4>
      </vt:variant>
      <vt:variant>
        <vt:lpwstr>http://www.westlaw.com/Find/Default.wl?rs=dfa1.0&amp;vr=2.0&amp;DB=1000546&amp;DocName=5USCAS601&amp;FindType=L</vt:lpwstr>
      </vt:variant>
      <vt:variant>
        <vt:lpwstr/>
      </vt:variant>
      <vt:variant>
        <vt:i4>3014782</vt:i4>
      </vt:variant>
      <vt:variant>
        <vt:i4>12</vt:i4>
      </vt:variant>
      <vt:variant>
        <vt:i4>0</vt:i4>
      </vt:variant>
      <vt:variant>
        <vt:i4>5</vt:i4>
      </vt:variant>
      <vt:variant>
        <vt:lpwstr>http://www.westlaw.com/Find/Default.wl?rs=dfa1.0&amp;vr=2.0&amp;DB=1000546&amp;DocName=5USCAS601&amp;FindType=L</vt:lpwstr>
      </vt:variant>
      <vt:variant>
        <vt:lpwstr/>
      </vt:variant>
      <vt:variant>
        <vt:i4>3014782</vt:i4>
      </vt:variant>
      <vt:variant>
        <vt:i4>9</vt:i4>
      </vt:variant>
      <vt:variant>
        <vt:i4>0</vt:i4>
      </vt:variant>
      <vt:variant>
        <vt:i4>5</vt:i4>
      </vt:variant>
      <vt:variant>
        <vt:lpwstr>http://www.westlaw.com/Find/Default.wl?rs=dfa1.0&amp;vr=2.0&amp;DB=1000546&amp;DocName=5USCAS601&amp;FindType=L</vt:lpwstr>
      </vt:variant>
      <vt:variant>
        <vt:lpwstr/>
      </vt:variant>
      <vt:variant>
        <vt:i4>1966112</vt:i4>
      </vt:variant>
      <vt:variant>
        <vt:i4>6</vt:i4>
      </vt:variant>
      <vt:variant>
        <vt:i4>0</vt:i4>
      </vt:variant>
      <vt:variant>
        <vt:i4>5</vt:i4>
      </vt:variant>
      <vt:variant>
        <vt:lpwstr>http://www.westlaw.com/Find/Default.wl?rs=dfa1.0&amp;vr=2.0&amp;DB=1000546&amp;DocName=44USCAS3506&amp;FindType=L&amp;ReferencePositionType=T&amp;ReferencePosition=SP_0c120000563a1</vt:lpwstr>
      </vt:variant>
      <vt:variant>
        <vt:lpwstr/>
      </vt:variant>
      <vt:variant>
        <vt:i4>1179660</vt:i4>
      </vt:variant>
      <vt:variant>
        <vt:i4>3</vt:i4>
      </vt:variant>
      <vt:variant>
        <vt:i4>0</vt:i4>
      </vt:variant>
      <vt:variant>
        <vt:i4>5</vt:i4>
      </vt:variant>
      <vt:variant>
        <vt:lpwstr>http://www.westlaw.com/Find/Default.wl?rs=dfa1.0&amp;vr=2.0&amp;DB=1077005&amp;DocName=UU%28I1482EAD8CD-DB42F7A5CCA-3C0AF73B4D4%29&amp;FindType=l</vt:lpwstr>
      </vt:variant>
      <vt:variant>
        <vt:lpwstr/>
      </vt:variant>
      <vt:variant>
        <vt:i4>7274500</vt:i4>
      </vt:variant>
      <vt:variant>
        <vt:i4>0</vt:i4>
      </vt:variant>
      <vt:variant>
        <vt:i4>0</vt:i4>
      </vt:variant>
      <vt:variant>
        <vt:i4>5</vt:i4>
      </vt:variant>
      <vt:variant>
        <vt:lpwstr>http://hraunfoss.fcc.gov/edocs_public/attachmatch/DOC-311775A1.pdf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2012-06-12T17:43:00Z</cp:lastPrinted>
  <dcterms:created xsi:type="dcterms:W3CDTF">2013-04-08T18:52:00Z</dcterms:created>
  <dcterms:modified xsi:type="dcterms:W3CDTF">2013-04-08T18:52:00Z</dcterms:modified>
  <cp:category> </cp:category>
  <cp:contentStatus> </cp:contentStatus>
</cp:coreProperties>
</file>