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0" w:rsidRDefault="00122D9D">
      <w:pPr>
        <w:pStyle w:val="Header"/>
        <w:tabs>
          <w:tab w:val="clear" w:pos="4320"/>
          <w:tab w:val="clear" w:pos="8640"/>
        </w:tabs>
        <w:rPr>
          <w:szCs w:val="22"/>
        </w:rPr>
      </w:pPr>
      <w:bookmarkStart w:id="0" w:name="_GoBack"/>
      <w:bookmarkEnd w:id="0"/>
      <w:r>
        <w:rPr>
          <w:szCs w:val="22"/>
        </w:rPr>
        <w:t xml:space="preserve">                                                                                                                                                                                                                                          </w:t>
      </w:r>
      <w:r w:rsidR="00937F58">
        <w:rPr>
          <w:szCs w:val="22"/>
        </w:rPr>
        <w:t xml:space="preserve">                                                                                                                                                                                                                                                                                                                                                                                                                                                                                                                                               </w:t>
      </w:r>
      <w:r w:rsidR="00CA2164">
        <w:rPr>
          <w:szCs w:val="22"/>
        </w:rPr>
        <w:t xml:space="preserve">                                                                                                                                                                                                                                                                                                                                                                                                                                                                                          </w:t>
      </w:r>
    </w:p>
    <w:p w:rsidR="004C6410" w:rsidRPr="00604B08" w:rsidRDefault="004C6410">
      <w:pPr>
        <w:pStyle w:val="Header"/>
        <w:tabs>
          <w:tab w:val="clear" w:pos="4320"/>
          <w:tab w:val="clear" w:pos="8640"/>
        </w:tabs>
        <w:rPr>
          <w:szCs w:val="22"/>
        </w:rPr>
        <w:sectPr w:rsidR="004C6410" w:rsidRPr="00604B0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E86027" w:rsidRPr="00604B08" w:rsidRDefault="00F34B2C" w:rsidP="00B446F9">
      <w:pPr>
        <w:jc w:val="right"/>
        <w:rPr>
          <w:b/>
          <w:szCs w:val="22"/>
        </w:rPr>
      </w:pPr>
      <w:r w:rsidRPr="00604B08">
        <w:rPr>
          <w:szCs w:val="22"/>
        </w:rPr>
        <w:lastRenderedPageBreak/>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Pr="00604B08">
        <w:rPr>
          <w:szCs w:val="22"/>
        </w:rPr>
        <w:tab/>
      </w:r>
      <w:r w:rsidR="00E86027" w:rsidRPr="00604B08">
        <w:rPr>
          <w:b/>
          <w:szCs w:val="22"/>
        </w:rPr>
        <w:t xml:space="preserve">DA </w:t>
      </w:r>
      <w:r w:rsidR="00064925" w:rsidRPr="00064925">
        <w:rPr>
          <w:b/>
          <w:szCs w:val="22"/>
        </w:rPr>
        <w:t>13-587</w:t>
      </w:r>
    </w:p>
    <w:p w:rsidR="004C6410" w:rsidRPr="00B446F9" w:rsidRDefault="00064925" w:rsidP="00B446F9">
      <w:pPr>
        <w:jc w:val="right"/>
      </w:pPr>
      <w:r>
        <w:rPr>
          <w:b/>
          <w:szCs w:val="22"/>
        </w:rPr>
        <w:t>April 2</w:t>
      </w:r>
      <w:r w:rsidR="0047435C" w:rsidRPr="00604B08">
        <w:rPr>
          <w:b/>
          <w:szCs w:val="22"/>
        </w:rPr>
        <w:t>, 2013</w:t>
      </w:r>
    </w:p>
    <w:p w:rsidR="004C6410" w:rsidRDefault="004C6410" w:rsidP="00F34B2C">
      <w:pPr>
        <w:rPr>
          <w:szCs w:val="22"/>
        </w:rPr>
      </w:pPr>
    </w:p>
    <w:p w:rsidR="006375A6" w:rsidRPr="0025240F" w:rsidRDefault="006375A6" w:rsidP="00B446F9">
      <w:pPr>
        <w:jc w:val="center"/>
        <w:rPr>
          <w:b/>
          <w:sz w:val="24"/>
          <w:szCs w:val="24"/>
        </w:rPr>
      </w:pPr>
      <w:r w:rsidRPr="009058AB">
        <w:rPr>
          <w:b/>
          <w:sz w:val="24"/>
          <w:szCs w:val="24"/>
        </w:rPr>
        <w:t>M</w:t>
      </w:r>
      <w:r w:rsidR="00D95702" w:rsidRPr="009058AB">
        <w:rPr>
          <w:b/>
          <w:sz w:val="24"/>
          <w:szCs w:val="24"/>
        </w:rPr>
        <w:t>edia</w:t>
      </w:r>
      <w:r w:rsidRPr="009058AB">
        <w:rPr>
          <w:b/>
          <w:sz w:val="24"/>
          <w:szCs w:val="24"/>
        </w:rPr>
        <w:t xml:space="preserve"> B</w:t>
      </w:r>
      <w:r w:rsidR="00D95702" w:rsidRPr="009058AB">
        <w:rPr>
          <w:b/>
          <w:sz w:val="24"/>
          <w:szCs w:val="24"/>
        </w:rPr>
        <w:t>ureau</w:t>
      </w:r>
      <w:r w:rsidRPr="009058AB">
        <w:rPr>
          <w:b/>
          <w:sz w:val="24"/>
          <w:szCs w:val="24"/>
        </w:rPr>
        <w:t xml:space="preserve"> A</w:t>
      </w:r>
      <w:r w:rsidR="00D95702" w:rsidRPr="009058AB">
        <w:rPr>
          <w:b/>
          <w:sz w:val="24"/>
          <w:szCs w:val="24"/>
        </w:rPr>
        <w:t>nnounces</w:t>
      </w:r>
      <w:r w:rsidRPr="009058AB">
        <w:rPr>
          <w:b/>
          <w:sz w:val="24"/>
          <w:szCs w:val="24"/>
        </w:rPr>
        <w:t xml:space="preserve"> </w:t>
      </w:r>
      <w:r w:rsidR="009806CC" w:rsidRPr="009058AB">
        <w:rPr>
          <w:b/>
          <w:sz w:val="24"/>
          <w:szCs w:val="24"/>
        </w:rPr>
        <w:t>A</w:t>
      </w:r>
      <w:r w:rsidR="00D95702" w:rsidRPr="009058AB">
        <w:rPr>
          <w:b/>
          <w:sz w:val="24"/>
          <w:szCs w:val="24"/>
        </w:rPr>
        <w:t>pril</w:t>
      </w:r>
      <w:r w:rsidR="009806CC" w:rsidRPr="009058AB">
        <w:rPr>
          <w:b/>
          <w:sz w:val="24"/>
          <w:szCs w:val="24"/>
        </w:rPr>
        <w:t xml:space="preserve"> </w:t>
      </w:r>
      <w:r w:rsidR="005C47A8" w:rsidRPr="009058AB">
        <w:rPr>
          <w:b/>
          <w:sz w:val="24"/>
          <w:szCs w:val="24"/>
        </w:rPr>
        <w:t>8</w:t>
      </w:r>
      <w:r w:rsidR="009806CC" w:rsidRPr="009058AB">
        <w:rPr>
          <w:b/>
          <w:sz w:val="24"/>
          <w:szCs w:val="24"/>
        </w:rPr>
        <w:t xml:space="preserve"> – </w:t>
      </w:r>
      <w:r w:rsidR="005C47A8" w:rsidRPr="009058AB">
        <w:rPr>
          <w:b/>
          <w:sz w:val="24"/>
          <w:szCs w:val="24"/>
        </w:rPr>
        <w:t>April 17</w:t>
      </w:r>
      <w:r w:rsidR="009806CC" w:rsidRPr="009058AB">
        <w:rPr>
          <w:b/>
          <w:sz w:val="24"/>
          <w:szCs w:val="24"/>
        </w:rPr>
        <w:t xml:space="preserve"> F</w:t>
      </w:r>
      <w:r w:rsidR="00D95702" w:rsidRPr="009058AB">
        <w:rPr>
          <w:b/>
          <w:sz w:val="24"/>
          <w:szCs w:val="24"/>
        </w:rPr>
        <w:t>iling</w:t>
      </w:r>
      <w:r w:rsidR="009806CC" w:rsidRPr="009058AB">
        <w:rPr>
          <w:b/>
          <w:sz w:val="24"/>
          <w:szCs w:val="24"/>
        </w:rPr>
        <w:t xml:space="preserve"> W</w:t>
      </w:r>
      <w:r w:rsidR="00D95702" w:rsidRPr="009058AB">
        <w:rPr>
          <w:b/>
          <w:sz w:val="24"/>
          <w:szCs w:val="24"/>
        </w:rPr>
        <w:t>indow</w:t>
      </w:r>
      <w:r w:rsidR="009806CC" w:rsidRPr="009058AB">
        <w:rPr>
          <w:b/>
          <w:sz w:val="24"/>
          <w:szCs w:val="24"/>
        </w:rPr>
        <w:t xml:space="preserve"> </w:t>
      </w:r>
      <w:r w:rsidR="00D95702" w:rsidRPr="009058AB">
        <w:rPr>
          <w:b/>
          <w:sz w:val="24"/>
          <w:szCs w:val="24"/>
        </w:rPr>
        <w:t>to</w:t>
      </w:r>
      <w:r w:rsidR="004917B0" w:rsidRPr="009058AB">
        <w:rPr>
          <w:b/>
          <w:sz w:val="24"/>
          <w:szCs w:val="24"/>
        </w:rPr>
        <w:t xml:space="preserve"> P</w:t>
      </w:r>
      <w:r w:rsidR="00D95702" w:rsidRPr="009058AB">
        <w:rPr>
          <w:b/>
          <w:sz w:val="24"/>
          <w:szCs w:val="24"/>
        </w:rPr>
        <w:t>ermit</w:t>
      </w:r>
      <w:r w:rsidR="004917B0" w:rsidRPr="009058AB">
        <w:rPr>
          <w:b/>
          <w:sz w:val="24"/>
          <w:szCs w:val="24"/>
        </w:rPr>
        <w:t xml:space="preserve"> A</w:t>
      </w:r>
      <w:r w:rsidR="00D95702" w:rsidRPr="009058AB">
        <w:rPr>
          <w:b/>
          <w:sz w:val="24"/>
          <w:szCs w:val="24"/>
        </w:rPr>
        <w:t>mendment</w:t>
      </w:r>
      <w:r w:rsidR="004917B0" w:rsidRPr="009058AB">
        <w:rPr>
          <w:b/>
          <w:sz w:val="24"/>
          <w:szCs w:val="24"/>
        </w:rPr>
        <w:t xml:space="preserve"> </w:t>
      </w:r>
      <w:r w:rsidR="00D95702" w:rsidRPr="009058AB">
        <w:rPr>
          <w:b/>
          <w:sz w:val="24"/>
          <w:szCs w:val="24"/>
        </w:rPr>
        <w:t>of</w:t>
      </w:r>
      <w:r w:rsidR="009806CC" w:rsidRPr="009058AB">
        <w:rPr>
          <w:b/>
          <w:sz w:val="24"/>
          <w:szCs w:val="24"/>
        </w:rPr>
        <w:t xml:space="preserve"> </w:t>
      </w:r>
      <w:r w:rsidR="00491C1A" w:rsidRPr="009058AB">
        <w:rPr>
          <w:b/>
          <w:sz w:val="24"/>
          <w:szCs w:val="24"/>
        </w:rPr>
        <w:t>A</w:t>
      </w:r>
      <w:r w:rsidR="00D95702" w:rsidRPr="009058AB">
        <w:rPr>
          <w:b/>
          <w:sz w:val="24"/>
          <w:szCs w:val="24"/>
        </w:rPr>
        <w:t>uction</w:t>
      </w:r>
      <w:r w:rsidR="00491C1A" w:rsidRPr="009058AB">
        <w:rPr>
          <w:b/>
          <w:sz w:val="24"/>
          <w:szCs w:val="24"/>
        </w:rPr>
        <w:t xml:space="preserve"> 83 </w:t>
      </w:r>
      <w:r w:rsidR="004917B0" w:rsidRPr="009058AB">
        <w:rPr>
          <w:b/>
          <w:sz w:val="24"/>
          <w:szCs w:val="24"/>
        </w:rPr>
        <w:t>N</w:t>
      </w:r>
      <w:r w:rsidR="00D95702" w:rsidRPr="009058AB">
        <w:rPr>
          <w:b/>
          <w:sz w:val="24"/>
          <w:szCs w:val="24"/>
        </w:rPr>
        <w:t>oncommercial</w:t>
      </w:r>
      <w:r w:rsidR="004917B0" w:rsidRPr="009058AB">
        <w:rPr>
          <w:b/>
          <w:sz w:val="24"/>
          <w:szCs w:val="24"/>
        </w:rPr>
        <w:t xml:space="preserve"> E</w:t>
      </w:r>
      <w:r w:rsidR="00D95702" w:rsidRPr="009058AB">
        <w:rPr>
          <w:b/>
          <w:sz w:val="24"/>
          <w:szCs w:val="24"/>
        </w:rPr>
        <w:t>ducational</w:t>
      </w:r>
      <w:r w:rsidR="004917B0" w:rsidRPr="009058AB">
        <w:rPr>
          <w:b/>
          <w:sz w:val="24"/>
          <w:szCs w:val="24"/>
        </w:rPr>
        <w:t xml:space="preserve"> </w:t>
      </w:r>
      <w:r w:rsidRPr="009058AB">
        <w:rPr>
          <w:b/>
          <w:sz w:val="24"/>
          <w:szCs w:val="24"/>
        </w:rPr>
        <w:t xml:space="preserve">FM </w:t>
      </w:r>
      <w:r w:rsidR="005065D4" w:rsidRPr="009058AB">
        <w:rPr>
          <w:b/>
          <w:sz w:val="24"/>
          <w:szCs w:val="24"/>
        </w:rPr>
        <w:t>T</w:t>
      </w:r>
      <w:r w:rsidR="00D95702" w:rsidRPr="009058AB">
        <w:rPr>
          <w:b/>
          <w:sz w:val="24"/>
          <w:szCs w:val="24"/>
        </w:rPr>
        <w:t>ranslator</w:t>
      </w:r>
      <w:r w:rsidR="009806CC" w:rsidRPr="009058AB">
        <w:rPr>
          <w:b/>
          <w:sz w:val="24"/>
          <w:szCs w:val="24"/>
        </w:rPr>
        <w:t xml:space="preserve"> </w:t>
      </w:r>
      <w:r w:rsidR="001A3BC6">
        <w:rPr>
          <w:b/>
          <w:sz w:val="24"/>
          <w:szCs w:val="24"/>
        </w:rPr>
        <w:t>Applications</w:t>
      </w:r>
      <w:r w:rsidRPr="0025240F">
        <w:rPr>
          <w:b/>
          <w:sz w:val="24"/>
          <w:szCs w:val="24"/>
        </w:rPr>
        <w:t xml:space="preserve"> </w:t>
      </w:r>
    </w:p>
    <w:p w:rsidR="006375A6" w:rsidRDefault="006375A6" w:rsidP="00B446F9">
      <w:pPr>
        <w:jc w:val="center"/>
        <w:rPr>
          <w:b/>
          <w:sz w:val="28"/>
        </w:rPr>
      </w:pPr>
    </w:p>
    <w:p w:rsidR="004C6410" w:rsidRPr="00604B08" w:rsidRDefault="00D95702" w:rsidP="00D95702">
      <w:pPr>
        <w:ind w:firstLine="720"/>
        <w:rPr>
          <w:szCs w:val="22"/>
        </w:rPr>
      </w:pPr>
      <w:r w:rsidRPr="00D90240">
        <w:t xml:space="preserve">Today, the Media Bureau </w:t>
      </w:r>
      <w:r>
        <w:t>announces</w:t>
      </w:r>
      <w:r w:rsidRPr="00DA65D8">
        <w:t xml:space="preserve"> </w:t>
      </w:r>
      <w:r>
        <w:t xml:space="preserve">an </w:t>
      </w:r>
      <w:r w:rsidRPr="00430BFD">
        <w:t xml:space="preserve">April </w:t>
      </w:r>
      <w:r w:rsidR="003C0A61" w:rsidRPr="00430BFD">
        <w:t xml:space="preserve">8 </w:t>
      </w:r>
      <w:r w:rsidRPr="00430BFD">
        <w:t xml:space="preserve">– </w:t>
      </w:r>
      <w:r w:rsidR="003C0A61" w:rsidRPr="00430BFD">
        <w:t>April 17</w:t>
      </w:r>
      <w:r w:rsidR="00745FBD" w:rsidRPr="00430BFD">
        <w:t>, 2013,</w:t>
      </w:r>
      <w:r w:rsidR="000C4573">
        <w:t xml:space="preserve"> </w:t>
      </w:r>
      <w:r w:rsidRPr="00DA65D8">
        <w:t xml:space="preserve">window </w:t>
      </w:r>
      <w:r w:rsidR="00E47BEF">
        <w:t xml:space="preserve">to permit </w:t>
      </w:r>
      <w:r w:rsidR="00E72E7E">
        <w:t xml:space="preserve">Auction 83 </w:t>
      </w:r>
      <w:r w:rsidR="00E47BEF">
        <w:t xml:space="preserve">applicants identified in Attachment A </w:t>
      </w:r>
      <w:r w:rsidR="000C4573">
        <w:t xml:space="preserve">to de-select </w:t>
      </w:r>
      <w:r w:rsidR="009761C6">
        <w:t>the</w:t>
      </w:r>
      <w:r w:rsidR="00E47BEF">
        <w:t>ir</w:t>
      </w:r>
      <w:r w:rsidR="009761C6">
        <w:t xml:space="preserve"> </w:t>
      </w:r>
      <w:r w:rsidR="000C4573">
        <w:t xml:space="preserve">“noncommercial educational” </w:t>
      </w:r>
      <w:r w:rsidR="00E47BEF">
        <w:t xml:space="preserve">filing </w:t>
      </w:r>
      <w:r w:rsidR="009761C6">
        <w:t>status</w:t>
      </w:r>
      <w:r w:rsidR="00E72E7E">
        <w:t>.</w:t>
      </w:r>
      <w:r w:rsidRPr="00DA65D8">
        <w:rPr>
          <w:rStyle w:val="FootnoteReference"/>
        </w:rPr>
        <w:footnoteReference w:id="2"/>
      </w:r>
      <w:r w:rsidRPr="00DA65D8">
        <w:t xml:space="preserve"> </w:t>
      </w:r>
      <w:r w:rsidRPr="00D90240">
        <w:t xml:space="preserve"> </w:t>
      </w:r>
    </w:p>
    <w:p w:rsidR="00D95702" w:rsidRDefault="00D95702" w:rsidP="00673E2F">
      <w:pPr>
        <w:ind w:firstLine="720"/>
      </w:pPr>
    </w:p>
    <w:p w:rsidR="00D1799C" w:rsidRDefault="006E2082" w:rsidP="00673E2F">
      <w:pPr>
        <w:ind w:firstLine="720"/>
        <w:rPr>
          <w:szCs w:val="22"/>
        </w:rPr>
      </w:pPr>
      <w:r>
        <w:rPr>
          <w:b/>
          <w:i/>
        </w:rPr>
        <w:t xml:space="preserve">Background.  </w:t>
      </w:r>
      <w:r w:rsidR="00673E2F">
        <w:t xml:space="preserve">On February 6, 2003, the Media Bureau and the Wireless Telecommunications Bureau released a public notice announcing a March 10-14, 2003, FM </w:t>
      </w:r>
      <w:r w:rsidR="002C799F">
        <w:t>t</w:t>
      </w:r>
      <w:r w:rsidR="00673E2F">
        <w:t xml:space="preserve">ranslator auction filing window for </w:t>
      </w:r>
      <w:r w:rsidR="004B206A">
        <w:t>non-reserved band (</w:t>
      </w:r>
      <w:r w:rsidR="00491C1A">
        <w:t>C</w:t>
      </w:r>
      <w:r w:rsidR="004B206A">
        <w:t xml:space="preserve">hannels 221 to 300) </w:t>
      </w:r>
      <w:r w:rsidR="00673E2F">
        <w:t xml:space="preserve">applications for new FM </w:t>
      </w:r>
      <w:r w:rsidR="002C799F">
        <w:t>t</w:t>
      </w:r>
      <w:r w:rsidR="00673E2F">
        <w:t xml:space="preserve">ranslator stations and major modifications to authorized FM </w:t>
      </w:r>
      <w:r w:rsidR="002C799F">
        <w:t>t</w:t>
      </w:r>
      <w:r w:rsidR="00673E2F">
        <w:t>ranslator facilities.</w:t>
      </w:r>
      <w:r w:rsidR="00673E2F">
        <w:rPr>
          <w:rStyle w:val="FootnoteReference"/>
        </w:rPr>
        <w:footnoteReference w:id="3"/>
      </w:r>
      <w:r w:rsidR="00673E2F">
        <w:t xml:space="preserve"> </w:t>
      </w:r>
      <w:r w:rsidR="000C4573">
        <w:t xml:space="preserve"> </w:t>
      </w:r>
      <w:r w:rsidR="004B206A">
        <w:t>A</w:t>
      </w:r>
      <w:r w:rsidR="005A33FB">
        <w:rPr>
          <w:szCs w:val="22"/>
        </w:rPr>
        <w:t xml:space="preserve">pplicants for noncommercial educational (NCE) </w:t>
      </w:r>
      <w:r w:rsidR="00491C1A">
        <w:rPr>
          <w:szCs w:val="22"/>
        </w:rPr>
        <w:t xml:space="preserve">FM </w:t>
      </w:r>
      <w:r w:rsidR="006D30A0">
        <w:rPr>
          <w:szCs w:val="22"/>
        </w:rPr>
        <w:t>t</w:t>
      </w:r>
      <w:r w:rsidR="00491C1A">
        <w:rPr>
          <w:szCs w:val="22"/>
        </w:rPr>
        <w:t xml:space="preserve">ranslator </w:t>
      </w:r>
      <w:r w:rsidR="005A33FB">
        <w:rPr>
          <w:szCs w:val="22"/>
        </w:rPr>
        <w:t xml:space="preserve">stations were allowed to submit applications </w:t>
      </w:r>
      <w:r w:rsidR="000C3B97">
        <w:rPr>
          <w:szCs w:val="22"/>
        </w:rPr>
        <w:t>in the Auction 83 Filing Window.</w:t>
      </w:r>
      <w:r w:rsidR="004B206A">
        <w:rPr>
          <w:rStyle w:val="FootnoteReference"/>
          <w:szCs w:val="22"/>
        </w:rPr>
        <w:footnoteReference w:id="4"/>
      </w:r>
      <w:r w:rsidR="005A33FB">
        <w:rPr>
          <w:szCs w:val="22"/>
        </w:rPr>
        <w:t xml:space="preserve">  </w:t>
      </w:r>
      <w:r w:rsidR="00D63417">
        <w:rPr>
          <w:szCs w:val="22"/>
        </w:rPr>
        <w:t xml:space="preserve">Several weeks after the close of this window, the Commission released </w:t>
      </w:r>
      <w:r w:rsidR="004B206A" w:rsidRPr="00503A6F">
        <w:rPr>
          <w:szCs w:val="22"/>
        </w:rPr>
        <w:t xml:space="preserve">the </w:t>
      </w:r>
      <w:r w:rsidR="004B206A" w:rsidRPr="00503A6F">
        <w:rPr>
          <w:i/>
          <w:szCs w:val="22"/>
        </w:rPr>
        <w:t>NCE Second Report and Order</w:t>
      </w:r>
      <w:r w:rsidR="00D63417">
        <w:rPr>
          <w:i/>
          <w:szCs w:val="22"/>
        </w:rPr>
        <w:t>.</w:t>
      </w:r>
      <w:r w:rsidR="004B206A" w:rsidRPr="00503A6F">
        <w:rPr>
          <w:rStyle w:val="FootnoteReference"/>
          <w:szCs w:val="22"/>
        </w:rPr>
        <w:footnoteReference w:id="5"/>
      </w:r>
      <w:r w:rsidR="004B206A">
        <w:rPr>
          <w:szCs w:val="22"/>
        </w:rPr>
        <w:t xml:space="preserve"> </w:t>
      </w:r>
      <w:r w:rsidR="00D63417">
        <w:rPr>
          <w:szCs w:val="22"/>
        </w:rPr>
        <w:t xml:space="preserve"> </w:t>
      </w:r>
      <w:r w:rsidR="00745F12">
        <w:rPr>
          <w:szCs w:val="22"/>
        </w:rPr>
        <w:t xml:space="preserve">Under the new procedures adopted therein, </w:t>
      </w:r>
      <w:r w:rsidR="005A33FB">
        <w:rPr>
          <w:szCs w:val="22"/>
        </w:rPr>
        <w:t xml:space="preserve">an </w:t>
      </w:r>
      <w:r w:rsidR="00A337F6">
        <w:rPr>
          <w:szCs w:val="22"/>
        </w:rPr>
        <w:t xml:space="preserve">auction </w:t>
      </w:r>
      <w:r w:rsidR="005A33FB">
        <w:rPr>
          <w:szCs w:val="22"/>
        </w:rPr>
        <w:t xml:space="preserve">applicant’s attempt to change its self-identification from NCE to commercial </w:t>
      </w:r>
      <w:r w:rsidR="00426520">
        <w:rPr>
          <w:szCs w:val="22"/>
        </w:rPr>
        <w:t>is</w:t>
      </w:r>
      <w:r w:rsidR="000C4573">
        <w:rPr>
          <w:szCs w:val="22"/>
        </w:rPr>
        <w:t xml:space="preserve"> </w:t>
      </w:r>
      <w:r w:rsidR="00426520">
        <w:rPr>
          <w:szCs w:val="22"/>
        </w:rPr>
        <w:t>considered</w:t>
      </w:r>
      <w:r w:rsidR="000C4573">
        <w:rPr>
          <w:szCs w:val="22"/>
        </w:rPr>
        <w:t xml:space="preserve"> </w:t>
      </w:r>
      <w:r w:rsidR="005A33FB">
        <w:rPr>
          <w:szCs w:val="22"/>
        </w:rPr>
        <w:t xml:space="preserve">a major amendment, which is prohibited after the </w:t>
      </w:r>
      <w:r w:rsidR="006C648A">
        <w:rPr>
          <w:szCs w:val="22"/>
        </w:rPr>
        <w:t>Form 175</w:t>
      </w:r>
      <w:r w:rsidR="005A33FB">
        <w:rPr>
          <w:szCs w:val="22"/>
        </w:rPr>
        <w:t xml:space="preserve"> filing deadline.</w:t>
      </w:r>
      <w:r w:rsidR="003F680B">
        <w:rPr>
          <w:rStyle w:val="FootnoteReference"/>
          <w:szCs w:val="22"/>
        </w:rPr>
        <w:footnoteReference w:id="6"/>
      </w:r>
      <w:r w:rsidR="005A33FB">
        <w:rPr>
          <w:szCs w:val="22"/>
        </w:rPr>
        <w:t xml:space="preserve">  </w:t>
      </w:r>
      <w:r w:rsidR="00EF0633">
        <w:rPr>
          <w:szCs w:val="22"/>
        </w:rPr>
        <w:t>Moreover, a</w:t>
      </w:r>
      <w:r w:rsidR="005A33FB">
        <w:rPr>
          <w:szCs w:val="22"/>
        </w:rPr>
        <w:t xml:space="preserve">ny application for an NCE station that </w:t>
      </w:r>
      <w:r w:rsidR="00426520">
        <w:rPr>
          <w:szCs w:val="22"/>
        </w:rPr>
        <w:t xml:space="preserve">remains </w:t>
      </w:r>
      <w:r w:rsidR="005A33FB">
        <w:rPr>
          <w:szCs w:val="22"/>
        </w:rPr>
        <w:t>mutually exclusive with any application for a commercial station</w:t>
      </w:r>
      <w:r w:rsidR="00426520">
        <w:rPr>
          <w:szCs w:val="22"/>
        </w:rPr>
        <w:t>,</w:t>
      </w:r>
      <w:r w:rsidR="005A33FB">
        <w:rPr>
          <w:szCs w:val="22"/>
        </w:rPr>
        <w:t xml:space="preserve"> after any settlement opportunities expire, </w:t>
      </w:r>
      <w:r w:rsidR="00426520">
        <w:rPr>
          <w:szCs w:val="22"/>
        </w:rPr>
        <w:t>is</w:t>
      </w:r>
      <w:r w:rsidR="005A33FB">
        <w:rPr>
          <w:szCs w:val="22"/>
        </w:rPr>
        <w:t xml:space="preserve"> returned as unacceptable for filing.</w:t>
      </w:r>
      <w:r w:rsidR="00D1799C">
        <w:rPr>
          <w:rStyle w:val="FootnoteReference"/>
          <w:szCs w:val="22"/>
        </w:rPr>
        <w:footnoteReference w:id="7"/>
      </w:r>
      <w:r w:rsidR="005A33FB">
        <w:rPr>
          <w:szCs w:val="22"/>
        </w:rPr>
        <w:t xml:space="preserve"> </w:t>
      </w:r>
    </w:p>
    <w:p w:rsidR="00EF0633" w:rsidRDefault="005A33FB" w:rsidP="00673E2F">
      <w:pPr>
        <w:ind w:firstLine="720"/>
        <w:rPr>
          <w:szCs w:val="22"/>
        </w:rPr>
      </w:pPr>
      <w:r>
        <w:rPr>
          <w:szCs w:val="22"/>
        </w:rPr>
        <w:lastRenderedPageBreak/>
        <w:t xml:space="preserve"> </w:t>
      </w:r>
    </w:p>
    <w:p w:rsidR="00404FF8" w:rsidRDefault="00745F12" w:rsidP="00673E2F">
      <w:pPr>
        <w:ind w:firstLine="720"/>
        <w:rPr>
          <w:szCs w:val="22"/>
        </w:rPr>
      </w:pPr>
      <w:r>
        <w:rPr>
          <w:szCs w:val="22"/>
        </w:rPr>
        <w:t>On reconsideration</w:t>
      </w:r>
      <w:r w:rsidR="00E47BEF">
        <w:rPr>
          <w:szCs w:val="22"/>
        </w:rPr>
        <w:t xml:space="preserve"> of the </w:t>
      </w:r>
      <w:r w:rsidR="00E47BEF">
        <w:rPr>
          <w:i/>
          <w:szCs w:val="22"/>
        </w:rPr>
        <w:t>Second Report and Order</w:t>
      </w:r>
      <w:r>
        <w:rPr>
          <w:szCs w:val="22"/>
        </w:rPr>
        <w:t>, the Commission recognized</w:t>
      </w:r>
      <w:r w:rsidR="00A26C8A">
        <w:rPr>
          <w:szCs w:val="22"/>
        </w:rPr>
        <w:t xml:space="preserve"> the “unfairness” of dismissing applications that “had sought to be licensed as NCE stations . . . without knowledge of the consequences of this decision</w:t>
      </w:r>
      <w:r>
        <w:rPr>
          <w:szCs w:val="22"/>
        </w:rPr>
        <w:t>.</w:t>
      </w:r>
      <w:r w:rsidR="00A26C8A">
        <w:rPr>
          <w:szCs w:val="22"/>
        </w:rPr>
        <w:t>”</w:t>
      </w:r>
      <w:r w:rsidR="009978C8">
        <w:rPr>
          <w:rStyle w:val="FootnoteReference"/>
          <w:szCs w:val="22"/>
        </w:rPr>
        <w:footnoteReference w:id="8"/>
      </w:r>
      <w:r w:rsidR="00A26C8A">
        <w:rPr>
          <w:szCs w:val="22"/>
        </w:rPr>
        <w:t xml:space="preserve"> </w:t>
      </w:r>
      <w:r>
        <w:rPr>
          <w:szCs w:val="22"/>
        </w:rPr>
        <w:t xml:space="preserve">  Accordingly, it </w:t>
      </w:r>
      <w:r w:rsidR="00A26C8A">
        <w:rPr>
          <w:szCs w:val="22"/>
        </w:rPr>
        <w:t xml:space="preserve">directed the </w:t>
      </w:r>
      <w:r w:rsidR="00CF4DDC">
        <w:rPr>
          <w:szCs w:val="22"/>
        </w:rPr>
        <w:t xml:space="preserve">Media </w:t>
      </w:r>
      <w:r w:rsidR="00A26C8A">
        <w:rPr>
          <w:szCs w:val="22"/>
        </w:rPr>
        <w:t xml:space="preserve">Bureau to announce a window for the sole purpose of providing </w:t>
      </w:r>
      <w:r>
        <w:rPr>
          <w:szCs w:val="22"/>
        </w:rPr>
        <w:t xml:space="preserve">an identified group of long pending NCE </w:t>
      </w:r>
      <w:r w:rsidR="00E47BEF">
        <w:rPr>
          <w:szCs w:val="22"/>
        </w:rPr>
        <w:t xml:space="preserve">FM (full power) </w:t>
      </w:r>
      <w:r>
        <w:rPr>
          <w:szCs w:val="22"/>
        </w:rPr>
        <w:t xml:space="preserve">applications </w:t>
      </w:r>
      <w:r w:rsidR="00A26C8A">
        <w:rPr>
          <w:szCs w:val="22"/>
        </w:rPr>
        <w:t>with a one-time opportunity to amend their applica</w:t>
      </w:r>
      <w:r w:rsidR="00CF4DDC">
        <w:rPr>
          <w:szCs w:val="22"/>
        </w:rPr>
        <w:t>tions</w:t>
      </w:r>
      <w:r w:rsidR="00A26C8A">
        <w:rPr>
          <w:szCs w:val="22"/>
        </w:rPr>
        <w:t xml:space="preserve"> to apply for commercial stations.</w:t>
      </w:r>
      <w:r w:rsidR="009978C8">
        <w:rPr>
          <w:rStyle w:val="FootnoteReference"/>
          <w:szCs w:val="22"/>
        </w:rPr>
        <w:footnoteReference w:id="9"/>
      </w:r>
      <w:r w:rsidR="00A26C8A">
        <w:rPr>
          <w:szCs w:val="22"/>
        </w:rPr>
        <w:t xml:space="preserve">  </w:t>
      </w:r>
      <w:r w:rsidR="00E80D3C">
        <w:rPr>
          <w:szCs w:val="22"/>
        </w:rPr>
        <w:t>T</w:t>
      </w:r>
      <w:r w:rsidR="00A26C8A">
        <w:rPr>
          <w:szCs w:val="22"/>
        </w:rPr>
        <w:t xml:space="preserve">he Commission to date has </w:t>
      </w:r>
      <w:r w:rsidR="00922029">
        <w:rPr>
          <w:szCs w:val="22"/>
        </w:rPr>
        <w:t>waived Section 1.2105(b)(</w:t>
      </w:r>
      <w:r w:rsidR="00D97A8B">
        <w:rPr>
          <w:szCs w:val="22"/>
        </w:rPr>
        <w:t>2</w:t>
      </w:r>
      <w:r w:rsidR="00922029">
        <w:rPr>
          <w:szCs w:val="22"/>
        </w:rPr>
        <w:t xml:space="preserve">) </w:t>
      </w:r>
      <w:r w:rsidR="00E47BEF">
        <w:rPr>
          <w:szCs w:val="22"/>
        </w:rPr>
        <w:t xml:space="preserve">on three separate occasions </w:t>
      </w:r>
      <w:r w:rsidR="00922029">
        <w:rPr>
          <w:szCs w:val="22"/>
        </w:rPr>
        <w:t xml:space="preserve">to allow </w:t>
      </w:r>
      <w:r w:rsidR="002C799F">
        <w:rPr>
          <w:szCs w:val="22"/>
        </w:rPr>
        <w:t>auction a</w:t>
      </w:r>
      <w:r w:rsidR="00922029">
        <w:rPr>
          <w:szCs w:val="22"/>
        </w:rPr>
        <w:t xml:space="preserve">pplicants to “de-select” NCE </w:t>
      </w:r>
      <w:r w:rsidR="002C799F">
        <w:rPr>
          <w:szCs w:val="22"/>
        </w:rPr>
        <w:t>filing</w:t>
      </w:r>
      <w:r w:rsidR="00922029">
        <w:rPr>
          <w:szCs w:val="22"/>
        </w:rPr>
        <w:t xml:space="preserve"> status</w:t>
      </w:r>
      <w:r w:rsidR="00404FF8">
        <w:rPr>
          <w:szCs w:val="22"/>
        </w:rPr>
        <w:t>.</w:t>
      </w:r>
      <w:r w:rsidR="009978C8">
        <w:rPr>
          <w:rStyle w:val="FootnoteReference"/>
          <w:szCs w:val="22"/>
        </w:rPr>
        <w:footnoteReference w:id="10"/>
      </w:r>
      <w:r w:rsidR="00404FF8">
        <w:rPr>
          <w:szCs w:val="22"/>
        </w:rPr>
        <w:t xml:space="preserve">  These same considerations are controlling </w:t>
      </w:r>
      <w:r w:rsidR="00311269">
        <w:rPr>
          <w:szCs w:val="22"/>
        </w:rPr>
        <w:t xml:space="preserve">here </w:t>
      </w:r>
      <w:r w:rsidR="00404FF8">
        <w:rPr>
          <w:szCs w:val="22"/>
        </w:rPr>
        <w:t xml:space="preserve">with regard to the remaining Auction 83 applicants.  </w:t>
      </w:r>
      <w:r>
        <w:rPr>
          <w:szCs w:val="22"/>
        </w:rPr>
        <w:t xml:space="preserve">At the time that the window closed, Auction 83 applicants did not know and could not have known that “checking” the NCE box could be irreversibly fatal in any “mixed” commercial/NCE mutually exclusive </w:t>
      </w:r>
      <w:r w:rsidR="00E47BEF">
        <w:rPr>
          <w:szCs w:val="22"/>
        </w:rPr>
        <w:t xml:space="preserve">FM translator application </w:t>
      </w:r>
      <w:r>
        <w:rPr>
          <w:szCs w:val="22"/>
        </w:rPr>
        <w:t xml:space="preserve">group.  </w:t>
      </w:r>
      <w:r w:rsidR="00404FF8">
        <w:rPr>
          <w:szCs w:val="22"/>
        </w:rPr>
        <w:t xml:space="preserve">The public interest is best served by waiving the prohibition against post-window major amendments for the limited purpose of permitting </w:t>
      </w:r>
      <w:r w:rsidR="002C799F">
        <w:rPr>
          <w:szCs w:val="22"/>
        </w:rPr>
        <w:t>these</w:t>
      </w:r>
      <w:r w:rsidR="00404FF8">
        <w:rPr>
          <w:szCs w:val="22"/>
        </w:rPr>
        <w:t xml:space="preserve"> applicants to de-select their prior </w:t>
      </w:r>
      <w:r w:rsidR="00311269">
        <w:rPr>
          <w:szCs w:val="22"/>
        </w:rPr>
        <w:t xml:space="preserve">NCE </w:t>
      </w:r>
      <w:r w:rsidR="00404FF8">
        <w:rPr>
          <w:szCs w:val="22"/>
        </w:rPr>
        <w:t xml:space="preserve">“applicant status” selection.  </w:t>
      </w:r>
      <w:r>
        <w:rPr>
          <w:szCs w:val="22"/>
        </w:rPr>
        <w:t xml:space="preserve"> </w:t>
      </w:r>
    </w:p>
    <w:p w:rsidR="00404FF8" w:rsidRDefault="00404FF8" w:rsidP="00673E2F">
      <w:pPr>
        <w:ind w:firstLine="720"/>
        <w:rPr>
          <w:szCs w:val="22"/>
        </w:rPr>
      </w:pPr>
    </w:p>
    <w:p w:rsidR="007E182E" w:rsidRDefault="00404FF8" w:rsidP="00673E2F">
      <w:pPr>
        <w:ind w:firstLine="720"/>
        <w:rPr>
          <w:szCs w:val="22"/>
        </w:rPr>
      </w:pPr>
      <w:r>
        <w:rPr>
          <w:szCs w:val="22"/>
        </w:rPr>
        <w:t>Equitable consider</w:t>
      </w:r>
      <w:r w:rsidR="00DB1AC4">
        <w:rPr>
          <w:szCs w:val="22"/>
        </w:rPr>
        <w:t>a</w:t>
      </w:r>
      <w:r>
        <w:rPr>
          <w:szCs w:val="22"/>
        </w:rPr>
        <w:t xml:space="preserve">tions </w:t>
      </w:r>
      <w:r w:rsidR="00745F12">
        <w:rPr>
          <w:szCs w:val="22"/>
        </w:rPr>
        <w:t xml:space="preserve">also </w:t>
      </w:r>
      <w:r>
        <w:rPr>
          <w:szCs w:val="22"/>
        </w:rPr>
        <w:t>strong</w:t>
      </w:r>
      <w:r w:rsidR="00745F12">
        <w:rPr>
          <w:szCs w:val="22"/>
        </w:rPr>
        <w:t>ly</w:t>
      </w:r>
      <w:r>
        <w:rPr>
          <w:szCs w:val="22"/>
        </w:rPr>
        <w:t xml:space="preserve"> favor providing this relief.  Most importantly, strict enforcement of the major change prohibition would be inconsistent with </w:t>
      </w:r>
      <w:r w:rsidR="002C799F">
        <w:rPr>
          <w:szCs w:val="22"/>
        </w:rPr>
        <w:t>basic</w:t>
      </w:r>
      <w:r>
        <w:rPr>
          <w:szCs w:val="22"/>
        </w:rPr>
        <w:t xml:space="preserve"> due process requirements.  As the Court has noted, “[F]undamental fairness . . . requires tha</w:t>
      </w:r>
      <w:r w:rsidR="00977E6A">
        <w:rPr>
          <w:szCs w:val="22"/>
        </w:rPr>
        <w:t>t</w:t>
      </w:r>
      <w:r>
        <w:rPr>
          <w:szCs w:val="22"/>
        </w:rPr>
        <w:t xml:space="preserve"> an exacting application standard, enforced by the severe sanction of dismissal without consideration on the merits</w:t>
      </w:r>
      <w:r w:rsidR="00DB1AC4">
        <w:rPr>
          <w:szCs w:val="22"/>
        </w:rPr>
        <w:t>, be accompanied by full and explicit notice of all prerequisites for such consideration.”</w:t>
      </w:r>
      <w:r w:rsidR="00DB1AC4">
        <w:rPr>
          <w:rStyle w:val="FootnoteReference"/>
          <w:szCs w:val="22"/>
        </w:rPr>
        <w:footnoteReference w:id="11"/>
      </w:r>
      <w:r w:rsidR="00DB1AC4">
        <w:rPr>
          <w:szCs w:val="22"/>
        </w:rPr>
        <w:t xml:space="preserve">  Obviously, such notice was lacking here.  We find unpersuasive the counterargument that commercial applicants may have relied on the expectation that the Commission would strictly enforce Section 1.2105 in making decisions about which </w:t>
      </w:r>
      <w:r w:rsidR="00745F12">
        <w:rPr>
          <w:szCs w:val="22"/>
        </w:rPr>
        <w:t xml:space="preserve">Auction 83 proposals </w:t>
      </w:r>
      <w:r w:rsidR="00DB1AC4">
        <w:rPr>
          <w:szCs w:val="22"/>
        </w:rPr>
        <w:t>to prosecute.</w:t>
      </w:r>
      <w:r w:rsidR="00D22AB6">
        <w:rPr>
          <w:rStyle w:val="FootnoteReference"/>
          <w:szCs w:val="22"/>
        </w:rPr>
        <w:footnoteReference w:id="12"/>
      </w:r>
      <w:r w:rsidR="00DB1AC4">
        <w:rPr>
          <w:szCs w:val="22"/>
        </w:rPr>
        <w:t xml:space="preserve">  Th</w:t>
      </w:r>
      <w:r w:rsidR="0020754A">
        <w:rPr>
          <w:szCs w:val="22"/>
        </w:rPr>
        <w:t>is</w:t>
      </w:r>
      <w:r w:rsidR="00DB1AC4">
        <w:rPr>
          <w:szCs w:val="22"/>
        </w:rPr>
        <w:t xml:space="preserve"> </w:t>
      </w:r>
      <w:r w:rsidR="006C02BE">
        <w:rPr>
          <w:szCs w:val="22"/>
        </w:rPr>
        <w:t xml:space="preserve">waiver </w:t>
      </w:r>
      <w:r w:rsidR="00DB1AC4">
        <w:rPr>
          <w:szCs w:val="22"/>
        </w:rPr>
        <w:t xml:space="preserve">relief </w:t>
      </w:r>
      <w:r w:rsidR="006C02BE">
        <w:rPr>
          <w:szCs w:val="22"/>
        </w:rPr>
        <w:t xml:space="preserve">– to “give applicants for NCE stations one opportunity to reevaluate their long pending plans in the context of </w:t>
      </w:r>
      <w:r w:rsidR="006C02BE">
        <w:rPr>
          <w:i/>
          <w:szCs w:val="22"/>
        </w:rPr>
        <w:t>full and complete information about how the licensing process will work</w:t>
      </w:r>
      <w:r w:rsidR="006C02BE">
        <w:rPr>
          <w:szCs w:val="22"/>
        </w:rPr>
        <w:t>”</w:t>
      </w:r>
      <w:r w:rsidR="006C02BE">
        <w:rPr>
          <w:rStyle w:val="FootnoteReference"/>
          <w:szCs w:val="22"/>
        </w:rPr>
        <w:footnoteReference w:id="13"/>
      </w:r>
      <w:r w:rsidR="006C02BE">
        <w:rPr>
          <w:szCs w:val="22"/>
        </w:rPr>
        <w:t xml:space="preserve"> - </w:t>
      </w:r>
      <w:r w:rsidR="00DB1AC4">
        <w:rPr>
          <w:szCs w:val="22"/>
        </w:rPr>
        <w:t xml:space="preserve">is identical to </w:t>
      </w:r>
      <w:r w:rsidR="006E2082">
        <w:rPr>
          <w:szCs w:val="22"/>
        </w:rPr>
        <w:t xml:space="preserve">the relief </w:t>
      </w:r>
      <w:r w:rsidR="00DB1AC4">
        <w:rPr>
          <w:szCs w:val="22"/>
        </w:rPr>
        <w:t xml:space="preserve">which the Commission has provided </w:t>
      </w:r>
      <w:r w:rsidR="002C799F">
        <w:rPr>
          <w:szCs w:val="22"/>
        </w:rPr>
        <w:t xml:space="preserve">repeatedly </w:t>
      </w:r>
      <w:r w:rsidR="00DB1AC4">
        <w:rPr>
          <w:szCs w:val="22"/>
        </w:rPr>
        <w:t>to essentially identically situated applicants</w:t>
      </w:r>
      <w:r w:rsidR="006C02BE">
        <w:rPr>
          <w:szCs w:val="22"/>
        </w:rPr>
        <w:t>.  Thus, competing applicants could have reasonably anticipated that the Commission would afford these applicants an opportunity to participate in the upcoming auction.</w:t>
      </w:r>
      <w:r w:rsidR="00DB1AC4">
        <w:rPr>
          <w:szCs w:val="22"/>
        </w:rPr>
        <w:t xml:space="preserve">   </w:t>
      </w:r>
      <w:r w:rsidR="00D22AB6">
        <w:rPr>
          <w:szCs w:val="22"/>
        </w:rPr>
        <w:t>In particular, we not</w:t>
      </w:r>
      <w:r w:rsidR="006D30A0">
        <w:rPr>
          <w:szCs w:val="22"/>
        </w:rPr>
        <w:t>e</w:t>
      </w:r>
      <w:r w:rsidR="00D22AB6">
        <w:rPr>
          <w:szCs w:val="22"/>
        </w:rPr>
        <w:t xml:space="preserve"> that the Commission has provided this relief to applicants with proposals that have been pending in mixed MX groups for up to fifteen years.</w:t>
      </w:r>
      <w:r w:rsidR="00D22AB6">
        <w:rPr>
          <w:rStyle w:val="FootnoteReference"/>
          <w:szCs w:val="22"/>
        </w:rPr>
        <w:footnoteReference w:id="14"/>
      </w:r>
      <w:r w:rsidR="00D22AB6">
        <w:rPr>
          <w:szCs w:val="22"/>
        </w:rPr>
        <w:t xml:space="preserve">  </w:t>
      </w:r>
      <w:r w:rsidR="00DB1AC4">
        <w:rPr>
          <w:szCs w:val="22"/>
        </w:rPr>
        <w:t xml:space="preserve">We find without merit </w:t>
      </w:r>
      <w:r w:rsidR="002C799F">
        <w:rPr>
          <w:szCs w:val="22"/>
        </w:rPr>
        <w:t xml:space="preserve">the claim </w:t>
      </w:r>
      <w:r w:rsidR="00DB1AC4">
        <w:rPr>
          <w:szCs w:val="22"/>
        </w:rPr>
        <w:t xml:space="preserve">that relief is </w:t>
      </w:r>
      <w:r w:rsidR="00DB1AC4">
        <w:rPr>
          <w:szCs w:val="22"/>
        </w:rPr>
        <w:lastRenderedPageBreak/>
        <w:t xml:space="preserve">unwarranted because </w:t>
      </w:r>
      <w:r w:rsidR="00162EF3">
        <w:rPr>
          <w:szCs w:val="22"/>
        </w:rPr>
        <w:t xml:space="preserve">NCE </w:t>
      </w:r>
      <w:r w:rsidR="00DB1AC4">
        <w:rPr>
          <w:szCs w:val="22"/>
        </w:rPr>
        <w:t>applicants should have individually requested “de-select</w:t>
      </w:r>
      <w:r w:rsidR="00745F12">
        <w:rPr>
          <w:szCs w:val="22"/>
        </w:rPr>
        <w:t>ion</w:t>
      </w:r>
      <w:r w:rsidR="00DB1AC4">
        <w:rPr>
          <w:szCs w:val="22"/>
        </w:rPr>
        <w:t>” earlier.</w:t>
      </w:r>
      <w:r w:rsidR="00D22AB6">
        <w:rPr>
          <w:rStyle w:val="FootnoteReference"/>
          <w:szCs w:val="22"/>
        </w:rPr>
        <w:footnoteReference w:id="15"/>
      </w:r>
      <w:r w:rsidR="00DB1AC4">
        <w:rPr>
          <w:szCs w:val="22"/>
        </w:rPr>
        <w:t xml:space="preserve">  </w:t>
      </w:r>
      <w:r w:rsidR="00162EF3">
        <w:rPr>
          <w:szCs w:val="22"/>
        </w:rPr>
        <w:t>It is simply unfair and unrealistic to fault an applicant for failing to seek a waiver of the rule prohibiting major amendments</w:t>
      </w:r>
      <w:r w:rsidR="0068087F">
        <w:rPr>
          <w:szCs w:val="22"/>
        </w:rPr>
        <w:t xml:space="preserve"> to its Form 175</w:t>
      </w:r>
      <w:r w:rsidR="002C799F">
        <w:rPr>
          <w:szCs w:val="22"/>
        </w:rPr>
        <w:t>, especially when the Commission’s established practice is to open a</w:t>
      </w:r>
      <w:r w:rsidR="0068087F">
        <w:rPr>
          <w:szCs w:val="22"/>
        </w:rPr>
        <w:t>n all-inclusive amendment</w:t>
      </w:r>
      <w:r w:rsidR="002C799F">
        <w:rPr>
          <w:szCs w:val="22"/>
        </w:rPr>
        <w:t xml:space="preserve"> window for this purpose</w:t>
      </w:r>
      <w:r w:rsidR="00162EF3">
        <w:rPr>
          <w:szCs w:val="22"/>
        </w:rPr>
        <w:t xml:space="preserve">.  </w:t>
      </w:r>
    </w:p>
    <w:p w:rsidR="007E182E" w:rsidRDefault="007E182E" w:rsidP="00673E2F">
      <w:pPr>
        <w:ind w:firstLine="720"/>
        <w:rPr>
          <w:szCs w:val="22"/>
        </w:rPr>
      </w:pPr>
    </w:p>
    <w:p w:rsidR="00EF0633" w:rsidRDefault="006E2082" w:rsidP="00673E2F">
      <w:pPr>
        <w:ind w:firstLine="720"/>
        <w:rPr>
          <w:szCs w:val="22"/>
        </w:rPr>
      </w:pPr>
      <w:r>
        <w:rPr>
          <w:szCs w:val="22"/>
        </w:rPr>
        <w:t>We also reject as misguided the argument that commercial applicants “will be substantially harmed” if mutually exclusive NCE applicants are permitted to de-select their NCE status.</w:t>
      </w:r>
      <w:r w:rsidR="00907196">
        <w:rPr>
          <w:rStyle w:val="FootnoteReference"/>
          <w:szCs w:val="22"/>
        </w:rPr>
        <w:footnoteReference w:id="16"/>
      </w:r>
      <w:r>
        <w:rPr>
          <w:szCs w:val="22"/>
        </w:rPr>
        <w:t xml:space="preserve">  This argument conflates the private self-interest of commercial applicants with the </w:t>
      </w:r>
      <w:r w:rsidR="00907196">
        <w:rPr>
          <w:szCs w:val="22"/>
        </w:rPr>
        <w:t>benefits of</w:t>
      </w:r>
      <w:r>
        <w:rPr>
          <w:szCs w:val="22"/>
        </w:rPr>
        <w:t xml:space="preserve"> providing all applicants </w:t>
      </w:r>
      <w:r>
        <w:rPr>
          <w:i/>
          <w:szCs w:val="22"/>
        </w:rPr>
        <w:t xml:space="preserve">an </w:t>
      </w:r>
      <w:r>
        <w:rPr>
          <w:szCs w:val="22"/>
        </w:rPr>
        <w:t xml:space="preserve">opportunity to make an informed </w:t>
      </w:r>
      <w:r w:rsidR="00481280">
        <w:rPr>
          <w:szCs w:val="22"/>
        </w:rPr>
        <w:t xml:space="preserve">decision as to whether to </w:t>
      </w:r>
      <w:r>
        <w:rPr>
          <w:szCs w:val="22"/>
        </w:rPr>
        <w:t>participate in a future auction.</w:t>
      </w:r>
      <w:r w:rsidR="00907196">
        <w:rPr>
          <w:szCs w:val="22"/>
        </w:rPr>
        <w:t xml:space="preserve">  The public interest is better served by encouraging maximum bidder participation</w:t>
      </w:r>
      <w:r>
        <w:rPr>
          <w:rStyle w:val="FootnoteReference"/>
          <w:szCs w:val="22"/>
        </w:rPr>
        <w:footnoteReference w:id="17"/>
      </w:r>
      <w:r>
        <w:rPr>
          <w:szCs w:val="22"/>
        </w:rPr>
        <w:t xml:space="preserve"> </w:t>
      </w:r>
      <w:r w:rsidR="00907196">
        <w:rPr>
          <w:szCs w:val="22"/>
        </w:rPr>
        <w:t xml:space="preserve">and </w:t>
      </w:r>
      <w:r w:rsidR="003E607A">
        <w:rPr>
          <w:szCs w:val="22"/>
        </w:rPr>
        <w:t xml:space="preserve">promoting </w:t>
      </w:r>
      <w:r w:rsidR="00907196">
        <w:rPr>
          <w:szCs w:val="22"/>
        </w:rPr>
        <w:t>recover</w:t>
      </w:r>
      <w:r w:rsidR="003E607A">
        <w:rPr>
          <w:szCs w:val="22"/>
        </w:rPr>
        <w:t>y</w:t>
      </w:r>
      <w:r w:rsidR="00907196">
        <w:rPr>
          <w:szCs w:val="22"/>
        </w:rPr>
        <w:t xml:space="preserve"> </w:t>
      </w:r>
      <w:r w:rsidR="003E607A">
        <w:rPr>
          <w:szCs w:val="22"/>
        </w:rPr>
        <w:t xml:space="preserve">of </w:t>
      </w:r>
      <w:r w:rsidR="00907196">
        <w:rPr>
          <w:szCs w:val="22"/>
        </w:rPr>
        <w:t>the value of auctioned spectrum.</w:t>
      </w:r>
      <w:r w:rsidR="00907196">
        <w:rPr>
          <w:rStyle w:val="FootnoteReference"/>
          <w:szCs w:val="22"/>
        </w:rPr>
        <w:footnoteReference w:id="18"/>
      </w:r>
      <w:r w:rsidR="00907196">
        <w:rPr>
          <w:szCs w:val="22"/>
        </w:rPr>
        <w:t xml:space="preserve">  </w:t>
      </w:r>
      <w:r w:rsidR="0020754A">
        <w:rPr>
          <w:szCs w:val="22"/>
        </w:rPr>
        <w:t>W</w:t>
      </w:r>
      <w:r w:rsidR="00162EF3">
        <w:rPr>
          <w:szCs w:val="22"/>
        </w:rPr>
        <w:t xml:space="preserve">e find immaterial the fact that an applicant’s clear intention to seek an NCE station can be </w:t>
      </w:r>
      <w:r w:rsidR="0020754A">
        <w:rPr>
          <w:szCs w:val="22"/>
        </w:rPr>
        <w:t xml:space="preserve">independently established </w:t>
      </w:r>
      <w:r w:rsidR="00162EF3">
        <w:rPr>
          <w:szCs w:val="22"/>
        </w:rPr>
        <w:t>by its specification of an NCE primary station</w:t>
      </w:r>
      <w:r w:rsidR="0068087F">
        <w:rPr>
          <w:szCs w:val="22"/>
        </w:rPr>
        <w:t xml:space="preserve"> on the tech box component of its Auction 83 application</w:t>
      </w:r>
      <w:r w:rsidR="00162EF3">
        <w:rPr>
          <w:szCs w:val="22"/>
        </w:rPr>
        <w:t xml:space="preserve">.  </w:t>
      </w:r>
      <w:r w:rsidR="00745F12">
        <w:rPr>
          <w:szCs w:val="22"/>
        </w:rPr>
        <w:t xml:space="preserve">Primary station specification and </w:t>
      </w:r>
      <w:r w:rsidR="00162EF3">
        <w:rPr>
          <w:szCs w:val="22"/>
        </w:rPr>
        <w:t xml:space="preserve">“NCE” </w:t>
      </w:r>
      <w:r w:rsidR="0020754A">
        <w:rPr>
          <w:szCs w:val="22"/>
        </w:rPr>
        <w:t>filing</w:t>
      </w:r>
      <w:r w:rsidR="00162EF3">
        <w:rPr>
          <w:szCs w:val="22"/>
        </w:rPr>
        <w:t xml:space="preserve"> status </w:t>
      </w:r>
      <w:r w:rsidR="00745F12">
        <w:rPr>
          <w:szCs w:val="22"/>
        </w:rPr>
        <w:t xml:space="preserve">selection are equally problematic because applicants made </w:t>
      </w:r>
      <w:r w:rsidR="0020754A">
        <w:rPr>
          <w:szCs w:val="22"/>
        </w:rPr>
        <w:t xml:space="preserve">both of </w:t>
      </w:r>
      <w:r w:rsidR="00745F12">
        <w:rPr>
          <w:szCs w:val="22"/>
        </w:rPr>
        <w:t xml:space="preserve">these decisions without any </w:t>
      </w:r>
      <w:r w:rsidR="00162EF3">
        <w:rPr>
          <w:szCs w:val="22"/>
        </w:rPr>
        <w:t>understanding of the</w:t>
      </w:r>
      <w:r w:rsidR="0020754A">
        <w:rPr>
          <w:szCs w:val="22"/>
        </w:rPr>
        <w:t>ir</w:t>
      </w:r>
      <w:r w:rsidR="00162EF3">
        <w:rPr>
          <w:szCs w:val="22"/>
        </w:rPr>
        <w:t xml:space="preserve"> consequences.  </w:t>
      </w:r>
      <w:r w:rsidR="004E49CB">
        <w:rPr>
          <w:szCs w:val="22"/>
        </w:rPr>
        <w:t>For these reasons, we find that a waiver of Section 1.2105(b)(5) is warranted.</w:t>
      </w:r>
      <w:r w:rsidR="004E49CB">
        <w:rPr>
          <w:rStyle w:val="FootnoteReference"/>
          <w:szCs w:val="22"/>
        </w:rPr>
        <w:footnoteReference w:id="19"/>
      </w:r>
      <w:r w:rsidR="004E49CB">
        <w:rPr>
          <w:szCs w:val="22"/>
        </w:rPr>
        <w:t xml:space="preserve">  </w:t>
      </w:r>
      <w:r w:rsidR="00162EF3">
        <w:rPr>
          <w:szCs w:val="22"/>
        </w:rPr>
        <w:t xml:space="preserve">Accordingly, the </w:t>
      </w:r>
      <w:r w:rsidR="00426520">
        <w:rPr>
          <w:szCs w:val="22"/>
        </w:rPr>
        <w:t>applicants identified in Attachment A</w:t>
      </w:r>
      <w:r w:rsidR="00162EF3">
        <w:rPr>
          <w:szCs w:val="22"/>
        </w:rPr>
        <w:t xml:space="preserve"> will be permitted to file</w:t>
      </w:r>
      <w:r w:rsidR="002861EC">
        <w:rPr>
          <w:szCs w:val="22"/>
        </w:rPr>
        <w:t xml:space="preserve"> major amendments to </w:t>
      </w:r>
      <w:r w:rsidR="00C64B8B">
        <w:rPr>
          <w:szCs w:val="22"/>
        </w:rPr>
        <w:t>the</w:t>
      </w:r>
      <w:r w:rsidR="00162EF3">
        <w:rPr>
          <w:szCs w:val="22"/>
        </w:rPr>
        <w:t>ir</w:t>
      </w:r>
      <w:r w:rsidR="00C64B8B">
        <w:rPr>
          <w:szCs w:val="22"/>
        </w:rPr>
        <w:t xml:space="preserve"> </w:t>
      </w:r>
      <w:r w:rsidR="002861EC">
        <w:rPr>
          <w:szCs w:val="22"/>
        </w:rPr>
        <w:t>Form 175</w:t>
      </w:r>
      <w:r w:rsidR="00162EF3">
        <w:rPr>
          <w:szCs w:val="22"/>
        </w:rPr>
        <w:t>s</w:t>
      </w:r>
      <w:r w:rsidR="002861EC">
        <w:rPr>
          <w:szCs w:val="22"/>
        </w:rPr>
        <w:t xml:space="preserve"> for the limited purpose of de-select</w:t>
      </w:r>
      <w:r w:rsidR="00162EF3">
        <w:rPr>
          <w:szCs w:val="22"/>
        </w:rPr>
        <w:t>ing</w:t>
      </w:r>
      <w:r w:rsidR="002861EC">
        <w:rPr>
          <w:szCs w:val="22"/>
        </w:rPr>
        <w:t xml:space="preserve"> </w:t>
      </w:r>
      <w:r w:rsidR="002861EC">
        <w:t>the</w:t>
      </w:r>
      <w:r w:rsidR="008D1F17">
        <w:t xml:space="preserve">ir earlier </w:t>
      </w:r>
      <w:r w:rsidR="002861EC">
        <w:t>“noncommercial educational” status election</w:t>
      </w:r>
      <w:r w:rsidR="00E47BEF">
        <w:t xml:space="preserve"> during the upcoming window</w:t>
      </w:r>
      <w:r w:rsidR="002861EC">
        <w:t>.</w:t>
      </w:r>
      <w:r w:rsidR="002861EC">
        <w:rPr>
          <w:szCs w:val="22"/>
        </w:rPr>
        <w:t xml:space="preserve"> </w:t>
      </w:r>
      <w:r w:rsidR="00A317E6">
        <w:rPr>
          <w:szCs w:val="22"/>
        </w:rPr>
        <w:t xml:space="preserve"> </w:t>
      </w:r>
      <w:r w:rsidR="00D95702">
        <w:rPr>
          <w:szCs w:val="22"/>
        </w:rPr>
        <w:t xml:space="preserve">  </w:t>
      </w:r>
    </w:p>
    <w:p w:rsidR="00D95702" w:rsidRDefault="00D95702" w:rsidP="00673E2F">
      <w:pPr>
        <w:ind w:firstLine="720"/>
        <w:rPr>
          <w:szCs w:val="22"/>
        </w:rPr>
      </w:pPr>
    </w:p>
    <w:p w:rsidR="008A4F4C" w:rsidRDefault="004C6410" w:rsidP="00D95702">
      <w:pPr>
        <w:rPr>
          <w:szCs w:val="22"/>
        </w:rPr>
      </w:pPr>
      <w:r>
        <w:tab/>
      </w:r>
      <w:r w:rsidR="00D95702">
        <w:rPr>
          <w:b/>
          <w:i/>
        </w:rPr>
        <w:t>Amendment Filing Procedures</w:t>
      </w:r>
      <w:r>
        <w:rPr>
          <w:b/>
          <w:i/>
        </w:rPr>
        <w:t xml:space="preserve">: </w:t>
      </w:r>
      <w:r w:rsidR="001D5EFA">
        <w:t xml:space="preserve"> Attachment A to this Public Notice identifies the Auction 83 a</w:t>
      </w:r>
      <w:r w:rsidR="001D5EFA">
        <w:rPr>
          <w:szCs w:val="22"/>
        </w:rPr>
        <w:t xml:space="preserve">pplicants for NCE FM </w:t>
      </w:r>
      <w:r w:rsidR="0068087F">
        <w:rPr>
          <w:szCs w:val="22"/>
        </w:rPr>
        <w:t>t</w:t>
      </w:r>
      <w:r w:rsidR="001D5EFA">
        <w:rPr>
          <w:szCs w:val="22"/>
        </w:rPr>
        <w:t>ranslator stations.  Applicants must submit a</w:t>
      </w:r>
      <w:r w:rsidR="00C64B8B">
        <w:rPr>
          <w:szCs w:val="22"/>
        </w:rPr>
        <w:t xml:space="preserve"> de-selection</w:t>
      </w:r>
      <w:r w:rsidR="001D5EFA">
        <w:rPr>
          <w:szCs w:val="22"/>
        </w:rPr>
        <w:t xml:space="preserve"> amendment, in triplicate, with the Commission’s Secretary, Marlene Dortch, Office of the Secretary, Federal Communications Commission, 445 Twelfth Street S.W., Room TW-A325, Washington, DC 20054.  The amendment </w:t>
      </w:r>
      <w:r w:rsidR="00F954AE">
        <w:rPr>
          <w:szCs w:val="22"/>
        </w:rPr>
        <w:t>must</w:t>
      </w:r>
      <w:r w:rsidR="001D5EFA">
        <w:rPr>
          <w:szCs w:val="22"/>
        </w:rPr>
        <w:t xml:space="preserve"> also be emailed to </w:t>
      </w:r>
      <w:hyperlink r:id="rId14" w:history="1">
        <w:r w:rsidR="003C0A61" w:rsidRPr="003D4FD5">
          <w:rPr>
            <w:rStyle w:val="Hyperlink"/>
            <w:szCs w:val="22"/>
          </w:rPr>
          <w:t>FXshowings@fcc.gov</w:t>
        </w:r>
      </w:hyperlink>
      <w:r w:rsidR="003C0A61">
        <w:rPr>
          <w:szCs w:val="22"/>
        </w:rPr>
        <w:t>.</w:t>
      </w:r>
      <w:r w:rsidR="001D5EFA">
        <w:rPr>
          <w:szCs w:val="22"/>
        </w:rPr>
        <w:t xml:space="preserve">  The </w:t>
      </w:r>
      <w:r w:rsidR="00A26DCF">
        <w:rPr>
          <w:szCs w:val="22"/>
        </w:rPr>
        <w:t>de-selection amendment</w:t>
      </w:r>
      <w:r w:rsidR="001D5EFA">
        <w:rPr>
          <w:szCs w:val="22"/>
        </w:rPr>
        <w:t xml:space="preserve"> must explicitly state that the applicant had previously applied for an NCE FM </w:t>
      </w:r>
      <w:r w:rsidR="007A2D92">
        <w:rPr>
          <w:szCs w:val="22"/>
        </w:rPr>
        <w:t>t</w:t>
      </w:r>
      <w:r w:rsidR="001D5EFA">
        <w:rPr>
          <w:szCs w:val="22"/>
        </w:rPr>
        <w:t xml:space="preserve">ranslator station </w:t>
      </w:r>
      <w:r w:rsidR="00A26DCF">
        <w:rPr>
          <w:szCs w:val="22"/>
        </w:rPr>
        <w:t xml:space="preserve">in the Auction 83 Filing Window </w:t>
      </w:r>
      <w:r w:rsidR="001D5EFA">
        <w:rPr>
          <w:szCs w:val="22"/>
        </w:rPr>
        <w:t xml:space="preserve">and now seeks to amend its pending </w:t>
      </w:r>
      <w:r w:rsidR="00A26DCF">
        <w:rPr>
          <w:szCs w:val="22"/>
        </w:rPr>
        <w:t xml:space="preserve">Auction 83 </w:t>
      </w:r>
      <w:r w:rsidR="001D5EFA">
        <w:rPr>
          <w:szCs w:val="22"/>
        </w:rPr>
        <w:t xml:space="preserve">application to apply for a commercial </w:t>
      </w:r>
      <w:r w:rsidR="00A26DCF">
        <w:rPr>
          <w:szCs w:val="22"/>
        </w:rPr>
        <w:t xml:space="preserve">FM </w:t>
      </w:r>
      <w:r w:rsidR="007A2D92">
        <w:rPr>
          <w:szCs w:val="22"/>
        </w:rPr>
        <w:t>t</w:t>
      </w:r>
      <w:r w:rsidR="00A26DCF">
        <w:rPr>
          <w:szCs w:val="22"/>
        </w:rPr>
        <w:t xml:space="preserve">ranslator </w:t>
      </w:r>
      <w:r w:rsidR="001D5EFA">
        <w:rPr>
          <w:szCs w:val="22"/>
        </w:rPr>
        <w:t xml:space="preserve">station. </w:t>
      </w:r>
      <w:r w:rsidR="008D598C">
        <w:rPr>
          <w:szCs w:val="22"/>
        </w:rPr>
        <w:t xml:space="preserve"> </w:t>
      </w:r>
      <w:r w:rsidR="008D598C" w:rsidRPr="009058AB">
        <w:t xml:space="preserve">An applicant’s decision to </w:t>
      </w:r>
      <w:r w:rsidR="008D598C" w:rsidRPr="009058AB">
        <w:rPr>
          <w:szCs w:val="22"/>
        </w:rPr>
        <w:t>de-select its</w:t>
      </w:r>
      <w:r w:rsidR="008D598C" w:rsidRPr="009058AB">
        <w:t xml:space="preserve"> earlier </w:t>
      </w:r>
      <w:r w:rsidR="000C5ED8" w:rsidRPr="009058AB">
        <w:t>NCE</w:t>
      </w:r>
      <w:r w:rsidR="008D598C" w:rsidRPr="009058AB">
        <w:t xml:space="preserve"> status election </w:t>
      </w:r>
      <w:r w:rsidR="005B63D3" w:rsidRPr="009058AB">
        <w:t>applies to</w:t>
      </w:r>
      <w:r w:rsidR="008D598C" w:rsidRPr="009058AB">
        <w:t xml:space="preserve"> all </w:t>
      </w:r>
      <w:r w:rsidR="000C5ED8" w:rsidRPr="009058AB">
        <w:t xml:space="preserve">of its </w:t>
      </w:r>
      <w:r w:rsidR="008D598C" w:rsidRPr="009058AB">
        <w:t>remaining</w:t>
      </w:r>
      <w:r w:rsidR="005B63D3" w:rsidRPr="009058AB">
        <w:t xml:space="preserve"> </w:t>
      </w:r>
      <w:r w:rsidR="008D598C" w:rsidRPr="009058AB">
        <w:t xml:space="preserve">tech box </w:t>
      </w:r>
      <w:r w:rsidR="00DC1788" w:rsidRPr="009058AB">
        <w:t>proposals.</w:t>
      </w:r>
      <w:r w:rsidR="008D598C">
        <w:rPr>
          <w:szCs w:val="22"/>
        </w:rPr>
        <w:t xml:space="preserve">    </w:t>
      </w:r>
      <w:r w:rsidR="001D5EFA">
        <w:rPr>
          <w:szCs w:val="22"/>
        </w:rPr>
        <w:t xml:space="preserve"> </w:t>
      </w:r>
      <w:r w:rsidR="008A4F4C">
        <w:rPr>
          <w:szCs w:val="22"/>
        </w:rPr>
        <w:t xml:space="preserve"> </w:t>
      </w:r>
    </w:p>
    <w:p w:rsidR="008A4F4C" w:rsidRDefault="008A4F4C" w:rsidP="00D95702">
      <w:pPr>
        <w:rPr>
          <w:szCs w:val="22"/>
        </w:rPr>
      </w:pPr>
    </w:p>
    <w:p w:rsidR="00D95702" w:rsidRPr="00B065FB" w:rsidRDefault="000C5ED8" w:rsidP="007305C6">
      <w:pPr>
        <w:ind w:firstLine="720"/>
      </w:pPr>
      <w:r w:rsidRPr="00024F98">
        <w:rPr>
          <w:b/>
          <w:szCs w:val="22"/>
        </w:rPr>
        <w:t>De-selection a</w:t>
      </w:r>
      <w:r w:rsidR="008A4F4C" w:rsidRPr="00024F98">
        <w:rPr>
          <w:b/>
          <w:szCs w:val="22"/>
        </w:rPr>
        <w:t xml:space="preserve">mendments must be </w:t>
      </w:r>
      <w:r w:rsidR="00763EC1" w:rsidRPr="00024F98">
        <w:rPr>
          <w:b/>
          <w:szCs w:val="22"/>
        </w:rPr>
        <w:t>received</w:t>
      </w:r>
      <w:r w:rsidR="008A4F4C" w:rsidRPr="00024F98">
        <w:rPr>
          <w:b/>
          <w:szCs w:val="22"/>
        </w:rPr>
        <w:t xml:space="preserve"> by </w:t>
      </w:r>
      <w:r w:rsidR="003C0A61" w:rsidRPr="00024F98">
        <w:rPr>
          <w:b/>
          <w:szCs w:val="22"/>
        </w:rPr>
        <w:t>April 17</w:t>
      </w:r>
      <w:r w:rsidR="008A4F4C" w:rsidRPr="00024F98">
        <w:rPr>
          <w:b/>
          <w:szCs w:val="22"/>
        </w:rPr>
        <w:t>, 2013.</w:t>
      </w:r>
      <w:r w:rsidR="008A4F4C">
        <w:rPr>
          <w:szCs w:val="22"/>
        </w:rPr>
        <w:t xml:space="preserve">  Only applicants for NCE </w:t>
      </w:r>
      <w:r w:rsidR="00A26DCF">
        <w:rPr>
          <w:szCs w:val="22"/>
        </w:rPr>
        <w:t xml:space="preserve">FM </w:t>
      </w:r>
      <w:r w:rsidR="0068087F">
        <w:rPr>
          <w:szCs w:val="22"/>
        </w:rPr>
        <w:t>t</w:t>
      </w:r>
      <w:r w:rsidR="00A26DCF">
        <w:rPr>
          <w:szCs w:val="22"/>
        </w:rPr>
        <w:t xml:space="preserve">ranslator </w:t>
      </w:r>
      <w:r w:rsidR="008A4F4C">
        <w:rPr>
          <w:szCs w:val="22"/>
        </w:rPr>
        <w:t xml:space="preserve">stations listed in Attachment A will be allowed to amend their Auction 83 application.  Amendments for purposes other than applying for a commercial </w:t>
      </w:r>
      <w:r w:rsidR="00A26DCF">
        <w:rPr>
          <w:szCs w:val="22"/>
        </w:rPr>
        <w:t xml:space="preserve">FM </w:t>
      </w:r>
      <w:r w:rsidR="0068087F">
        <w:rPr>
          <w:szCs w:val="22"/>
        </w:rPr>
        <w:t>t</w:t>
      </w:r>
      <w:r w:rsidR="00A26DCF">
        <w:rPr>
          <w:szCs w:val="22"/>
        </w:rPr>
        <w:t xml:space="preserve">ranslator </w:t>
      </w:r>
      <w:r w:rsidR="008A4F4C">
        <w:rPr>
          <w:szCs w:val="22"/>
        </w:rPr>
        <w:t>station will not be accepted during this window.</w:t>
      </w:r>
      <w:r w:rsidR="003142C7">
        <w:rPr>
          <w:rStyle w:val="FootnoteReference"/>
          <w:szCs w:val="22"/>
        </w:rPr>
        <w:footnoteReference w:id="20"/>
      </w:r>
      <w:r w:rsidR="008A4F4C">
        <w:rPr>
          <w:szCs w:val="22"/>
        </w:rPr>
        <w:t xml:space="preserve">  </w:t>
      </w:r>
      <w:r w:rsidR="004B3391">
        <w:rPr>
          <w:szCs w:val="22"/>
        </w:rPr>
        <w:t>For additional information, contact James Bradshaw or Lisa Scanlan of the Audio Division at (202) 418-2700.</w:t>
      </w:r>
      <w:r w:rsidR="00B065FB">
        <w:t xml:space="preserve"> </w:t>
      </w:r>
    </w:p>
    <w:p w:rsidR="00373F1D" w:rsidRDefault="00373F1D" w:rsidP="004C6410">
      <w:pPr>
        <w:rPr>
          <w:b/>
          <w:i/>
        </w:rPr>
      </w:pPr>
    </w:p>
    <w:p w:rsidR="004C6410" w:rsidRDefault="004C6410" w:rsidP="004C6410">
      <w:pPr>
        <w:rPr>
          <w:b/>
          <w:i/>
        </w:rPr>
      </w:pPr>
      <w:r>
        <w:rPr>
          <w:b/>
          <w:i/>
        </w:rPr>
        <w:t>This Public Notice contains the following Attachment:</w:t>
      </w:r>
    </w:p>
    <w:p w:rsidR="004C6410" w:rsidRDefault="004C6410" w:rsidP="004C6410">
      <w:pPr>
        <w:rPr>
          <w:b/>
          <w:i/>
        </w:rPr>
      </w:pPr>
    </w:p>
    <w:p w:rsidR="00362C04" w:rsidRDefault="004C6410" w:rsidP="004C6410">
      <w:pPr>
        <w:rPr>
          <w:szCs w:val="22"/>
        </w:rPr>
      </w:pPr>
      <w:r w:rsidRPr="00D90240">
        <w:rPr>
          <w:b/>
        </w:rPr>
        <w:t xml:space="preserve">Attachment A: </w:t>
      </w:r>
      <w:r>
        <w:t xml:space="preserve"> </w:t>
      </w:r>
      <w:r w:rsidR="007305C6">
        <w:rPr>
          <w:szCs w:val="22"/>
        </w:rPr>
        <w:t xml:space="preserve">Auction 83 </w:t>
      </w:r>
      <w:r w:rsidR="007305C6">
        <w:t>A</w:t>
      </w:r>
      <w:r w:rsidR="007305C6">
        <w:rPr>
          <w:szCs w:val="22"/>
        </w:rPr>
        <w:t xml:space="preserve">pplicants for NCE FM Translator Stations </w:t>
      </w:r>
    </w:p>
    <w:p w:rsidR="007305C6" w:rsidRDefault="007305C6" w:rsidP="004C6410"/>
    <w:p w:rsidR="004C6410" w:rsidRDefault="00362C04" w:rsidP="00430BFD">
      <w:pPr>
        <w:jc w:val="center"/>
      </w:pPr>
      <w:r>
        <w:t>-FCC-</w:t>
      </w:r>
    </w:p>
    <w:sectPr w:rsidR="004C6410" w:rsidSect="00430BFD">
      <w:type w:val="continuous"/>
      <w:pgSz w:w="12240" w:h="15840" w:code="1"/>
      <w:pgMar w:top="1440" w:right="1296"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54" w:rsidRDefault="00BC1B54">
      <w:r>
        <w:separator/>
      </w:r>
    </w:p>
  </w:endnote>
  <w:endnote w:type="continuationSeparator" w:id="0">
    <w:p w:rsidR="00BC1B54" w:rsidRDefault="00BC1B54">
      <w:r>
        <w:continuationSeparator/>
      </w:r>
    </w:p>
  </w:endnote>
  <w:endnote w:type="continuationNotice" w:id="1">
    <w:p w:rsidR="00BC1B54" w:rsidRDefault="00BC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end"/>
    </w:r>
  </w:p>
  <w:p w:rsidR="00A4773F" w:rsidRDefault="00A4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CA00D3" w:rsidP="00BC39D8">
    <w:pPr>
      <w:pStyle w:val="Footer"/>
      <w:framePr w:wrap="around" w:vAnchor="text" w:hAnchor="margin" w:xAlign="center" w:y="1"/>
      <w:rPr>
        <w:rStyle w:val="PageNumber"/>
      </w:rPr>
    </w:pPr>
    <w:r>
      <w:rPr>
        <w:rStyle w:val="PageNumber"/>
      </w:rPr>
      <w:fldChar w:fldCharType="begin"/>
    </w:r>
    <w:r w:rsidR="00ED40DB">
      <w:rPr>
        <w:rStyle w:val="PageNumber"/>
      </w:rPr>
      <w:instrText xml:space="preserve">PAGE  </w:instrText>
    </w:r>
    <w:r>
      <w:rPr>
        <w:rStyle w:val="PageNumber"/>
      </w:rPr>
      <w:fldChar w:fldCharType="separate"/>
    </w:r>
    <w:r w:rsidR="00A66756">
      <w:rPr>
        <w:rStyle w:val="PageNumber"/>
        <w:noProof/>
      </w:rPr>
      <w:t>2</w:t>
    </w:r>
    <w:r>
      <w:rPr>
        <w:rStyle w:val="PageNumber"/>
      </w:rPr>
      <w:fldChar w:fldCharType="end"/>
    </w:r>
  </w:p>
  <w:p w:rsidR="00A4773F" w:rsidRDefault="00A4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64" w:rsidRDefault="005D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54" w:rsidRDefault="00BC1B54">
      <w:r>
        <w:separator/>
      </w:r>
    </w:p>
  </w:footnote>
  <w:footnote w:type="continuationSeparator" w:id="0">
    <w:p w:rsidR="00BC1B54" w:rsidRDefault="00BC1B54">
      <w:r>
        <w:continuationSeparator/>
      </w:r>
    </w:p>
  </w:footnote>
  <w:footnote w:type="continuationNotice" w:id="1">
    <w:p w:rsidR="00BC1B54" w:rsidRDefault="00BC1B54"/>
  </w:footnote>
  <w:footnote w:id="2">
    <w:p w:rsidR="00D95702" w:rsidRPr="00D1799C" w:rsidRDefault="00D95702" w:rsidP="00D95702">
      <w:pPr>
        <w:pStyle w:val="FootnoteText"/>
        <w:rPr>
          <w:sz w:val="20"/>
        </w:rPr>
      </w:pPr>
      <w:r w:rsidRPr="00E07DBC">
        <w:rPr>
          <w:rStyle w:val="FootnoteReference"/>
        </w:rPr>
        <w:footnoteRef/>
      </w:r>
      <w:r w:rsidRPr="00E07DBC">
        <w:t xml:space="preserve"> </w:t>
      </w:r>
      <w:r w:rsidRPr="00D1799C">
        <w:rPr>
          <w:i/>
          <w:sz w:val="20"/>
        </w:rPr>
        <w:t>See Creation of a Low Power Radio Service</w:t>
      </w:r>
      <w:r w:rsidRPr="00D1799C">
        <w:rPr>
          <w:sz w:val="20"/>
        </w:rPr>
        <w:t>, Fifth Order on Reconsideration and Sixth Report and Order, 27 FCC Rcd 15402 (2012).</w:t>
      </w:r>
    </w:p>
  </w:footnote>
  <w:footnote w:id="3">
    <w:p w:rsidR="00673E2F" w:rsidRPr="004070E8" w:rsidRDefault="00673E2F" w:rsidP="00430BFD">
      <w:pPr>
        <w:pStyle w:val="FootnoteText"/>
        <w:rPr>
          <w:b/>
          <w:sz w:val="20"/>
        </w:rPr>
      </w:pPr>
      <w:r w:rsidRPr="00D1799C">
        <w:rPr>
          <w:rStyle w:val="FootnoteReference"/>
          <w:sz w:val="20"/>
        </w:rPr>
        <w:footnoteRef/>
      </w:r>
      <w:r w:rsidRPr="00D1799C">
        <w:rPr>
          <w:i/>
          <w:sz w:val="20"/>
        </w:rPr>
        <w:t xml:space="preserve"> See</w:t>
      </w:r>
      <w:r w:rsidRPr="00D1799C">
        <w:rPr>
          <w:sz w:val="20"/>
        </w:rPr>
        <w:t xml:space="preserve"> </w:t>
      </w:r>
      <w:r w:rsidRPr="00D1799C">
        <w:rPr>
          <w:i/>
          <w:sz w:val="20"/>
        </w:rPr>
        <w:t>FM Translator Auction Filing Window and Application Freeze</w:t>
      </w:r>
      <w:r w:rsidRPr="00D1799C">
        <w:rPr>
          <w:sz w:val="20"/>
        </w:rPr>
        <w:t>,</w:t>
      </w:r>
      <w:r w:rsidRPr="00D1799C">
        <w:rPr>
          <w:i/>
          <w:sz w:val="20"/>
        </w:rPr>
        <w:t xml:space="preserve"> </w:t>
      </w:r>
      <w:r w:rsidRPr="00D1799C">
        <w:rPr>
          <w:sz w:val="20"/>
        </w:rPr>
        <w:t>Public Notice, 18 FCC Rcd 1565 (MB/WTB 2003) (“</w:t>
      </w:r>
      <w:r w:rsidRPr="005004CA">
        <w:rPr>
          <w:sz w:val="20"/>
        </w:rPr>
        <w:t>Auction 83 Filing</w:t>
      </w:r>
      <w:r w:rsidR="00D85E3F">
        <w:rPr>
          <w:sz w:val="20"/>
        </w:rPr>
        <w:t xml:space="preserve"> </w:t>
      </w:r>
      <w:r w:rsidRPr="005004CA">
        <w:rPr>
          <w:sz w:val="20"/>
        </w:rPr>
        <w:t>Window</w:t>
      </w:r>
      <w:r w:rsidRPr="00D1799C">
        <w:rPr>
          <w:i/>
          <w:sz w:val="20"/>
        </w:rPr>
        <w:t xml:space="preserve"> </w:t>
      </w:r>
      <w:r w:rsidRPr="00D1799C">
        <w:rPr>
          <w:sz w:val="20"/>
        </w:rPr>
        <w:t xml:space="preserve">”).  The window was subsequently extended to March 17, 2003.  </w:t>
      </w:r>
      <w:r w:rsidRPr="00D1799C">
        <w:rPr>
          <w:i/>
          <w:sz w:val="20"/>
        </w:rPr>
        <w:t>FM Translator Auction Filing Window and Application Freeze Extended to March 17, 2003</w:t>
      </w:r>
      <w:r w:rsidRPr="00D1799C">
        <w:rPr>
          <w:sz w:val="20"/>
        </w:rPr>
        <w:t>, Public Notice, 18 FCC Rcd 3275 (2003).</w:t>
      </w:r>
    </w:p>
  </w:footnote>
  <w:footnote w:id="4">
    <w:p w:rsidR="004B206A" w:rsidRPr="00D1799C" w:rsidRDefault="004B206A">
      <w:pPr>
        <w:pStyle w:val="FootnoteText"/>
        <w:rPr>
          <w:sz w:val="20"/>
        </w:rPr>
      </w:pPr>
      <w:r w:rsidRPr="00D1799C">
        <w:rPr>
          <w:rStyle w:val="FootnoteReference"/>
          <w:sz w:val="20"/>
        </w:rPr>
        <w:footnoteRef/>
      </w:r>
      <w:r w:rsidRPr="00D1799C">
        <w:rPr>
          <w:sz w:val="20"/>
        </w:rPr>
        <w:t xml:space="preserve"> </w:t>
      </w:r>
      <w:r w:rsidRPr="00D1799C">
        <w:rPr>
          <w:i/>
          <w:sz w:val="20"/>
        </w:rPr>
        <w:t>Auction 83 Filing Window Public Notice</w:t>
      </w:r>
      <w:r w:rsidRPr="00D1799C">
        <w:rPr>
          <w:sz w:val="20"/>
        </w:rPr>
        <w:t xml:space="preserve">, 18 FCC Rcd at 1565 n.1 (a window for proposals in the non-reserved band provides a filing opportunity for both NCE and commercial FM </w:t>
      </w:r>
      <w:r w:rsidR="00D73E0A">
        <w:rPr>
          <w:sz w:val="20"/>
        </w:rPr>
        <w:t>T</w:t>
      </w:r>
      <w:r w:rsidRPr="00D1799C">
        <w:rPr>
          <w:sz w:val="20"/>
        </w:rPr>
        <w:t>ranslator applicants</w:t>
      </w:r>
      <w:r w:rsidR="00491C1A" w:rsidRPr="00D1799C">
        <w:rPr>
          <w:sz w:val="20"/>
        </w:rPr>
        <w:t xml:space="preserve">.  </w:t>
      </w:r>
      <w:r w:rsidR="00491C1A" w:rsidRPr="00D1799C">
        <w:rPr>
          <w:i/>
          <w:sz w:val="20"/>
        </w:rPr>
        <w:t>See</w:t>
      </w:r>
      <w:r w:rsidR="00491C1A" w:rsidRPr="00D1799C">
        <w:rPr>
          <w:sz w:val="20"/>
        </w:rPr>
        <w:t xml:space="preserve"> 47 C.F.R. § 74.1202(b) (specifying that noncommercial FM </w:t>
      </w:r>
      <w:r w:rsidR="00D73E0A">
        <w:rPr>
          <w:sz w:val="20"/>
        </w:rPr>
        <w:t>T</w:t>
      </w:r>
      <w:r w:rsidR="00491C1A" w:rsidRPr="00D1799C">
        <w:rPr>
          <w:sz w:val="20"/>
        </w:rPr>
        <w:t>ranslators may be authorized to operate on Channels 201-300)).  Applicants seeking an NCE station license were instructed to check the box labeled “noncommercial educational” in response to the “applicant status” question on the FCC Form 175</w:t>
      </w:r>
      <w:r w:rsidR="009761C6" w:rsidRPr="00D1799C">
        <w:rPr>
          <w:sz w:val="20"/>
        </w:rPr>
        <w:t xml:space="preserve"> application</w:t>
      </w:r>
      <w:r w:rsidR="00491C1A" w:rsidRPr="00D1799C">
        <w:rPr>
          <w:sz w:val="20"/>
        </w:rPr>
        <w:t xml:space="preserve">.  </w:t>
      </w:r>
    </w:p>
  </w:footnote>
  <w:footnote w:id="5">
    <w:p w:rsidR="0076728C" w:rsidRPr="00D1799C" w:rsidRDefault="004B206A" w:rsidP="00F446C1">
      <w:pPr>
        <w:spacing w:after="200"/>
        <w:rPr>
          <w:sz w:val="20"/>
        </w:rPr>
      </w:pPr>
      <w:r w:rsidRPr="00D1799C">
        <w:rPr>
          <w:rStyle w:val="FootnoteReference"/>
          <w:sz w:val="20"/>
        </w:rPr>
        <w:footnoteRef/>
      </w:r>
      <w:r w:rsidRPr="00D1799C">
        <w:rPr>
          <w:sz w:val="20"/>
        </w:rPr>
        <w:t xml:space="preserve"> </w:t>
      </w:r>
      <w:r w:rsidRPr="00D1799C">
        <w:rPr>
          <w:i/>
          <w:sz w:val="20"/>
        </w:rPr>
        <w:t>Reexamination of the Comparative Standards for Noncommercial Educational Applicants</w:t>
      </w:r>
      <w:r w:rsidRPr="00D1799C">
        <w:rPr>
          <w:sz w:val="20"/>
        </w:rPr>
        <w:t>, Second Report and</w:t>
      </w:r>
      <w:r w:rsidRPr="00D1799C">
        <w:rPr>
          <w:i/>
          <w:sz w:val="20"/>
        </w:rPr>
        <w:t xml:space="preserve"> </w:t>
      </w:r>
      <w:r w:rsidRPr="00D1799C">
        <w:rPr>
          <w:sz w:val="20"/>
        </w:rPr>
        <w:t>Order, 18 FCC Rcd 6691</w:t>
      </w:r>
      <w:r w:rsidR="00DD1F37" w:rsidRPr="00D1799C">
        <w:rPr>
          <w:sz w:val="20"/>
        </w:rPr>
        <w:t>, 6699-6700</w:t>
      </w:r>
      <w:r w:rsidRPr="00D1799C">
        <w:rPr>
          <w:sz w:val="20"/>
        </w:rPr>
        <w:t xml:space="preserve"> (2003) (“</w:t>
      </w:r>
      <w:r w:rsidRPr="00D1799C">
        <w:rPr>
          <w:i/>
          <w:sz w:val="20"/>
        </w:rPr>
        <w:t>NCE Second Report and Order</w:t>
      </w:r>
      <w:r w:rsidRPr="00D1799C">
        <w:rPr>
          <w:sz w:val="20"/>
        </w:rPr>
        <w:t>”)</w:t>
      </w:r>
      <w:r w:rsidR="00881D60">
        <w:rPr>
          <w:sz w:val="20"/>
        </w:rPr>
        <w:t>; Memorandum Opinion and Third Order on Reconsideration, 23 FCC Rcd 17423 (2008) (“</w:t>
      </w:r>
      <w:r w:rsidR="00881D60" w:rsidRPr="00881D60">
        <w:rPr>
          <w:i/>
          <w:sz w:val="20"/>
        </w:rPr>
        <w:t>MOTOR</w:t>
      </w:r>
      <w:r w:rsidR="00881D60">
        <w:rPr>
          <w:sz w:val="20"/>
        </w:rPr>
        <w:t>”)</w:t>
      </w:r>
      <w:r w:rsidRPr="00D1799C">
        <w:rPr>
          <w:sz w:val="20"/>
        </w:rPr>
        <w:t xml:space="preserve">.  </w:t>
      </w:r>
      <w:r w:rsidR="00EF0633" w:rsidRPr="00D1799C">
        <w:rPr>
          <w:sz w:val="20"/>
        </w:rPr>
        <w:t xml:space="preserve">The </w:t>
      </w:r>
      <w:r w:rsidR="00EF0633" w:rsidRPr="00D1799C">
        <w:rPr>
          <w:i/>
          <w:sz w:val="20"/>
        </w:rPr>
        <w:t>NCE Second Report and Order</w:t>
      </w:r>
      <w:r w:rsidR="00EF0633" w:rsidRPr="00D1799C">
        <w:rPr>
          <w:sz w:val="20"/>
        </w:rPr>
        <w:t xml:space="preserve"> was adopted on March 4, 2003, and released on April 10, 2003.</w:t>
      </w:r>
    </w:p>
  </w:footnote>
  <w:footnote w:id="6">
    <w:p w:rsidR="003F680B" w:rsidRDefault="003F680B">
      <w:pPr>
        <w:pStyle w:val="FootnoteText"/>
      </w:pPr>
      <w:r>
        <w:rPr>
          <w:rStyle w:val="FootnoteReference"/>
        </w:rPr>
        <w:footnoteRef/>
      </w:r>
      <w:r>
        <w:t xml:space="preserve"> </w:t>
      </w:r>
      <w:r w:rsidRPr="006C648A">
        <w:rPr>
          <w:sz w:val="20"/>
        </w:rPr>
        <w:t>47 C.F.R. § 1.2105(b)(2)</w:t>
      </w:r>
      <w:r w:rsidR="00BD1082">
        <w:rPr>
          <w:sz w:val="20"/>
        </w:rPr>
        <w:t>.</w:t>
      </w:r>
    </w:p>
  </w:footnote>
  <w:footnote w:id="7">
    <w:p w:rsidR="00D1799C" w:rsidRPr="006C648A" w:rsidRDefault="00D1799C">
      <w:pPr>
        <w:pStyle w:val="FootnoteText"/>
        <w:rPr>
          <w:sz w:val="20"/>
        </w:rPr>
      </w:pPr>
      <w:r w:rsidRPr="006C648A">
        <w:rPr>
          <w:rStyle w:val="FootnoteReference"/>
          <w:sz w:val="20"/>
        </w:rPr>
        <w:footnoteRef/>
      </w:r>
      <w:r w:rsidRPr="006C648A">
        <w:rPr>
          <w:sz w:val="20"/>
        </w:rPr>
        <w:t xml:space="preserve"> </w:t>
      </w:r>
      <w:r w:rsidR="006C648A" w:rsidRPr="006C648A">
        <w:rPr>
          <w:sz w:val="20"/>
        </w:rPr>
        <w:t>47 C.F.R. §</w:t>
      </w:r>
      <w:r w:rsidRPr="006C648A">
        <w:rPr>
          <w:sz w:val="20"/>
        </w:rPr>
        <w:t xml:space="preserve"> 73.5002(b)</w:t>
      </w:r>
      <w:r w:rsidR="006C648A">
        <w:rPr>
          <w:sz w:val="20"/>
        </w:rPr>
        <w:t>.</w:t>
      </w:r>
    </w:p>
  </w:footnote>
  <w:footnote w:id="8">
    <w:p w:rsidR="009978C8" w:rsidRDefault="009978C8">
      <w:pPr>
        <w:pStyle w:val="FootnoteText"/>
      </w:pPr>
      <w:r>
        <w:rPr>
          <w:rStyle w:val="FootnoteReference"/>
        </w:rPr>
        <w:footnoteRef/>
      </w:r>
      <w:r>
        <w:t xml:space="preserve"> </w:t>
      </w:r>
      <w:r w:rsidRPr="00B14AD1">
        <w:rPr>
          <w:i/>
          <w:sz w:val="20"/>
        </w:rPr>
        <w:t>MOTOR</w:t>
      </w:r>
      <w:r w:rsidRPr="009D567F">
        <w:rPr>
          <w:sz w:val="20"/>
        </w:rPr>
        <w:t xml:space="preserve">, 23 FCC Rcd at 17427-28.  </w:t>
      </w:r>
    </w:p>
  </w:footnote>
  <w:footnote w:id="9">
    <w:p w:rsidR="009978C8" w:rsidRPr="007E182E" w:rsidRDefault="009978C8">
      <w:pPr>
        <w:pStyle w:val="FootnoteText"/>
        <w:rPr>
          <w:sz w:val="20"/>
        </w:rPr>
      </w:pPr>
      <w:r w:rsidRPr="007E182E">
        <w:rPr>
          <w:rStyle w:val="FootnoteReference"/>
          <w:sz w:val="20"/>
        </w:rPr>
        <w:footnoteRef/>
      </w:r>
      <w:r w:rsidRPr="007E182E">
        <w:rPr>
          <w:sz w:val="20"/>
        </w:rPr>
        <w:t xml:space="preserve"> </w:t>
      </w:r>
      <w:r w:rsidRPr="007E182E">
        <w:rPr>
          <w:i/>
          <w:sz w:val="20"/>
        </w:rPr>
        <w:t>See id.  See also</w:t>
      </w:r>
      <w:r>
        <w:rPr>
          <w:i/>
          <w:sz w:val="20"/>
        </w:rPr>
        <w:t xml:space="preserve"> </w:t>
      </w:r>
      <w:r w:rsidRPr="009D567F">
        <w:rPr>
          <w:i/>
          <w:sz w:val="20"/>
        </w:rPr>
        <w:t>Window Opened to October 30, 2009, to Permit Amendment of Applications for Noncommercial Educational Stations in Pending, Closed Mixed Groups</w:t>
      </w:r>
      <w:r w:rsidRPr="009D567F">
        <w:rPr>
          <w:sz w:val="20"/>
        </w:rPr>
        <w:t>, Public Notice, 24 FCC Rcd 12188 (MB 2009)</w:t>
      </w:r>
      <w:r>
        <w:rPr>
          <w:sz w:val="20"/>
        </w:rPr>
        <w:t xml:space="preserve"> (</w:t>
      </w:r>
      <w:r w:rsidR="00292384">
        <w:rPr>
          <w:sz w:val="20"/>
        </w:rPr>
        <w:t>“</w:t>
      </w:r>
      <w:r w:rsidRPr="007E182E">
        <w:rPr>
          <w:i/>
          <w:sz w:val="20"/>
        </w:rPr>
        <w:t>Auction 88</w:t>
      </w:r>
      <w:r w:rsidR="00292384" w:rsidRPr="007E182E">
        <w:rPr>
          <w:i/>
          <w:sz w:val="20"/>
        </w:rPr>
        <w:t xml:space="preserve"> Waiver PN</w:t>
      </w:r>
      <w:r w:rsidR="00292384">
        <w:rPr>
          <w:sz w:val="20"/>
        </w:rPr>
        <w:t>”</w:t>
      </w:r>
      <w:r>
        <w:rPr>
          <w:sz w:val="20"/>
        </w:rPr>
        <w:t xml:space="preserve">). </w:t>
      </w:r>
    </w:p>
  </w:footnote>
  <w:footnote w:id="10">
    <w:p w:rsidR="009978C8" w:rsidRDefault="009978C8">
      <w:pPr>
        <w:pStyle w:val="FootnoteText"/>
      </w:pPr>
      <w:r>
        <w:rPr>
          <w:rStyle w:val="FootnoteReference"/>
        </w:rPr>
        <w:footnoteRef/>
      </w:r>
      <w:r>
        <w:t xml:space="preserve"> </w:t>
      </w:r>
      <w:r w:rsidRPr="004070E8">
        <w:rPr>
          <w:i/>
          <w:sz w:val="20"/>
        </w:rPr>
        <w:t>See American Family Association, et al</w:t>
      </w:r>
      <w:r w:rsidRPr="004070E8">
        <w:rPr>
          <w:sz w:val="20"/>
        </w:rPr>
        <w:t xml:space="preserve">., DA 04-3037, Letter, </w:t>
      </w:r>
      <w:r>
        <w:rPr>
          <w:sz w:val="20"/>
        </w:rPr>
        <w:t>19</w:t>
      </w:r>
      <w:r w:rsidRPr="004070E8">
        <w:rPr>
          <w:sz w:val="20"/>
        </w:rPr>
        <w:t xml:space="preserve"> FCC Rcd </w:t>
      </w:r>
      <w:r>
        <w:rPr>
          <w:sz w:val="20"/>
        </w:rPr>
        <w:t xml:space="preserve">18681 </w:t>
      </w:r>
      <w:r w:rsidRPr="004070E8">
        <w:rPr>
          <w:sz w:val="20"/>
        </w:rPr>
        <w:t>(MB/WTB 2004)</w:t>
      </w:r>
      <w:r>
        <w:rPr>
          <w:sz w:val="20"/>
        </w:rPr>
        <w:t xml:space="preserve"> (Auction 37); </w:t>
      </w:r>
      <w:r w:rsidRPr="004070E8">
        <w:rPr>
          <w:i/>
          <w:sz w:val="20"/>
        </w:rPr>
        <w:t>Supplemental Notice Concerning Status of FCC Form 175 Applications to Participate in Auction 37</w:t>
      </w:r>
      <w:r w:rsidRPr="004070E8">
        <w:rPr>
          <w:sz w:val="20"/>
        </w:rPr>
        <w:t xml:space="preserve">, Public Notice, </w:t>
      </w:r>
      <w:r>
        <w:rPr>
          <w:sz w:val="20"/>
        </w:rPr>
        <w:t xml:space="preserve">19 </w:t>
      </w:r>
      <w:r w:rsidRPr="004070E8">
        <w:rPr>
          <w:sz w:val="20"/>
        </w:rPr>
        <w:t xml:space="preserve">FCC Rcd </w:t>
      </w:r>
      <w:r>
        <w:rPr>
          <w:sz w:val="20"/>
        </w:rPr>
        <w:t>18696</w:t>
      </w:r>
      <w:r w:rsidRPr="004070E8">
        <w:rPr>
          <w:sz w:val="20"/>
        </w:rPr>
        <w:t xml:space="preserve"> (MB/WTB 2004)</w:t>
      </w:r>
      <w:r>
        <w:rPr>
          <w:sz w:val="20"/>
        </w:rPr>
        <w:t xml:space="preserve">; </w:t>
      </w:r>
      <w:r w:rsidRPr="007E182E">
        <w:rPr>
          <w:i/>
          <w:sz w:val="20"/>
        </w:rPr>
        <w:t>Christian Broadcasting, Inc.</w:t>
      </w:r>
      <w:r w:rsidRPr="004070E8">
        <w:rPr>
          <w:sz w:val="20"/>
        </w:rPr>
        <w:t>.</w:t>
      </w:r>
      <w:r>
        <w:rPr>
          <w:sz w:val="20"/>
        </w:rPr>
        <w:t xml:space="preserve"> Letter, 24 FCC Rcd 2212 (2009) (</w:t>
      </w:r>
      <w:r w:rsidR="00B97300">
        <w:rPr>
          <w:sz w:val="20"/>
        </w:rPr>
        <w:t xml:space="preserve">providing a 30-day opportunity to amend certain </w:t>
      </w:r>
      <w:r>
        <w:rPr>
          <w:sz w:val="20"/>
        </w:rPr>
        <w:t>Auction 84</w:t>
      </w:r>
      <w:r w:rsidR="00B97300">
        <w:rPr>
          <w:sz w:val="20"/>
        </w:rPr>
        <w:t xml:space="preserve"> applications</w:t>
      </w:r>
      <w:r>
        <w:rPr>
          <w:sz w:val="20"/>
        </w:rPr>
        <w:t>)</w:t>
      </w:r>
      <w:r w:rsidR="00E622AA">
        <w:rPr>
          <w:sz w:val="20"/>
        </w:rPr>
        <w:t xml:space="preserve">; </w:t>
      </w:r>
      <w:r w:rsidR="00E622AA" w:rsidRPr="00E622AA">
        <w:rPr>
          <w:i/>
          <w:sz w:val="20"/>
        </w:rPr>
        <w:t>Auction 88 Waiver PN</w:t>
      </w:r>
      <w:r w:rsidR="00E622AA">
        <w:rPr>
          <w:sz w:val="20"/>
        </w:rPr>
        <w:t>, 24 FCC Rcd at 12188</w:t>
      </w:r>
      <w:r w:rsidR="004F2928">
        <w:rPr>
          <w:sz w:val="20"/>
        </w:rPr>
        <w:t>.</w:t>
      </w:r>
      <w:r>
        <w:rPr>
          <w:sz w:val="20"/>
        </w:rPr>
        <w:t xml:space="preserve"> </w:t>
      </w:r>
    </w:p>
  </w:footnote>
  <w:footnote w:id="11">
    <w:p w:rsidR="00DB1AC4" w:rsidRPr="009978C8" w:rsidRDefault="00DB1AC4">
      <w:pPr>
        <w:pStyle w:val="FootnoteText"/>
        <w:rPr>
          <w:sz w:val="20"/>
        </w:rPr>
      </w:pPr>
      <w:r w:rsidRPr="009978C8">
        <w:rPr>
          <w:rStyle w:val="FootnoteReference"/>
          <w:sz w:val="20"/>
        </w:rPr>
        <w:footnoteRef/>
      </w:r>
      <w:r w:rsidRPr="009978C8">
        <w:rPr>
          <w:sz w:val="20"/>
        </w:rPr>
        <w:t xml:space="preserve"> </w:t>
      </w:r>
      <w:r w:rsidRPr="009978C8">
        <w:rPr>
          <w:i/>
          <w:sz w:val="20"/>
        </w:rPr>
        <w:t>Salzer v. FCC</w:t>
      </w:r>
      <w:r w:rsidRPr="009978C8">
        <w:rPr>
          <w:sz w:val="20"/>
        </w:rPr>
        <w:t>, 778 F.2d 869, 871-72 (D.C. Cir. 1985).</w:t>
      </w:r>
    </w:p>
  </w:footnote>
  <w:footnote w:id="12">
    <w:p w:rsidR="00D22AB6" w:rsidRDefault="00D22AB6">
      <w:pPr>
        <w:pStyle w:val="FootnoteText"/>
      </w:pPr>
      <w:r>
        <w:rPr>
          <w:rStyle w:val="FootnoteReference"/>
        </w:rPr>
        <w:footnoteRef/>
      </w:r>
      <w:r>
        <w:t xml:space="preserve"> </w:t>
      </w:r>
      <w:r w:rsidRPr="007E182E">
        <w:rPr>
          <w:i/>
          <w:sz w:val="20"/>
        </w:rPr>
        <w:t>See Bond Broadcasting, Inc. and East Kentucky Broadcasting Corp.</w:t>
      </w:r>
      <w:r w:rsidR="00067772">
        <w:rPr>
          <w:sz w:val="20"/>
        </w:rPr>
        <w:t>,</w:t>
      </w:r>
      <w:r w:rsidRPr="007E182E">
        <w:rPr>
          <w:i/>
          <w:sz w:val="20"/>
        </w:rPr>
        <w:t xml:space="preserve"> </w:t>
      </w:r>
      <w:r w:rsidRPr="00067772">
        <w:rPr>
          <w:sz w:val="20"/>
        </w:rPr>
        <w:t>Request for Declaratory Ruling</w:t>
      </w:r>
      <w:r w:rsidRPr="00C34084">
        <w:rPr>
          <w:sz w:val="20"/>
        </w:rPr>
        <w:t xml:space="preserve">, MM Docket No. 97-234 and MB Docket No. 07-172 (filed Mar. 21, 2013) at </w:t>
      </w:r>
      <w:r>
        <w:rPr>
          <w:sz w:val="20"/>
        </w:rPr>
        <w:t>6 (“</w:t>
      </w:r>
      <w:r w:rsidRPr="00C34084">
        <w:rPr>
          <w:i/>
          <w:sz w:val="20"/>
        </w:rPr>
        <w:t>Request for Declaratory Ruling</w:t>
      </w:r>
      <w:r>
        <w:rPr>
          <w:sz w:val="20"/>
        </w:rPr>
        <w:t>”).</w:t>
      </w:r>
    </w:p>
  </w:footnote>
  <w:footnote w:id="13">
    <w:p w:rsidR="006C02BE" w:rsidRPr="007E182E" w:rsidRDefault="006C02BE">
      <w:pPr>
        <w:pStyle w:val="FootnoteText"/>
        <w:rPr>
          <w:sz w:val="20"/>
        </w:rPr>
      </w:pPr>
      <w:r w:rsidRPr="007E182E">
        <w:rPr>
          <w:rStyle w:val="FootnoteReference"/>
          <w:sz w:val="20"/>
        </w:rPr>
        <w:footnoteRef/>
      </w:r>
      <w:r w:rsidRPr="007E182E">
        <w:rPr>
          <w:sz w:val="20"/>
        </w:rPr>
        <w:t xml:space="preserve"> </w:t>
      </w:r>
      <w:r w:rsidRPr="007E182E">
        <w:rPr>
          <w:i/>
          <w:sz w:val="20"/>
        </w:rPr>
        <w:t>MOTOR</w:t>
      </w:r>
      <w:r w:rsidR="006A1888">
        <w:rPr>
          <w:i/>
          <w:sz w:val="20"/>
        </w:rPr>
        <w:t xml:space="preserve">, </w:t>
      </w:r>
      <w:r w:rsidR="006A1888">
        <w:rPr>
          <w:sz w:val="20"/>
        </w:rPr>
        <w:t>23 FCC Rcd</w:t>
      </w:r>
      <w:r w:rsidRPr="007E182E">
        <w:rPr>
          <w:i/>
          <w:sz w:val="20"/>
        </w:rPr>
        <w:t xml:space="preserve"> </w:t>
      </w:r>
      <w:r w:rsidRPr="007E182E">
        <w:rPr>
          <w:sz w:val="20"/>
        </w:rPr>
        <w:t>at 17428</w:t>
      </w:r>
      <w:r w:rsidR="006E2082">
        <w:rPr>
          <w:sz w:val="20"/>
        </w:rPr>
        <w:t xml:space="preserve"> (emphasis added)</w:t>
      </w:r>
      <w:r w:rsidRPr="007E182E">
        <w:rPr>
          <w:sz w:val="20"/>
        </w:rPr>
        <w:t>.</w:t>
      </w:r>
    </w:p>
  </w:footnote>
  <w:footnote w:id="14">
    <w:p w:rsidR="00D22AB6" w:rsidRPr="00C34084" w:rsidRDefault="00D22AB6" w:rsidP="00D22AB6">
      <w:pPr>
        <w:pStyle w:val="FootnoteText"/>
        <w:rPr>
          <w:sz w:val="20"/>
        </w:rPr>
      </w:pPr>
      <w:r w:rsidRPr="00C34084">
        <w:rPr>
          <w:rStyle w:val="FootnoteReference"/>
          <w:sz w:val="20"/>
        </w:rPr>
        <w:footnoteRef/>
      </w:r>
      <w:r w:rsidRPr="00C34084">
        <w:rPr>
          <w:sz w:val="20"/>
        </w:rPr>
        <w:t xml:space="preserve"> </w:t>
      </w:r>
      <w:r w:rsidR="00292384">
        <w:rPr>
          <w:i/>
          <w:sz w:val="20"/>
        </w:rPr>
        <w:t xml:space="preserve">See Auction 88 </w:t>
      </w:r>
      <w:r w:rsidR="00752B6E">
        <w:rPr>
          <w:i/>
          <w:sz w:val="20"/>
        </w:rPr>
        <w:t xml:space="preserve">Waiver </w:t>
      </w:r>
      <w:r w:rsidR="00292384" w:rsidRPr="009058AB">
        <w:rPr>
          <w:i/>
          <w:sz w:val="20"/>
        </w:rPr>
        <w:t>PN</w:t>
      </w:r>
      <w:r w:rsidR="00292384">
        <w:rPr>
          <w:sz w:val="20"/>
        </w:rPr>
        <w:t xml:space="preserve"> at 12189-95.  </w:t>
      </w:r>
      <w:r w:rsidRPr="00292384">
        <w:rPr>
          <w:sz w:val="20"/>
        </w:rPr>
        <w:t>The</w:t>
      </w:r>
      <w:r>
        <w:rPr>
          <w:sz w:val="20"/>
        </w:rPr>
        <w:t xml:space="preserve"> </w:t>
      </w:r>
      <w:r>
        <w:rPr>
          <w:i/>
          <w:sz w:val="20"/>
        </w:rPr>
        <w:t xml:space="preserve">Request for Declaratory Ruling </w:t>
      </w:r>
      <w:r w:rsidRPr="007E182E">
        <w:rPr>
          <w:sz w:val="20"/>
        </w:rPr>
        <w:t>e</w:t>
      </w:r>
      <w:r w:rsidRPr="00D22AB6">
        <w:rPr>
          <w:sz w:val="20"/>
        </w:rPr>
        <w:t>r</w:t>
      </w:r>
      <w:r w:rsidRPr="00C34084">
        <w:rPr>
          <w:sz w:val="20"/>
        </w:rPr>
        <w:t>roneously asserts that prior waivers have involved only commercial applications</w:t>
      </w:r>
      <w:r w:rsidR="006C02BE">
        <w:rPr>
          <w:sz w:val="20"/>
        </w:rPr>
        <w:t xml:space="preserve">.  </w:t>
      </w:r>
      <w:r>
        <w:rPr>
          <w:i/>
          <w:sz w:val="20"/>
        </w:rPr>
        <w:t xml:space="preserve">See </w:t>
      </w:r>
      <w:r w:rsidR="00437322">
        <w:rPr>
          <w:i/>
          <w:sz w:val="20"/>
        </w:rPr>
        <w:t>Request for Declaratory Ruling</w:t>
      </w:r>
      <w:r>
        <w:rPr>
          <w:i/>
          <w:sz w:val="20"/>
        </w:rPr>
        <w:t xml:space="preserve"> </w:t>
      </w:r>
      <w:r>
        <w:rPr>
          <w:sz w:val="20"/>
        </w:rPr>
        <w:t>at 9-10.</w:t>
      </w:r>
    </w:p>
  </w:footnote>
  <w:footnote w:id="15">
    <w:p w:rsidR="00D22AB6" w:rsidRPr="007E182E" w:rsidRDefault="00D22AB6">
      <w:pPr>
        <w:pStyle w:val="FootnoteText"/>
        <w:rPr>
          <w:sz w:val="20"/>
        </w:rPr>
      </w:pPr>
      <w:r w:rsidRPr="007E182E">
        <w:rPr>
          <w:rStyle w:val="FootnoteReference"/>
          <w:sz w:val="20"/>
        </w:rPr>
        <w:footnoteRef/>
      </w:r>
      <w:r w:rsidRPr="007E182E">
        <w:rPr>
          <w:sz w:val="20"/>
        </w:rPr>
        <w:t xml:space="preserve"> </w:t>
      </w:r>
      <w:r w:rsidR="007D3027" w:rsidRPr="007E182E">
        <w:rPr>
          <w:i/>
          <w:sz w:val="20"/>
        </w:rPr>
        <w:t>Id.</w:t>
      </w:r>
      <w:r w:rsidR="007D3027" w:rsidRPr="007E182E">
        <w:rPr>
          <w:sz w:val="20"/>
        </w:rPr>
        <w:t xml:space="preserve"> at 12-13.</w:t>
      </w:r>
    </w:p>
  </w:footnote>
  <w:footnote w:id="16">
    <w:p w:rsidR="00907196" w:rsidRPr="007E182E" w:rsidRDefault="00907196">
      <w:pPr>
        <w:pStyle w:val="FootnoteText"/>
        <w:rPr>
          <w:i/>
          <w:sz w:val="20"/>
        </w:rPr>
      </w:pPr>
      <w:r w:rsidRPr="007E182E">
        <w:rPr>
          <w:rStyle w:val="FootnoteReference"/>
          <w:sz w:val="20"/>
        </w:rPr>
        <w:footnoteRef/>
      </w:r>
      <w:r w:rsidRPr="007E182E">
        <w:rPr>
          <w:sz w:val="20"/>
        </w:rPr>
        <w:t xml:space="preserve"> </w:t>
      </w:r>
      <w:r w:rsidRPr="007E182E">
        <w:rPr>
          <w:i/>
          <w:sz w:val="20"/>
        </w:rPr>
        <w:t>Id.</w:t>
      </w:r>
      <w:r w:rsidR="009058AB">
        <w:rPr>
          <w:i/>
          <w:sz w:val="20"/>
        </w:rPr>
        <w:t xml:space="preserve"> </w:t>
      </w:r>
      <w:r w:rsidRPr="009058AB">
        <w:rPr>
          <w:sz w:val="20"/>
        </w:rPr>
        <w:t>at 5.</w:t>
      </w:r>
    </w:p>
  </w:footnote>
  <w:footnote w:id="17">
    <w:p w:rsidR="006E2082" w:rsidRPr="007E182E" w:rsidRDefault="006E2082">
      <w:pPr>
        <w:pStyle w:val="FootnoteText"/>
        <w:rPr>
          <w:sz w:val="20"/>
        </w:rPr>
      </w:pPr>
      <w:r w:rsidRPr="007E182E">
        <w:rPr>
          <w:rStyle w:val="FootnoteReference"/>
          <w:sz w:val="20"/>
        </w:rPr>
        <w:footnoteRef/>
      </w:r>
      <w:r w:rsidRPr="007E182E">
        <w:rPr>
          <w:sz w:val="20"/>
        </w:rPr>
        <w:t xml:space="preserve"> </w:t>
      </w:r>
      <w:r w:rsidR="00907196" w:rsidRPr="004872B4">
        <w:rPr>
          <w:i/>
          <w:sz w:val="20"/>
        </w:rPr>
        <w:t>Implementation of Section 309(j) of the Communications Act – Competitive Bidding</w:t>
      </w:r>
      <w:r w:rsidR="00907196" w:rsidRPr="004872B4">
        <w:rPr>
          <w:sz w:val="20"/>
        </w:rPr>
        <w:t>, Second Report and Order, 9 FCC Rcd 2348, 2377 (1994).</w:t>
      </w:r>
    </w:p>
  </w:footnote>
  <w:footnote w:id="18">
    <w:p w:rsidR="00907196" w:rsidRDefault="00907196">
      <w:pPr>
        <w:pStyle w:val="FootnoteText"/>
      </w:pPr>
      <w:r>
        <w:rPr>
          <w:rStyle w:val="FootnoteReference"/>
        </w:rPr>
        <w:footnoteRef/>
      </w:r>
      <w:r>
        <w:t xml:space="preserve"> </w:t>
      </w:r>
      <w:r w:rsidRPr="002439E8">
        <w:rPr>
          <w:i/>
          <w:sz w:val="20"/>
        </w:rPr>
        <w:t>Elleron Oil Company WVI Partners, Inc</w:t>
      </w:r>
      <w:r w:rsidRPr="002439E8">
        <w:rPr>
          <w:sz w:val="20"/>
        </w:rPr>
        <w:t xml:space="preserve">., Order, 13 </w:t>
      </w:r>
      <w:r>
        <w:rPr>
          <w:sz w:val="20"/>
        </w:rPr>
        <w:t xml:space="preserve">FCC Rcd </w:t>
      </w:r>
      <w:r w:rsidRPr="002439E8">
        <w:rPr>
          <w:sz w:val="20"/>
        </w:rPr>
        <w:t xml:space="preserve">17246, </w:t>
      </w:r>
      <w:r>
        <w:rPr>
          <w:sz w:val="20"/>
        </w:rPr>
        <w:t>17250</w:t>
      </w:r>
      <w:r w:rsidRPr="002439E8">
        <w:rPr>
          <w:sz w:val="20"/>
        </w:rPr>
        <w:t xml:space="preserve"> (WTB 1998), citing 47 U.S.C. § 309(j)(3)(C).  </w:t>
      </w:r>
      <w:r w:rsidRPr="002439E8">
        <w:rPr>
          <w:i/>
          <w:sz w:val="20"/>
        </w:rPr>
        <w:t>Cf. Paging Systems, Inc</w:t>
      </w:r>
      <w:r w:rsidRPr="002439E8">
        <w:rPr>
          <w:sz w:val="20"/>
        </w:rPr>
        <w:t xml:space="preserve">., Memorandum Opinion and Order, 25 FCC Rcd 4036, 4055-56 (2010) (observing that while in any particular auction individual bidders may prefer to have fewer competitors and thus a greater chance of winning at lower prices, there is a disparity between bidder objectives and the Commission’s, which is to facilitate a more economically efficient assignment of license by increasing auction competition). </w:t>
      </w:r>
    </w:p>
  </w:footnote>
  <w:footnote w:id="19">
    <w:p w:rsidR="004E49CB" w:rsidRPr="00024F98" w:rsidRDefault="004E49CB">
      <w:pPr>
        <w:pStyle w:val="FootnoteText"/>
        <w:rPr>
          <w:sz w:val="20"/>
        </w:rPr>
      </w:pPr>
      <w:r w:rsidRPr="00024F98">
        <w:rPr>
          <w:rStyle w:val="FootnoteReference"/>
          <w:sz w:val="20"/>
        </w:rPr>
        <w:footnoteRef/>
      </w:r>
      <w:r w:rsidRPr="00024F98">
        <w:rPr>
          <w:sz w:val="20"/>
        </w:rPr>
        <w:t xml:space="preserve"> </w:t>
      </w:r>
      <w:r w:rsidRPr="00024F98">
        <w:rPr>
          <w:i/>
          <w:sz w:val="20"/>
        </w:rPr>
        <w:t>See NetworkIP, LLC v. FCC</w:t>
      </w:r>
      <w:r w:rsidRPr="00024F98">
        <w:rPr>
          <w:sz w:val="20"/>
        </w:rPr>
        <w:t>, 548 F.3d 116, 125-28 (D.C. Cir. 2008) (waiver of a Commission rule is appropriate only if special circumstances warrant a deviation from the general rule and such deviation better serves the public interest).</w:t>
      </w:r>
    </w:p>
  </w:footnote>
  <w:footnote w:id="20">
    <w:p w:rsidR="003142C7" w:rsidRPr="00F866C6" w:rsidRDefault="003142C7">
      <w:pPr>
        <w:pStyle w:val="FootnoteText"/>
        <w:rPr>
          <w:sz w:val="20"/>
        </w:rPr>
      </w:pPr>
      <w:r>
        <w:rPr>
          <w:rStyle w:val="FootnoteReference"/>
        </w:rPr>
        <w:footnoteRef/>
      </w:r>
      <w:r>
        <w:t xml:space="preserve"> </w:t>
      </w:r>
      <w:r w:rsidR="00F866C6" w:rsidRPr="00F866C6">
        <w:rPr>
          <w:sz w:val="20"/>
        </w:rPr>
        <w:t>Applicants will be afforded an opportunity prior to auction to amend their primary station specification on the</w:t>
      </w:r>
      <w:r w:rsidR="004D3A22">
        <w:rPr>
          <w:sz w:val="20"/>
        </w:rPr>
        <w:t>ir</w:t>
      </w:r>
      <w:r w:rsidR="00E82E7E">
        <w:rPr>
          <w:sz w:val="20"/>
        </w:rPr>
        <w:t xml:space="preserve"> respective Auction 83 </w:t>
      </w:r>
      <w:r w:rsidR="00F866C6" w:rsidRPr="00F866C6">
        <w:rPr>
          <w:sz w:val="20"/>
        </w:rPr>
        <w:t xml:space="preserve">tech box.  </w:t>
      </w:r>
      <w:r w:rsidR="00AE2408">
        <w:rPr>
          <w:sz w:val="20"/>
        </w:rPr>
        <w:t>A p</w:t>
      </w:r>
      <w:r w:rsidR="00F07A06">
        <w:rPr>
          <w:sz w:val="20"/>
        </w:rPr>
        <w:t>rimary station a</w:t>
      </w:r>
      <w:r w:rsidR="00F866C6" w:rsidRPr="00F866C6">
        <w:rPr>
          <w:sz w:val="20"/>
        </w:rPr>
        <w:t>mendment will be treated as a minor amendment.  Primary station specification amendments will not be accepted at this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64" w:rsidRDefault="005D5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64" w:rsidRDefault="005D5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73F" w:rsidRDefault="00E94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804F534" wp14:editId="013FA2E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926F6B">
      <w:rPr>
        <w:rFonts w:ascii="News Gothic MT" w:hAnsi="News Gothic MT"/>
        <w:b/>
        <w:noProof/>
        <w:sz w:val="24"/>
      </w:rPr>
      <mc:AlternateContent>
        <mc:Choice Requires="wps">
          <w:drawing>
            <wp:anchor distT="0" distB="0" distL="114300" distR="114300" simplePos="0" relativeHeight="251656192" behindDoc="0" locked="0" layoutInCell="0" allowOverlap="1" wp14:anchorId="01588D86" wp14:editId="3D3A03DB">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4773F" w:rsidRDefault="00ED40DB">
                    <w:pPr>
                      <w:rPr>
                        <w:rFonts w:ascii="Arial" w:hAnsi="Arial"/>
                        <w:b/>
                      </w:rPr>
                    </w:pPr>
                    <w:r>
                      <w:rPr>
                        <w:rFonts w:ascii="Arial" w:hAnsi="Arial"/>
                        <w:b/>
                      </w:rPr>
                      <w:t>Federal Communications Commission</w:t>
                    </w:r>
                  </w:p>
                  <w:p w:rsidR="00A4773F" w:rsidRDefault="00ED40D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773F" w:rsidRDefault="00ED40DB">
                    <w:pPr>
                      <w:rPr>
                        <w:rFonts w:ascii="Arial" w:hAnsi="Arial"/>
                        <w:sz w:val="24"/>
                      </w:rPr>
                    </w:pPr>
                    <w:r>
                      <w:rPr>
                        <w:rFonts w:ascii="Arial" w:hAnsi="Arial"/>
                        <w:b/>
                      </w:rPr>
                      <w:t>Washington, D.C. 20554</w:t>
                    </w:r>
                  </w:p>
                </w:txbxContent>
              </v:textbox>
            </v:shape>
          </w:pict>
        </mc:Fallback>
      </mc:AlternateContent>
    </w:r>
    <w:r w:rsidR="00ED40DB">
      <w:rPr>
        <w:rFonts w:ascii="News Gothic MT" w:hAnsi="News Gothic MT"/>
        <w:b/>
        <w:kern w:val="28"/>
        <w:sz w:val="96"/>
      </w:rPr>
      <w:t>PUBLIC NOTICE</w:t>
    </w:r>
  </w:p>
  <w:p w:rsidR="00A4773F" w:rsidRDefault="00926F6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5B2B40B" wp14:editId="63B20686">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FB13EB0" wp14:editId="0DBEB105">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4773F" w:rsidRDefault="00ED40DB">
                    <w:pPr>
                      <w:spacing w:before="40"/>
                      <w:jc w:val="right"/>
                      <w:rPr>
                        <w:rFonts w:ascii="Arial" w:hAnsi="Arial"/>
                        <w:b/>
                        <w:sz w:val="16"/>
                      </w:rPr>
                    </w:pPr>
                    <w:r>
                      <w:rPr>
                        <w:rFonts w:ascii="Arial" w:hAnsi="Arial"/>
                        <w:b/>
                        <w:sz w:val="16"/>
                      </w:rPr>
                      <w:t>News Media Information 202 / 418-0500</w:t>
                    </w:r>
                  </w:p>
                  <w:p w:rsidR="00A4773F" w:rsidRDefault="00ED40D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4773F" w:rsidRDefault="00ED40DB">
                    <w:pPr>
                      <w:jc w:val="right"/>
                      <w:rPr>
                        <w:rFonts w:ascii="Arial" w:hAnsi="Arial"/>
                        <w:b/>
                        <w:sz w:val="16"/>
                      </w:rPr>
                    </w:pPr>
                    <w:r>
                      <w:rPr>
                        <w:rFonts w:ascii="Arial" w:hAnsi="Arial"/>
                        <w:b/>
                        <w:sz w:val="16"/>
                      </w:rPr>
                      <w:t>TTY: 1-888-835-5322</w:t>
                    </w:r>
                  </w:p>
                  <w:p w:rsidR="00A4773F" w:rsidRDefault="00A4773F">
                    <w:pPr>
                      <w:jc w:val="right"/>
                    </w:pPr>
                  </w:p>
                </w:txbxContent>
              </v:textbox>
            </v:shape>
          </w:pict>
        </mc:Fallback>
      </mc:AlternateContent>
    </w:r>
  </w:p>
  <w:p w:rsidR="00A4773F" w:rsidRDefault="00A477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A2"/>
    <w:multiLevelType w:val="hybridMultilevel"/>
    <w:tmpl w:val="4CB09436"/>
    <w:lvl w:ilvl="0" w:tplc="BDA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56C24"/>
    <w:multiLevelType w:val="hybridMultilevel"/>
    <w:tmpl w:val="C1AA14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2589334B"/>
    <w:multiLevelType w:val="hybridMultilevel"/>
    <w:tmpl w:val="4A786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6A7579C"/>
    <w:multiLevelType w:val="hybridMultilevel"/>
    <w:tmpl w:val="7476653A"/>
    <w:lvl w:ilvl="0" w:tplc="8C2E5A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A15517C"/>
    <w:multiLevelType w:val="hybridMultilevel"/>
    <w:tmpl w:val="7A3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4"/>
  </w:num>
  <w:num w:numId="14">
    <w:abstractNumId w:val="2"/>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E3"/>
    <w:rsid w:val="000026AF"/>
    <w:rsid w:val="00010A60"/>
    <w:rsid w:val="000111DB"/>
    <w:rsid w:val="00011710"/>
    <w:rsid w:val="00016E94"/>
    <w:rsid w:val="00016F8B"/>
    <w:rsid w:val="0002461F"/>
    <w:rsid w:val="00024F98"/>
    <w:rsid w:val="00032684"/>
    <w:rsid w:val="00033E76"/>
    <w:rsid w:val="000346F3"/>
    <w:rsid w:val="00034AA1"/>
    <w:rsid w:val="00042CDD"/>
    <w:rsid w:val="00046E6C"/>
    <w:rsid w:val="00055970"/>
    <w:rsid w:val="00055F7C"/>
    <w:rsid w:val="000620D1"/>
    <w:rsid w:val="000632F2"/>
    <w:rsid w:val="00064925"/>
    <w:rsid w:val="0006512C"/>
    <w:rsid w:val="00066C2F"/>
    <w:rsid w:val="00067772"/>
    <w:rsid w:val="00082683"/>
    <w:rsid w:val="00090147"/>
    <w:rsid w:val="00092390"/>
    <w:rsid w:val="00096964"/>
    <w:rsid w:val="000A02D3"/>
    <w:rsid w:val="000C0A49"/>
    <w:rsid w:val="000C2417"/>
    <w:rsid w:val="000C3B97"/>
    <w:rsid w:val="000C4573"/>
    <w:rsid w:val="000C5ED8"/>
    <w:rsid w:val="000C6650"/>
    <w:rsid w:val="000C700E"/>
    <w:rsid w:val="000E6BD1"/>
    <w:rsid w:val="000E6C87"/>
    <w:rsid w:val="000F272A"/>
    <w:rsid w:val="0010320F"/>
    <w:rsid w:val="0011463E"/>
    <w:rsid w:val="00116E71"/>
    <w:rsid w:val="00117042"/>
    <w:rsid w:val="00120099"/>
    <w:rsid w:val="00122D9D"/>
    <w:rsid w:val="0012356F"/>
    <w:rsid w:val="00126A40"/>
    <w:rsid w:val="001319D8"/>
    <w:rsid w:val="0013347D"/>
    <w:rsid w:val="001343B2"/>
    <w:rsid w:val="00135BB4"/>
    <w:rsid w:val="00146453"/>
    <w:rsid w:val="00157A80"/>
    <w:rsid w:val="00162EF3"/>
    <w:rsid w:val="00180B14"/>
    <w:rsid w:val="0018145D"/>
    <w:rsid w:val="0018160D"/>
    <w:rsid w:val="00185F0F"/>
    <w:rsid w:val="001922A9"/>
    <w:rsid w:val="001A0B0F"/>
    <w:rsid w:val="001A3BC6"/>
    <w:rsid w:val="001C4344"/>
    <w:rsid w:val="001C47E9"/>
    <w:rsid w:val="001D184F"/>
    <w:rsid w:val="001D33EF"/>
    <w:rsid w:val="001D58B2"/>
    <w:rsid w:val="001D5EFA"/>
    <w:rsid w:val="001D7240"/>
    <w:rsid w:val="001E320B"/>
    <w:rsid w:val="001E558D"/>
    <w:rsid w:val="001E55C1"/>
    <w:rsid w:val="001E64B7"/>
    <w:rsid w:val="0020754A"/>
    <w:rsid w:val="00222F7F"/>
    <w:rsid w:val="00234D85"/>
    <w:rsid w:val="00236DA3"/>
    <w:rsid w:val="00242029"/>
    <w:rsid w:val="00243302"/>
    <w:rsid w:val="0025240F"/>
    <w:rsid w:val="00257819"/>
    <w:rsid w:val="002600B5"/>
    <w:rsid w:val="00273BCA"/>
    <w:rsid w:val="0027697F"/>
    <w:rsid w:val="00282BB0"/>
    <w:rsid w:val="002861EC"/>
    <w:rsid w:val="00287A4C"/>
    <w:rsid w:val="00292384"/>
    <w:rsid w:val="00294026"/>
    <w:rsid w:val="0029436B"/>
    <w:rsid w:val="002960B9"/>
    <w:rsid w:val="002A0D95"/>
    <w:rsid w:val="002A4AB7"/>
    <w:rsid w:val="002A6CEF"/>
    <w:rsid w:val="002B24F8"/>
    <w:rsid w:val="002B2C50"/>
    <w:rsid w:val="002B50ED"/>
    <w:rsid w:val="002B5BB2"/>
    <w:rsid w:val="002B7DF4"/>
    <w:rsid w:val="002C799F"/>
    <w:rsid w:val="002D09E8"/>
    <w:rsid w:val="002D7F74"/>
    <w:rsid w:val="002E1DB8"/>
    <w:rsid w:val="002E6FA1"/>
    <w:rsid w:val="002F0DA3"/>
    <w:rsid w:val="002F1F13"/>
    <w:rsid w:val="002F328B"/>
    <w:rsid w:val="00302929"/>
    <w:rsid w:val="0030292B"/>
    <w:rsid w:val="00311269"/>
    <w:rsid w:val="003142C7"/>
    <w:rsid w:val="00320BB5"/>
    <w:rsid w:val="00334D94"/>
    <w:rsid w:val="003416FA"/>
    <w:rsid w:val="00350F97"/>
    <w:rsid w:val="00356373"/>
    <w:rsid w:val="00362C04"/>
    <w:rsid w:val="00372B83"/>
    <w:rsid w:val="00373F1D"/>
    <w:rsid w:val="003740C1"/>
    <w:rsid w:val="00374293"/>
    <w:rsid w:val="00381EFC"/>
    <w:rsid w:val="0039049F"/>
    <w:rsid w:val="003B24FF"/>
    <w:rsid w:val="003B6C40"/>
    <w:rsid w:val="003B7039"/>
    <w:rsid w:val="003C0A61"/>
    <w:rsid w:val="003D3C24"/>
    <w:rsid w:val="003E2435"/>
    <w:rsid w:val="003E607A"/>
    <w:rsid w:val="003F680B"/>
    <w:rsid w:val="00404FF8"/>
    <w:rsid w:val="004070E8"/>
    <w:rsid w:val="00407ABB"/>
    <w:rsid w:val="00410FF1"/>
    <w:rsid w:val="00414C23"/>
    <w:rsid w:val="00424449"/>
    <w:rsid w:val="0042623C"/>
    <w:rsid w:val="00426520"/>
    <w:rsid w:val="00430BFD"/>
    <w:rsid w:val="00437322"/>
    <w:rsid w:val="00446E5D"/>
    <w:rsid w:val="00450EAD"/>
    <w:rsid w:val="0047435C"/>
    <w:rsid w:val="00481280"/>
    <w:rsid w:val="00482B42"/>
    <w:rsid w:val="004847DB"/>
    <w:rsid w:val="00487449"/>
    <w:rsid w:val="00490865"/>
    <w:rsid w:val="00490F0F"/>
    <w:rsid w:val="004917A2"/>
    <w:rsid w:val="004917B0"/>
    <w:rsid w:val="00491C1A"/>
    <w:rsid w:val="00495F6C"/>
    <w:rsid w:val="004A1FFA"/>
    <w:rsid w:val="004B171D"/>
    <w:rsid w:val="004B206A"/>
    <w:rsid w:val="004B3391"/>
    <w:rsid w:val="004C1BB2"/>
    <w:rsid w:val="004C4A72"/>
    <w:rsid w:val="004C6410"/>
    <w:rsid w:val="004D3A22"/>
    <w:rsid w:val="004E081E"/>
    <w:rsid w:val="004E37E2"/>
    <w:rsid w:val="004E49CB"/>
    <w:rsid w:val="004F2928"/>
    <w:rsid w:val="005004CA"/>
    <w:rsid w:val="005007AF"/>
    <w:rsid w:val="00505B9D"/>
    <w:rsid w:val="005065D4"/>
    <w:rsid w:val="0051481B"/>
    <w:rsid w:val="00514EEC"/>
    <w:rsid w:val="005154A9"/>
    <w:rsid w:val="00517D1D"/>
    <w:rsid w:val="00520178"/>
    <w:rsid w:val="00523EAC"/>
    <w:rsid w:val="00545771"/>
    <w:rsid w:val="005514C5"/>
    <w:rsid w:val="00555967"/>
    <w:rsid w:val="0055737A"/>
    <w:rsid w:val="0056139C"/>
    <w:rsid w:val="00564986"/>
    <w:rsid w:val="00567C33"/>
    <w:rsid w:val="00581C83"/>
    <w:rsid w:val="00585458"/>
    <w:rsid w:val="005855A4"/>
    <w:rsid w:val="00586915"/>
    <w:rsid w:val="00590801"/>
    <w:rsid w:val="005A33FB"/>
    <w:rsid w:val="005A4B79"/>
    <w:rsid w:val="005B63D3"/>
    <w:rsid w:val="005B7337"/>
    <w:rsid w:val="005C08F2"/>
    <w:rsid w:val="005C286E"/>
    <w:rsid w:val="005C47A8"/>
    <w:rsid w:val="005C6AFD"/>
    <w:rsid w:val="005D3E9B"/>
    <w:rsid w:val="005D48BA"/>
    <w:rsid w:val="005D5464"/>
    <w:rsid w:val="005E1665"/>
    <w:rsid w:val="005E29A5"/>
    <w:rsid w:val="005E3466"/>
    <w:rsid w:val="005E4E7F"/>
    <w:rsid w:val="005E562A"/>
    <w:rsid w:val="00603EFE"/>
    <w:rsid w:val="00604B08"/>
    <w:rsid w:val="00610461"/>
    <w:rsid w:val="00610C1B"/>
    <w:rsid w:val="006152CC"/>
    <w:rsid w:val="006249EC"/>
    <w:rsid w:val="00625A6F"/>
    <w:rsid w:val="006357A0"/>
    <w:rsid w:val="00636AE8"/>
    <w:rsid w:val="006375A6"/>
    <w:rsid w:val="00640062"/>
    <w:rsid w:val="00644212"/>
    <w:rsid w:val="00652FB5"/>
    <w:rsid w:val="00653650"/>
    <w:rsid w:val="00663013"/>
    <w:rsid w:val="006637A3"/>
    <w:rsid w:val="00664E6D"/>
    <w:rsid w:val="00671EB0"/>
    <w:rsid w:val="00673E2F"/>
    <w:rsid w:val="00675918"/>
    <w:rsid w:val="0068087F"/>
    <w:rsid w:val="006876FF"/>
    <w:rsid w:val="006966ED"/>
    <w:rsid w:val="006A00C5"/>
    <w:rsid w:val="006A0F66"/>
    <w:rsid w:val="006A1888"/>
    <w:rsid w:val="006A4661"/>
    <w:rsid w:val="006B1389"/>
    <w:rsid w:val="006B4555"/>
    <w:rsid w:val="006C02BE"/>
    <w:rsid w:val="006C594F"/>
    <w:rsid w:val="006C5C6E"/>
    <w:rsid w:val="006C648A"/>
    <w:rsid w:val="006D0634"/>
    <w:rsid w:val="006D0BE6"/>
    <w:rsid w:val="006D30A0"/>
    <w:rsid w:val="006D3929"/>
    <w:rsid w:val="006D739F"/>
    <w:rsid w:val="006E2082"/>
    <w:rsid w:val="006E3627"/>
    <w:rsid w:val="006E492E"/>
    <w:rsid w:val="006F02C4"/>
    <w:rsid w:val="006F06BC"/>
    <w:rsid w:val="006F14FC"/>
    <w:rsid w:val="006F2D67"/>
    <w:rsid w:val="00702914"/>
    <w:rsid w:val="00703957"/>
    <w:rsid w:val="0071000B"/>
    <w:rsid w:val="00712F98"/>
    <w:rsid w:val="00713F78"/>
    <w:rsid w:val="007140E2"/>
    <w:rsid w:val="00714B55"/>
    <w:rsid w:val="007159B0"/>
    <w:rsid w:val="00725C8A"/>
    <w:rsid w:val="00727BE9"/>
    <w:rsid w:val="007305C6"/>
    <w:rsid w:val="00733028"/>
    <w:rsid w:val="007364D6"/>
    <w:rsid w:val="00745F12"/>
    <w:rsid w:val="00745FBD"/>
    <w:rsid w:val="00752B6E"/>
    <w:rsid w:val="00756B28"/>
    <w:rsid w:val="00763192"/>
    <w:rsid w:val="00763EC1"/>
    <w:rsid w:val="007640DC"/>
    <w:rsid w:val="00764B6B"/>
    <w:rsid w:val="00766A0F"/>
    <w:rsid w:val="0076728C"/>
    <w:rsid w:val="007754F9"/>
    <w:rsid w:val="007756E3"/>
    <w:rsid w:val="00775E54"/>
    <w:rsid w:val="0077661C"/>
    <w:rsid w:val="00791716"/>
    <w:rsid w:val="007A1D13"/>
    <w:rsid w:val="007A2D92"/>
    <w:rsid w:val="007A3C0A"/>
    <w:rsid w:val="007A7C51"/>
    <w:rsid w:val="007D3027"/>
    <w:rsid w:val="007D324B"/>
    <w:rsid w:val="007E182E"/>
    <w:rsid w:val="007E5AEA"/>
    <w:rsid w:val="007F1D29"/>
    <w:rsid w:val="007F675F"/>
    <w:rsid w:val="007F770D"/>
    <w:rsid w:val="008037BB"/>
    <w:rsid w:val="00817AF5"/>
    <w:rsid w:val="00820781"/>
    <w:rsid w:val="00820D73"/>
    <w:rsid w:val="00824D77"/>
    <w:rsid w:val="00825608"/>
    <w:rsid w:val="008312F2"/>
    <w:rsid w:val="008373AB"/>
    <w:rsid w:val="00843BE9"/>
    <w:rsid w:val="008458A8"/>
    <w:rsid w:val="00853A7F"/>
    <w:rsid w:val="0085590B"/>
    <w:rsid w:val="00861B5F"/>
    <w:rsid w:val="00862273"/>
    <w:rsid w:val="00880B5D"/>
    <w:rsid w:val="00881D60"/>
    <w:rsid w:val="008A0BC8"/>
    <w:rsid w:val="008A351F"/>
    <w:rsid w:val="008A4F4C"/>
    <w:rsid w:val="008B0B3C"/>
    <w:rsid w:val="008B672C"/>
    <w:rsid w:val="008C2C1B"/>
    <w:rsid w:val="008D1E53"/>
    <w:rsid w:val="008D1F17"/>
    <w:rsid w:val="008D2398"/>
    <w:rsid w:val="008D598C"/>
    <w:rsid w:val="008F12BB"/>
    <w:rsid w:val="008F269B"/>
    <w:rsid w:val="008F4B46"/>
    <w:rsid w:val="008F5901"/>
    <w:rsid w:val="00902882"/>
    <w:rsid w:val="009058AB"/>
    <w:rsid w:val="00905F11"/>
    <w:rsid w:val="00907196"/>
    <w:rsid w:val="0090752C"/>
    <w:rsid w:val="009129EA"/>
    <w:rsid w:val="009170BA"/>
    <w:rsid w:val="009170D0"/>
    <w:rsid w:val="00922029"/>
    <w:rsid w:val="00922B3D"/>
    <w:rsid w:val="00926F6B"/>
    <w:rsid w:val="00937F58"/>
    <w:rsid w:val="009408E7"/>
    <w:rsid w:val="00954C3D"/>
    <w:rsid w:val="00962369"/>
    <w:rsid w:val="0096377B"/>
    <w:rsid w:val="00964D67"/>
    <w:rsid w:val="009730F4"/>
    <w:rsid w:val="00974B3E"/>
    <w:rsid w:val="00975738"/>
    <w:rsid w:val="009761C6"/>
    <w:rsid w:val="0097731E"/>
    <w:rsid w:val="00977E6A"/>
    <w:rsid w:val="009806CC"/>
    <w:rsid w:val="0098180E"/>
    <w:rsid w:val="00983CE6"/>
    <w:rsid w:val="00987917"/>
    <w:rsid w:val="009912F1"/>
    <w:rsid w:val="009978C8"/>
    <w:rsid w:val="009B2E74"/>
    <w:rsid w:val="009C5FD3"/>
    <w:rsid w:val="009C7950"/>
    <w:rsid w:val="009D330C"/>
    <w:rsid w:val="009D567F"/>
    <w:rsid w:val="009E26C7"/>
    <w:rsid w:val="009F127C"/>
    <w:rsid w:val="009F4D30"/>
    <w:rsid w:val="009F6563"/>
    <w:rsid w:val="009F73E5"/>
    <w:rsid w:val="009F780D"/>
    <w:rsid w:val="00A01E58"/>
    <w:rsid w:val="00A04786"/>
    <w:rsid w:val="00A1570F"/>
    <w:rsid w:val="00A157D9"/>
    <w:rsid w:val="00A16BB8"/>
    <w:rsid w:val="00A21415"/>
    <w:rsid w:val="00A26C8A"/>
    <w:rsid w:val="00A26DCF"/>
    <w:rsid w:val="00A27A1C"/>
    <w:rsid w:val="00A317E6"/>
    <w:rsid w:val="00A337F6"/>
    <w:rsid w:val="00A4059F"/>
    <w:rsid w:val="00A4773F"/>
    <w:rsid w:val="00A542FB"/>
    <w:rsid w:val="00A65817"/>
    <w:rsid w:val="00A66756"/>
    <w:rsid w:val="00A67B9C"/>
    <w:rsid w:val="00A76DB8"/>
    <w:rsid w:val="00A7761F"/>
    <w:rsid w:val="00A77F40"/>
    <w:rsid w:val="00A925D3"/>
    <w:rsid w:val="00A9690C"/>
    <w:rsid w:val="00A9775F"/>
    <w:rsid w:val="00A977DA"/>
    <w:rsid w:val="00AA5089"/>
    <w:rsid w:val="00AB76BF"/>
    <w:rsid w:val="00AC1A38"/>
    <w:rsid w:val="00AC7BE6"/>
    <w:rsid w:val="00AD03FA"/>
    <w:rsid w:val="00AD61C0"/>
    <w:rsid w:val="00AE2408"/>
    <w:rsid w:val="00AE5EFB"/>
    <w:rsid w:val="00B00A2A"/>
    <w:rsid w:val="00B065FB"/>
    <w:rsid w:val="00B07FC3"/>
    <w:rsid w:val="00B14AD1"/>
    <w:rsid w:val="00B237BE"/>
    <w:rsid w:val="00B27B9D"/>
    <w:rsid w:val="00B446F9"/>
    <w:rsid w:val="00B4733B"/>
    <w:rsid w:val="00B47CBB"/>
    <w:rsid w:val="00B52BEA"/>
    <w:rsid w:val="00B54D88"/>
    <w:rsid w:val="00B60208"/>
    <w:rsid w:val="00B642DC"/>
    <w:rsid w:val="00B67615"/>
    <w:rsid w:val="00B71686"/>
    <w:rsid w:val="00B73626"/>
    <w:rsid w:val="00B73A78"/>
    <w:rsid w:val="00B75B7F"/>
    <w:rsid w:val="00B76D47"/>
    <w:rsid w:val="00B80001"/>
    <w:rsid w:val="00B90CE7"/>
    <w:rsid w:val="00B97300"/>
    <w:rsid w:val="00BA176C"/>
    <w:rsid w:val="00BB2760"/>
    <w:rsid w:val="00BC1B54"/>
    <w:rsid w:val="00BC39D8"/>
    <w:rsid w:val="00BD1082"/>
    <w:rsid w:val="00BD237C"/>
    <w:rsid w:val="00BD2400"/>
    <w:rsid w:val="00BD3B8B"/>
    <w:rsid w:val="00BE08A7"/>
    <w:rsid w:val="00BF4AE9"/>
    <w:rsid w:val="00C05553"/>
    <w:rsid w:val="00C109A9"/>
    <w:rsid w:val="00C2146E"/>
    <w:rsid w:val="00C22815"/>
    <w:rsid w:val="00C22C79"/>
    <w:rsid w:val="00C40925"/>
    <w:rsid w:val="00C41F31"/>
    <w:rsid w:val="00C540AC"/>
    <w:rsid w:val="00C543FF"/>
    <w:rsid w:val="00C55332"/>
    <w:rsid w:val="00C5680D"/>
    <w:rsid w:val="00C578DD"/>
    <w:rsid w:val="00C60C9F"/>
    <w:rsid w:val="00C64B8B"/>
    <w:rsid w:val="00C71B0C"/>
    <w:rsid w:val="00C76E42"/>
    <w:rsid w:val="00C801E1"/>
    <w:rsid w:val="00C822BA"/>
    <w:rsid w:val="00C8250A"/>
    <w:rsid w:val="00C8707A"/>
    <w:rsid w:val="00C97A3B"/>
    <w:rsid w:val="00C97B86"/>
    <w:rsid w:val="00CA00D3"/>
    <w:rsid w:val="00CA2164"/>
    <w:rsid w:val="00CA3847"/>
    <w:rsid w:val="00CA4463"/>
    <w:rsid w:val="00CA5848"/>
    <w:rsid w:val="00CB13F4"/>
    <w:rsid w:val="00CB36A4"/>
    <w:rsid w:val="00CC0F30"/>
    <w:rsid w:val="00CC20DC"/>
    <w:rsid w:val="00CC26E8"/>
    <w:rsid w:val="00CC2999"/>
    <w:rsid w:val="00CC614D"/>
    <w:rsid w:val="00CD115F"/>
    <w:rsid w:val="00CE1976"/>
    <w:rsid w:val="00CE32B4"/>
    <w:rsid w:val="00CE483F"/>
    <w:rsid w:val="00CE5002"/>
    <w:rsid w:val="00CE53B5"/>
    <w:rsid w:val="00CE793D"/>
    <w:rsid w:val="00CF06FD"/>
    <w:rsid w:val="00CF3B86"/>
    <w:rsid w:val="00CF4DDC"/>
    <w:rsid w:val="00CF727E"/>
    <w:rsid w:val="00D17280"/>
    <w:rsid w:val="00D1799C"/>
    <w:rsid w:val="00D22AB6"/>
    <w:rsid w:val="00D274B7"/>
    <w:rsid w:val="00D34F9D"/>
    <w:rsid w:val="00D40EE1"/>
    <w:rsid w:val="00D41177"/>
    <w:rsid w:val="00D42722"/>
    <w:rsid w:val="00D5032E"/>
    <w:rsid w:val="00D53182"/>
    <w:rsid w:val="00D57BEC"/>
    <w:rsid w:val="00D63417"/>
    <w:rsid w:val="00D73E0A"/>
    <w:rsid w:val="00D80DA9"/>
    <w:rsid w:val="00D85874"/>
    <w:rsid w:val="00D85E3F"/>
    <w:rsid w:val="00D90240"/>
    <w:rsid w:val="00D904B3"/>
    <w:rsid w:val="00D95702"/>
    <w:rsid w:val="00D96C42"/>
    <w:rsid w:val="00D97A8B"/>
    <w:rsid w:val="00DA1B8D"/>
    <w:rsid w:val="00DA65D8"/>
    <w:rsid w:val="00DB1AC4"/>
    <w:rsid w:val="00DB1C5A"/>
    <w:rsid w:val="00DB686C"/>
    <w:rsid w:val="00DC1788"/>
    <w:rsid w:val="00DC36E8"/>
    <w:rsid w:val="00DC56F6"/>
    <w:rsid w:val="00DD177C"/>
    <w:rsid w:val="00DD1F37"/>
    <w:rsid w:val="00DD25F7"/>
    <w:rsid w:val="00DF57A2"/>
    <w:rsid w:val="00DF66A8"/>
    <w:rsid w:val="00DF7C92"/>
    <w:rsid w:val="00E07DBC"/>
    <w:rsid w:val="00E106E6"/>
    <w:rsid w:val="00E109E5"/>
    <w:rsid w:val="00E15716"/>
    <w:rsid w:val="00E15D5B"/>
    <w:rsid w:val="00E22911"/>
    <w:rsid w:val="00E34240"/>
    <w:rsid w:val="00E35BE3"/>
    <w:rsid w:val="00E47BEF"/>
    <w:rsid w:val="00E622AA"/>
    <w:rsid w:val="00E72E7E"/>
    <w:rsid w:val="00E80D3C"/>
    <w:rsid w:val="00E82E7E"/>
    <w:rsid w:val="00E831B4"/>
    <w:rsid w:val="00E8471B"/>
    <w:rsid w:val="00E86027"/>
    <w:rsid w:val="00E919B3"/>
    <w:rsid w:val="00E927C8"/>
    <w:rsid w:val="00E940FA"/>
    <w:rsid w:val="00E946BC"/>
    <w:rsid w:val="00E949E3"/>
    <w:rsid w:val="00E96A90"/>
    <w:rsid w:val="00EB6D79"/>
    <w:rsid w:val="00EB72EE"/>
    <w:rsid w:val="00EC58B1"/>
    <w:rsid w:val="00ED40DB"/>
    <w:rsid w:val="00EE0D30"/>
    <w:rsid w:val="00EE6413"/>
    <w:rsid w:val="00EF0633"/>
    <w:rsid w:val="00F01FEC"/>
    <w:rsid w:val="00F020AC"/>
    <w:rsid w:val="00F07A06"/>
    <w:rsid w:val="00F104FC"/>
    <w:rsid w:val="00F10A16"/>
    <w:rsid w:val="00F123DD"/>
    <w:rsid w:val="00F1372B"/>
    <w:rsid w:val="00F206AC"/>
    <w:rsid w:val="00F22F46"/>
    <w:rsid w:val="00F316B3"/>
    <w:rsid w:val="00F34B2C"/>
    <w:rsid w:val="00F42AC0"/>
    <w:rsid w:val="00F44354"/>
    <w:rsid w:val="00F446C1"/>
    <w:rsid w:val="00F574CB"/>
    <w:rsid w:val="00F6116E"/>
    <w:rsid w:val="00F617E7"/>
    <w:rsid w:val="00F6231E"/>
    <w:rsid w:val="00F636E6"/>
    <w:rsid w:val="00F67105"/>
    <w:rsid w:val="00F74F28"/>
    <w:rsid w:val="00F754DC"/>
    <w:rsid w:val="00F815A3"/>
    <w:rsid w:val="00F8531B"/>
    <w:rsid w:val="00F854EC"/>
    <w:rsid w:val="00F86436"/>
    <w:rsid w:val="00F866C6"/>
    <w:rsid w:val="00F940BB"/>
    <w:rsid w:val="00F954AE"/>
    <w:rsid w:val="00F97DFC"/>
    <w:rsid w:val="00FA2E20"/>
    <w:rsid w:val="00FA5014"/>
    <w:rsid w:val="00FA7AD0"/>
    <w:rsid w:val="00FC79E4"/>
    <w:rsid w:val="00FD4FFB"/>
    <w:rsid w:val="00FD62FC"/>
    <w:rsid w:val="00FF23B7"/>
    <w:rsid w:val="00FF46CC"/>
    <w:rsid w:val="00FF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40"/>
    <w:rPr>
      <w:sz w:val="22"/>
    </w:rPr>
  </w:style>
  <w:style w:type="paragraph" w:styleId="Heading1">
    <w:name w:val="heading 1"/>
    <w:basedOn w:val="Normal"/>
    <w:next w:val="Normal"/>
    <w:qFormat/>
    <w:rsid w:val="00D9024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90240"/>
    <w:pPr>
      <w:keepNext/>
      <w:widowControl w:val="0"/>
      <w:numPr>
        <w:ilvl w:val="1"/>
        <w:numId w:val="2"/>
      </w:numPr>
      <w:spacing w:after="220"/>
      <w:jc w:val="both"/>
      <w:outlineLvl w:val="1"/>
    </w:pPr>
    <w:rPr>
      <w:b/>
    </w:rPr>
  </w:style>
  <w:style w:type="paragraph" w:styleId="Heading3">
    <w:name w:val="heading 3"/>
    <w:basedOn w:val="Normal"/>
    <w:next w:val="Normal"/>
    <w:qFormat/>
    <w:rsid w:val="00D90240"/>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240"/>
    <w:pPr>
      <w:tabs>
        <w:tab w:val="center" w:pos="4320"/>
        <w:tab w:val="right" w:pos="8640"/>
      </w:tabs>
    </w:pPr>
  </w:style>
  <w:style w:type="paragraph" w:styleId="Footer">
    <w:name w:val="footer"/>
    <w:basedOn w:val="Normal"/>
    <w:rsid w:val="00D90240"/>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D90240"/>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922B3D"/>
  </w:style>
  <w:style w:type="paragraph" w:styleId="BalloonText">
    <w:name w:val="Balloon Text"/>
    <w:basedOn w:val="Normal"/>
    <w:semiHidden/>
    <w:rsid w:val="00D96C42"/>
    <w:rPr>
      <w:rFonts w:ascii="Tahoma" w:hAnsi="Tahoma" w:cs="Tahoma"/>
      <w:sz w:val="16"/>
      <w:szCs w:val="16"/>
    </w:rPr>
  </w:style>
  <w:style w:type="paragraph" w:styleId="ListParagraph">
    <w:name w:val="List Paragraph"/>
    <w:basedOn w:val="Normal"/>
    <w:uiPriority w:val="34"/>
    <w:qFormat/>
    <w:rsid w:val="00D90240"/>
    <w:pPr>
      <w:spacing w:after="20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rsid w:val="00E8471B"/>
    <w:rPr>
      <w:sz w:val="16"/>
      <w:szCs w:val="16"/>
    </w:rPr>
  </w:style>
  <w:style w:type="paragraph" w:styleId="CommentText">
    <w:name w:val="annotation text"/>
    <w:basedOn w:val="Normal"/>
    <w:link w:val="CommentTextChar"/>
    <w:rsid w:val="00E8471B"/>
    <w:rPr>
      <w:sz w:val="20"/>
    </w:rPr>
  </w:style>
  <w:style w:type="character" w:customStyle="1" w:styleId="CommentTextChar">
    <w:name w:val="Comment Text Char"/>
    <w:basedOn w:val="DefaultParagraphFont"/>
    <w:link w:val="CommentText"/>
    <w:rsid w:val="00E8471B"/>
  </w:style>
  <w:style w:type="paragraph" w:styleId="CommentSubject">
    <w:name w:val="annotation subject"/>
    <w:basedOn w:val="CommentText"/>
    <w:next w:val="CommentText"/>
    <w:link w:val="CommentSubjectChar"/>
    <w:rsid w:val="00E8471B"/>
    <w:rPr>
      <w:b/>
      <w:bCs/>
    </w:rPr>
  </w:style>
  <w:style w:type="character" w:customStyle="1" w:styleId="CommentSubjectChar">
    <w:name w:val="Comment Subject Char"/>
    <w:basedOn w:val="CommentTextChar"/>
    <w:link w:val="CommentSubject"/>
    <w:rsid w:val="00E8471B"/>
    <w:rPr>
      <w:b/>
      <w:bCs/>
    </w:rPr>
  </w:style>
  <w:style w:type="paragraph" w:styleId="EndnoteText">
    <w:name w:val="endnote text"/>
    <w:basedOn w:val="Normal"/>
    <w:link w:val="EndnoteTextChar"/>
    <w:rsid w:val="00975738"/>
    <w:rPr>
      <w:sz w:val="20"/>
    </w:rPr>
  </w:style>
  <w:style w:type="character" w:customStyle="1" w:styleId="EndnoteTextChar">
    <w:name w:val="Endnote Text Char"/>
    <w:basedOn w:val="DefaultParagraphFont"/>
    <w:link w:val="EndnoteText"/>
    <w:rsid w:val="00975738"/>
  </w:style>
  <w:style w:type="character" w:styleId="EndnoteReference">
    <w:name w:val="endnote reference"/>
    <w:basedOn w:val="DefaultParagraphFont"/>
    <w:rsid w:val="00975738"/>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C64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Xshowing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5950</Characters>
  <Application>Microsoft Office Word</Application>
  <DocSecurity>0</DocSecurity>
  <Lines>88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2007-04-09T14:30:00Z</cp:lastPrinted>
  <dcterms:created xsi:type="dcterms:W3CDTF">2013-04-02T21:40:00Z</dcterms:created>
  <dcterms:modified xsi:type="dcterms:W3CDTF">2013-04-02T21:40:00Z</dcterms:modified>
  <cp:category> </cp:category>
  <cp:contentStatus> </cp:contentStatus>
</cp:coreProperties>
</file>