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CF" w:rsidRDefault="00A51DCF" w:rsidP="00A37ECB">
      <w:pPr>
        <w:tabs>
          <w:tab w:val="left" w:pos="720"/>
          <w:tab w:val="left" w:pos="2160"/>
        </w:tabs>
        <w:suppressAutoHyphens/>
        <w:rPr>
          <w:spacing w:val="-3"/>
          <w:sz w:val="22"/>
          <w:szCs w:val="22"/>
        </w:rPr>
      </w:pPr>
      <w:bookmarkStart w:id="0" w:name="_GoBack"/>
      <w:bookmarkEnd w:id="0"/>
    </w:p>
    <w:p w:rsidR="00712C1D" w:rsidRDefault="00712C1D" w:rsidP="00A37ECB">
      <w:pPr>
        <w:tabs>
          <w:tab w:val="left" w:pos="720"/>
          <w:tab w:val="left" w:pos="2160"/>
        </w:tabs>
        <w:suppressAutoHyphens/>
        <w:rPr>
          <w:spacing w:val="-3"/>
          <w:sz w:val="22"/>
          <w:szCs w:val="22"/>
        </w:rPr>
      </w:pPr>
      <w:r>
        <w:rPr>
          <w:spacing w:val="-3"/>
          <w:sz w:val="22"/>
          <w:szCs w:val="22"/>
        </w:rPr>
        <w:t>John F. Garziglia, Esq.</w:t>
      </w:r>
    </w:p>
    <w:p w:rsidR="00712C1D" w:rsidRDefault="00712C1D" w:rsidP="00A37ECB">
      <w:pPr>
        <w:tabs>
          <w:tab w:val="left" w:pos="720"/>
          <w:tab w:val="left" w:pos="2160"/>
        </w:tabs>
        <w:suppressAutoHyphens/>
        <w:rPr>
          <w:spacing w:val="-3"/>
          <w:sz w:val="22"/>
          <w:szCs w:val="22"/>
        </w:rPr>
      </w:pPr>
      <w:r>
        <w:rPr>
          <w:spacing w:val="-3"/>
          <w:sz w:val="22"/>
          <w:szCs w:val="22"/>
        </w:rPr>
        <w:t>Womble Carlyle Sandridge &amp; Rice, LLP</w:t>
      </w:r>
    </w:p>
    <w:p w:rsidR="00712C1D" w:rsidRDefault="00712C1D" w:rsidP="00A37ECB">
      <w:pPr>
        <w:tabs>
          <w:tab w:val="left" w:pos="720"/>
          <w:tab w:val="left" w:pos="2160"/>
        </w:tabs>
        <w:suppressAutoHyphens/>
        <w:rPr>
          <w:spacing w:val="-3"/>
          <w:sz w:val="22"/>
          <w:szCs w:val="22"/>
        </w:rPr>
      </w:pPr>
      <w:r>
        <w:rPr>
          <w:spacing w:val="-3"/>
          <w:sz w:val="22"/>
          <w:szCs w:val="22"/>
        </w:rPr>
        <w:t>1200 19</w:t>
      </w:r>
      <w:r w:rsidRPr="00712C1D">
        <w:rPr>
          <w:spacing w:val="-3"/>
          <w:sz w:val="22"/>
          <w:szCs w:val="22"/>
          <w:vertAlign w:val="superscript"/>
        </w:rPr>
        <w:t>th</w:t>
      </w:r>
      <w:r>
        <w:rPr>
          <w:spacing w:val="-3"/>
          <w:sz w:val="22"/>
          <w:szCs w:val="22"/>
        </w:rPr>
        <w:t xml:space="preserve"> Street, NW</w:t>
      </w:r>
    </w:p>
    <w:p w:rsidR="00712C1D" w:rsidRDefault="00712C1D" w:rsidP="00A37ECB">
      <w:pPr>
        <w:tabs>
          <w:tab w:val="left" w:pos="720"/>
          <w:tab w:val="left" w:pos="2160"/>
        </w:tabs>
        <w:suppressAutoHyphens/>
        <w:rPr>
          <w:spacing w:val="-3"/>
          <w:sz w:val="22"/>
          <w:szCs w:val="22"/>
        </w:rPr>
      </w:pPr>
      <w:r>
        <w:rPr>
          <w:spacing w:val="-3"/>
          <w:sz w:val="22"/>
          <w:szCs w:val="22"/>
        </w:rPr>
        <w:t>Suite 500</w:t>
      </w:r>
    </w:p>
    <w:p w:rsidR="00712C1D" w:rsidRDefault="00712C1D" w:rsidP="00A37ECB">
      <w:pPr>
        <w:tabs>
          <w:tab w:val="left" w:pos="720"/>
          <w:tab w:val="left" w:pos="2160"/>
        </w:tabs>
        <w:suppressAutoHyphens/>
        <w:rPr>
          <w:spacing w:val="-3"/>
          <w:sz w:val="22"/>
          <w:szCs w:val="22"/>
        </w:rPr>
      </w:pPr>
      <w:r>
        <w:rPr>
          <w:spacing w:val="-3"/>
          <w:sz w:val="22"/>
          <w:szCs w:val="22"/>
        </w:rPr>
        <w:t>Washington, DC 20036</w:t>
      </w:r>
    </w:p>
    <w:p w:rsidR="00712C1D" w:rsidRDefault="00712C1D" w:rsidP="00A37ECB">
      <w:pPr>
        <w:tabs>
          <w:tab w:val="left" w:pos="720"/>
          <w:tab w:val="left" w:pos="2160"/>
        </w:tabs>
        <w:suppressAutoHyphens/>
        <w:rPr>
          <w:spacing w:val="-3"/>
          <w:sz w:val="22"/>
          <w:szCs w:val="22"/>
        </w:rPr>
      </w:pPr>
    </w:p>
    <w:p w:rsidR="00125DFB" w:rsidRDefault="00125DFB" w:rsidP="00A37ECB">
      <w:pPr>
        <w:tabs>
          <w:tab w:val="left" w:pos="720"/>
          <w:tab w:val="left" w:pos="2160"/>
        </w:tabs>
        <w:suppressAutoHyphens/>
        <w:rPr>
          <w:spacing w:val="-3"/>
          <w:sz w:val="22"/>
          <w:szCs w:val="22"/>
        </w:rPr>
      </w:pPr>
    </w:p>
    <w:p w:rsidR="001C077C" w:rsidRDefault="001C077C" w:rsidP="00A37ECB">
      <w:pPr>
        <w:tabs>
          <w:tab w:val="left" w:pos="720"/>
          <w:tab w:val="left" w:pos="2160"/>
        </w:tabs>
        <w:suppressAutoHyphens/>
        <w:rPr>
          <w:spacing w:val="-3"/>
          <w:sz w:val="22"/>
          <w:szCs w:val="22"/>
        </w:rPr>
      </w:pPr>
    </w:p>
    <w:p w:rsidR="001C077C" w:rsidRDefault="00441DC2" w:rsidP="00274A51">
      <w:pPr>
        <w:tabs>
          <w:tab w:val="left" w:pos="720"/>
          <w:tab w:val="left" w:pos="2160"/>
          <w:tab w:val="left" w:pos="5400"/>
          <w:tab w:val="left" w:pos="5940"/>
        </w:tabs>
        <w:suppressAutoHyphens/>
        <w:rPr>
          <w:spacing w:val="-3"/>
          <w:sz w:val="22"/>
          <w:szCs w:val="22"/>
        </w:rPr>
      </w:pPr>
      <w:r>
        <w:rPr>
          <w:spacing w:val="-3"/>
          <w:sz w:val="22"/>
          <w:szCs w:val="22"/>
        </w:rPr>
        <w:tab/>
      </w:r>
      <w:r>
        <w:rPr>
          <w:spacing w:val="-3"/>
          <w:sz w:val="22"/>
          <w:szCs w:val="22"/>
        </w:rPr>
        <w:tab/>
      </w:r>
      <w:r>
        <w:rPr>
          <w:spacing w:val="-3"/>
          <w:sz w:val="22"/>
          <w:szCs w:val="22"/>
        </w:rPr>
        <w:tab/>
        <w:t>Re:</w:t>
      </w:r>
      <w:r>
        <w:rPr>
          <w:spacing w:val="-3"/>
          <w:sz w:val="22"/>
          <w:szCs w:val="22"/>
        </w:rPr>
        <w:tab/>
      </w:r>
      <w:r w:rsidR="00712C1D">
        <w:rPr>
          <w:spacing w:val="-3"/>
          <w:sz w:val="22"/>
          <w:szCs w:val="22"/>
        </w:rPr>
        <w:t>Request for Declaratory Ruling</w:t>
      </w:r>
    </w:p>
    <w:p w:rsidR="00712C1D" w:rsidRDefault="00B62FDB" w:rsidP="00274A51">
      <w:pPr>
        <w:tabs>
          <w:tab w:val="left" w:pos="720"/>
          <w:tab w:val="left" w:pos="2160"/>
          <w:tab w:val="left" w:pos="5400"/>
          <w:tab w:val="left" w:pos="5940"/>
        </w:tabs>
        <w:suppressAutoHyphens/>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712C1D">
        <w:rPr>
          <w:spacing w:val="-3"/>
          <w:sz w:val="22"/>
          <w:szCs w:val="22"/>
        </w:rPr>
        <w:t>MM Docket No. 97-234</w:t>
      </w:r>
    </w:p>
    <w:p w:rsidR="00712C1D" w:rsidRDefault="00712C1D" w:rsidP="00274A51">
      <w:pPr>
        <w:tabs>
          <w:tab w:val="left" w:pos="720"/>
          <w:tab w:val="left" w:pos="2160"/>
          <w:tab w:val="left" w:pos="5400"/>
          <w:tab w:val="left" w:pos="5940"/>
        </w:tabs>
        <w:suppressAutoHyphens/>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MB Docket No. 07-172</w:t>
      </w:r>
    </w:p>
    <w:p w:rsidR="00712C1D" w:rsidRDefault="00712C1D" w:rsidP="00274A51">
      <w:pPr>
        <w:tabs>
          <w:tab w:val="left" w:pos="720"/>
          <w:tab w:val="left" w:pos="2160"/>
          <w:tab w:val="left" w:pos="5400"/>
          <w:tab w:val="left" w:pos="5940"/>
        </w:tabs>
        <w:suppressAutoHyphens/>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RM-11338</w:t>
      </w:r>
    </w:p>
    <w:p w:rsidR="007F51F0" w:rsidRDefault="007F51F0" w:rsidP="00274A51">
      <w:pPr>
        <w:tabs>
          <w:tab w:val="left" w:pos="720"/>
          <w:tab w:val="left" w:pos="2160"/>
          <w:tab w:val="left" w:pos="5400"/>
          <w:tab w:val="left" w:pos="5940"/>
        </w:tabs>
        <w:suppressAutoHyphens/>
        <w:rPr>
          <w:spacing w:val="-3"/>
          <w:sz w:val="22"/>
          <w:szCs w:val="22"/>
        </w:rPr>
      </w:pPr>
    </w:p>
    <w:p w:rsidR="007F51F0" w:rsidRPr="00586E0F" w:rsidRDefault="007F51F0" w:rsidP="00274A51">
      <w:pPr>
        <w:tabs>
          <w:tab w:val="left" w:pos="720"/>
          <w:tab w:val="left" w:pos="2160"/>
          <w:tab w:val="left" w:pos="5400"/>
          <w:tab w:val="left" w:pos="5940"/>
        </w:tabs>
        <w:suppressAutoHyphens/>
        <w:rPr>
          <w:b/>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b/>
          <w:spacing w:val="-3"/>
          <w:sz w:val="22"/>
          <w:szCs w:val="22"/>
        </w:rPr>
        <w:t>Waiver of Section 1.2105(b)(2)</w:t>
      </w:r>
    </w:p>
    <w:p w:rsidR="00712C1D" w:rsidRDefault="00712C1D" w:rsidP="00274A51">
      <w:pPr>
        <w:tabs>
          <w:tab w:val="left" w:pos="720"/>
          <w:tab w:val="left" w:pos="2160"/>
          <w:tab w:val="left" w:pos="5400"/>
          <w:tab w:val="left" w:pos="5940"/>
        </w:tabs>
        <w:suppressAutoHyphens/>
        <w:rPr>
          <w:spacing w:val="-3"/>
          <w:sz w:val="22"/>
          <w:szCs w:val="22"/>
        </w:rPr>
      </w:pPr>
    </w:p>
    <w:p w:rsidR="007F1AB5" w:rsidRDefault="00712C1D" w:rsidP="00DF5C2F">
      <w:pPr>
        <w:tabs>
          <w:tab w:val="left" w:pos="720"/>
          <w:tab w:val="left" w:pos="2160"/>
          <w:tab w:val="left" w:pos="5400"/>
          <w:tab w:val="left" w:pos="5940"/>
        </w:tabs>
        <w:suppressAutoHyphens/>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274A51">
        <w:rPr>
          <w:spacing w:val="-3"/>
          <w:sz w:val="22"/>
          <w:szCs w:val="22"/>
        </w:rPr>
        <w:tab/>
      </w:r>
      <w:r w:rsidR="00274A51">
        <w:rPr>
          <w:spacing w:val="-3"/>
          <w:sz w:val="22"/>
          <w:szCs w:val="22"/>
        </w:rPr>
        <w:tab/>
      </w:r>
    </w:p>
    <w:p w:rsidR="007F1AB5" w:rsidRDefault="007F1AB5" w:rsidP="00AF7707">
      <w:pPr>
        <w:tabs>
          <w:tab w:val="left" w:pos="720"/>
          <w:tab w:val="left" w:pos="2160"/>
          <w:tab w:val="left" w:pos="5760"/>
        </w:tabs>
        <w:suppressAutoHyphens/>
        <w:rPr>
          <w:spacing w:val="-3"/>
          <w:sz w:val="22"/>
          <w:szCs w:val="22"/>
        </w:rPr>
      </w:pPr>
      <w:r>
        <w:rPr>
          <w:spacing w:val="-3"/>
          <w:sz w:val="22"/>
          <w:szCs w:val="22"/>
        </w:rPr>
        <w:t>Dear Counsel:</w:t>
      </w:r>
    </w:p>
    <w:p w:rsidR="0034687F" w:rsidRDefault="0034687F" w:rsidP="00AF7707">
      <w:pPr>
        <w:tabs>
          <w:tab w:val="left" w:pos="720"/>
          <w:tab w:val="left" w:pos="2160"/>
          <w:tab w:val="left" w:pos="5760"/>
        </w:tabs>
        <w:suppressAutoHyphens/>
        <w:rPr>
          <w:spacing w:val="-3"/>
          <w:sz w:val="22"/>
          <w:szCs w:val="22"/>
        </w:rPr>
      </w:pPr>
    </w:p>
    <w:p w:rsidR="002230EF" w:rsidRDefault="00E40CB6" w:rsidP="00AF7707">
      <w:pPr>
        <w:tabs>
          <w:tab w:val="left" w:pos="720"/>
          <w:tab w:val="left" w:pos="2160"/>
          <w:tab w:val="left" w:pos="5760"/>
        </w:tabs>
        <w:suppressAutoHyphens/>
        <w:rPr>
          <w:spacing w:val="-3"/>
          <w:sz w:val="22"/>
          <w:szCs w:val="22"/>
        </w:rPr>
      </w:pPr>
      <w:r>
        <w:rPr>
          <w:spacing w:val="-3"/>
          <w:sz w:val="22"/>
          <w:szCs w:val="22"/>
        </w:rPr>
        <w:tab/>
      </w:r>
      <w:r w:rsidR="0034687F">
        <w:rPr>
          <w:spacing w:val="-3"/>
          <w:sz w:val="22"/>
          <w:szCs w:val="22"/>
        </w:rPr>
        <w:t xml:space="preserve">This letter </w:t>
      </w:r>
      <w:r w:rsidR="00B56D18">
        <w:rPr>
          <w:spacing w:val="-3"/>
          <w:sz w:val="22"/>
          <w:szCs w:val="22"/>
        </w:rPr>
        <w:t>addresses the</w:t>
      </w:r>
      <w:r w:rsidR="00712C1D">
        <w:rPr>
          <w:spacing w:val="-3"/>
          <w:sz w:val="22"/>
          <w:szCs w:val="22"/>
        </w:rPr>
        <w:t xml:space="preserve"> March 21, 2013</w:t>
      </w:r>
      <w:r w:rsidR="00A51DCF">
        <w:rPr>
          <w:spacing w:val="-3"/>
          <w:sz w:val="22"/>
          <w:szCs w:val="22"/>
        </w:rPr>
        <w:t>,</w:t>
      </w:r>
      <w:r w:rsidR="00712C1D">
        <w:rPr>
          <w:spacing w:val="-3"/>
          <w:sz w:val="22"/>
          <w:szCs w:val="22"/>
        </w:rPr>
        <w:t xml:space="preserve"> Request for Declaratory Ruling (“Request”) of Bond Broadcasting, Inc. and East Kentucky Broadcasting Corp. (collectively, “Petitioners”).  Petitioners request a declaratory ruling “clarifying that the Auction 83 procedures announced in </w:t>
      </w:r>
      <w:r w:rsidR="00712C1D">
        <w:rPr>
          <w:i/>
          <w:spacing w:val="-3"/>
          <w:sz w:val="22"/>
          <w:szCs w:val="22"/>
        </w:rPr>
        <w:t xml:space="preserve">FM Translator Auction Filing Window and Application </w:t>
      </w:r>
      <w:r w:rsidR="00712C1D" w:rsidRPr="005D18FA">
        <w:rPr>
          <w:i/>
          <w:spacing w:val="-3"/>
          <w:sz w:val="22"/>
          <w:szCs w:val="22"/>
        </w:rPr>
        <w:t>Freeze</w:t>
      </w:r>
      <w:r w:rsidR="005D18FA">
        <w:rPr>
          <w:spacing w:val="-3"/>
          <w:sz w:val="22"/>
          <w:szCs w:val="22"/>
        </w:rPr>
        <w:t>,</w:t>
      </w:r>
      <w:r w:rsidR="005D18FA">
        <w:rPr>
          <w:rStyle w:val="FootnoteReference"/>
          <w:spacing w:val="-3"/>
          <w:sz w:val="22"/>
          <w:szCs w:val="22"/>
        </w:rPr>
        <w:footnoteReference w:id="1"/>
      </w:r>
      <w:r w:rsidR="005D18FA">
        <w:rPr>
          <w:spacing w:val="-3"/>
          <w:sz w:val="22"/>
          <w:szCs w:val="22"/>
        </w:rPr>
        <w:t xml:space="preserve"> </w:t>
      </w:r>
      <w:r w:rsidR="002230EF">
        <w:rPr>
          <w:spacing w:val="-3"/>
          <w:sz w:val="22"/>
          <w:szCs w:val="22"/>
        </w:rPr>
        <w:t>. . . will not be altered without a notice and comment proceeding so as to allow for heretofore prohibited major changes to long-pending FCC Form 175 applications of non-commercial educational . . . applicants that specify non-commercial educational status.”  For the reasons set forth below we deny the Request.</w:t>
      </w:r>
    </w:p>
    <w:p w:rsidR="00B74AE9" w:rsidRDefault="00B74AE9" w:rsidP="00AF7707">
      <w:pPr>
        <w:tabs>
          <w:tab w:val="left" w:pos="720"/>
          <w:tab w:val="left" w:pos="2160"/>
          <w:tab w:val="left" w:pos="5760"/>
        </w:tabs>
        <w:suppressAutoHyphens/>
        <w:rPr>
          <w:spacing w:val="-3"/>
          <w:sz w:val="22"/>
          <w:szCs w:val="22"/>
        </w:rPr>
      </w:pPr>
    </w:p>
    <w:p w:rsidR="00ED1B8C" w:rsidRDefault="00B74AE9" w:rsidP="00212368">
      <w:pPr>
        <w:tabs>
          <w:tab w:val="left" w:pos="720"/>
          <w:tab w:val="left" w:pos="2160"/>
          <w:tab w:val="left" w:pos="3240"/>
          <w:tab w:val="left" w:pos="5760"/>
        </w:tabs>
        <w:suppressAutoHyphens/>
        <w:rPr>
          <w:spacing w:val="-3"/>
          <w:sz w:val="22"/>
          <w:szCs w:val="22"/>
        </w:rPr>
      </w:pPr>
      <w:r>
        <w:rPr>
          <w:spacing w:val="-3"/>
          <w:sz w:val="22"/>
          <w:szCs w:val="22"/>
        </w:rPr>
        <w:tab/>
      </w:r>
      <w:r w:rsidR="00EA39D9">
        <w:rPr>
          <w:spacing w:val="-3"/>
          <w:sz w:val="22"/>
          <w:szCs w:val="22"/>
        </w:rPr>
        <w:t>A declaratory ruling is appropriate to terminate a controversy or remove uncertainty.</w:t>
      </w:r>
      <w:r w:rsidR="00EA39D9">
        <w:rPr>
          <w:rStyle w:val="FootnoteReference"/>
          <w:spacing w:val="-3"/>
          <w:sz w:val="22"/>
          <w:szCs w:val="22"/>
        </w:rPr>
        <w:footnoteReference w:id="2"/>
      </w:r>
      <w:r w:rsidR="00EA39D9">
        <w:rPr>
          <w:spacing w:val="-3"/>
          <w:sz w:val="22"/>
          <w:szCs w:val="22"/>
        </w:rPr>
        <w:t xml:space="preserve">  No controversy or uncertainty exists here.  </w:t>
      </w:r>
      <w:r w:rsidR="00052F89">
        <w:rPr>
          <w:spacing w:val="-3"/>
          <w:sz w:val="22"/>
          <w:szCs w:val="22"/>
        </w:rPr>
        <w:t xml:space="preserve"> Petitioners request that </w:t>
      </w:r>
      <w:r w:rsidR="008C3311">
        <w:rPr>
          <w:spacing w:val="-3"/>
          <w:sz w:val="22"/>
          <w:szCs w:val="22"/>
        </w:rPr>
        <w:t xml:space="preserve">the Commission </w:t>
      </w:r>
      <w:r w:rsidR="00052F89">
        <w:rPr>
          <w:spacing w:val="-3"/>
          <w:sz w:val="22"/>
          <w:szCs w:val="22"/>
        </w:rPr>
        <w:t xml:space="preserve">provide </w:t>
      </w:r>
      <w:r w:rsidR="008C3311">
        <w:rPr>
          <w:spacing w:val="-3"/>
          <w:sz w:val="22"/>
          <w:szCs w:val="22"/>
        </w:rPr>
        <w:t xml:space="preserve">notice and comment </w:t>
      </w:r>
      <w:r w:rsidR="00052F89">
        <w:rPr>
          <w:spacing w:val="-3"/>
          <w:sz w:val="22"/>
          <w:szCs w:val="22"/>
        </w:rPr>
        <w:t xml:space="preserve">before waiving </w:t>
      </w:r>
      <w:r w:rsidR="008C3311">
        <w:rPr>
          <w:spacing w:val="-3"/>
          <w:sz w:val="22"/>
          <w:szCs w:val="22"/>
        </w:rPr>
        <w:t xml:space="preserve"> Section 1.2105(b)(2)</w:t>
      </w:r>
      <w:r w:rsidR="008C3311">
        <w:rPr>
          <w:rStyle w:val="FootnoteReference"/>
          <w:spacing w:val="-3"/>
          <w:sz w:val="22"/>
          <w:szCs w:val="22"/>
        </w:rPr>
        <w:footnoteReference w:id="3"/>
      </w:r>
      <w:r w:rsidR="008C3311">
        <w:rPr>
          <w:spacing w:val="-3"/>
          <w:sz w:val="22"/>
          <w:szCs w:val="22"/>
        </w:rPr>
        <w:t xml:space="preserve"> of the Commission’s rules to permit an Auction 83 applicant to amend its Form 175 application to de-select its noncommercial educational (“NCE”) filing status.  It is well settled that t</w:t>
      </w:r>
      <w:r w:rsidR="00EA39D9">
        <w:rPr>
          <w:spacing w:val="-3"/>
          <w:sz w:val="22"/>
          <w:szCs w:val="22"/>
        </w:rPr>
        <w:t>he Commission may waive a rule if special circumstances warrant a deviation from the general rule and such deviation better serves the public interest.</w:t>
      </w:r>
      <w:r w:rsidR="00EA39D9">
        <w:rPr>
          <w:rStyle w:val="FootnoteReference"/>
          <w:spacing w:val="-3"/>
          <w:sz w:val="22"/>
          <w:szCs w:val="22"/>
        </w:rPr>
        <w:footnoteReference w:id="4"/>
      </w:r>
      <w:r w:rsidR="00EA39D9">
        <w:rPr>
          <w:spacing w:val="-3"/>
          <w:sz w:val="22"/>
          <w:szCs w:val="22"/>
        </w:rPr>
        <w:t xml:space="preserve">  </w:t>
      </w:r>
      <w:r w:rsidR="006754EE">
        <w:rPr>
          <w:spacing w:val="-3"/>
          <w:sz w:val="22"/>
          <w:szCs w:val="22"/>
        </w:rPr>
        <w:t xml:space="preserve"> </w:t>
      </w:r>
      <w:r w:rsidR="00EA39D9">
        <w:rPr>
          <w:spacing w:val="-3"/>
          <w:sz w:val="22"/>
          <w:szCs w:val="22"/>
        </w:rPr>
        <w:t xml:space="preserve">Petitioners provide no support for the unfounded </w:t>
      </w:r>
      <w:r w:rsidR="006754EE">
        <w:rPr>
          <w:spacing w:val="-3"/>
          <w:sz w:val="22"/>
          <w:szCs w:val="22"/>
        </w:rPr>
        <w:t xml:space="preserve">proposition </w:t>
      </w:r>
      <w:r w:rsidR="00EA39D9">
        <w:rPr>
          <w:spacing w:val="-3"/>
          <w:sz w:val="22"/>
          <w:szCs w:val="22"/>
        </w:rPr>
        <w:t xml:space="preserve">that </w:t>
      </w:r>
      <w:r w:rsidR="006754EE">
        <w:rPr>
          <w:spacing w:val="-3"/>
          <w:sz w:val="22"/>
          <w:szCs w:val="22"/>
        </w:rPr>
        <w:t xml:space="preserve">the Commission must follow rulemaking procedures to waive a rule.  </w:t>
      </w:r>
      <w:r w:rsidR="00E4602F">
        <w:rPr>
          <w:spacing w:val="-3"/>
          <w:sz w:val="22"/>
          <w:szCs w:val="22"/>
        </w:rPr>
        <w:t xml:space="preserve">Nevertheless, the Commission addressed this </w:t>
      </w:r>
      <w:r w:rsidR="00E4602F">
        <w:rPr>
          <w:spacing w:val="-3"/>
          <w:sz w:val="22"/>
          <w:szCs w:val="22"/>
        </w:rPr>
        <w:lastRenderedPageBreak/>
        <w:t>exact issue when it reconsidered</w:t>
      </w:r>
      <w:r w:rsidR="00FB049D">
        <w:rPr>
          <w:rStyle w:val="FootnoteReference"/>
          <w:spacing w:val="-3"/>
          <w:sz w:val="22"/>
          <w:szCs w:val="22"/>
        </w:rPr>
        <w:footnoteReference w:id="5"/>
      </w:r>
      <w:r w:rsidR="00E4602F">
        <w:rPr>
          <w:spacing w:val="-3"/>
          <w:sz w:val="22"/>
          <w:szCs w:val="22"/>
        </w:rPr>
        <w:t xml:space="preserve"> the 2003 </w:t>
      </w:r>
      <w:r w:rsidR="008C3311">
        <w:rPr>
          <w:spacing w:val="-3"/>
          <w:sz w:val="22"/>
          <w:szCs w:val="22"/>
        </w:rPr>
        <w:t xml:space="preserve">NCE comparative licensing rulemaking </w:t>
      </w:r>
      <w:r w:rsidR="00E4602F">
        <w:rPr>
          <w:spacing w:val="-3"/>
          <w:sz w:val="22"/>
          <w:szCs w:val="22"/>
        </w:rPr>
        <w:t>order</w:t>
      </w:r>
      <w:r w:rsidR="00FB049D">
        <w:rPr>
          <w:rStyle w:val="FootnoteReference"/>
          <w:spacing w:val="-3"/>
          <w:sz w:val="22"/>
          <w:szCs w:val="22"/>
        </w:rPr>
        <w:footnoteReference w:id="6"/>
      </w:r>
      <w:r w:rsidR="00E4602F">
        <w:rPr>
          <w:spacing w:val="-3"/>
          <w:sz w:val="22"/>
          <w:szCs w:val="22"/>
        </w:rPr>
        <w:t xml:space="preserve"> which held that an NCE de-selection amendment would constitute a major change</w:t>
      </w:r>
      <w:r w:rsidR="00AA4746">
        <w:rPr>
          <w:spacing w:val="-3"/>
          <w:sz w:val="22"/>
          <w:szCs w:val="22"/>
        </w:rPr>
        <w:t>, and thus a prohibited amendment following the close of an auction filing window</w:t>
      </w:r>
      <w:r w:rsidR="00E4602F">
        <w:rPr>
          <w:spacing w:val="-3"/>
          <w:sz w:val="22"/>
          <w:szCs w:val="22"/>
        </w:rPr>
        <w:t xml:space="preserve">.  </w:t>
      </w:r>
      <w:r w:rsidR="00FB049D">
        <w:rPr>
          <w:spacing w:val="-3"/>
          <w:sz w:val="22"/>
          <w:szCs w:val="22"/>
        </w:rPr>
        <w:t>On reconsideration, t</w:t>
      </w:r>
      <w:r w:rsidR="00E4602F">
        <w:rPr>
          <w:spacing w:val="-3"/>
          <w:sz w:val="22"/>
          <w:szCs w:val="22"/>
        </w:rPr>
        <w:t xml:space="preserve">he Commission concluded that NCE applicants in certain </w:t>
      </w:r>
      <w:r w:rsidR="008C3311">
        <w:rPr>
          <w:spacing w:val="-3"/>
          <w:sz w:val="22"/>
          <w:szCs w:val="22"/>
        </w:rPr>
        <w:t>commercial/NCE “</w:t>
      </w:r>
      <w:r w:rsidR="00E4602F">
        <w:rPr>
          <w:spacing w:val="-3"/>
          <w:sz w:val="22"/>
          <w:szCs w:val="22"/>
        </w:rPr>
        <w:t>mixed</w:t>
      </w:r>
      <w:r w:rsidR="008C3311">
        <w:rPr>
          <w:spacing w:val="-3"/>
          <w:sz w:val="22"/>
          <w:szCs w:val="22"/>
        </w:rPr>
        <w:t>”</w:t>
      </w:r>
      <w:r w:rsidR="00E4602F">
        <w:rPr>
          <w:spacing w:val="-3"/>
          <w:sz w:val="22"/>
          <w:szCs w:val="22"/>
        </w:rPr>
        <w:t xml:space="preserve"> groups </w:t>
      </w:r>
      <w:r w:rsidR="00556615">
        <w:rPr>
          <w:spacing w:val="-3"/>
          <w:sz w:val="22"/>
          <w:szCs w:val="22"/>
        </w:rPr>
        <w:t>sh</w:t>
      </w:r>
      <w:r w:rsidR="00E4602F">
        <w:rPr>
          <w:spacing w:val="-3"/>
          <w:sz w:val="22"/>
          <w:szCs w:val="22"/>
        </w:rPr>
        <w:t>ould be permitted “to amend their pending applications for the sole purpose of applying for a commercial station.”</w:t>
      </w:r>
      <w:r w:rsidR="005A3E87">
        <w:rPr>
          <w:rStyle w:val="FootnoteReference"/>
          <w:spacing w:val="-3"/>
          <w:sz w:val="22"/>
          <w:szCs w:val="22"/>
        </w:rPr>
        <w:footnoteReference w:id="7"/>
      </w:r>
      <w:r w:rsidR="00E4602F">
        <w:rPr>
          <w:spacing w:val="-3"/>
          <w:sz w:val="22"/>
          <w:szCs w:val="22"/>
        </w:rPr>
        <w:t xml:space="preserve">  </w:t>
      </w:r>
      <w:r w:rsidR="00E4602F" w:rsidRPr="00295F70">
        <w:rPr>
          <w:spacing w:val="-3"/>
          <w:sz w:val="22"/>
          <w:szCs w:val="22"/>
        </w:rPr>
        <w:t xml:space="preserve">It explained that </w:t>
      </w:r>
      <w:r w:rsidR="00BB1685">
        <w:rPr>
          <w:spacing w:val="-3"/>
          <w:sz w:val="22"/>
          <w:szCs w:val="22"/>
        </w:rPr>
        <w:t xml:space="preserve">permitting these amendments </w:t>
      </w:r>
      <w:r w:rsidR="00E4602F" w:rsidRPr="00295F70">
        <w:rPr>
          <w:spacing w:val="-3"/>
          <w:sz w:val="22"/>
          <w:szCs w:val="22"/>
        </w:rPr>
        <w:t>“will give applicants for NCE stations one opportunity to reevaluate</w:t>
      </w:r>
      <w:r w:rsidR="00E4602F">
        <w:rPr>
          <w:spacing w:val="-3"/>
          <w:sz w:val="22"/>
          <w:szCs w:val="22"/>
        </w:rPr>
        <w:t xml:space="preserve"> their long-pending plans in the context of full and complete information about </w:t>
      </w:r>
      <w:r w:rsidR="00AA4746">
        <w:rPr>
          <w:spacing w:val="-3"/>
          <w:sz w:val="22"/>
          <w:szCs w:val="22"/>
        </w:rPr>
        <w:t xml:space="preserve">how </w:t>
      </w:r>
      <w:r w:rsidR="00E4602F">
        <w:rPr>
          <w:spacing w:val="-3"/>
          <w:sz w:val="22"/>
          <w:szCs w:val="22"/>
        </w:rPr>
        <w:t>the licensing process will work</w:t>
      </w:r>
      <w:r w:rsidR="00556615">
        <w:rPr>
          <w:spacing w:val="-3"/>
          <w:sz w:val="22"/>
          <w:szCs w:val="22"/>
        </w:rPr>
        <w:t xml:space="preserve"> </w:t>
      </w:r>
      <w:r w:rsidR="00E4602F">
        <w:rPr>
          <w:spacing w:val="-3"/>
          <w:sz w:val="22"/>
          <w:szCs w:val="22"/>
        </w:rPr>
        <w:t xml:space="preserve"> . .</w:t>
      </w:r>
      <w:r w:rsidR="00556615">
        <w:rPr>
          <w:spacing w:val="-3"/>
          <w:sz w:val="22"/>
          <w:szCs w:val="22"/>
        </w:rPr>
        <w:t xml:space="preserve"> . </w:t>
      </w:r>
      <w:r w:rsidR="00E4602F">
        <w:rPr>
          <w:spacing w:val="-3"/>
          <w:sz w:val="22"/>
          <w:szCs w:val="22"/>
        </w:rPr>
        <w:t>and avoid the harsh result of dismissing applicants based on subsequently adopted processing rules . . . .”</w:t>
      </w:r>
      <w:r w:rsidR="005A3E87">
        <w:rPr>
          <w:rStyle w:val="FootnoteReference"/>
          <w:spacing w:val="-3"/>
          <w:sz w:val="22"/>
          <w:szCs w:val="22"/>
        </w:rPr>
        <w:footnoteReference w:id="8"/>
      </w:r>
      <w:r w:rsidR="00E4602F">
        <w:rPr>
          <w:spacing w:val="-3"/>
          <w:sz w:val="22"/>
          <w:szCs w:val="22"/>
        </w:rPr>
        <w:t xml:space="preserve">  </w:t>
      </w:r>
      <w:r w:rsidR="00AE7DC2">
        <w:rPr>
          <w:spacing w:val="-3"/>
          <w:sz w:val="22"/>
          <w:szCs w:val="22"/>
        </w:rPr>
        <w:t xml:space="preserve">This Commission directive applies </w:t>
      </w:r>
      <w:r w:rsidR="00F17AFF">
        <w:rPr>
          <w:spacing w:val="-3"/>
          <w:sz w:val="22"/>
          <w:szCs w:val="22"/>
        </w:rPr>
        <w:t xml:space="preserve">equally to Auction 83 NCE filers because the </w:t>
      </w:r>
      <w:r w:rsidR="00F17AFF">
        <w:rPr>
          <w:i/>
          <w:spacing w:val="-3"/>
          <w:sz w:val="22"/>
          <w:szCs w:val="22"/>
        </w:rPr>
        <w:t xml:space="preserve">Second Report and Order </w:t>
      </w:r>
      <w:r w:rsidR="00F17AFF">
        <w:rPr>
          <w:spacing w:val="-3"/>
          <w:sz w:val="22"/>
          <w:szCs w:val="22"/>
        </w:rPr>
        <w:t xml:space="preserve">was released several weeks after the close of the Auction 83 filing window.  </w:t>
      </w:r>
      <w:r w:rsidR="00556615">
        <w:rPr>
          <w:spacing w:val="-3"/>
          <w:sz w:val="22"/>
          <w:szCs w:val="22"/>
        </w:rPr>
        <w:t>To date (and a</w:t>
      </w:r>
      <w:r w:rsidR="006754EE">
        <w:rPr>
          <w:spacing w:val="-3"/>
          <w:sz w:val="22"/>
          <w:szCs w:val="22"/>
        </w:rPr>
        <w:t xml:space="preserve">s Petitioners </w:t>
      </w:r>
      <w:r w:rsidR="00556615">
        <w:rPr>
          <w:spacing w:val="-3"/>
          <w:sz w:val="22"/>
          <w:szCs w:val="22"/>
        </w:rPr>
        <w:t xml:space="preserve">partially </w:t>
      </w:r>
      <w:r w:rsidR="00ED1B8C">
        <w:rPr>
          <w:spacing w:val="-3"/>
          <w:sz w:val="22"/>
          <w:szCs w:val="22"/>
        </w:rPr>
        <w:t>recognize</w:t>
      </w:r>
      <w:r w:rsidR="00556615">
        <w:rPr>
          <w:spacing w:val="-3"/>
          <w:sz w:val="22"/>
          <w:szCs w:val="22"/>
        </w:rPr>
        <w:t>)</w:t>
      </w:r>
      <w:r w:rsidR="006754EE">
        <w:rPr>
          <w:spacing w:val="-3"/>
          <w:sz w:val="22"/>
          <w:szCs w:val="22"/>
        </w:rPr>
        <w:t>, the</w:t>
      </w:r>
      <w:r w:rsidR="00E4602F">
        <w:rPr>
          <w:spacing w:val="-3"/>
          <w:sz w:val="22"/>
          <w:szCs w:val="22"/>
        </w:rPr>
        <w:t xml:space="preserve"> Media and Wireless Telecommunications Bureau</w:t>
      </w:r>
      <w:r w:rsidR="00556615">
        <w:rPr>
          <w:spacing w:val="-3"/>
          <w:sz w:val="22"/>
          <w:szCs w:val="22"/>
        </w:rPr>
        <w:t>s</w:t>
      </w:r>
      <w:r w:rsidR="006754EE">
        <w:rPr>
          <w:spacing w:val="-3"/>
          <w:sz w:val="22"/>
          <w:szCs w:val="22"/>
        </w:rPr>
        <w:t xml:space="preserve"> </w:t>
      </w:r>
      <w:r w:rsidR="00F17AFF">
        <w:rPr>
          <w:spacing w:val="-3"/>
          <w:sz w:val="22"/>
          <w:szCs w:val="22"/>
        </w:rPr>
        <w:t xml:space="preserve">on three separate occasions </w:t>
      </w:r>
      <w:r w:rsidR="006754EE">
        <w:rPr>
          <w:spacing w:val="-3"/>
          <w:sz w:val="22"/>
          <w:szCs w:val="22"/>
        </w:rPr>
        <w:t>ha</w:t>
      </w:r>
      <w:r w:rsidR="00556615">
        <w:rPr>
          <w:spacing w:val="-3"/>
          <w:sz w:val="22"/>
          <w:szCs w:val="22"/>
        </w:rPr>
        <w:t>ve</w:t>
      </w:r>
      <w:r w:rsidR="006754EE">
        <w:rPr>
          <w:spacing w:val="-3"/>
          <w:sz w:val="22"/>
          <w:szCs w:val="22"/>
        </w:rPr>
        <w:t xml:space="preserve"> waived the </w:t>
      </w:r>
      <w:r w:rsidR="00556615">
        <w:rPr>
          <w:spacing w:val="-3"/>
          <w:sz w:val="22"/>
          <w:szCs w:val="22"/>
        </w:rPr>
        <w:t>major change</w:t>
      </w:r>
      <w:r w:rsidR="006754EE">
        <w:rPr>
          <w:spacing w:val="-3"/>
          <w:sz w:val="22"/>
          <w:szCs w:val="22"/>
        </w:rPr>
        <w:t xml:space="preserve"> rule </w:t>
      </w:r>
      <w:r w:rsidR="00335F59">
        <w:rPr>
          <w:spacing w:val="-3"/>
          <w:sz w:val="22"/>
          <w:szCs w:val="22"/>
        </w:rPr>
        <w:t xml:space="preserve">to permit </w:t>
      </w:r>
      <w:r w:rsidR="00E4602F">
        <w:rPr>
          <w:spacing w:val="-3"/>
          <w:sz w:val="22"/>
          <w:szCs w:val="22"/>
        </w:rPr>
        <w:t>NCE de-selection</w:t>
      </w:r>
      <w:r w:rsidR="00335F59">
        <w:rPr>
          <w:spacing w:val="-3"/>
          <w:sz w:val="22"/>
          <w:szCs w:val="22"/>
        </w:rPr>
        <w:t xml:space="preserve"> amendments </w:t>
      </w:r>
      <w:r w:rsidR="00556615">
        <w:rPr>
          <w:spacing w:val="-3"/>
          <w:sz w:val="22"/>
          <w:szCs w:val="22"/>
        </w:rPr>
        <w:t>for NCE applications</w:t>
      </w:r>
      <w:r w:rsidR="00140A68">
        <w:rPr>
          <w:spacing w:val="-3"/>
          <w:sz w:val="22"/>
          <w:szCs w:val="22"/>
        </w:rPr>
        <w:t>.</w:t>
      </w:r>
      <w:r w:rsidR="006754EE">
        <w:rPr>
          <w:rStyle w:val="FootnoteReference"/>
          <w:spacing w:val="-3"/>
          <w:sz w:val="22"/>
          <w:szCs w:val="22"/>
        </w:rPr>
        <w:footnoteReference w:id="9"/>
      </w:r>
      <w:r w:rsidR="00ED1B8C">
        <w:rPr>
          <w:spacing w:val="-3"/>
          <w:sz w:val="22"/>
          <w:szCs w:val="22"/>
        </w:rPr>
        <w:t xml:space="preserve">  To the extent that Petitioners believe that Auction 83 applicants </w:t>
      </w:r>
      <w:r w:rsidR="008B4397">
        <w:rPr>
          <w:spacing w:val="-3"/>
          <w:sz w:val="22"/>
          <w:szCs w:val="22"/>
        </w:rPr>
        <w:t xml:space="preserve">should not be </w:t>
      </w:r>
      <w:r w:rsidR="00AE7DC2">
        <w:rPr>
          <w:spacing w:val="-3"/>
          <w:sz w:val="22"/>
          <w:szCs w:val="22"/>
        </w:rPr>
        <w:t xml:space="preserve">subject to the processing policies adopted in </w:t>
      </w:r>
      <w:r w:rsidR="00AE7DC2">
        <w:rPr>
          <w:i/>
          <w:spacing w:val="-3"/>
          <w:sz w:val="22"/>
          <w:szCs w:val="22"/>
        </w:rPr>
        <w:t xml:space="preserve">MOTOR </w:t>
      </w:r>
      <w:r w:rsidR="00AE7DC2">
        <w:rPr>
          <w:spacing w:val="-3"/>
          <w:sz w:val="22"/>
          <w:szCs w:val="22"/>
        </w:rPr>
        <w:t xml:space="preserve">and implemented </w:t>
      </w:r>
      <w:r w:rsidR="00C370B4">
        <w:rPr>
          <w:spacing w:val="-3"/>
          <w:sz w:val="22"/>
          <w:szCs w:val="22"/>
        </w:rPr>
        <w:t xml:space="preserve">thereafter </w:t>
      </w:r>
      <w:r w:rsidR="00AE7DC2">
        <w:rPr>
          <w:spacing w:val="-3"/>
          <w:sz w:val="22"/>
          <w:szCs w:val="22"/>
        </w:rPr>
        <w:t xml:space="preserve">by the Media and Wireless Telecommunications Bureaus, </w:t>
      </w:r>
      <w:r w:rsidR="00ED1B8C">
        <w:rPr>
          <w:spacing w:val="-3"/>
          <w:sz w:val="22"/>
          <w:szCs w:val="22"/>
        </w:rPr>
        <w:t xml:space="preserve">those issues should be raised in the context of particular application proceedings rather than </w:t>
      </w:r>
      <w:r w:rsidR="00220CE7">
        <w:rPr>
          <w:spacing w:val="-3"/>
          <w:sz w:val="22"/>
          <w:szCs w:val="22"/>
        </w:rPr>
        <w:t xml:space="preserve">in </w:t>
      </w:r>
      <w:r w:rsidR="00ED1B8C">
        <w:rPr>
          <w:spacing w:val="-3"/>
          <w:sz w:val="22"/>
          <w:szCs w:val="22"/>
        </w:rPr>
        <w:t>a declaratory ruling request.</w:t>
      </w:r>
    </w:p>
    <w:p w:rsidR="00ED1B8C" w:rsidRDefault="00ED1B8C" w:rsidP="002230EF">
      <w:pPr>
        <w:tabs>
          <w:tab w:val="left" w:pos="720"/>
          <w:tab w:val="left" w:pos="2160"/>
          <w:tab w:val="left" w:pos="5760"/>
        </w:tabs>
        <w:suppressAutoHyphens/>
        <w:rPr>
          <w:spacing w:val="-3"/>
          <w:sz w:val="22"/>
          <w:szCs w:val="22"/>
        </w:rPr>
      </w:pPr>
    </w:p>
    <w:p w:rsidR="00EA39D9" w:rsidRDefault="00ED1B8C" w:rsidP="002230EF">
      <w:pPr>
        <w:tabs>
          <w:tab w:val="left" w:pos="720"/>
          <w:tab w:val="left" w:pos="2160"/>
          <w:tab w:val="left" w:pos="5760"/>
        </w:tabs>
        <w:suppressAutoHyphens/>
        <w:rPr>
          <w:spacing w:val="-3"/>
          <w:sz w:val="22"/>
          <w:szCs w:val="22"/>
        </w:rPr>
      </w:pPr>
      <w:r>
        <w:rPr>
          <w:spacing w:val="-3"/>
          <w:sz w:val="22"/>
          <w:szCs w:val="22"/>
        </w:rPr>
        <w:tab/>
        <w:t xml:space="preserve">Section 1.2(b) of the Commission’s rules states, in part, “The bureau or office to which a petition for declaratory ruling has been submitted or assigned should docket such a </w:t>
      </w:r>
      <w:r w:rsidR="00CC2AE2">
        <w:rPr>
          <w:spacing w:val="-3"/>
          <w:sz w:val="22"/>
          <w:szCs w:val="22"/>
        </w:rPr>
        <w:t>petition [and] . . . seek comment on the petition via public notice.”</w:t>
      </w:r>
      <w:r w:rsidR="00CC2AE2">
        <w:rPr>
          <w:rStyle w:val="FootnoteReference"/>
          <w:spacing w:val="-3"/>
          <w:sz w:val="22"/>
          <w:szCs w:val="22"/>
        </w:rPr>
        <w:footnoteReference w:id="10"/>
      </w:r>
      <w:r>
        <w:rPr>
          <w:spacing w:val="-3"/>
          <w:sz w:val="22"/>
          <w:szCs w:val="22"/>
        </w:rPr>
        <w:t xml:space="preserve"> </w:t>
      </w:r>
      <w:r w:rsidR="00CC2AE2">
        <w:rPr>
          <w:spacing w:val="-3"/>
          <w:sz w:val="22"/>
          <w:szCs w:val="22"/>
        </w:rPr>
        <w:t xml:space="preserve"> In stipulating that petitions for declaratory rulings “should” rather than “must” seek comment, the Commission has afforded bureaus and offices </w:t>
      </w:r>
      <w:r w:rsidR="00A51DCF">
        <w:rPr>
          <w:spacing w:val="-3"/>
          <w:sz w:val="22"/>
          <w:szCs w:val="22"/>
        </w:rPr>
        <w:t xml:space="preserve">discretion </w:t>
      </w:r>
      <w:r w:rsidR="00CC2AE2">
        <w:rPr>
          <w:spacing w:val="-3"/>
          <w:sz w:val="22"/>
          <w:szCs w:val="22"/>
        </w:rPr>
        <w:t xml:space="preserve">to act without public notice in unusual circumstances.  In adopting Section 1.2(b) the Commission explained that it intended to make the process for petitions for </w:t>
      </w:r>
      <w:r w:rsidR="00A51DCF">
        <w:rPr>
          <w:spacing w:val="-3"/>
          <w:sz w:val="22"/>
          <w:szCs w:val="22"/>
        </w:rPr>
        <w:t xml:space="preserve">declaratory rulings </w:t>
      </w:r>
      <w:r w:rsidR="00CC2AE2">
        <w:rPr>
          <w:spacing w:val="-3"/>
          <w:sz w:val="22"/>
          <w:szCs w:val="22"/>
        </w:rPr>
        <w:t>“similar” to that for petitions for rulemaking.</w:t>
      </w:r>
      <w:r w:rsidR="00CC2AE2">
        <w:rPr>
          <w:rStyle w:val="FootnoteReference"/>
          <w:spacing w:val="-3"/>
          <w:sz w:val="22"/>
          <w:szCs w:val="22"/>
        </w:rPr>
        <w:footnoteReference w:id="11"/>
      </w:r>
      <w:r w:rsidR="00335F59">
        <w:rPr>
          <w:spacing w:val="-3"/>
          <w:sz w:val="22"/>
          <w:szCs w:val="22"/>
        </w:rPr>
        <w:t xml:space="preserve">  With regard to the latter, a bureau or office may </w:t>
      </w:r>
      <w:r w:rsidR="00A51DCF">
        <w:rPr>
          <w:spacing w:val="-3"/>
          <w:sz w:val="22"/>
          <w:szCs w:val="22"/>
        </w:rPr>
        <w:t xml:space="preserve">deny or dismiss </w:t>
      </w:r>
      <w:r w:rsidR="005D18FA">
        <w:rPr>
          <w:spacing w:val="-3"/>
          <w:sz w:val="22"/>
          <w:szCs w:val="22"/>
        </w:rPr>
        <w:t xml:space="preserve">a petition </w:t>
      </w:r>
      <w:r w:rsidR="00A51DCF">
        <w:rPr>
          <w:spacing w:val="-3"/>
          <w:sz w:val="22"/>
          <w:szCs w:val="22"/>
        </w:rPr>
        <w:t>w</w:t>
      </w:r>
      <w:r w:rsidR="00335F59">
        <w:rPr>
          <w:spacing w:val="-3"/>
          <w:sz w:val="22"/>
          <w:szCs w:val="22"/>
        </w:rPr>
        <w:t xml:space="preserve">ithout public notice when </w:t>
      </w:r>
      <w:r w:rsidR="005D18FA">
        <w:rPr>
          <w:spacing w:val="-3"/>
          <w:sz w:val="22"/>
          <w:szCs w:val="22"/>
        </w:rPr>
        <w:t>it</w:t>
      </w:r>
      <w:r w:rsidR="00335F59">
        <w:rPr>
          <w:spacing w:val="-3"/>
          <w:sz w:val="22"/>
          <w:szCs w:val="22"/>
        </w:rPr>
        <w:t xml:space="preserve"> is “moot, premature, </w:t>
      </w:r>
      <w:r w:rsidR="00A51DCF">
        <w:rPr>
          <w:spacing w:val="-3"/>
          <w:sz w:val="22"/>
          <w:szCs w:val="22"/>
        </w:rPr>
        <w:t>repetitive,</w:t>
      </w:r>
      <w:r w:rsidR="00335F59">
        <w:rPr>
          <w:spacing w:val="-3"/>
          <w:sz w:val="22"/>
          <w:szCs w:val="22"/>
        </w:rPr>
        <w:t xml:space="preserve"> frivolous, or which do[es] not warrant consideration by the Commission</w:t>
      </w:r>
      <w:r w:rsidR="00A51DCF">
        <w:rPr>
          <w:spacing w:val="-3"/>
          <w:sz w:val="22"/>
          <w:szCs w:val="22"/>
        </w:rPr>
        <w:t xml:space="preserve"> . . . .</w:t>
      </w:r>
      <w:r w:rsidR="00335F59">
        <w:rPr>
          <w:spacing w:val="-3"/>
          <w:sz w:val="22"/>
          <w:szCs w:val="22"/>
        </w:rPr>
        <w:t>”</w:t>
      </w:r>
      <w:r w:rsidR="00335F59">
        <w:rPr>
          <w:rStyle w:val="FootnoteReference"/>
          <w:spacing w:val="-3"/>
          <w:sz w:val="22"/>
          <w:szCs w:val="22"/>
        </w:rPr>
        <w:footnoteReference w:id="12"/>
      </w:r>
      <w:r w:rsidR="00335F59">
        <w:rPr>
          <w:spacing w:val="-3"/>
          <w:sz w:val="22"/>
          <w:szCs w:val="22"/>
        </w:rPr>
        <w:t xml:space="preserve">  We apply that standard here</w:t>
      </w:r>
      <w:r w:rsidR="00335F59">
        <w:rPr>
          <w:rStyle w:val="FootnoteReference"/>
          <w:spacing w:val="-3"/>
          <w:sz w:val="22"/>
          <w:szCs w:val="22"/>
        </w:rPr>
        <w:footnoteReference w:id="13"/>
      </w:r>
      <w:r w:rsidR="00335F59">
        <w:rPr>
          <w:spacing w:val="-3"/>
          <w:sz w:val="22"/>
          <w:szCs w:val="22"/>
        </w:rPr>
        <w:t xml:space="preserve"> and, for the reasons stated above, find </w:t>
      </w:r>
      <w:r w:rsidR="00FF21C4">
        <w:rPr>
          <w:spacing w:val="-3"/>
          <w:sz w:val="22"/>
          <w:szCs w:val="22"/>
        </w:rPr>
        <w:t xml:space="preserve">that </w:t>
      </w:r>
      <w:r w:rsidR="00335F59">
        <w:rPr>
          <w:spacing w:val="-3"/>
          <w:sz w:val="22"/>
          <w:szCs w:val="22"/>
        </w:rPr>
        <w:t xml:space="preserve">the </w:t>
      </w:r>
      <w:r w:rsidR="005D18FA">
        <w:rPr>
          <w:spacing w:val="-3"/>
          <w:sz w:val="22"/>
          <w:szCs w:val="22"/>
        </w:rPr>
        <w:t>R</w:t>
      </w:r>
      <w:r w:rsidR="00335F59">
        <w:rPr>
          <w:spacing w:val="-3"/>
          <w:sz w:val="22"/>
          <w:szCs w:val="22"/>
        </w:rPr>
        <w:t xml:space="preserve">equest </w:t>
      </w:r>
      <w:r w:rsidR="00556615">
        <w:rPr>
          <w:spacing w:val="-3"/>
          <w:sz w:val="22"/>
          <w:szCs w:val="22"/>
        </w:rPr>
        <w:t xml:space="preserve">is </w:t>
      </w:r>
      <w:r w:rsidR="00335F59">
        <w:rPr>
          <w:spacing w:val="-3"/>
          <w:sz w:val="22"/>
          <w:szCs w:val="22"/>
        </w:rPr>
        <w:t>frivolous</w:t>
      </w:r>
      <w:r w:rsidR="00556615">
        <w:rPr>
          <w:spacing w:val="-3"/>
          <w:sz w:val="22"/>
          <w:szCs w:val="22"/>
        </w:rPr>
        <w:t>, repetitive</w:t>
      </w:r>
      <w:r w:rsidR="00335F59">
        <w:rPr>
          <w:spacing w:val="-3"/>
          <w:sz w:val="22"/>
          <w:szCs w:val="22"/>
        </w:rPr>
        <w:t xml:space="preserve"> and not warranting consideration by the Commission.</w:t>
      </w:r>
      <w:r w:rsidR="00D33737">
        <w:rPr>
          <w:spacing w:val="-3"/>
          <w:sz w:val="22"/>
          <w:szCs w:val="22"/>
        </w:rPr>
        <w:t xml:space="preserve">  </w:t>
      </w:r>
    </w:p>
    <w:p w:rsidR="00335F59" w:rsidRDefault="00335F59" w:rsidP="002230EF">
      <w:pPr>
        <w:tabs>
          <w:tab w:val="left" w:pos="720"/>
          <w:tab w:val="left" w:pos="2160"/>
          <w:tab w:val="left" w:pos="5760"/>
        </w:tabs>
        <w:suppressAutoHyphens/>
        <w:rPr>
          <w:spacing w:val="-3"/>
          <w:sz w:val="22"/>
          <w:szCs w:val="22"/>
        </w:rPr>
      </w:pPr>
    </w:p>
    <w:p w:rsidR="005C226D" w:rsidRDefault="00335F59" w:rsidP="00AF7707">
      <w:pPr>
        <w:tabs>
          <w:tab w:val="left" w:pos="720"/>
          <w:tab w:val="left" w:pos="2160"/>
          <w:tab w:val="left" w:pos="5760"/>
        </w:tabs>
        <w:suppressAutoHyphens/>
        <w:rPr>
          <w:spacing w:val="-3"/>
          <w:sz w:val="22"/>
          <w:szCs w:val="22"/>
        </w:rPr>
      </w:pPr>
      <w:r>
        <w:rPr>
          <w:spacing w:val="-3"/>
          <w:sz w:val="22"/>
          <w:szCs w:val="22"/>
        </w:rPr>
        <w:lastRenderedPageBreak/>
        <w:tab/>
      </w:r>
      <w:r w:rsidR="005C226D">
        <w:rPr>
          <w:spacing w:val="-3"/>
          <w:sz w:val="22"/>
          <w:szCs w:val="22"/>
        </w:rPr>
        <w:t>For the reasons set forth above, IT IS ORDERED that the</w:t>
      </w:r>
      <w:r w:rsidR="003808DA">
        <w:rPr>
          <w:spacing w:val="-3"/>
          <w:sz w:val="22"/>
          <w:szCs w:val="22"/>
        </w:rPr>
        <w:t xml:space="preserve"> March 21, 2013</w:t>
      </w:r>
      <w:r w:rsidR="000020FD">
        <w:rPr>
          <w:spacing w:val="-3"/>
          <w:sz w:val="22"/>
          <w:szCs w:val="22"/>
        </w:rPr>
        <w:t>,</w:t>
      </w:r>
      <w:r w:rsidR="003808DA">
        <w:rPr>
          <w:spacing w:val="-3"/>
          <w:sz w:val="22"/>
          <w:szCs w:val="22"/>
        </w:rPr>
        <w:t xml:space="preserve"> Request for Declaratory Ruling of Bond Broadcasting, Inc. and East Kentucky Broadcasting Corp. </w:t>
      </w:r>
      <w:r w:rsidR="005C226D">
        <w:rPr>
          <w:spacing w:val="-3"/>
          <w:sz w:val="22"/>
          <w:szCs w:val="22"/>
        </w:rPr>
        <w:t>IS DENIED.</w:t>
      </w:r>
    </w:p>
    <w:p w:rsidR="005C226D" w:rsidRDefault="005C226D" w:rsidP="00AF7707">
      <w:pPr>
        <w:tabs>
          <w:tab w:val="left" w:pos="720"/>
          <w:tab w:val="left" w:pos="2160"/>
          <w:tab w:val="left" w:pos="5760"/>
        </w:tabs>
        <w:suppressAutoHyphens/>
        <w:rPr>
          <w:spacing w:val="-3"/>
          <w:sz w:val="22"/>
          <w:szCs w:val="22"/>
        </w:rPr>
      </w:pPr>
    </w:p>
    <w:p w:rsidR="0088232A" w:rsidRDefault="005C226D" w:rsidP="00AF7707">
      <w:pPr>
        <w:tabs>
          <w:tab w:val="left" w:pos="720"/>
          <w:tab w:val="left" w:pos="2160"/>
          <w:tab w:val="left" w:pos="5760"/>
        </w:tabs>
        <w:suppressAutoHyphens/>
        <w:rPr>
          <w:spacing w:val="-3"/>
          <w:sz w:val="22"/>
          <w:szCs w:val="22"/>
        </w:rPr>
      </w:pPr>
      <w:r>
        <w:rPr>
          <w:spacing w:val="-3"/>
          <w:sz w:val="22"/>
          <w:szCs w:val="22"/>
        </w:rPr>
        <w:tab/>
      </w:r>
      <w:r>
        <w:rPr>
          <w:spacing w:val="-3"/>
          <w:sz w:val="22"/>
          <w:szCs w:val="22"/>
        </w:rPr>
        <w:tab/>
      </w:r>
      <w:r>
        <w:rPr>
          <w:spacing w:val="-3"/>
          <w:sz w:val="22"/>
          <w:szCs w:val="22"/>
        </w:rPr>
        <w:tab/>
      </w:r>
      <w:r w:rsidR="0088232A">
        <w:rPr>
          <w:spacing w:val="-3"/>
          <w:sz w:val="22"/>
          <w:szCs w:val="22"/>
        </w:rPr>
        <w:t>Sincerely,</w:t>
      </w:r>
    </w:p>
    <w:p w:rsidR="0088232A" w:rsidRDefault="0088232A" w:rsidP="00AF7707">
      <w:pPr>
        <w:tabs>
          <w:tab w:val="left" w:pos="720"/>
          <w:tab w:val="left" w:pos="2160"/>
          <w:tab w:val="left" w:pos="5760"/>
        </w:tabs>
        <w:suppressAutoHyphens/>
        <w:rPr>
          <w:spacing w:val="-3"/>
          <w:sz w:val="22"/>
          <w:szCs w:val="22"/>
        </w:rPr>
      </w:pPr>
    </w:p>
    <w:p w:rsidR="0088232A" w:rsidRDefault="0088232A" w:rsidP="00AF7707">
      <w:pPr>
        <w:tabs>
          <w:tab w:val="left" w:pos="720"/>
          <w:tab w:val="left" w:pos="2160"/>
          <w:tab w:val="left" w:pos="5760"/>
        </w:tabs>
        <w:suppressAutoHyphens/>
        <w:rPr>
          <w:spacing w:val="-3"/>
          <w:sz w:val="22"/>
          <w:szCs w:val="22"/>
        </w:rPr>
      </w:pPr>
    </w:p>
    <w:p w:rsidR="0088232A" w:rsidRDefault="0088232A" w:rsidP="00AF7707">
      <w:pPr>
        <w:tabs>
          <w:tab w:val="left" w:pos="720"/>
          <w:tab w:val="left" w:pos="2160"/>
          <w:tab w:val="left" w:pos="5760"/>
        </w:tabs>
        <w:suppressAutoHyphens/>
        <w:rPr>
          <w:spacing w:val="-3"/>
          <w:sz w:val="22"/>
          <w:szCs w:val="22"/>
        </w:rPr>
      </w:pPr>
      <w:r>
        <w:rPr>
          <w:spacing w:val="-3"/>
          <w:sz w:val="22"/>
          <w:szCs w:val="22"/>
        </w:rPr>
        <w:tab/>
      </w:r>
      <w:r>
        <w:rPr>
          <w:spacing w:val="-3"/>
          <w:sz w:val="22"/>
          <w:szCs w:val="22"/>
        </w:rPr>
        <w:tab/>
      </w:r>
      <w:r>
        <w:rPr>
          <w:spacing w:val="-3"/>
          <w:sz w:val="22"/>
          <w:szCs w:val="22"/>
        </w:rPr>
        <w:tab/>
        <w:t>Peter H. Doyle</w:t>
      </w:r>
    </w:p>
    <w:p w:rsidR="0088232A" w:rsidRDefault="0088232A" w:rsidP="00AF7707">
      <w:pPr>
        <w:tabs>
          <w:tab w:val="left" w:pos="720"/>
          <w:tab w:val="left" w:pos="2160"/>
          <w:tab w:val="left" w:pos="5760"/>
        </w:tabs>
        <w:suppressAutoHyphens/>
        <w:rPr>
          <w:spacing w:val="-3"/>
          <w:sz w:val="22"/>
          <w:szCs w:val="22"/>
        </w:rPr>
      </w:pPr>
      <w:r>
        <w:rPr>
          <w:spacing w:val="-3"/>
          <w:sz w:val="22"/>
          <w:szCs w:val="22"/>
        </w:rPr>
        <w:tab/>
      </w:r>
      <w:r>
        <w:rPr>
          <w:spacing w:val="-3"/>
          <w:sz w:val="22"/>
          <w:szCs w:val="22"/>
        </w:rPr>
        <w:tab/>
      </w:r>
      <w:r>
        <w:rPr>
          <w:spacing w:val="-3"/>
          <w:sz w:val="22"/>
          <w:szCs w:val="22"/>
        </w:rPr>
        <w:tab/>
        <w:t>Chief, Audio Division</w:t>
      </w:r>
    </w:p>
    <w:p w:rsidR="00A37ECB" w:rsidRPr="009B0AB1" w:rsidRDefault="0088232A" w:rsidP="00847CD5">
      <w:pPr>
        <w:tabs>
          <w:tab w:val="left" w:pos="720"/>
          <w:tab w:val="left" w:pos="2160"/>
          <w:tab w:val="left" w:pos="5760"/>
        </w:tabs>
        <w:suppressAutoHyphens/>
        <w:rPr>
          <w:sz w:val="22"/>
          <w:szCs w:val="22"/>
        </w:rPr>
      </w:pPr>
      <w:r>
        <w:rPr>
          <w:spacing w:val="-3"/>
          <w:sz w:val="22"/>
          <w:szCs w:val="22"/>
        </w:rPr>
        <w:tab/>
      </w:r>
      <w:r>
        <w:rPr>
          <w:spacing w:val="-3"/>
          <w:sz w:val="22"/>
          <w:szCs w:val="22"/>
        </w:rPr>
        <w:tab/>
      </w:r>
      <w:r>
        <w:rPr>
          <w:spacing w:val="-3"/>
          <w:sz w:val="22"/>
          <w:szCs w:val="22"/>
        </w:rPr>
        <w:tab/>
        <w:t>Media Bureau</w:t>
      </w:r>
    </w:p>
    <w:sectPr w:rsidR="00A37ECB" w:rsidRPr="009B0AB1" w:rsidSect="00E9435C">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56" w:rsidRDefault="00583C56">
      <w:r>
        <w:separator/>
      </w:r>
    </w:p>
  </w:endnote>
  <w:endnote w:type="continuationSeparator" w:id="0">
    <w:p w:rsidR="00583C56" w:rsidRDefault="0058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EC" w:rsidRDefault="003630EC" w:rsidP="00363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0EC" w:rsidRDefault="00363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EC" w:rsidRDefault="003630EC" w:rsidP="00363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8A4">
      <w:rPr>
        <w:rStyle w:val="PageNumber"/>
        <w:noProof/>
      </w:rPr>
      <w:t>2</w:t>
    </w:r>
    <w:r>
      <w:rPr>
        <w:rStyle w:val="PageNumber"/>
      </w:rPr>
      <w:fldChar w:fldCharType="end"/>
    </w:r>
  </w:p>
  <w:p w:rsidR="003630EC" w:rsidRDefault="00363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15" w:rsidRDefault="00CC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56" w:rsidRDefault="00583C56">
      <w:r>
        <w:separator/>
      </w:r>
    </w:p>
  </w:footnote>
  <w:footnote w:type="continuationSeparator" w:id="0">
    <w:p w:rsidR="00583C56" w:rsidRDefault="00583C56">
      <w:r>
        <w:continuationSeparator/>
      </w:r>
    </w:p>
  </w:footnote>
  <w:footnote w:id="1">
    <w:p w:rsidR="005D18FA" w:rsidRDefault="005D18FA">
      <w:pPr>
        <w:pStyle w:val="FootnoteText"/>
      </w:pPr>
      <w:r>
        <w:rPr>
          <w:rStyle w:val="FootnoteReference"/>
        </w:rPr>
        <w:footnoteRef/>
      </w:r>
      <w:r>
        <w:rPr>
          <w:rStyle w:val="FootnoteReference"/>
        </w:rPr>
        <w:footnoteRef/>
      </w:r>
      <w:r>
        <w:t xml:space="preserve"> </w:t>
      </w:r>
      <w:r>
        <w:rPr>
          <w:i/>
        </w:rPr>
        <w:t>See FM Translator Auction Filing Window and Application Freeze</w:t>
      </w:r>
      <w:r>
        <w:t xml:space="preserve">, Public Notice, 18 FCC Rcd 1565, 1568 (MB/WTB 2003) (major modifications to FCC Form 175s not permitted after close of filing window).  </w:t>
      </w:r>
    </w:p>
    <w:p w:rsidR="005D18FA" w:rsidRPr="005D18FA" w:rsidRDefault="005D18FA">
      <w:pPr>
        <w:pStyle w:val="FootnoteText"/>
      </w:pPr>
    </w:p>
  </w:footnote>
  <w:footnote w:id="2">
    <w:p w:rsidR="00EA39D9" w:rsidRDefault="00EA39D9">
      <w:pPr>
        <w:pStyle w:val="FootnoteText"/>
      </w:pPr>
      <w:r>
        <w:rPr>
          <w:rStyle w:val="FootnoteReference"/>
        </w:rPr>
        <w:footnoteRef/>
      </w:r>
      <w:r>
        <w:t xml:space="preserve"> </w:t>
      </w:r>
      <w:r>
        <w:rPr>
          <w:i/>
        </w:rPr>
        <w:t xml:space="preserve">See </w:t>
      </w:r>
      <w:r>
        <w:t>47 C.F.R. § 1.2(a).</w:t>
      </w:r>
    </w:p>
    <w:p w:rsidR="00EA39D9" w:rsidRPr="00EA39D9" w:rsidRDefault="00EA39D9">
      <w:pPr>
        <w:pStyle w:val="FootnoteText"/>
      </w:pPr>
    </w:p>
  </w:footnote>
  <w:footnote w:id="3">
    <w:p w:rsidR="008C3311" w:rsidRDefault="008C3311">
      <w:pPr>
        <w:pStyle w:val="FootnoteText"/>
      </w:pPr>
      <w:r>
        <w:rPr>
          <w:rStyle w:val="FootnoteReference"/>
        </w:rPr>
        <w:footnoteRef/>
      </w:r>
      <w:r>
        <w:t xml:space="preserve"> 47 C.F.R. § 1.2105(b)(</w:t>
      </w:r>
      <w:r w:rsidR="00586E0F">
        <w:t>2</w:t>
      </w:r>
      <w:r>
        <w:t>) (“Major amendments cannot be made to a short-form application after the initial filing deadline.”)</w:t>
      </w:r>
    </w:p>
    <w:p w:rsidR="008C3311" w:rsidRDefault="008C3311">
      <w:pPr>
        <w:pStyle w:val="FootnoteText"/>
      </w:pPr>
    </w:p>
  </w:footnote>
  <w:footnote w:id="4">
    <w:p w:rsidR="006754EE" w:rsidRDefault="00EA39D9">
      <w:pPr>
        <w:pStyle w:val="FootnoteText"/>
      </w:pPr>
      <w:r>
        <w:rPr>
          <w:rStyle w:val="FootnoteReference"/>
        </w:rPr>
        <w:footnoteRef/>
      </w:r>
      <w:r>
        <w:t xml:space="preserve"> </w:t>
      </w:r>
      <w:r>
        <w:rPr>
          <w:i/>
        </w:rPr>
        <w:t>See</w:t>
      </w:r>
      <w:r w:rsidR="00220CE7">
        <w:rPr>
          <w:i/>
        </w:rPr>
        <w:t>, e.g.,</w:t>
      </w:r>
      <w:r>
        <w:rPr>
          <w:i/>
        </w:rPr>
        <w:t xml:space="preserve"> NetworkIP, LLC v. FCC</w:t>
      </w:r>
      <w:r>
        <w:t>, 548 F</w:t>
      </w:r>
      <w:r w:rsidR="00374935">
        <w:t>.</w:t>
      </w:r>
      <w:r>
        <w:t>3d 116, 125-28 (D.C. Cir. 2008).</w:t>
      </w:r>
    </w:p>
    <w:p w:rsidR="00EA39D9" w:rsidRPr="00EA39D9" w:rsidRDefault="00EA39D9">
      <w:pPr>
        <w:pStyle w:val="FootnoteText"/>
      </w:pPr>
      <w:r>
        <w:t xml:space="preserve">  </w:t>
      </w:r>
    </w:p>
  </w:footnote>
  <w:footnote w:id="5">
    <w:p w:rsidR="00FB049D" w:rsidRDefault="00FB049D">
      <w:pPr>
        <w:pStyle w:val="FootnoteText"/>
      </w:pPr>
      <w:r>
        <w:rPr>
          <w:rStyle w:val="FootnoteReference"/>
        </w:rPr>
        <w:footnoteRef/>
      </w:r>
      <w:r>
        <w:t xml:space="preserve"> </w:t>
      </w:r>
      <w:r w:rsidRPr="00D1799C">
        <w:rPr>
          <w:i/>
        </w:rPr>
        <w:t>Reexamination of the Comparative Standards for Noncommercial Educational Applicants</w:t>
      </w:r>
      <w:r w:rsidRPr="00D1799C">
        <w:t xml:space="preserve">, </w:t>
      </w:r>
      <w:r>
        <w:t>Memorandum Opinion and Third Order on Reconsideration, 23 FCC Rcd 17423</w:t>
      </w:r>
      <w:r w:rsidR="005A3E87">
        <w:t>, 17427-28</w:t>
      </w:r>
      <w:r>
        <w:t xml:space="preserve"> (2008) (“</w:t>
      </w:r>
      <w:r w:rsidRPr="00881D60">
        <w:rPr>
          <w:i/>
        </w:rPr>
        <w:t>MOTOR</w:t>
      </w:r>
      <w:r>
        <w:t>”)</w:t>
      </w:r>
      <w:r w:rsidRPr="00D1799C">
        <w:t xml:space="preserve">.  </w:t>
      </w:r>
    </w:p>
    <w:p w:rsidR="00FB049D" w:rsidRDefault="00FB049D">
      <w:pPr>
        <w:pStyle w:val="FootnoteText"/>
      </w:pPr>
    </w:p>
  </w:footnote>
  <w:footnote w:id="6">
    <w:p w:rsidR="00FB049D" w:rsidRDefault="00FB049D">
      <w:pPr>
        <w:pStyle w:val="FootnoteText"/>
      </w:pPr>
      <w:r>
        <w:rPr>
          <w:rStyle w:val="FootnoteReference"/>
        </w:rPr>
        <w:footnoteRef/>
      </w:r>
      <w:r>
        <w:t xml:space="preserve"> </w:t>
      </w:r>
      <w:r w:rsidRPr="00D1799C">
        <w:rPr>
          <w:i/>
        </w:rPr>
        <w:t>Reexamination of the Comparative Standards for Noncommercial Educational Applicants</w:t>
      </w:r>
      <w:r w:rsidRPr="00D1799C">
        <w:t>, Second Report and</w:t>
      </w:r>
      <w:r w:rsidRPr="00D1799C">
        <w:rPr>
          <w:i/>
        </w:rPr>
        <w:t xml:space="preserve"> </w:t>
      </w:r>
      <w:r w:rsidRPr="00D1799C">
        <w:t>Order, 18 FCC Rcd 6691, 6699-6700 (2003) (“</w:t>
      </w:r>
      <w:r w:rsidRPr="00D1799C">
        <w:rPr>
          <w:i/>
        </w:rPr>
        <w:t>NCE Second Report and Order</w:t>
      </w:r>
      <w:r w:rsidRPr="00D1799C">
        <w:t>”).</w:t>
      </w:r>
    </w:p>
    <w:p w:rsidR="00132DF4" w:rsidRDefault="00132DF4">
      <w:pPr>
        <w:pStyle w:val="FootnoteText"/>
      </w:pPr>
    </w:p>
  </w:footnote>
  <w:footnote w:id="7">
    <w:p w:rsidR="005A3E87" w:rsidRDefault="005A3E87">
      <w:pPr>
        <w:pStyle w:val="FootnoteText"/>
      </w:pPr>
      <w:r>
        <w:rPr>
          <w:rStyle w:val="FootnoteReference"/>
        </w:rPr>
        <w:footnoteRef/>
      </w:r>
      <w:r>
        <w:t xml:space="preserve"> </w:t>
      </w:r>
      <w:r>
        <w:rPr>
          <w:i/>
        </w:rPr>
        <w:t>MOTOR</w:t>
      </w:r>
      <w:r>
        <w:t>, 23 FCC Rcd at 17428.</w:t>
      </w:r>
    </w:p>
    <w:p w:rsidR="005A3E87" w:rsidRPr="005A3E87" w:rsidRDefault="005A3E87">
      <w:pPr>
        <w:pStyle w:val="FootnoteText"/>
      </w:pPr>
    </w:p>
  </w:footnote>
  <w:footnote w:id="8">
    <w:p w:rsidR="005A3E87" w:rsidRDefault="005A3E87">
      <w:pPr>
        <w:pStyle w:val="FootnoteText"/>
        <w:rPr>
          <w:i/>
        </w:rPr>
      </w:pPr>
      <w:r>
        <w:rPr>
          <w:rStyle w:val="FootnoteReference"/>
        </w:rPr>
        <w:footnoteRef/>
      </w:r>
      <w:r>
        <w:t xml:space="preserve"> </w:t>
      </w:r>
      <w:r>
        <w:rPr>
          <w:i/>
        </w:rPr>
        <w:t>Id.</w:t>
      </w:r>
    </w:p>
    <w:p w:rsidR="005A3E87" w:rsidRPr="00DD4530" w:rsidRDefault="005A3E87">
      <w:pPr>
        <w:pStyle w:val="FootnoteText"/>
        <w:rPr>
          <w:i/>
        </w:rPr>
      </w:pPr>
    </w:p>
  </w:footnote>
  <w:footnote w:id="9">
    <w:p w:rsidR="006754EE" w:rsidRDefault="006754EE">
      <w:pPr>
        <w:pStyle w:val="FootnoteText"/>
      </w:pPr>
      <w:r>
        <w:rPr>
          <w:rStyle w:val="FootnoteReference"/>
        </w:rPr>
        <w:footnoteRef/>
      </w:r>
      <w:r>
        <w:t xml:space="preserve"> </w:t>
      </w:r>
      <w:r w:rsidRPr="004070E8">
        <w:rPr>
          <w:i/>
        </w:rPr>
        <w:t>See American Family Association, et al</w:t>
      </w:r>
      <w:r w:rsidRPr="004070E8">
        <w:t xml:space="preserve">., Letter, </w:t>
      </w:r>
      <w:r>
        <w:t>19</w:t>
      </w:r>
      <w:r w:rsidRPr="004070E8">
        <w:t xml:space="preserve"> FCC Rcd </w:t>
      </w:r>
      <w:r>
        <w:t xml:space="preserve">18681 </w:t>
      </w:r>
      <w:r w:rsidRPr="004070E8">
        <w:t>(MB/WTB 2004)</w:t>
      </w:r>
      <w:r>
        <w:t xml:space="preserve"> (Auction 37); </w:t>
      </w:r>
      <w:r w:rsidRPr="004070E8">
        <w:rPr>
          <w:i/>
        </w:rPr>
        <w:t>Supplemental Notice Concerning Status of FCC Form 175 Applications to Participate in Auction 37</w:t>
      </w:r>
      <w:r w:rsidRPr="004070E8">
        <w:t xml:space="preserve">, Public Notice, </w:t>
      </w:r>
      <w:r>
        <w:t xml:space="preserve">19 </w:t>
      </w:r>
      <w:r w:rsidRPr="004070E8">
        <w:t xml:space="preserve">FCC Rcd </w:t>
      </w:r>
      <w:r>
        <w:t>18696</w:t>
      </w:r>
      <w:r w:rsidRPr="004070E8">
        <w:t xml:space="preserve"> (MB/WTB 2004)</w:t>
      </w:r>
      <w:r w:rsidR="00ED1B8C">
        <w:t xml:space="preserve"> (providing opportunity for major amendments to Auction 37 applications)</w:t>
      </w:r>
      <w:r>
        <w:t xml:space="preserve">; </w:t>
      </w:r>
      <w:r w:rsidRPr="007E182E">
        <w:rPr>
          <w:i/>
        </w:rPr>
        <w:t>Christian Broadcasting, Inc.</w:t>
      </w:r>
      <w:r w:rsidRPr="004070E8">
        <w:t>.</w:t>
      </w:r>
      <w:r>
        <w:t xml:space="preserve"> Letter, 24 FCC Rcd 2212 (2009) (providing a 30-day opportunity</w:t>
      </w:r>
      <w:r w:rsidR="00ED1B8C">
        <w:t xml:space="preserve"> for major amendments </w:t>
      </w:r>
      <w:r>
        <w:t>to certain Auction 84 applications);</w:t>
      </w:r>
      <w:r w:rsidR="00ED1B8C">
        <w:t xml:space="preserve"> </w:t>
      </w:r>
      <w:r w:rsidR="00ED1B8C" w:rsidRPr="009D567F">
        <w:rPr>
          <w:i/>
        </w:rPr>
        <w:t>Window Opened to October 30, 2009, to Permit Amendment of Applications for Noncommercial Educational Stations in Pending, Closed Mixed Groups</w:t>
      </w:r>
      <w:r w:rsidR="00ED1B8C" w:rsidRPr="009D567F">
        <w:t>, Public Notice, 24 FCC Rcd 12188 (MB 2009)</w:t>
      </w:r>
      <w:r w:rsidR="00ED1B8C">
        <w:t xml:space="preserve"> (providing opportunity for major amendments to certain Auction 88 applications).</w:t>
      </w:r>
    </w:p>
    <w:p w:rsidR="00EF6658" w:rsidRDefault="00EF6658">
      <w:pPr>
        <w:pStyle w:val="FootnoteText"/>
      </w:pPr>
    </w:p>
  </w:footnote>
  <w:footnote w:id="10">
    <w:p w:rsidR="00CC2AE2" w:rsidRDefault="00CC2AE2">
      <w:pPr>
        <w:pStyle w:val="FootnoteText"/>
      </w:pPr>
      <w:r>
        <w:rPr>
          <w:rStyle w:val="FootnoteReference"/>
        </w:rPr>
        <w:footnoteRef/>
      </w:r>
      <w:r>
        <w:t xml:space="preserve"> 47 C.F.R. § 1.2(b).</w:t>
      </w:r>
    </w:p>
    <w:p w:rsidR="00CC2AE2" w:rsidRDefault="00CC2AE2">
      <w:pPr>
        <w:pStyle w:val="FootnoteText"/>
      </w:pPr>
    </w:p>
  </w:footnote>
  <w:footnote w:id="11">
    <w:p w:rsidR="00CC2AE2" w:rsidRDefault="00CC2AE2">
      <w:pPr>
        <w:pStyle w:val="FootnoteText"/>
      </w:pPr>
      <w:r>
        <w:rPr>
          <w:rStyle w:val="FootnoteReference"/>
        </w:rPr>
        <w:footnoteRef/>
      </w:r>
      <w:r>
        <w:t xml:space="preserve"> </w:t>
      </w:r>
      <w:r>
        <w:rPr>
          <w:i/>
        </w:rPr>
        <w:t>See Amendment of Certain of the Commission’s Part 1 Rules of Practice and Procedure and Part 0 Rules of Commission Organization</w:t>
      </w:r>
      <w:r>
        <w:t xml:space="preserve">, </w:t>
      </w:r>
      <w:r w:rsidR="000020FD">
        <w:t xml:space="preserve">Report and Order, </w:t>
      </w:r>
      <w:r>
        <w:t xml:space="preserve">26 FCC </w:t>
      </w:r>
      <w:r w:rsidR="00A51DCF">
        <w:t>R</w:t>
      </w:r>
      <w:r>
        <w:t>cd 1594, 1598-99 (2011) (¶ 12).</w:t>
      </w:r>
    </w:p>
    <w:p w:rsidR="00335F59" w:rsidRPr="00CC2AE2" w:rsidRDefault="00335F59">
      <w:pPr>
        <w:pStyle w:val="FootnoteText"/>
      </w:pPr>
    </w:p>
  </w:footnote>
  <w:footnote w:id="12">
    <w:p w:rsidR="00335F59" w:rsidRDefault="00335F59" w:rsidP="00335F59">
      <w:pPr>
        <w:pStyle w:val="FootnoteText"/>
      </w:pPr>
      <w:r>
        <w:rPr>
          <w:rStyle w:val="FootnoteReference"/>
        </w:rPr>
        <w:footnoteRef/>
      </w:r>
      <w:r>
        <w:t xml:space="preserve"> 47 C.F.R. § 1.401(e).</w:t>
      </w:r>
    </w:p>
    <w:p w:rsidR="00335F59" w:rsidRDefault="00335F59">
      <w:pPr>
        <w:pStyle w:val="FootnoteText"/>
      </w:pPr>
    </w:p>
  </w:footnote>
  <w:footnote w:id="13">
    <w:p w:rsidR="00335F59" w:rsidRPr="00335F59" w:rsidRDefault="00335F59">
      <w:pPr>
        <w:pStyle w:val="FootnoteText"/>
      </w:pPr>
      <w:r>
        <w:rPr>
          <w:rStyle w:val="FootnoteReference"/>
        </w:rPr>
        <w:footnoteRef/>
      </w:r>
      <w:r>
        <w:t xml:space="preserve"> </w:t>
      </w:r>
      <w:r>
        <w:rPr>
          <w:i/>
        </w:rPr>
        <w:t>See James Edwin Whedbee</w:t>
      </w:r>
      <w:r>
        <w:t xml:space="preserve">, </w:t>
      </w:r>
      <w:r w:rsidR="000020FD">
        <w:t xml:space="preserve">Letter, </w:t>
      </w:r>
      <w:r>
        <w:t>28 FCC Rcd 379 (WTB 2011) (denying petition for declaratory ruling under Section 1.401(e)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15" w:rsidRDefault="00CC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15" w:rsidRDefault="00CC1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EC" w:rsidRPr="00C61AFA" w:rsidRDefault="00C468A4">
    <w:pPr>
      <w:pStyle w:val="Header"/>
      <w:tabs>
        <w:tab w:val="clear" w:pos="4320"/>
        <w:tab w:val="clear" w:pos="8640"/>
      </w:tabs>
      <w:spacing w:before="360" w:line="228" w:lineRule="auto"/>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2pt;width:64.8pt;height:64.8pt;z-index:251657728;visibility:visible;mso-wrap-edited:f" filled="t" fillcolor="#3cc">
          <v:imagedata r:id="rId1" o:title="" gain="69719f"/>
          <w10:wrap type="topAndBottom"/>
        </v:shape>
        <o:OLEObject Type="Embed" ProgID="Word.Picture.8" ShapeID="_x0000_s2049" DrawAspect="Content" ObjectID="_1426401398" r:id="rId2"/>
      </w:pict>
    </w:r>
    <w:r w:rsidR="003630EC" w:rsidRPr="00C61AFA">
      <w:rPr>
        <w:b/>
        <w:sz w:val="22"/>
        <w:szCs w:val="22"/>
      </w:rPr>
      <w:t>Federal Communications Commission</w:t>
    </w:r>
  </w:p>
  <w:p w:rsidR="003630EC" w:rsidRDefault="003630EC">
    <w:pPr>
      <w:jc w:val="center"/>
      <w:rPr>
        <w:b/>
        <w:sz w:val="22"/>
        <w:szCs w:val="22"/>
      </w:rPr>
    </w:pPr>
    <w:smartTag w:uri="urn:schemas-microsoft-com:office:smarttags" w:element="place">
      <w:smartTag w:uri="urn:schemas-microsoft-com:office:smarttags" w:element="City">
        <w:r w:rsidRPr="00C61AFA">
          <w:rPr>
            <w:b/>
            <w:sz w:val="22"/>
            <w:szCs w:val="22"/>
          </w:rPr>
          <w:t>Washington</w:t>
        </w:r>
      </w:smartTag>
      <w:r w:rsidRPr="00C61AFA">
        <w:rPr>
          <w:b/>
          <w:sz w:val="22"/>
          <w:szCs w:val="22"/>
        </w:rPr>
        <w:t xml:space="preserve">, </w:t>
      </w:r>
      <w:smartTag w:uri="urn:schemas-microsoft-com:office:smarttags" w:element="State">
        <w:r w:rsidRPr="00C61AFA">
          <w:rPr>
            <w:b/>
            <w:sz w:val="22"/>
            <w:szCs w:val="22"/>
          </w:rPr>
          <w:t>D.C.</w:t>
        </w:r>
      </w:smartTag>
      <w:r w:rsidRPr="00C61AFA">
        <w:rPr>
          <w:b/>
          <w:sz w:val="22"/>
          <w:szCs w:val="22"/>
        </w:rPr>
        <w:t xml:space="preserve"> </w:t>
      </w:r>
      <w:smartTag w:uri="urn:schemas-microsoft-com:office:smarttags" w:element="PostalCode">
        <w:r w:rsidRPr="00C61AFA">
          <w:rPr>
            <w:b/>
            <w:sz w:val="22"/>
            <w:szCs w:val="22"/>
          </w:rPr>
          <w:t>20554</w:t>
        </w:r>
      </w:smartTag>
    </w:smartTag>
  </w:p>
  <w:p w:rsidR="00C61AFA" w:rsidRPr="00C61AFA" w:rsidRDefault="00C61AFA">
    <w:pPr>
      <w:jc w:val="center"/>
      <w:rPr>
        <w:b/>
        <w:sz w:val="22"/>
        <w:szCs w:val="22"/>
      </w:rPr>
    </w:pPr>
  </w:p>
  <w:p w:rsidR="003630EC" w:rsidRDefault="00712C1D">
    <w:pPr>
      <w:pStyle w:val="Header"/>
      <w:tabs>
        <w:tab w:val="clear" w:pos="4320"/>
      </w:tabs>
      <w:jc w:val="center"/>
      <w:rPr>
        <w:sz w:val="22"/>
        <w:szCs w:val="22"/>
      </w:rPr>
    </w:pPr>
    <w:r>
      <w:rPr>
        <w:sz w:val="22"/>
        <w:szCs w:val="22"/>
      </w:rPr>
      <w:t xml:space="preserve">April </w:t>
    </w:r>
    <w:r w:rsidR="008013D0">
      <w:rPr>
        <w:sz w:val="22"/>
        <w:szCs w:val="22"/>
      </w:rPr>
      <w:t>2</w:t>
    </w:r>
    <w:r>
      <w:rPr>
        <w:sz w:val="22"/>
        <w:szCs w:val="22"/>
      </w:rPr>
      <w:t xml:space="preserve">, </w:t>
    </w:r>
    <w:r w:rsidR="00757264">
      <w:rPr>
        <w:sz w:val="22"/>
        <w:szCs w:val="22"/>
      </w:rPr>
      <w:t>2013</w:t>
    </w:r>
  </w:p>
  <w:p w:rsidR="00465BC9" w:rsidRDefault="00465BC9" w:rsidP="00465BC9">
    <w:pPr>
      <w:pStyle w:val="Header"/>
      <w:tabs>
        <w:tab w:val="clear" w:pos="4320"/>
        <w:tab w:val="clear" w:pos="8640"/>
        <w:tab w:val="left" w:pos="7920"/>
      </w:tabs>
      <w:jc w:val="right"/>
      <w:rPr>
        <w:sz w:val="22"/>
        <w:szCs w:val="22"/>
      </w:rPr>
    </w:pPr>
  </w:p>
  <w:p w:rsidR="00A51DCF" w:rsidRPr="000020FD" w:rsidRDefault="00A51DCF" w:rsidP="00A51DCF">
    <w:pPr>
      <w:tabs>
        <w:tab w:val="left" w:pos="540"/>
      </w:tabs>
      <w:ind w:left="6480"/>
    </w:pPr>
    <w:r w:rsidRPr="000020FD">
      <w:t xml:space="preserve">DA </w:t>
    </w:r>
    <w:r w:rsidR="008B5345" w:rsidRPr="008B5345">
      <w:t>13-588</w:t>
    </w:r>
    <w:r w:rsidR="00D81C3D" w:rsidRPr="000020FD">
      <w:tab/>
    </w:r>
    <w:r w:rsidRPr="000020FD">
      <w:tab/>
    </w:r>
  </w:p>
  <w:p w:rsidR="00A51DCF" w:rsidRPr="00254FDE" w:rsidRDefault="00A51DCF" w:rsidP="00A51DCF">
    <w:pPr>
      <w:tabs>
        <w:tab w:val="left" w:pos="540"/>
      </w:tabs>
      <w:ind w:left="6480"/>
      <w:rPr>
        <w:i/>
      </w:rPr>
    </w:pPr>
    <w:r w:rsidRPr="00254FDE">
      <w:t>In</w:t>
    </w:r>
    <w:r w:rsidRPr="00254FDE">
      <w:rPr>
        <w:i/>
      </w:rPr>
      <w:t xml:space="preserve"> Reply Refer to:</w:t>
    </w:r>
  </w:p>
  <w:p w:rsidR="00A51DCF" w:rsidRDefault="00A51DCF" w:rsidP="00A51DCF">
    <w:pPr>
      <w:rPr>
        <w:lang w:val="es-ES"/>
      </w:rPr>
    </w:pPr>
    <w:r w:rsidRPr="00254FDE">
      <w:tab/>
    </w:r>
    <w:r w:rsidRPr="00254FDE">
      <w:tab/>
    </w:r>
    <w:r w:rsidRPr="00254FDE">
      <w:tab/>
    </w:r>
    <w:r w:rsidRPr="00254FDE">
      <w:tab/>
    </w:r>
    <w:r w:rsidRPr="00254FDE">
      <w:tab/>
    </w:r>
    <w:r w:rsidRPr="00254FDE">
      <w:tab/>
    </w:r>
    <w:r w:rsidRPr="00254FDE">
      <w:tab/>
    </w:r>
    <w:r w:rsidRPr="00254FDE">
      <w:tab/>
    </w:r>
    <w:r w:rsidRPr="00254FDE">
      <w:tab/>
    </w:r>
    <w:r w:rsidRPr="00254FDE">
      <w:rPr>
        <w:lang w:val="es-ES"/>
      </w:rPr>
      <w:t>1800B3-</w:t>
    </w:r>
    <w:r>
      <w:rPr>
        <w:lang w:val="es-ES"/>
      </w:rPr>
      <w:t>PHD</w:t>
    </w:r>
  </w:p>
  <w:p w:rsidR="00A51DCF" w:rsidRPr="00254FDE" w:rsidRDefault="00A51DCF" w:rsidP="00A51DCF">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Released:</w:t>
    </w:r>
    <w:r w:rsidR="008013D0">
      <w:rPr>
        <w:lang w:val="es-ES"/>
      </w:rPr>
      <w:t xml:space="preserve"> April 2, 2013</w:t>
    </w:r>
  </w:p>
  <w:p w:rsidR="003630EC" w:rsidRPr="00D81C3D" w:rsidRDefault="003630EC" w:rsidP="00D81C3D">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65F"/>
    <w:multiLevelType w:val="hybridMultilevel"/>
    <w:tmpl w:val="EE523EDA"/>
    <w:lvl w:ilvl="0" w:tplc="15C69A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C2437D0"/>
    <w:multiLevelType w:val="hybridMultilevel"/>
    <w:tmpl w:val="81F6411A"/>
    <w:lvl w:ilvl="0" w:tplc="97728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C64721"/>
    <w:multiLevelType w:val="hybridMultilevel"/>
    <w:tmpl w:val="BB4AA3B2"/>
    <w:lvl w:ilvl="0" w:tplc="2D0692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354B32"/>
    <w:multiLevelType w:val="hybridMultilevel"/>
    <w:tmpl w:val="C93821BC"/>
    <w:lvl w:ilvl="0" w:tplc="84C64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3A"/>
    <w:rsid w:val="00000BA4"/>
    <w:rsid w:val="00001A1D"/>
    <w:rsid w:val="000020FD"/>
    <w:rsid w:val="00004B4A"/>
    <w:rsid w:val="00005CE4"/>
    <w:rsid w:val="000116FD"/>
    <w:rsid w:val="00011AA9"/>
    <w:rsid w:val="00012882"/>
    <w:rsid w:val="00014F2C"/>
    <w:rsid w:val="00014F9C"/>
    <w:rsid w:val="000216E2"/>
    <w:rsid w:val="0002481B"/>
    <w:rsid w:val="00024F05"/>
    <w:rsid w:val="000257A6"/>
    <w:rsid w:val="0002599E"/>
    <w:rsid w:val="00027F4E"/>
    <w:rsid w:val="0003133B"/>
    <w:rsid w:val="000330DF"/>
    <w:rsid w:val="0004250B"/>
    <w:rsid w:val="000439AC"/>
    <w:rsid w:val="00045254"/>
    <w:rsid w:val="00050DDA"/>
    <w:rsid w:val="00052586"/>
    <w:rsid w:val="00052F89"/>
    <w:rsid w:val="0005329F"/>
    <w:rsid w:val="00054F6C"/>
    <w:rsid w:val="000574EE"/>
    <w:rsid w:val="000578CA"/>
    <w:rsid w:val="00064113"/>
    <w:rsid w:val="0007144C"/>
    <w:rsid w:val="00074EF5"/>
    <w:rsid w:val="00083C9B"/>
    <w:rsid w:val="000919E6"/>
    <w:rsid w:val="000939E2"/>
    <w:rsid w:val="00093B0C"/>
    <w:rsid w:val="00095DBD"/>
    <w:rsid w:val="00096936"/>
    <w:rsid w:val="000A103F"/>
    <w:rsid w:val="000A2011"/>
    <w:rsid w:val="000A35AE"/>
    <w:rsid w:val="000A360E"/>
    <w:rsid w:val="000A3E43"/>
    <w:rsid w:val="000B23C6"/>
    <w:rsid w:val="000B7296"/>
    <w:rsid w:val="000B79DB"/>
    <w:rsid w:val="000C16E6"/>
    <w:rsid w:val="000C18EC"/>
    <w:rsid w:val="000C7B4C"/>
    <w:rsid w:val="000D603E"/>
    <w:rsid w:val="000D6179"/>
    <w:rsid w:val="000E0D84"/>
    <w:rsid w:val="000E48AF"/>
    <w:rsid w:val="000E6B8A"/>
    <w:rsid w:val="000E7D7F"/>
    <w:rsid w:val="000F17D8"/>
    <w:rsid w:val="000F4142"/>
    <w:rsid w:val="000F6B89"/>
    <w:rsid w:val="000F7C5A"/>
    <w:rsid w:val="0010000F"/>
    <w:rsid w:val="001012AC"/>
    <w:rsid w:val="00102416"/>
    <w:rsid w:val="00104036"/>
    <w:rsid w:val="0010702D"/>
    <w:rsid w:val="001071AB"/>
    <w:rsid w:val="00107728"/>
    <w:rsid w:val="00110657"/>
    <w:rsid w:val="00110B1B"/>
    <w:rsid w:val="00115882"/>
    <w:rsid w:val="00117CA2"/>
    <w:rsid w:val="00123179"/>
    <w:rsid w:val="00125DFB"/>
    <w:rsid w:val="001313AE"/>
    <w:rsid w:val="00132DF4"/>
    <w:rsid w:val="0013596C"/>
    <w:rsid w:val="0013694A"/>
    <w:rsid w:val="00137162"/>
    <w:rsid w:val="00140A68"/>
    <w:rsid w:val="00141C0F"/>
    <w:rsid w:val="00143D70"/>
    <w:rsid w:val="00146AF6"/>
    <w:rsid w:val="00147DB7"/>
    <w:rsid w:val="00152AE8"/>
    <w:rsid w:val="00152ED0"/>
    <w:rsid w:val="00154F61"/>
    <w:rsid w:val="00163DF1"/>
    <w:rsid w:val="00166872"/>
    <w:rsid w:val="00170B7A"/>
    <w:rsid w:val="00170C5A"/>
    <w:rsid w:val="00171013"/>
    <w:rsid w:val="0017163C"/>
    <w:rsid w:val="00176276"/>
    <w:rsid w:val="00176AAB"/>
    <w:rsid w:val="00181971"/>
    <w:rsid w:val="00183953"/>
    <w:rsid w:val="00184DC1"/>
    <w:rsid w:val="00187CF5"/>
    <w:rsid w:val="001925ED"/>
    <w:rsid w:val="001928C0"/>
    <w:rsid w:val="00195C64"/>
    <w:rsid w:val="00196683"/>
    <w:rsid w:val="0019679D"/>
    <w:rsid w:val="001A12EB"/>
    <w:rsid w:val="001A4C2A"/>
    <w:rsid w:val="001A5386"/>
    <w:rsid w:val="001B1E8D"/>
    <w:rsid w:val="001B2333"/>
    <w:rsid w:val="001B73D8"/>
    <w:rsid w:val="001B7DFD"/>
    <w:rsid w:val="001C077C"/>
    <w:rsid w:val="001C2E7B"/>
    <w:rsid w:val="001C4F19"/>
    <w:rsid w:val="001C5D54"/>
    <w:rsid w:val="001C65B9"/>
    <w:rsid w:val="001D1F25"/>
    <w:rsid w:val="001D247D"/>
    <w:rsid w:val="001D495A"/>
    <w:rsid w:val="001D5BF1"/>
    <w:rsid w:val="001D60CE"/>
    <w:rsid w:val="001D683F"/>
    <w:rsid w:val="001E0A32"/>
    <w:rsid w:val="001E2471"/>
    <w:rsid w:val="001E400F"/>
    <w:rsid w:val="001E50E3"/>
    <w:rsid w:val="001E7F3B"/>
    <w:rsid w:val="001F18DD"/>
    <w:rsid w:val="001F2AE7"/>
    <w:rsid w:val="001F44CF"/>
    <w:rsid w:val="001F6B69"/>
    <w:rsid w:val="001F7FDB"/>
    <w:rsid w:val="0020146B"/>
    <w:rsid w:val="00201D57"/>
    <w:rsid w:val="00204C55"/>
    <w:rsid w:val="002063D1"/>
    <w:rsid w:val="00207D09"/>
    <w:rsid w:val="00211218"/>
    <w:rsid w:val="00212368"/>
    <w:rsid w:val="00216924"/>
    <w:rsid w:val="00216AE5"/>
    <w:rsid w:val="00217AC7"/>
    <w:rsid w:val="00220CE7"/>
    <w:rsid w:val="002230EF"/>
    <w:rsid w:val="00223113"/>
    <w:rsid w:val="00223A80"/>
    <w:rsid w:val="002252D8"/>
    <w:rsid w:val="00225A94"/>
    <w:rsid w:val="00226536"/>
    <w:rsid w:val="00226823"/>
    <w:rsid w:val="0023018D"/>
    <w:rsid w:val="0023091A"/>
    <w:rsid w:val="00230B0D"/>
    <w:rsid w:val="00232485"/>
    <w:rsid w:val="002357B7"/>
    <w:rsid w:val="00235E76"/>
    <w:rsid w:val="00237969"/>
    <w:rsid w:val="002379A8"/>
    <w:rsid w:val="00237A40"/>
    <w:rsid w:val="00241E5D"/>
    <w:rsid w:val="00242128"/>
    <w:rsid w:val="00243691"/>
    <w:rsid w:val="00243DE3"/>
    <w:rsid w:val="0024485B"/>
    <w:rsid w:val="002520AC"/>
    <w:rsid w:val="00252BB0"/>
    <w:rsid w:val="00252E27"/>
    <w:rsid w:val="00254D57"/>
    <w:rsid w:val="00255CDD"/>
    <w:rsid w:val="002576AB"/>
    <w:rsid w:val="00262B4E"/>
    <w:rsid w:val="00265C02"/>
    <w:rsid w:val="00266C69"/>
    <w:rsid w:val="0026756F"/>
    <w:rsid w:val="00274682"/>
    <w:rsid w:val="00274A51"/>
    <w:rsid w:val="00280357"/>
    <w:rsid w:val="002805B7"/>
    <w:rsid w:val="002807D2"/>
    <w:rsid w:val="002808B0"/>
    <w:rsid w:val="00281D6B"/>
    <w:rsid w:val="002830F2"/>
    <w:rsid w:val="00283451"/>
    <w:rsid w:val="00290F73"/>
    <w:rsid w:val="0029241F"/>
    <w:rsid w:val="0029390D"/>
    <w:rsid w:val="0029413C"/>
    <w:rsid w:val="00294DB8"/>
    <w:rsid w:val="00295631"/>
    <w:rsid w:val="00295F70"/>
    <w:rsid w:val="0029772E"/>
    <w:rsid w:val="002A1BC0"/>
    <w:rsid w:val="002A24DA"/>
    <w:rsid w:val="002A2545"/>
    <w:rsid w:val="002A31F1"/>
    <w:rsid w:val="002A6C40"/>
    <w:rsid w:val="002B326A"/>
    <w:rsid w:val="002B332F"/>
    <w:rsid w:val="002B3412"/>
    <w:rsid w:val="002B45A5"/>
    <w:rsid w:val="002B59BE"/>
    <w:rsid w:val="002C006E"/>
    <w:rsid w:val="002C0D8A"/>
    <w:rsid w:val="002C0DD2"/>
    <w:rsid w:val="002C42D2"/>
    <w:rsid w:val="002C7333"/>
    <w:rsid w:val="002D1BE9"/>
    <w:rsid w:val="002E151B"/>
    <w:rsid w:val="002E2DC8"/>
    <w:rsid w:val="002E415C"/>
    <w:rsid w:val="002E5FEB"/>
    <w:rsid w:val="002F143E"/>
    <w:rsid w:val="002F534D"/>
    <w:rsid w:val="002F67E7"/>
    <w:rsid w:val="0030055C"/>
    <w:rsid w:val="00304E4D"/>
    <w:rsid w:val="00306033"/>
    <w:rsid w:val="003073AA"/>
    <w:rsid w:val="0031372B"/>
    <w:rsid w:val="00313807"/>
    <w:rsid w:val="00317671"/>
    <w:rsid w:val="00320C4F"/>
    <w:rsid w:val="003213FA"/>
    <w:rsid w:val="0032366C"/>
    <w:rsid w:val="00325B6F"/>
    <w:rsid w:val="003340F6"/>
    <w:rsid w:val="00335F59"/>
    <w:rsid w:val="003423E5"/>
    <w:rsid w:val="003434C8"/>
    <w:rsid w:val="0034365A"/>
    <w:rsid w:val="00344DDE"/>
    <w:rsid w:val="0034687F"/>
    <w:rsid w:val="00346DAA"/>
    <w:rsid w:val="003477EC"/>
    <w:rsid w:val="00356592"/>
    <w:rsid w:val="0036042A"/>
    <w:rsid w:val="0036117B"/>
    <w:rsid w:val="00361DFE"/>
    <w:rsid w:val="003630EC"/>
    <w:rsid w:val="0036389E"/>
    <w:rsid w:val="00363B33"/>
    <w:rsid w:val="00374935"/>
    <w:rsid w:val="0037600E"/>
    <w:rsid w:val="003770E6"/>
    <w:rsid w:val="003808DA"/>
    <w:rsid w:val="0038579C"/>
    <w:rsid w:val="00387352"/>
    <w:rsid w:val="00390905"/>
    <w:rsid w:val="003925B9"/>
    <w:rsid w:val="003928D2"/>
    <w:rsid w:val="00392D8C"/>
    <w:rsid w:val="0039453A"/>
    <w:rsid w:val="0039549F"/>
    <w:rsid w:val="003A13E4"/>
    <w:rsid w:val="003A1742"/>
    <w:rsid w:val="003A3411"/>
    <w:rsid w:val="003A64C9"/>
    <w:rsid w:val="003B1C16"/>
    <w:rsid w:val="003B500A"/>
    <w:rsid w:val="003B5634"/>
    <w:rsid w:val="003B63B3"/>
    <w:rsid w:val="003C6702"/>
    <w:rsid w:val="003C7580"/>
    <w:rsid w:val="003D3053"/>
    <w:rsid w:val="003D31EE"/>
    <w:rsid w:val="003D57EA"/>
    <w:rsid w:val="003E3711"/>
    <w:rsid w:val="003E59C4"/>
    <w:rsid w:val="003E7692"/>
    <w:rsid w:val="003F0103"/>
    <w:rsid w:val="003F15BC"/>
    <w:rsid w:val="003F2624"/>
    <w:rsid w:val="003F2F43"/>
    <w:rsid w:val="003F4ED7"/>
    <w:rsid w:val="003F5A0D"/>
    <w:rsid w:val="003F730D"/>
    <w:rsid w:val="003F7A07"/>
    <w:rsid w:val="00401D4C"/>
    <w:rsid w:val="00402008"/>
    <w:rsid w:val="00402325"/>
    <w:rsid w:val="00402722"/>
    <w:rsid w:val="004102CF"/>
    <w:rsid w:val="00410D81"/>
    <w:rsid w:val="00412949"/>
    <w:rsid w:val="00412BEF"/>
    <w:rsid w:val="00421341"/>
    <w:rsid w:val="004232CB"/>
    <w:rsid w:val="00423B55"/>
    <w:rsid w:val="00425AF6"/>
    <w:rsid w:val="0043303C"/>
    <w:rsid w:val="00435E21"/>
    <w:rsid w:val="0043624F"/>
    <w:rsid w:val="00437928"/>
    <w:rsid w:val="00437C95"/>
    <w:rsid w:val="00441DC2"/>
    <w:rsid w:val="00443BF8"/>
    <w:rsid w:val="00444DD9"/>
    <w:rsid w:val="00445223"/>
    <w:rsid w:val="004513BC"/>
    <w:rsid w:val="004518A3"/>
    <w:rsid w:val="00454E4D"/>
    <w:rsid w:val="00455AF5"/>
    <w:rsid w:val="004575ED"/>
    <w:rsid w:val="00460AFA"/>
    <w:rsid w:val="00465BC9"/>
    <w:rsid w:val="00465E77"/>
    <w:rsid w:val="00466420"/>
    <w:rsid w:val="00470AC8"/>
    <w:rsid w:val="0047226B"/>
    <w:rsid w:val="00472CF2"/>
    <w:rsid w:val="0047322A"/>
    <w:rsid w:val="00473820"/>
    <w:rsid w:val="004758E2"/>
    <w:rsid w:val="00475D6B"/>
    <w:rsid w:val="00476B59"/>
    <w:rsid w:val="004821B3"/>
    <w:rsid w:val="0048308A"/>
    <w:rsid w:val="00485781"/>
    <w:rsid w:val="00486543"/>
    <w:rsid w:val="00487365"/>
    <w:rsid w:val="00493440"/>
    <w:rsid w:val="00496D44"/>
    <w:rsid w:val="004977F6"/>
    <w:rsid w:val="004A2C7F"/>
    <w:rsid w:val="004A4C10"/>
    <w:rsid w:val="004A7EE1"/>
    <w:rsid w:val="004B167E"/>
    <w:rsid w:val="004B29AE"/>
    <w:rsid w:val="004B3BEB"/>
    <w:rsid w:val="004B69AB"/>
    <w:rsid w:val="004C0DBB"/>
    <w:rsid w:val="004C407D"/>
    <w:rsid w:val="004C4DEC"/>
    <w:rsid w:val="004C54FA"/>
    <w:rsid w:val="004D794B"/>
    <w:rsid w:val="004F134B"/>
    <w:rsid w:val="004F1CBC"/>
    <w:rsid w:val="004F4906"/>
    <w:rsid w:val="004F6183"/>
    <w:rsid w:val="004F74EB"/>
    <w:rsid w:val="005002BA"/>
    <w:rsid w:val="00500480"/>
    <w:rsid w:val="00503587"/>
    <w:rsid w:val="00503A35"/>
    <w:rsid w:val="00503F2C"/>
    <w:rsid w:val="005046CA"/>
    <w:rsid w:val="00506245"/>
    <w:rsid w:val="00506A80"/>
    <w:rsid w:val="00507729"/>
    <w:rsid w:val="005104F1"/>
    <w:rsid w:val="00511B0F"/>
    <w:rsid w:val="005157FE"/>
    <w:rsid w:val="0052275E"/>
    <w:rsid w:val="00523F5E"/>
    <w:rsid w:val="00525E35"/>
    <w:rsid w:val="00534382"/>
    <w:rsid w:val="005414E8"/>
    <w:rsid w:val="005463FF"/>
    <w:rsid w:val="0054703F"/>
    <w:rsid w:val="0054783A"/>
    <w:rsid w:val="00550AC7"/>
    <w:rsid w:val="00551DDD"/>
    <w:rsid w:val="005523BE"/>
    <w:rsid w:val="0055296E"/>
    <w:rsid w:val="00553B84"/>
    <w:rsid w:val="00555169"/>
    <w:rsid w:val="00555EC0"/>
    <w:rsid w:val="00556615"/>
    <w:rsid w:val="00560FC7"/>
    <w:rsid w:val="00564105"/>
    <w:rsid w:val="00564811"/>
    <w:rsid w:val="0056617C"/>
    <w:rsid w:val="00571175"/>
    <w:rsid w:val="00571289"/>
    <w:rsid w:val="00571B33"/>
    <w:rsid w:val="00577D1D"/>
    <w:rsid w:val="00583C56"/>
    <w:rsid w:val="005854E8"/>
    <w:rsid w:val="00586172"/>
    <w:rsid w:val="00586E0F"/>
    <w:rsid w:val="00587F5F"/>
    <w:rsid w:val="005903CA"/>
    <w:rsid w:val="00591778"/>
    <w:rsid w:val="00594481"/>
    <w:rsid w:val="00594B63"/>
    <w:rsid w:val="005A2059"/>
    <w:rsid w:val="005A3CE6"/>
    <w:rsid w:val="005A3E87"/>
    <w:rsid w:val="005A59B8"/>
    <w:rsid w:val="005A5A61"/>
    <w:rsid w:val="005A5D14"/>
    <w:rsid w:val="005A6031"/>
    <w:rsid w:val="005A79EF"/>
    <w:rsid w:val="005A7FEC"/>
    <w:rsid w:val="005B0251"/>
    <w:rsid w:val="005B4C5E"/>
    <w:rsid w:val="005C226D"/>
    <w:rsid w:val="005C2A94"/>
    <w:rsid w:val="005C333C"/>
    <w:rsid w:val="005C75AE"/>
    <w:rsid w:val="005D18FA"/>
    <w:rsid w:val="005D3413"/>
    <w:rsid w:val="005D4EBB"/>
    <w:rsid w:val="005D63E0"/>
    <w:rsid w:val="005E325C"/>
    <w:rsid w:val="005E5D8E"/>
    <w:rsid w:val="005E7FAE"/>
    <w:rsid w:val="005F09B2"/>
    <w:rsid w:val="005F2296"/>
    <w:rsid w:val="005F2D17"/>
    <w:rsid w:val="005F63F9"/>
    <w:rsid w:val="005F7279"/>
    <w:rsid w:val="005F780B"/>
    <w:rsid w:val="006017C3"/>
    <w:rsid w:val="0060278A"/>
    <w:rsid w:val="00605225"/>
    <w:rsid w:val="006066CE"/>
    <w:rsid w:val="0061027E"/>
    <w:rsid w:val="0061223E"/>
    <w:rsid w:val="006152FA"/>
    <w:rsid w:val="00615B44"/>
    <w:rsid w:val="00617CAC"/>
    <w:rsid w:val="00620A16"/>
    <w:rsid w:val="00620BC3"/>
    <w:rsid w:val="0062749E"/>
    <w:rsid w:val="00632C5A"/>
    <w:rsid w:val="00633E56"/>
    <w:rsid w:val="00642243"/>
    <w:rsid w:val="006452CB"/>
    <w:rsid w:val="00650906"/>
    <w:rsid w:val="00650A2F"/>
    <w:rsid w:val="006542C4"/>
    <w:rsid w:val="00664800"/>
    <w:rsid w:val="00665728"/>
    <w:rsid w:val="006671E1"/>
    <w:rsid w:val="006754EE"/>
    <w:rsid w:val="0067582F"/>
    <w:rsid w:val="00676EFC"/>
    <w:rsid w:val="00677BBB"/>
    <w:rsid w:val="00681479"/>
    <w:rsid w:val="00683B2D"/>
    <w:rsid w:val="006854E5"/>
    <w:rsid w:val="00690011"/>
    <w:rsid w:val="0069204B"/>
    <w:rsid w:val="00694CD0"/>
    <w:rsid w:val="0069532A"/>
    <w:rsid w:val="006A738E"/>
    <w:rsid w:val="006B191C"/>
    <w:rsid w:val="006B4C02"/>
    <w:rsid w:val="006B7995"/>
    <w:rsid w:val="006C05FC"/>
    <w:rsid w:val="006C0772"/>
    <w:rsid w:val="006C13A7"/>
    <w:rsid w:val="006C154B"/>
    <w:rsid w:val="006C270D"/>
    <w:rsid w:val="006C272D"/>
    <w:rsid w:val="006C40E4"/>
    <w:rsid w:val="006C7C44"/>
    <w:rsid w:val="006D1E11"/>
    <w:rsid w:val="006D2018"/>
    <w:rsid w:val="006D3692"/>
    <w:rsid w:val="006D3C16"/>
    <w:rsid w:val="006D55EB"/>
    <w:rsid w:val="006D5775"/>
    <w:rsid w:val="006D5AC2"/>
    <w:rsid w:val="006D6C62"/>
    <w:rsid w:val="006E3677"/>
    <w:rsid w:val="006E5B06"/>
    <w:rsid w:val="006F0158"/>
    <w:rsid w:val="006F1A35"/>
    <w:rsid w:val="006F1C50"/>
    <w:rsid w:val="00700655"/>
    <w:rsid w:val="00701A97"/>
    <w:rsid w:val="00703972"/>
    <w:rsid w:val="007045C3"/>
    <w:rsid w:val="00706C64"/>
    <w:rsid w:val="00706EDC"/>
    <w:rsid w:val="00710B2A"/>
    <w:rsid w:val="00711D03"/>
    <w:rsid w:val="00712C1D"/>
    <w:rsid w:val="00713CD7"/>
    <w:rsid w:val="00715F43"/>
    <w:rsid w:val="00717C82"/>
    <w:rsid w:val="00720385"/>
    <w:rsid w:val="00723BF4"/>
    <w:rsid w:val="00730FF3"/>
    <w:rsid w:val="007310AF"/>
    <w:rsid w:val="00733157"/>
    <w:rsid w:val="007333D2"/>
    <w:rsid w:val="007342FC"/>
    <w:rsid w:val="007402A5"/>
    <w:rsid w:val="007407D5"/>
    <w:rsid w:val="00740ACA"/>
    <w:rsid w:val="00740F86"/>
    <w:rsid w:val="00741B97"/>
    <w:rsid w:val="00741FB9"/>
    <w:rsid w:val="007478BC"/>
    <w:rsid w:val="00751885"/>
    <w:rsid w:val="007524BC"/>
    <w:rsid w:val="007546D5"/>
    <w:rsid w:val="007547F2"/>
    <w:rsid w:val="00757264"/>
    <w:rsid w:val="007574CA"/>
    <w:rsid w:val="007632ED"/>
    <w:rsid w:val="00770FB9"/>
    <w:rsid w:val="0077115C"/>
    <w:rsid w:val="00771233"/>
    <w:rsid w:val="00772A43"/>
    <w:rsid w:val="00773428"/>
    <w:rsid w:val="007737AB"/>
    <w:rsid w:val="00775697"/>
    <w:rsid w:val="0078125D"/>
    <w:rsid w:val="00781D87"/>
    <w:rsid w:val="00782808"/>
    <w:rsid w:val="00782DC9"/>
    <w:rsid w:val="0078515D"/>
    <w:rsid w:val="007903A3"/>
    <w:rsid w:val="007906C8"/>
    <w:rsid w:val="0079301E"/>
    <w:rsid w:val="00796953"/>
    <w:rsid w:val="00796F30"/>
    <w:rsid w:val="00797984"/>
    <w:rsid w:val="007A00C8"/>
    <w:rsid w:val="007A0F1A"/>
    <w:rsid w:val="007A265E"/>
    <w:rsid w:val="007A46EB"/>
    <w:rsid w:val="007B15D7"/>
    <w:rsid w:val="007B4869"/>
    <w:rsid w:val="007B66AB"/>
    <w:rsid w:val="007B7305"/>
    <w:rsid w:val="007B7F5E"/>
    <w:rsid w:val="007C5D3C"/>
    <w:rsid w:val="007C65B3"/>
    <w:rsid w:val="007C6B42"/>
    <w:rsid w:val="007D29E1"/>
    <w:rsid w:val="007D3922"/>
    <w:rsid w:val="007D4EF2"/>
    <w:rsid w:val="007D5AE4"/>
    <w:rsid w:val="007D6371"/>
    <w:rsid w:val="007D6956"/>
    <w:rsid w:val="007E1AA2"/>
    <w:rsid w:val="007E207E"/>
    <w:rsid w:val="007E24AC"/>
    <w:rsid w:val="007E2BD1"/>
    <w:rsid w:val="007E5B57"/>
    <w:rsid w:val="007E637E"/>
    <w:rsid w:val="007E7EA3"/>
    <w:rsid w:val="007F1AB5"/>
    <w:rsid w:val="007F2AB3"/>
    <w:rsid w:val="007F2CBF"/>
    <w:rsid w:val="007F382C"/>
    <w:rsid w:val="007F4563"/>
    <w:rsid w:val="007F51F0"/>
    <w:rsid w:val="007F6086"/>
    <w:rsid w:val="007F79C9"/>
    <w:rsid w:val="007F7A2E"/>
    <w:rsid w:val="008013D0"/>
    <w:rsid w:val="0080275B"/>
    <w:rsid w:val="00802AB4"/>
    <w:rsid w:val="00806857"/>
    <w:rsid w:val="00810133"/>
    <w:rsid w:val="008127E4"/>
    <w:rsid w:val="0081456F"/>
    <w:rsid w:val="00815961"/>
    <w:rsid w:val="0081685E"/>
    <w:rsid w:val="0081699A"/>
    <w:rsid w:val="00816A49"/>
    <w:rsid w:val="00817FE1"/>
    <w:rsid w:val="00822CF5"/>
    <w:rsid w:val="0082407E"/>
    <w:rsid w:val="00825335"/>
    <w:rsid w:val="00836F6D"/>
    <w:rsid w:val="00842263"/>
    <w:rsid w:val="008432AB"/>
    <w:rsid w:val="008432CC"/>
    <w:rsid w:val="00847CD5"/>
    <w:rsid w:val="00850C03"/>
    <w:rsid w:val="00852D01"/>
    <w:rsid w:val="00856BD2"/>
    <w:rsid w:val="00860450"/>
    <w:rsid w:val="00861EF0"/>
    <w:rsid w:val="0086246A"/>
    <w:rsid w:val="008633E7"/>
    <w:rsid w:val="00866EF6"/>
    <w:rsid w:val="00870263"/>
    <w:rsid w:val="008741E4"/>
    <w:rsid w:val="008751FC"/>
    <w:rsid w:val="00875D2F"/>
    <w:rsid w:val="00877E65"/>
    <w:rsid w:val="0088232A"/>
    <w:rsid w:val="0088340E"/>
    <w:rsid w:val="00883813"/>
    <w:rsid w:val="00883D4D"/>
    <w:rsid w:val="00891D5B"/>
    <w:rsid w:val="00893A0E"/>
    <w:rsid w:val="00895398"/>
    <w:rsid w:val="0089640A"/>
    <w:rsid w:val="008A0A5D"/>
    <w:rsid w:val="008A0D66"/>
    <w:rsid w:val="008A3EB2"/>
    <w:rsid w:val="008A4F56"/>
    <w:rsid w:val="008A7441"/>
    <w:rsid w:val="008B2F11"/>
    <w:rsid w:val="008B4397"/>
    <w:rsid w:val="008B5345"/>
    <w:rsid w:val="008B786E"/>
    <w:rsid w:val="008C0DEF"/>
    <w:rsid w:val="008C3311"/>
    <w:rsid w:val="008C567D"/>
    <w:rsid w:val="008C579E"/>
    <w:rsid w:val="008C6465"/>
    <w:rsid w:val="008D0A69"/>
    <w:rsid w:val="008D4EED"/>
    <w:rsid w:val="008E1406"/>
    <w:rsid w:val="008E3789"/>
    <w:rsid w:val="008E4A00"/>
    <w:rsid w:val="008E703F"/>
    <w:rsid w:val="008E72AF"/>
    <w:rsid w:val="008F02DB"/>
    <w:rsid w:val="008F0D51"/>
    <w:rsid w:val="008F561B"/>
    <w:rsid w:val="00902C7D"/>
    <w:rsid w:val="0090347B"/>
    <w:rsid w:val="00906614"/>
    <w:rsid w:val="00910C92"/>
    <w:rsid w:val="00911083"/>
    <w:rsid w:val="00911365"/>
    <w:rsid w:val="00912807"/>
    <w:rsid w:val="00914790"/>
    <w:rsid w:val="0091496C"/>
    <w:rsid w:val="009157F4"/>
    <w:rsid w:val="009158A7"/>
    <w:rsid w:val="00920C91"/>
    <w:rsid w:val="00921237"/>
    <w:rsid w:val="00925925"/>
    <w:rsid w:val="009375CA"/>
    <w:rsid w:val="009376F9"/>
    <w:rsid w:val="009418BA"/>
    <w:rsid w:val="009426A6"/>
    <w:rsid w:val="00944F34"/>
    <w:rsid w:val="0095074B"/>
    <w:rsid w:val="00950A43"/>
    <w:rsid w:val="00950F00"/>
    <w:rsid w:val="0095248B"/>
    <w:rsid w:val="00957CC9"/>
    <w:rsid w:val="00960714"/>
    <w:rsid w:val="00962E82"/>
    <w:rsid w:val="009647A7"/>
    <w:rsid w:val="00964AF8"/>
    <w:rsid w:val="009715EE"/>
    <w:rsid w:val="009728E4"/>
    <w:rsid w:val="00973459"/>
    <w:rsid w:val="00974F60"/>
    <w:rsid w:val="00975CCD"/>
    <w:rsid w:val="00977C3F"/>
    <w:rsid w:val="00982DC7"/>
    <w:rsid w:val="009845CB"/>
    <w:rsid w:val="00985AD1"/>
    <w:rsid w:val="00986FF9"/>
    <w:rsid w:val="00994B13"/>
    <w:rsid w:val="0099762A"/>
    <w:rsid w:val="00997A14"/>
    <w:rsid w:val="009A2C7C"/>
    <w:rsid w:val="009A3331"/>
    <w:rsid w:val="009A656F"/>
    <w:rsid w:val="009B1324"/>
    <w:rsid w:val="009B6748"/>
    <w:rsid w:val="009C0AB9"/>
    <w:rsid w:val="009C170C"/>
    <w:rsid w:val="009C4852"/>
    <w:rsid w:val="009D0F35"/>
    <w:rsid w:val="009D2CEB"/>
    <w:rsid w:val="009E5346"/>
    <w:rsid w:val="009F346F"/>
    <w:rsid w:val="009F7288"/>
    <w:rsid w:val="00A022A7"/>
    <w:rsid w:val="00A03E11"/>
    <w:rsid w:val="00A04F14"/>
    <w:rsid w:val="00A057EA"/>
    <w:rsid w:val="00A06F0E"/>
    <w:rsid w:val="00A07676"/>
    <w:rsid w:val="00A1104C"/>
    <w:rsid w:val="00A1157D"/>
    <w:rsid w:val="00A1167D"/>
    <w:rsid w:val="00A16472"/>
    <w:rsid w:val="00A17CE4"/>
    <w:rsid w:val="00A20A23"/>
    <w:rsid w:val="00A23F6F"/>
    <w:rsid w:val="00A24950"/>
    <w:rsid w:val="00A252BD"/>
    <w:rsid w:val="00A2610F"/>
    <w:rsid w:val="00A26651"/>
    <w:rsid w:val="00A2709C"/>
    <w:rsid w:val="00A30F63"/>
    <w:rsid w:val="00A32BCA"/>
    <w:rsid w:val="00A33B20"/>
    <w:rsid w:val="00A33D0C"/>
    <w:rsid w:val="00A33EE7"/>
    <w:rsid w:val="00A3579F"/>
    <w:rsid w:val="00A35B59"/>
    <w:rsid w:val="00A36666"/>
    <w:rsid w:val="00A37ECB"/>
    <w:rsid w:val="00A412AE"/>
    <w:rsid w:val="00A41576"/>
    <w:rsid w:val="00A41BAE"/>
    <w:rsid w:val="00A456BB"/>
    <w:rsid w:val="00A51DCF"/>
    <w:rsid w:val="00A52755"/>
    <w:rsid w:val="00A54A7D"/>
    <w:rsid w:val="00A629BB"/>
    <w:rsid w:val="00A654E4"/>
    <w:rsid w:val="00A65801"/>
    <w:rsid w:val="00A67F84"/>
    <w:rsid w:val="00A7050B"/>
    <w:rsid w:val="00A72A78"/>
    <w:rsid w:val="00A72EC1"/>
    <w:rsid w:val="00A75A3B"/>
    <w:rsid w:val="00A81D26"/>
    <w:rsid w:val="00A82936"/>
    <w:rsid w:val="00A83B4C"/>
    <w:rsid w:val="00A83C7E"/>
    <w:rsid w:val="00A84B52"/>
    <w:rsid w:val="00A8651F"/>
    <w:rsid w:val="00A93813"/>
    <w:rsid w:val="00A9411A"/>
    <w:rsid w:val="00A951FD"/>
    <w:rsid w:val="00A96F17"/>
    <w:rsid w:val="00A97437"/>
    <w:rsid w:val="00AA03DC"/>
    <w:rsid w:val="00AA0F68"/>
    <w:rsid w:val="00AA2891"/>
    <w:rsid w:val="00AA30E0"/>
    <w:rsid w:val="00AA3FFE"/>
    <w:rsid w:val="00AA4746"/>
    <w:rsid w:val="00AB2281"/>
    <w:rsid w:val="00AB3FA5"/>
    <w:rsid w:val="00AC2A23"/>
    <w:rsid w:val="00AC64E3"/>
    <w:rsid w:val="00AC7873"/>
    <w:rsid w:val="00AD2FD6"/>
    <w:rsid w:val="00AD3126"/>
    <w:rsid w:val="00AD53F7"/>
    <w:rsid w:val="00AD646C"/>
    <w:rsid w:val="00AD6DE4"/>
    <w:rsid w:val="00AD76FD"/>
    <w:rsid w:val="00AD7B76"/>
    <w:rsid w:val="00AE0247"/>
    <w:rsid w:val="00AE73B1"/>
    <w:rsid w:val="00AE7DC2"/>
    <w:rsid w:val="00AF110E"/>
    <w:rsid w:val="00AF1823"/>
    <w:rsid w:val="00AF4D0A"/>
    <w:rsid w:val="00AF7707"/>
    <w:rsid w:val="00B0197C"/>
    <w:rsid w:val="00B05370"/>
    <w:rsid w:val="00B1005B"/>
    <w:rsid w:val="00B102BD"/>
    <w:rsid w:val="00B11C65"/>
    <w:rsid w:val="00B15F8E"/>
    <w:rsid w:val="00B211AA"/>
    <w:rsid w:val="00B25E50"/>
    <w:rsid w:val="00B26E1D"/>
    <w:rsid w:val="00B26EC5"/>
    <w:rsid w:val="00B27B82"/>
    <w:rsid w:val="00B303A9"/>
    <w:rsid w:val="00B32A57"/>
    <w:rsid w:val="00B400B0"/>
    <w:rsid w:val="00B404DE"/>
    <w:rsid w:val="00B428B2"/>
    <w:rsid w:val="00B44BAA"/>
    <w:rsid w:val="00B45AEB"/>
    <w:rsid w:val="00B47053"/>
    <w:rsid w:val="00B4783C"/>
    <w:rsid w:val="00B54112"/>
    <w:rsid w:val="00B54637"/>
    <w:rsid w:val="00B56D18"/>
    <w:rsid w:val="00B61352"/>
    <w:rsid w:val="00B61C53"/>
    <w:rsid w:val="00B62FDB"/>
    <w:rsid w:val="00B647EA"/>
    <w:rsid w:val="00B65B6E"/>
    <w:rsid w:val="00B67B1B"/>
    <w:rsid w:val="00B74AE9"/>
    <w:rsid w:val="00B7549F"/>
    <w:rsid w:val="00B87758"/>
    <w:rsid w:val="00B90268"/>
    <w:rsid w:val="00B908FD"/>
    <w:rsid w:val="00B927FA"/>
    <w:rsid w:val="00B94762"/>
    <w:rsid w:val="00BA0FB0"/>
    <w:rsid w:val="00BA249A"/>
    <w:rsid w:val="00BA4315"/>
    <w:rsid w:val="00BA53E2"/>
    <w:rsid w:val="00BA7C11"/>
    <w:rsid w:val="00BB0ED3"/>
    <w:rsid w:val="00BB1685"/>
    <w:rsid w:val="00BB1BE9"/>
    <w:rsid w:val="00BB278E"/>
    <w:rsid w:val="00BB2DC1"/>
    <w:rsid w:val="00BB3C54"/>
    <w:rsid w:val="00BB4D32"/>
    <w:rsid w:val="00BB517E"/>
    <w:rsid w:val="00BB5E73"/>
    <w:rsid w:val="00BB7F4D"/>
    <w:rsid w:val="00BC3BD1"/>
    <w:rsid w:val="00BC7550"/>
    <w:rsid w:val="00BD1AE2"/>
    <w:rsid w:val="00BD2620"/>
    <w:rsid w:val="00BD2C72"/>
    <w:rsid w:val="00BD3924"/>
    <w:rsid w:val="00BD5C90"/>
    <w:rsid w:val="00BD5C9B"/>
    <w:rsid w:val="00BE2017"/>
    <w:rsid w:val="00BE2DBA"/>
    <w:rsid w:val="00BE37D9"/>
    <w:rsid w:val="00BE54AE"/>
    <w:rsid w:val="00BE5510"/>
    <w:rsid w:val="00BE5A22"/>
    <w:rsid w:val="00BE710F"/>
    <w:rsid w:val="00C00121"/>
    <w:rsid w:val="00C01C26"/>
    <w:rsid w:val="00C06698"/>
    <w:rsid w:val="00C06B04"/>
    <w:rsid w:val="00C13429"/>
    <w:rsid w:val="00C147B8"/>
    <w:rsid w:val="00C16756"/>
    <w:rsid w:val="00C173D2"/>
    <w:rsid w:val="00C1798E"/>
    <w:rsid w:val="00C23D23"/>
    <w:rsid w:val="00C23D9D"/>
    <w:rsid w:val="00C244D8"/>
    <w:rsid w:val="00C24E28"/>
    <w:rsid w:val="00C278FB"/>
    <w:rsid w:val="00C30A9A"/>
    <w:rsid w:val="00C370B4"/>
    <w:rsid w:val="00C3766E"/>
    <w:rsid w:val="00C42285"/>
    <w:rsid w:val="00C422E2"/>
    <w:rsid w:val="00C45CD9"/>
    <w:rsid w:val="00C468A4"/>
    <w:rsid w:val="00C52869"/>
    <w:rsid w:val="00C5361C"/>
    <w:rsid w:val="00C53C3B"/>
    <w:rsid w:val="00C55503"/>
    <w:rsid w:val="00C56020"/>
    <w:rsid w:val="00C602D6"/>
    <w:rsid w:val="00C6130E"/>
    <w:rsid w:val="00C61AFA"/>
    <w:rsid w:val="00C62879"/>
    <w:rsid w:val="00C758B3"/>
    <w:rsid w:val="00C82E81"/>
    <w:rsid w:val="00C83B12"/>
    <w:rsid w:val="00C85E61"/>
    <w:rsid w:val="00C90167"/>
    <w:rsid w:val="00C95EE9"/>
    <w:rsid w:val="00CA0136"/>
    <w:rsid w:val="00CA0670"/>
    <w:rsid w:val="00CA0A50"/>
    <w:rsid w:val="00CA0FC3"/>
    <w:rsid w:val="00CA130B"/>
    <w:rsid w:val="00CA7191"/>
    <w:rsid w:val="00CB3F5F"/>
    <w:rsid w:val="00CB4D23"/>
    <w:rsid w:val="00CB579F"/>
    <w:rsid w:val="00CC050E"/>
    <w:rsid w:val="00CC1F15"/>
    <w:rsid w:val="00CC2AE2"/>
    <w:rsid w:val="00CC3A87"/>
    <w:rsid w:val="00CD3D37"/>
    <w:rsid w:val="00CD4D8D"/>
    <w:rsid w:val="00CD50C5"/>
    <w:rsid w:val="00CE0B3C"/>
    <w:rsid w:val="00CE20E8"/>
    <w:rsid w:val="00CE463F"/>
    <w:rsid w:val="00CF3A73"/>
    <w:rsid w:val="00CF507C"/>
    <w:rsid w:val="00D035F5"/>
    <w:rsid w:val="00D03A21"/>
    <w:rsid w:val="00D062E8"/>
    <w:rsid w:val="00D1054A"/>
    <w:rsid w:val="00D12972"/>
    <w:rsid w:val="00D13392"/>
    <w:rsid w:val="00D139BC"/>
    <w:rsid w:val="00D15728"/>
    <w:rsid w:val="00D15D49"/>
    <w:rsid w:val="00D17714"/>
    <w:rsid w:val="00D2159B"/>
    <w:rsid w:val="00D23BC4"/>
    <w:rsid w:val="00D265DE"/>
    <w:rsid w:val="00D302C8"/>
    <w:rsid w:val="00D32551"/>
    <w:rsid w:val="00D326CE"/>
    <w:rsid w:val="00D33737"/>
    <w:rsid w:val="00D363D8"/>
    <w:rsid w:val="00D40C1D"/>
    <w:rsid w:val="00D421A7"/>
    <w:rsid w:val="00D43038"/>
    <w:rsid w:val="00D53705"/>
    <w:rsid w:val="00D56281"/>
    <w:rsid w:val="00D571A4"/>
    <w:rsid w:val="00D64813"/>
    <w:rsid w:val="00D65054"/>
    <w:rsid w:val="00D71639"/>
    <w:rsid w:val="00D759A0"/>
    <w:rsid w:val="00D75CE3"/>
    <w:rsid w:val="00D81506"/>
    <w:rsid w:val="00D81C3D"/>
    <w:rsid w:val="00D843BD"/>
    <w:rsid w:val="00D8463B"/>
    <w:rsid w:val="00D9376F"/>
    <w:rsid w:val="00D976A0"/>
    <w:rsid w:val="00D97D41"/>
    <w:rsid w:val="00DA0F48"/>
    <w:rsid w:val="00DA2259"/>
    <w:rsid w:val="00DA2CF5"/>
    <w:rsid w:val="00DA3A7E"/>
    <w:rsid w:val="00DA5C3B"/>
    <w:rsid w:val="00DB2A24"/>
    <w:rsid w:val="00DB36BD"/>
    <w:rsid w:val="00DB37DA"/>
    <w:rsid w:val="00DB411F"/>
    <w:rsid w:val="00DB43A8"/>
    <w:rsid w:val="00DB43D2"/>
    <w:rsid w:val="00DC02A5"/>
    <w:rsid w:val="00DC2226"/>
    <w:rsid w:val="00DC6A3F"/>
    <w:rsid w:val="00DD0E5E"/>
    <w:rsid w:val="00DD2056"/>
    <w:rsid w:val="00DD4530"/>
    <w:rsid w:val="00DE1BC6"/>
    <w:rsid w:val="00DE354D"/>
    <w:rsid w:val="00DE5210"/>
    <w:rsid w:val="00DE7905"/>
    <w:rsid w:val="00DE7DD1"/>
    <w:rsid w:val="00DF00F0"/>
    <w:rsid w:val="00DF033E"/>
    <w:rsid w:val="00DF560A"/>
    <w:rsid w:val="00DF5C2F"/>
    <w:rsid w:val="00DF67E4"/>
    <w:rsid w:val="00DF7BD0"/>
    <w:rsid w:val="00E00017"/>
    <w:rsid w:val="00E00F87"/>
    <w:rsid w:val="00E010C5"/>
    <w:rsid w:val="00E01984"/>
    <w:rsid w:val="00E02527"/>
    <w:rsid w:val="00E05D35"/>
    <w:rsid w:val="00E11C5C"/>
    <w:rsid w:val="00E12164"/>
    <w:rsid w:val="00E134DB"/>
    <w:rsid w:val="00E16BC1"/>
    <w:rsid w:val="00E201B3"/>
    <w:rsid w:val="00E209BD"/>
    <w:rsid w:val="00E20A42"/>
    <w:rsid w:val="00E22762"/>
    <w:rsid w:val="00E23A42"/>
    <w:rsid w:val="00E27A1B"/>
    <w:rsid w:val="00E27A3D"/>
    <w:rsid w:val="00E319BB"/>
    <w:rsid w:val="00E31B5C"/>
    <w:rsid w:val="00E409E3"/>
    <w:rsid w:val="00E40CB6"/>
    <w:rsid w:val="00E41F56"/>
    <w:rsid w:val="00E4602F"/>
    <w:rsid w:val="00E46569"/>
    <w:rsid w:val="00E542F6"/>
    <w:rsid w:val="00E554A7"/>
    <w:rsid w:val="00E564E0"/>
    <w:rsid w:val="00E57890"/>
    <w:rsid w:val="00E57F83"/>
    <w:rsid w:val="00E57FF7"/>
    <w:rsid w:val="00E61C4E"/>
    <w:rsid w:val="00E61DE2"/>
    <w:rsid w:val="00E63198"/>
    <w:rsid w:val="00E63BEA"/>
    <w:rsid w:val="00E67454"/>
    <w:rsid w:val="00E704C6"/>
    <w:rsid w:val="00E71B49"/>
    <w:rsid w:val="00E7369A"/>
    <w:rsid w:val="00E7388C"/>
    <w:rsid w:val="00E74426"/>
    <w:rsid w:val="00E74836"/>
    <w:rsid w:val="00E74FA1"/>
    <w:rsid w:val="00E757AF"/>
    <w:rsid w:val="00E7648F"/>
    <w:rsid w:val="00E80DBA"/>
    <w:rsid w:val="00E80FB7"/>
    <w:rsid w:val="00E81251"/>
    <w:rsid w:val="00E8566F"/>
    <w:rsid w:val="00E85B1D"/>
    <w:rsid w:val="00E93231"/>
    <w:rsid w:val="00E9435C"/>
    <w:rsid w:val="00E94C20"/>
    <w:rsid w:val="00E97067"/>
    <w:rsid w:val="00EA027B"/>
    <w:rsid w:val="00EA2C36"/>
    <w:rsid w:val="00EA39D9"/>
    <w:rsid w:val="00EA3CF7"/>
    <w:rsid w:val="00EA4606"/>
    <w:rsid w:val="00EA584D"/>
    <w:rsid w:val="00EA5BB7"/>
    <w:rsid w:val="00EB011C"/>
    <w:rsid w:val="00EB2562"/>
    <w:rsid w:val="00EB27F2"/>
    <w:rsid w:val="00EB2BBB"/>
    <w:rsid w:val="00EC0E63"/>
    <w:rsid w:val="00EC17DB"/>
    <w:rsid w:val="00EC1B0A"/>
    <w:rsid w:val="00EC3179"/>
    <w:rsid w:val="00EC5876"/>
    <w:rsid w:val="00ED0CA5"/>
    <w:rsid w:val="00ED142E"/>
    <w:rsid w:val="00ED1B8C"/>
    <w:rsid w:val="00ED25E3"/>
    <w:rsid w:val="00ED2A98"/>
    <w:rsid w:val="00ED2FE1"/>
    <w:rsid w:val="00ED33EC"/>
    <w:rsid w:val="00ED431F"/>
    <w:rsid w:val="00ED55E9"/>
    <w:rsid w:val="00ED618B"/>
    <w:rsid w:val="00EE3531"/>
    <w:rsid w:val="00EE3AAA"/>
    <w:rsid w:val="00EE3CE0"/>
    <w:rsid w:val="00EE3E72"/>
    <w:rsid w:val="00EE568A"/>
    <w:rsid w:val="00EE6BF3"/>
    <w:rsid w:val="00EF05DC"/>
    <w:rsid w:val="00EF188A"/>
    <w:rsid w:val="00EF2722"/>
    <w:rsid w:val="00EF3C60"/>
    <w:rsid w:val="00EF56BE"/>
    <w:rsid w:val="00EF6658"/>
    <w:rsid w:val="00EF7896"/>
    <w:rsid w:val="00F024FF"/>
    <w:rsid w:val="00F039B3"/>
    <w:rsid w:val="00F06C17"/>
    <w:rsid w:val="00F070D5"/>
    <w:rsid w:val="00F07A68"/>
    <w:rsid w:val="00F14185"/>
    <w:rsid w:val="00F17255"/>
    <w:rsid w:val="00F17AFF"/>
    <w:rsid w:val="00F20CAC"/>
    <w:rsid w:val="00F225CE"/>
    <w:rsid w:val="00F226BB"/>
    <w:rsid w:val="00F2275C"/>
    <w:rsid w:val="00F2773D"/>
    <w:rsid w:val="00F31126"/>
    <w:rsid w:val="00F315BE"/>
    <w:rsid w:val="00F33277"/>
    <w:rsid w:val="00F35A6D"/>
    <w:rsid w:val="00F36400"/>
    <w:rsid w:val="00F374BC"/>
    <w:rsid w:val="00F42840"/>
    <w:rsid w:val="00F44C37"/>
    <w:rsid w:val="00F452EF"/>
    <w:rsid w:val="00F52C1D"/>
    <w:rsid w:val="00F554CD"/>
    <w:rsid w:val="00F56518"/>
    <w:rsid w:val="00F64563"/>
    <w:rsid w:val="00F71BB8"/>
    <w:rsid w:val="00F71CA1"/>
    <w:rsid w:val="00F71E38"/>
    <w:rsid w:val="00F733A2"/>
    <w:rsid w:val="00F763FB"/>
    <w:rsid w:val="00F76CBE"/>
    <w:rsid w:val="00F80E63"/>
    <w:rsid w:val="00F830E7"/>
    <w:rsid w:val="00F85D75"/>
    <w:rsid w:val="00F871D0"/>
    <w:rsid w:val="00F90416"/>
    <w:rsid w:val="00F92C61"/>
    <w:rsid w:val="00F95EF5"/>
    <w:rsid w:val="00F97B12"/>
    <w:rsid w:val="00FA3FAF"/>
    <w:rsid w:val="00FA489D"/>
    <w:rsid w:val="00FA525B"/>
    <w:rsid w:val="00FA7F57"/>
    <w:rsid w:val="00FB049D"/>
    <w:rsid w:val="00FB316D"/>
    <w:rsid w:val="00FB36DF"/>
    <w:rsid w:val="00FB51A6"/>
    <w:rsid w:val="00FB5FF3"/>
    <w:rsid w:val="00FB6570"/>
    <w:rsid w:val="00FC378B"/>
    <w:rsid w:val="00FC490A"/>
    <w:rsid w:val="00FD350C"/>
    <w:rsid w:val="00FD5B4C"/>
    <w:rsid w:val="00FF21C4"/>
    <w:rsid w:val="00FF3EDC"/>
    <w:rsid w:val="00FF58F7"/>
    <w:rsid w:val="00FF5DEE"/>
    <w:rsid w:val="00FF656B"/>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53A"/>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39453A"/>
  </w:style>
  <w:style w:type="character" w:styleId="FootnoteReference">
    <w:name w:val="footnote reference"/>
    <w:semiHidden/>
    <w:rsid w:val="0039453A"/>
    <w:rPr>
      <w:vertAlign w:val="superscript"/>
    </w:rPr>
  </w:style>
  <w:style w:type="paragraph" w:styleId="Footer">
    <w:name w:val="footer"/>
    <w:basedOn w:val="Normal"/>
    <w:rsid w:val="0039453A"/>
    <w:pPr>
      <w:tabs>
        <w:tab w:val="center" w:pos="4320"/>
        <w:tab w:val="right" w:pos="8640"/>
      </w:tabs>
    </w:pPr>
  </w:style>
  <w:style w:type="character" w:styleId="PageNumber">
    <w:name w:val="page number"/>
    <w:basedOn w:val="DefaultParagraphFont"/>
    <w:rsid w:val="0039453A"/>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sid w:val="0039453A"/>
    <w:rPr>
      <w:lang w:val="en-US" w:eastAsia="en-US" w:bidi="ar-SA"/>
    </w:rPr>
  </w:style>
  <w:style w:type="table" w:styleId="TableGrid">
    <w:name w:val="Table Grid"/>
    <w:basedOn w:val="TableNormal"/>
    <w:rsid w:val="0056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B84"/>
    <w:rPr>
      <w:rFonts w:ascii="Tahoma" w:hAnsi="Tahoma" w:cs="Tahoma"/>
      <w:sz w:val="16"/>
      <w:szCs w:val="16"/>
    </w:rPr>
  </w:style>
  <w:style w:type="character" w:styleId="CommentReference">
    <w:name w:val="annotation reference"/>
    <w:basedOn w:val="DefaultParagraphFont"/>
    <w:rsid w:val="005A79EF"/>
    <w:rPr>
      <w:sz w:val="16"/>
      <w:szCs w:val="16"/>
    </w:rPr>
  </w:style>
  <w:style w:type="paragraph" w:styleId="CommentText">
    <w:name w:val="annotation text"/>
    <w:basedOn w:val="Normal"/>
    <w:link w:val="CommentTextChar"/>
    <w:rsid w:val="005A79EF"/>
  </w:style>
  <w:style w:type="character" w:customStyle="1" w:styleId="CommentTextChar">
    <w:name w:val="Comment Text Char"/>
    <w:basedOn w:val="DefaultParagraphFont"/>
    <w:link w:val="CommentText"/>
    <w:rsid w:val="005A79EF"/>
  </w:style>
  <w:style w:type="paragraph" w:styleId="CommentSubject">
    <w:name w:val="annotation subject"/>
    <w:basedOn w:val="CommentText"/>
    <w:next w:val="CommentText"/>
    <w:link w:val="CommentSubjectChar"/>
    <w:rsid w:val="005A79EF"/>
    <w:rPr>
      <w:b/>
      <w:bCs/>
    </w:rPr>
  </w:style>
  <w:style w:type="character" w:customStyle="1" w:styleId="CommentSubjectChar">
    <w:name w:val="Comment Subject Char"/>
    <w:basedOn w:val="CommentTextChar"/>
    <w:link w:val="CommentSubject"/>
    <w:rsid w:val="005A79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53A"/>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39453A"/>
  </w:style>
  <w:style w:type="character" w:styleId="FootnoteReference">
    <w:name w:val="footnote reference"/>
    <w:semiHidden/>
    <w:rsid w:val="0039453A"/>
    <w:rPr>
      <w:vertAlign w:val="superscript"/>
    </w:rPr>
  </w:style>
  <w:style w:type="paragraph" w:styleId="Footer">
    <w:name w:val="footer"/>
    <w:basedOn w:val="Normal"/>
    <w:rsid w:val="0039453A"/>
    <w:pPr>
      <w:tabs>
        <w:tab w:val="center" w:pos="4320"/>
        <w:tab w:val="right" w:pos="8640"/>
      </w:tabs>
    </w:pPr>
  </w:style>
  <w:style w:type="character" w:styleId="PageNumber">
    <w:name w:val="page number"/>
    <w:basedOn w:val="DefaultParagraphFont"/>
    <w:rsid w:val="0039453A"/>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sid w:val="0039453A"/>
    <w:rPr>
      <w:lang w:val="en-US" w:eastAsia="en-US" w:bidi="ar-SA"/>
    </w:rPr>
  </w:style>
  <w:style w:type="table" w:styleId="TableGrid">
    <w:name w:val="Table Grid"/>
    <w:basedOn w:val="TableNormal"/>
    <w:rsid w:val="0056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B84"/>
    <w:rPr>
      <w:rFonts w:ascii="Tahoma" w:hAnsi="Tahoma" w:cs="Tahoma"/>
      <w:sz w:val="16"/>
      <w:szCs w:val="16"/>
    </w:rPr>
  </w:style>
  <w:style w:type="character" w:styleId="CommentReference">
    <w:name w:val="annotation reference"/>
    <w:basedOn w:val="DefaultParagraphFont"/>
    <w:rsid w:val="005A79EF"/>
    <w:rPr>
      <w:sz w:val="16"/>
      <w:szCs w:val="16"/>
    </w:rPr>
  </w:style>
  <w:style w:type="paragraph" w:styleId="CommentText">
    <w:name w:val="annotation text"/>
    <w:basedOn w:val="Normal"/>
    <w:link w:val="CommentTextChar"/>
    <w:rsid w:val="005A79EF"/>
  </w:style>
  <w:style w:type="character" w:customStyle="1" w:styleId="CommentTextChar">
    <w:name w:val="Comment Text Char"/>
    <w:basedOn w:val="DefaultParagraphFont"/>
    <w:link w:val="CommentText"/>
    <w:rsid w:val="005A79EF"/>
  </w:style>
  <w:style w:type="paragraph" w:styleId="CommentSubject">
    <w:name w:val="annotation subject"/>
    <w:basedOn w:val="CommentText"/>
    <w:next w:val="CommentText"/>
    <w:link w:val="CommentSubjectChar"/>
    <w:rsid w:val="005A79EF"/>
    <w:rPr>
      <w:b/>
      <w:bCs/>
    </w:rPr>
  </w:style>
  <w:style w:type="character" w:customStyle="1" w:styleId="CommentSubjectChar">
    <w:name w:val="Comment Subject Char"/>
    <w:basedOn w:val="CommentTextChar"/>
    <w:link w:val="CommentSubject"/>
    <w:rsid w:val="005A7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7146">
      <w:bodyDiv w:val="1"/>
      <w:marLeft w:val="0"/>
      <w:marRight w:val="0"/>
      <w:marTop w:val="0"/>
      <w:marBottom w:val="0"/>
      <w:divBdr>
        <w:top w:val="none" w:sz="0" w:space="0" w:color="auto"/>
        <w:left w:val="none" w:sz="0" w:space="0" w:color="auto"/>
        <w:bottom w:val="none" w:sz="0" w:space="0" w:color="auto"/>
        <w:right w:val="none" w:sz="0" w:space="0" w:color="auto"/>
      </w:divBdr>
    </w:div>
    <w:div w:id="20486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3784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April XX, 2007</vt:lpstr>
    </vt:vector>
  </TitlesOfParts>
  <Manager/>
  <Company/>
  <LinksUpToDate>false</LinksUpToDate>
  <CharactersWithSpaces>4500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2013-04-02T13:36:00Z</cp:lastPrinted>
  <dcterms:created xsi:type="dcterms:W3CDTF">2013-04-02T13:50:00Z</dcterms:created>
  <dcterms:modified xsi:type="dcterms:W3CDTF">2013-04-02T13:50:00Z</dcterms:modified>
  <cp:category> </cp:category>
  <cp:contentStatus> </cp:contentStatus>
</cp:coreProperties>
</file>