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DB" w:rsidRPr="009B4E30" w:rsidRDefault="005302DB" w:rsidP="005302DB">
      <w:pPr>
        <w:pStyle w:val="Heading1"/>
        <w:rPr>
          <w:szCs w:val="22"/>
        </w:rPr>
      </w:pPr>
      <w:bookmarkStart w:id="0" w:name="_GoBack"/>
      <w:bookmarkEnd w:id="0"/>
      <w:r w:rsidRPr="009B4E30">
        <w:rPr>
          <w:szCs w:val="22"/>
        </w:rPr>
        <w:t>Before the</w:t>
      </w:r>
    </w:p>
    <w:p w:rsidR="005302DB" w:rsidRPr="009B4E30" w:rsidRDefault="005302DB" w:rsidP="005302DB">
      <w:pPr>
        <w:pStyle w:val="Heading1"/>
        <w:rPr>
          <w:szCs w:val="22"/>
        </w:rPr>
      </w:pPr>
      <w:r w:rsidRPr="009B4E30">
        <w:rPr>
          <w:szCs w:val="22"/>
        </w:rPr>
        <w:t>Federal Communications Commission</w:t>
      </w:r>
    </w:p>
    <w:p w:rsidR="005302DB" w:rsidRPr="009B4E30" w:rsidRDefault="005302DB" w:rsidP="005302DB">
      <w:pPr>
        <w:pStyle w:val="Heading1"/>
        <w:rPr>
          <w:szCs w:val="22"/>
        </w:rPr>
      </w:pPr>
      <w:r w:rsidRPr="009B4E30">
        <w:rPr>
          <w:szCs w:val="22"/>
        </w:rPr>
        <w:t>Washington, D</w:t>
      </w:r>
      <w:r>
        <w:rPr>
          <w:szCs w:val="22"/>
        </w:rPr>
        <w:t>C</w:t>
      </w:r>
      <w:r w:rsidRPr="009B4E30">
        <w:rPr>
          <w:szCs w:val="22"/>
        </w:rPr>
        <w:t xml:space="preserve"> 20554</w:t>
      </w:r>
    </w:p>
    <w:p w:rsidR="005302DB" w:rsidRPr="009B4E30" w:rsidRDefault="005302DB" w:rsidP="005302DB">
      <w:pPr>
        <w:tabs>
          <w:tab w:val="left" w:pos="-720"/>
        </w:tabs>
        <w:suppressAutoHyphens/>
        <w:spacing w:line="227" w:lineRule="auto"/>
        <w:jc w:val="both"/>
        <w:rPr>
          <w:spacing w:val="-2"/>
          <w:sz w:val="22"/>
          <w:szCs w:val="22"/>
        </w:rPr>
      </w:pPr>
    </w:p>
    <w:tbl>
      <w:tblPr>
        <w:tblW w:w="0" w:type="auto"/>
        <w:tblLook w:val="0000" w:firstRow="0" w:lastRow="0" w:firstColumn="0" w:lastColumn="0" w:noHBand="0" w:noVBand="0"/>
      </w:tblPr>
      <w:tblGrid>
        <w:gridCol w:w="4428"/>
        <w:gridCol w:w="1080"/>
        <w:gridCol w:w="4068"/>
      </w:tblGrid>
      <w:tr w:rsidR="005302DB" w:rsidRPr="009B4E30" w:rsidTr="009173F9">
        <w:trPr>
          <w:trHeight w:val="1836"/>
        </w:trPr>
        <w:tc>
          <w:tcPr>
            <w:tcW w:w="4428" w:type="dxa"/>
          </w:tcPr>
          <w:p w:rsidR="005302DB" w:rsidRPr="009B4E30" w:rsidRDefault="005302DB" w:rsidP="009173F9">
            <w:pPr>
              <w:keepNext/>
              <w:rPr>
                <w:sz w:val="22"/>
                <w:szCs w:val="22"/>
              </w:rPr>
            </w:pPr>
          </w:p>
          <w:p w:rsidR="005302DB" w:rsidRPr="009B4E30" w:rsidRDefault="005302DB" w:rsidP="009173F9">
            <w:pPr>
              <w:keepNext/>
              <w:rPr>
                <w:sz w:val="22"/>
                <w:szCs w:val="22"/>
              </w:rPr>
            </w:pPr>
            <w:r w:rsidRPr="009B4E30">
              <w:rPr>
                <w:sz w:val="22"/>
                <w:szCs w:val="22"/>
              </w:rPr>
              <w:t>In the Matter of</w:t>
            </w:r>
          </w:p>
          <w:p w:rsidR="005302DB" w:rsidRPr="009B4E30" w:rsidRDefault="005302DB" w:rsidP="009173F9">
            <w:pPr>
              <w:keepNext/>
              <w:rPr>
                <w:sz w:val="22"/>
                <w:szCs w:val="22"/>
              </w:rPr>
            </w:pPr>
          </w:p>
          <w:p w:rsidR="005302DB" w:rsidRPr="009B4E30" w:rsidRDefault="005302DB" w:rsidP="009173F9">
            <w:pPr>
              <w:keepNext/>
              <w:rPr>
                <w:sz w:val="22"/>
                <w:szCs w:val="22"/>
              </w:rPr>
            </w:pPr>
            <w:r>
              <w:rPr>
                <w:sz w:val="22"/>
                <w:szCs w:val="22"/>
              </w:rPr>
              <w:t>AT&amp;T Inc.</w:t>
            </w:r>
          </w:p>
          <w:p w:rsidR="005302DB" w:rsidRPr="009B4E30" w:rsidRDefault="005302DB" w:rsidP="009173F9">
            <w:pPr>
              <w:keepNext/>
              <w:rPr>
                <w:sz w:val="22"/>
                <w:szCs w:val="22"/>
              </w:rPr>
            </w:pPr>
          </w:p>
        </w:tc>
        <w:tc>
          <w:tcPr>
            <w:tcW w:w="1080" w:type="dxa"/>
          </w:tcPr>
          <w:p w:rsidR="005302DB" w:rsidRPr="009B4E30" w:rsidRDefault="005302DB" w:rsidP="009173F9">
            <w:pPr>
              <w:keepNext/>
              <w:rPr>
                <w:sz w:val="22"/>
                <w:szCs w:val="22"/>
              </w:rPr>
            </w:pPr>
            <w:r w:rsidRPr="009B4E30">
              <w:rPr>
                <w:sz w:val="22"/>
                <w:szCs w:val="22"/>
              </w:rPr>
              <w:t>)</w:t>
            </w:r>
          </w:p>
          <w:p w:rsidR="005302DB" w:rsidRPr="009B4E30" w:rsidRDefault="005302DB" w:rsidP="009173F9">
            <w:pPr>
              <w:keepNext/>
              <w:rPr>
                <w:sz w:val="22"/>
                <w:szCs w:val="22"/>
              </w:rPr>
            </w:pPr>
            <w:r w:rsidRPr="009B4E30">
              <w:rPr>
                <w:sz w:val="22"/>
                <w:szCs w:val="22"/>
              </w:rPr>
              <w:t>)</w:t>
            </w:r>
          </w:p>
          <w:p w:rsidR="005302DB" w:rsidRPr="009B4E30" w:rsidRDefault="005302DB" w:rsidP="009173F9">
            <w:pPr>
              <w:keepNext/>
              <w:rPr>
                <w:sz w:val="22"/>
                <w:szCs w:val="22"/>
              </w:rPr>
            </w:pPr>
            <w:r w:rsidRPr="009B4E30">
              <w:rPr>
                <w:sz w:val="22"/>
                <w:szCs w:val="22"/>
              </w:rPr>
              <w:t>)</w:t>
            </w:r>
          </w:p>
          <w:p w:rsidR="005302DB" w:rsidRPr="009B4E30" w:rsidRDefault="005302DB" w:rsidP="009173F9">
            <w:pPr>
              <w:keepNext/>
              <w:rPr>
                <w:sz w:val="22"/>
                <w:szCs w:val="22"/>
              </w:rPr>
            </w:pPr>
            <w:r w:rsidRPr="009B4E30">
              <w:rPr>
                <w:sz w:val="22"/>
                <w:szCs w:val="22"/>
              </w:rPr>
              <w:t>)</w:t>
            </w:r>
          </w:p>
          <w:p w:rsidR="005302DB" w:rsidRPr="009B4E30" w:rsidRDefault="005302DB" w:rsidP="009173F9">
            <w:pPr>
              <w:keepNext/>
              <w:rPr>
                <w:sz w:val="22"/>
                <w:szCs w:val="22"/>
              </w:rPr>
            </w:pPr>
            <w:r w:rsidRPr="009B4E30">
              <w:rPr>
                <w:sz w:val="22"/>
                <w:szCs w:val="22"/>
              </w:rPr>
              <w:t>)</w:t>
            </w:r>
          </w:p>
          <w:p w:rsidR="005302DB" w:rsidRPr="009B4E30" w:rsidRDefault="005302DB" w:rsidP="009173F9">
            <w:pPr>
              <w:keepNext/>
              <w:rPr>
                <w:sz w:val="22"/>
                <w:szCs w:val="22"/>
              </w:rPr>
            </w:pPr>
            <w:r w:rsidRPr="009B4E30">
              <w:rPr>
                <w:sz w:val="22"/>
                <w:szCs w:val="22"/>
              </w:rPr>
              <w:t>)</w:t>
            </w:r>
          </w:p>
        </w:tc>
        <w:tc>
          <w:tcPr>
            <w:tcW w:w="4068" w:type="dxa"/>
          </w:tcPr>
          <w:p w:rsidR="005302DB" w:rsidRPr="009B4E30" w:rsidRDefault="005302DB" w:rsidP="009173F9">
            <w:pPr>
              <w:ind w:left="-108" w:firstLine="108"/>
              <w:rPr>
                <w:spacing w:val="-2"/>
                <w:sz w:val="22"/>
                <w:szCs w:val="22"/>
              </w:rPr>
            </w:pPr>
          </w:p>
          <w:p w:rsidR="005302DB" w:rsidRPr="009B4E30" w:rsidRDefault="005302DB" w:rsidP="009173F9">
            <w:pPr>
              <w:spacing w:after="100" w:afterAutospacing="1"/>
              <w:ind w:hanging="18"/>
              <w:rPr>
                <w:spacing w:val="-2"/>
                <w:sz w:val="22"/>
                <w:szCs w:val="22"/>
              </w:rPr>
            </w:pPr>
            <w:r w:rsidRPr="009B4E30">
              <w:rPr>
                <w:spacing w:val="-2"/>
                <w:sz w:val="22"/>
                <w:szCs w:val="22"/>
              </w:rPr>
              <w:t xml:space="preserve">File No.:  </w:t>
            </w:r>
            <w:r w:rsidRPr="009451AC">
              <w:rPr>
                <w:sz w:val="22"/>
                <w:szCs w:val="22"/>
              </w:rPr>
              <w:t>EB-TCD-12-0000</w:t>
            </w:r>
            <w:r>
              <w:rPr>
                <w:sz w:val="22"/>
                <w:szCs w:val="22"/>
              </w:rPr>
              <w:t>0337</w:t>
            </w:r>
            <w:r>
              <w:rPr>
                <w:rStyle w:val="FootnoteReference"/>
                <w:spacing w:val="-2"/>
                <w:sz w:val="22"/>
                <w:szCs w:val="22"/>
              </w:rPr>
              <w:footnoteReference w:id="1"/>
            </w:r>
            <w:r>
              <w:rPr>
                <w:spacing w:val="-2"/>
                <w:sz w:val="22"/>
                <w:szCs w:val="22"/>
              </w:rPr>
              <w:t xml:space="preserve">                               </w:t>
            </w:r>
          </w:p>
          <w:p w:rsidR="005302DB" w:rsidRPr="009B4E30" w:rsidRDefault="005302DB" w:rsidP="009173F9">
            <w:pPr>
              <w:spacing w:after="100" w:afterAutospacing="1"/>
              <w:rPr>
                <w:spacing w:val="-2"/>
                <w:sz w:val="22"/>
                <w:szCs w:val="22"/>
              </w:rPr>
            </w:pPr>
            <w:r w:rsidRPr="009B4E30">
              <w:rPr>
                <w:spacing w:val="-2"/>
                <w:sz w:val="22"/>
                <w:szCs w:val="22"/>
              </w:rPr>
              <w:t xml:space="preserve">Acct. No.:  </w:t>
            </w:r>
            <w:r>
              <w:rPr>
                <w:spacing w:val="-2"/>
                <w:sz w:val="22"/>
                <w:szCs w:val="22"/>
              </w:rPr>
              <w:t>201332170011</w:t>
            </w:r>
          </w:p>
          <w:p w:rsidR="005302DB" w:rsidRPr="009B4E30" w:rsidRDefault="005302DB" w:rsidP="009173F9">
            <w:pPr>
              <w:keepNext/>
              <w:rPr>
                <w:sz w:val="22"/>
                <w:szCs w:val="22"/>
              </w:rPr>
            </w:pPr>
            <w:r w:rsidRPr="009B4E30">
              <w:rPr>
                <w:sz w:val="22"/>
                <w:szCs w:val="22"/>
              </w:rPr>
              <w:t xml:space="preserve">FRN:  </w:t>
            </w:r>
            <w:r>
              <w:rPr>
                <w:spacing w:val="-2"/>
                <w:sz w:val="22"/>
                <w:szCs w:val="22"/>
              </w:rPr>
              <w:t>0005193701</w:t>
            </w:r>
          </w:p>
        </w:tc>
      </w:tr>
    </w:tbl>
    <w:p w:rsidR="005302DB" w:rsidRPr="009B4E30" w:rsidRDefault="005302DB" w:rsidP="005302DB">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5302DB" w:rsidRPr="009B4E30" w:rsidRDefault="005302DB" w:rsidP="005302DB">
      <w:pPr>
        <w:tabs>
          <w:tab w:val="left" w:pos="-720"/>
        </w:tabs>
        <w:suppressAutoHyphens/>
        <w:spacing w:line="227" w:lineRule="auto"/>
        <w:jc w:val="center"/>
        <w:rPr>
          <w:spacing w:val="-2"/>
          <w:sz w:val="22"/>
          <w:szCs w:val="22"/>
        </w:rPr>
      </w:pPr>
    </w:p>
    <w:p w:rsidR="005302DB" w:rsidRPr="009B4E30" w:rsidRDefault="005302DB" w:rsidP="005302DB">
      <w:pPr>
        <w:tabs>
          <w:tab w:val="left" w:pos="720"/>
          <w:tab w:val="left" w:pos="5400"/>
        </w:tabs>
        <w:suppressAutoHyphens/>
        <w:spacing w:line="227" w:lineRule="auto"/>
        <w:jc w:val="both"/>
        <w:rPr>
          <w:spacing w:val="-2"/>
          <w:sz w:val="22"/>
          <w:szCs w:val="22"/>
        </w:rPr>
      </w:pPr>
      <w:r w:rsidRPr="009B4E30">
        <w:rPr>
          <w:b/>
          <w:spacing w:val="-2"/>
          <w:sz w:val="22"/>
          <w:szCs w:val="22"/>
        </w:rPr>
        <w:t xml:space="preserve">Adopted:  </w:t>
      </w:r>
      <w:r>
        <w:rPr>
          <w:b/>
          <w:spacing w:val="-2"/>
          <w:sz w:val="22"/>
          <w:szCs w:val="22"/>
        </w:rPr>
        <w:t>May 7</w:t>
      </w:r>
      <w:r w:rsidRPr="009B4E30">
        <w:rPr>
          <w:b/>
          <w:spacing w:val="-2"/>
          <w:sz w:val="22"/>
          <w:szCs w:val="22"/>
        </w:rPr>
        <w:t>, 2013</w:t>
      </w:r>
      <w:r w:rsidRPr="009B4E30">
        <w:rPr>
          <w:b/>
          <w:spacing w:val="-2"/>
          <w:sz w:val="22"/>
          <w:szCs w:val="22"/>
        </w:rPr>
        <w:tab/>
        <w:t xml:space="preserve">                     Released:  </w:t>
      </w:r>
      <w:r>
        <w:rPr>
          <w:b/>
          <w:spacing w:val="-2"/>
          <w:sz w:val="22"/>
          <w:szCs w:val="22"/>
        </w:rPr>
        <w:t>May 7</w:t>
      </w:r>
      <w:r w:rsidRPr="009B4E30">
        <w:rPr>
          <w:b/>
          <w:spacing w:val="-2"/>
          <w:sz w:val="22"/>
          <w:szCs w:val="22"/>
        </w:rPr>
        <w:t>, 2013</w:t>
      </w:r>
    </w:p>
    <w:p w:rsidR="005302DB" w:rsidRDefault="005302DB" w:rsidP="005302DB">
      <w:pPr>
        <w:tabs>
          <w:tab w:val="left" w:pos="720"/>
          <w:tab w:val="left" w:pos="5760"/>
        </w:tabs>
        <w:suppressAutoHyphens/>
        <w:spacing w:line="227" w:lineRule="auto"/>
        <w:rPr>
          <w:spacing w:val="-2"/>
          <w:sz w:val="22"/>
          <w:szCs w:val="22"/>
        </w:rPr>
      </w:pPr>
    </w:p>
    <w:p w:rsidR="005302DB" w:rsidRDefault="005302DB" w:rsidP="005302DB">
      <w:pPr>
        <w:tabs>
          <w:tab w:val="left" w:pos="720"/>
          <w:tab w:val="left" w:pos="5760"/>
        </w:tabs>
        <w:suppressAutoHyphens/>
        <w:spacing w:line="227" w:lineRule="auto"/>
        <w:rPr>
          <w:spacing w:val="-2"/>
          <w:sz w:val="22"/>
          <w:szCs w:val="22"/>
        </w:rPr>
      </w:pPr>
      <w:r>
        <w:rPr>
          <w:spacing w:val="-2"/>
          <w:sz w:val="22"/>
          <w:szCs w:val="22"/>
        </w:rPr>
        <w:t>By the Chief, Enforcement Bureau:</w:t>
      </w:r>
    </w:p>
    <w:p w:rsidR="005302DB" w:rsidRDefault="005302DB" w:rsidP="005302DB">
      <w:pPr>
        <w:rPr>
          <w:sz w:val="22"/>
          <w:szCs w:val="22"/>
        </w:rPr>
      </w:pPr>
    </w:p>
    <w:p w:rsidR="005302DB" w:rsidRDefault="005302DB" w:rsidP="005302DB">
      <w:pPr>
        <w:pStyle w:val="ParaNum"/>
        <w:numPr>
          <w:ilvl w:val="0"/>
          <w:numId w:val="45"/>
        </w:numPr>
        <w:tabs>
          <w:tab w:val="clear" w:pos="1800"/>
          <w:tab w:val="num" w:pos="1440"/>
        </w:tabs>
        <w:spacing w:after="240"/>
        <w:rPr>
          <w:color w:val="000000"/>
        </w:rPr>
      </w:pPr>
      <w:r w:rsidRPr="00307516">
        <w:rPr>
          <w:szCs w:val="22"/>
        </w:rPr>
        <w:t>In</w:t>
      </w:r>
      <w:r w:rsidRPr="002A1CA5">
        <w:t xml:space="preserve"> this Order, we adopt the attached Consent Decree entered into between the Enforcement Bureau (Bureau) of the Federal Communications Commission (Commission) and </w:t>
      </w:r>
      <w:r>
        <w:t>AT&amp;T Inc.</w:t>
      </w:r>
      <w:r w:rsidRPr="002A1CA5">
        <w:t xml:space="preserve"> (</w:t>
      </w:r>
      <w:r>
        <w:t>AT&amp;T</w:t>
      </w:r>
      <w:r w:rsidRPr="002A1CA5">
        <w:t xml:space="preserve">).  The Consent Decree </w:t>
      </w:r>
      <w:r>
        <w:t xml:space="preserve">resolves and </w:t>
      </w:r>
      <w:r w:rsidRPr="002A1CA5">
        <w:t>terminates the Bureau</w:t>
      </w:r>
      <w:r>
        <w:t>’s investigation</w:t>
      </w:r>
      <w:r w:rsidRPr="002A1CA5">
        <w:t xml:space="preserve"> </w:t>
      </w:r>
      <w:r>
        <w:t>into</w:t>
      </w:r>
      <w:r w:rsidRPr="002A1CA5">
        <w:t xml:space="preserve"> </w:t>
      </w:r>
      <w:r>
        <w:t>AT&amp;T</w:t>
      </w:r>
      <w:r w:rsidRPr="002A1CA5">
        <w:t xml:space="preserve">’s compliance with Section 225 </w:t>
      </w:r>
      <w:r>
        <w:t>of the Communications Act of 1934, as amended,</w:t>
      </w:r>
      <w:r>
        <w:rPr>
          <w:rStyle w:val="FootnoteReference"/>
          <w:szCs w:val="22"/>
        </w:rPr>
        <w:footnoteReference w:id="2"/>
      </w:r>
      <w:r>
        <w:t xml:space="preserve"> Sections 64.604 and 64.605 of the Commission’s rules, and the Commission’s orders concerning the provision of Telecommunications Relay Services (TRS) and compensation from the Interstate TRS Fund.</w:t>
      </w:r>
      <w:r>
        <w:rPr>
          <w:rStyle w:val="FootnoteReference"/>
          <w:szCs w:val="22"/>
        </w:rPr>
        <w:footnoteReference w:id="3"/>
      </w:r>
      <w:r>
        <w:rPr>
          <w:color w:val="000000"/>
        </w:rPr>
        <w:t xml:space="preserve"> </w:t>
      </w:r>
    </w:p>
    <w:p w:rsidR="005302DB" w:rsidRDefault="005302DB" w:rsidP="005302DB">
      <w:pPr>
        <w:pStyle w:val="ParaNum"/>
        <w:numPr>
          <w:ilvl w:val="0"/>
          <w:numId w:val="45"/>
        </w:numPr>
        <w:tabs>
          <w:tab w:val="num" w:pos="1440"/>
        </w:tabs>
        <w:spacing w:after="240"/>
        <w:rPr>
          <w:szCs w:val="22"/>
        </w:rPr>
      </w:pPr>
      <w:r>
        <w:rPr>
          <w:szCs w:val="22"/>
        </w:rPr>
        <w:t>The Bureau and AT&amp;T have negotiated the terms of the Consent Decree that resolves this matter.  A copy of the Consent Decree is attached hereto and incorporated by reference.</w:t>
      </w:r>
    </w:p>
    <w:p w:rsidR="005302DB" w:rsidRDefault="005302DB" w:rsidP="005302DB">
      <w:pPr>
        <w:pStyle w:val="ParaNum"/>
        <w:numPr>
          <w:ilvl w:val="0"/>
          <w:numId w:val="45"/>
        </w:numPr>
        <w:tabs>
          <w:tab w:val="num"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rsidR="005302DB" w:rsidRDefault="00AB5970" w:rsidP="005302DB">
      <w:pPr>
        <w:pStyle w:val="ParaNum"/>
        <w:numPr>
          <w:ilvl w:val="0"/>
          <w:numId w:val="45"/>
        </w:numPr>
        <w:tabs>
          <w:tab w:val="num" w:pos="1440"/>
        </w:tabs>
        <w:spacing w:after="240"/>
        <w:rPr>
          <w:szCs w:val="22"/>
        </w:rPr>
      </w:pPr>
      <w:r>
        <w:rPr>
          <w:szCs w:val="22"/>
        </w:rPr>
        <w:t>Based solely on the record developed to date in this investigation and i</w:t>
      </w:r>
      <w:r w:rsidR="005302DB">
        <w:rPr>
          <w:szCs w:val="22"/>
        </w:rPr>
        <w:t xml:space="preserve">n the absence of material new evidence relating to this matter, we conclude that </w:t>
      </w:r>
      <w:r w:rsidR="00C963E3">
        <w:rPr>
          <w:szCs w:val="22"/>
        </w:rPr>
        <w:t>the Bureau’s</w:t>
      </w:r>
      <w:r w:rsidR="005302DB">
        <w:rPr>
          <w:szCs w:val="22"/>
        </w:rPr>
        <w:t xml:space="preserve"> investigation raises no substantial or material questions of fact as to whether AT&amp;T possesses the basic qualifications, including those related to character, to hold or obtain any Commission</w:t>
      </w:r>
      <w:r w:rsidR="00C80135">
        <w:rPr>
          <w:szCs w:val="22"/>
        </w:rPr>
        <w:t xml:space="preserve"> license </w:t>
      </w:r>
      <w:r w:rsidR="005302DB">
        <w:rPr>
          <w:szCs w:val="22"/>
        </w:rPr>
        <w:t>or authorization.</w:t>
      </w:r>
    </w:p>
    <w:p w:rsidR="005302DB" w:rsidRDefault="005302DB" w:rsidP="005302DB">
      <w:pPr>
        <w:pStyle w:val="ParaNum"/>
        <w:numPr>
          <w:ilvl w:val="0"/>
          <w:numId w:val="45"/>
        </w:numPr>
        <w:tabs>
          <w:tab w:val="num" w:pos="1440"/>
        </w:tabs>
        <w:spacing w:after="240"/>
        <w:rPr>
          <w:szCs w:val="22"/>
        </w:rPr>
      </w:pPr>
      <w:r>
        <w:rPr>
          <w:szCs w:val="22"/>
        </w:rPr>
        <w:t xml:space="preserve">Accordingly, </w:t>
      </w:r>
      <w:r>
        <w:rPr>
          <w:b/>
          <w:szCs w:val="22"/>
        </w:rPr>
        <w:t>IT IS ORDERED</w:t>
      </w:r>
      <w:r>
        <w:rPr>
          <w:szCs w:val="22"/>
        </w:rPr>
        <w:t>, pursuant to Sections 4(i), 4(j), and 503(b) of the Communications Act of 1934, as amended,</w:t>
      </w:r>
      <w:r>
        <w:rPr>
          <w:rStyle w:val="FootnoteReference"/>
          <w:szCs w:val="22"/>
        </w:rPr>
        <w:footnoteReference w:id="4"/>
      </w:r>
      <w:r>
        <w:rPr>
          <w:szCs w:val="22"/>
        </w:rPr>
        <w:t xml:space="preserve"> and Sections 0.111 and 0.311 of the Commission’s rules,</w:t>
      </w:r>
      <w:r>
        <w:rPr>
          <w:rStyle w:val="FootnoteReference"/>
          <w:szCs w:val="22"/>
        </w:rPr>
        <w:footnoteReference w:id="5"/>
      </w:r>
      <w:r>
        <w:rPr>
          <w:szCs w:val="22"/>
        </w:rPr>
        <w:t xml:space="preserve"> the attached Consent Decree </w:t>
      </w:r>
      <w:r>
        <w:rPr>
          <w:b/>
          <w:szCs w:val="22"/>
        </w:rPr>
        <w:t>IS ADOPTED</w:t>
      </w:r>
      <w:r>
        <w:rPr>
          <w:szCs w:val="22"/>
        </w:rPr>
        <w:t>.</w:t>
      </w:r>
    </w:p>
    <w:p w:rsidR="005302DB" w:rsidRDefault="005302DB" w:rsidP="005302DB">
      <w:pPr>
        <w:pStyle w:val="ParaNum"/>
        <w:numPr>
          <w:ilvl w:val="0"/>
          <w:numId w:val="45"/>
        </w:numPr>
        <w:tabs>
          <w:tab w:val="num" w:pos="1440"/>
        </w:tabs>
        <w:spacing w:after="240"/>
        <w:rPr>
          <w:szCs w:val="22"/>
        </w:rPr>
      </w:pPr>
      <w:r>
        <w:rPr>
          <w:b/>
        </w:rPr>
        <w:t>IT IS FURTHER ORDERED</w:t>
      </w:r>
      <w:r>
        <w:t xml:space="preserve"> that the above-captioned investigation </w:t>
      </w:r>
      <w:r>
        <w:rPr>
          <w:b/>
        </w:rPr>
        <w:t>IS TERMINATED</w:t>
      </w:r>
      <w:r>
        <w:t>.</w:t>
      </w:r>
    </w:p>
    <w:p w:rsidR="005302DB" w:rsidRPr="00245156" w:rsidRDefault="005302DB" w:rsidP="005302DB">
      <w:pPr>
        <w:pStyle w:val="ParaNum"/>
        <w:keepNext/>
        <w:widowControl/>
        <w:numPr>
          <w:ilvl w:val="0"/>
          <w:numId w:val="45"/>
        </w:numPr>
        <w:tabs>
          <w:tab w:val="num" w:pos="1440"/>
        </w:tabs>
        <w:spacing w:after="220"/>
        <w:rPr>
          <w:szCs w:val="22"/>
        </w:rPr>
      </w:pPr>
      <w:r w:rsidRPr="00245156">
        <w:rPr>
          <w:b/>
        </w:rPr>
        <w:lastRenderedPageBreak/>
        <w:t>IT IS FURTHER ORDERED</w:t>
      </w:r>
      <w:r>
        <w:t xml:space="preserve"> that a copy of this Order and Consent Decree shall be sent by first class mail and certified mail, return receipt requested, to </w:t>
      </w:r>
      <w:r w:rsidR="00213372">
        <w:t>Jac</w:t>
      </w:r>
      <w:r w:rsidR="004A793A">
        <w:t>quelyne</w:t>
      </w:r>
      <w:r w:rsidR="00213372">
        <w:t xml:space="preserve"> Flemming, AVP-External Affairs/Regulatory, AT&amp;T Services, 1120 20th St. NW, Suite 1000, Washington, DC 20036</w:t>
      </w:r>
      <w:r>
        <w:t>.</w:t>
      </w:r>
    </w:p>
    <w:p w:rsidR="005302DB" w:rsidRDefault="005302DB" w:rsidP="005302DB">
      <w:pPr>
        <w:keepNext/>
        <w:rPr>
          <w:sz w:val="22"/>
          <w:szCs w:val="22"/>
        </w:rPr>
      </w:pPr>
    </w:p>
    <w:p w:rsidR="005302DB" w:rsidRDefault="005302DB" w:rsidP="005302DB">
      <w:pPr>
        <w:keepNext/>
        <w:rPr>
          <w:sz w:val="22"/>
          <w:szCs w:val="22"/>
        </w:rPr>
      </w:pPr>
    </w:p>
    <w:p w:rsidR="005302DB" w:rsidRPr="00EF505E" w:rsidRDefault="005302DB" w:rsidP="005302DB">
      <w:pPr>
        <w:outlineLvl w:val="0"/>
        <w:rPr>
          <w:sz w:val="22"/>
          <w:szCs w:val="22"/>
          <w:lang w:val="fr-FR"/>
        </w:rPr>
      </w:pPr>
      <w:r>
        <w:rPr>
          <w:sz w:val="22"/>
          <w:szCs w:val="22"/>
        </w:rPr>
        <w:tab/>
      </w:r>
      <w:r>
        <w:rPr>
          <w:sz w:val="22"/>
          <w:szCs w:val="22"/>
        </w:rPr>
        <w:tab/>
      </w:r>
      <w:r>
        <w:rPr>
          <w:sz w:val="22"/>
          <w:szCs w:val="22"/>
        </w:rPr>
        <w:tab/>
      </w:r>
      <w:r>
        <w:rPr>
          <w:sz w:val="22"/>
          <w:szCs w:val="22"/>
        </w:rPr>
        <w:tab/>
      </w:r>
      <w:r>
        <w:rPr>
          <w:sz w:val="22"/>
          <w:szCs w:val="22"/>
        </w:rPr>
        <w:tab/>
      </w:r>
      <w:r w:rsidRPr="00EF505E">
        <w:rPr>
          <w:sz w:val="22"/>
          <w:szCs w:val="22"/>
          <w:lang w:val="fr-FR"/>
        </w:rPr>
        <w:t>FEDERAL COMMUNICATIONS COMMISSION</w:t>
      </w:r>
    </w:p>
    <w:p w:rsidR="005302DB" w:rsidRPr="00EF505E" w:rsidRDefault="005302DB" w:rsidP="005302DB">
      <w:pPr>
        <w:rPr>
          <w:sz w:val="22"/>
          <w:szCs w:val="22"/>
          <w:lang w:val="fr-FR"/>
        </w:rPr>
      </w:pPr>
    </w:p>
    <w:p w:rsidR="005302DB" w:rsidRPr="00EF505E" w:rsidRDefault="005302DB" w:rsidP="005302DB">
      <w:pPr>
        <w:rPr>
          <w:sz w:val="22"/>
          <w:szCs w:val="22"/>
          <w:lang w:val="fr-FR"/>
        </w:rPr>
      </w:pPr>
    </w:p>
    <w:p w:rsidR="005302DB" w:rsidRPr="00EF505E" w:rsidRDefault="005302DB" w:rsidP="005302DB">
      <w:pPr>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p>
    <w:p w:rsidR="005302DB" w:rsidRDefault="005302DB" w:rsidP="005302DB">
      <w:pPr>
        <w:outlineLvl w:val="0"/>
        <w:rPr>
          <w:sz w:val="22"/>
          <w:szCs w:val="22"/>
          <w:lang w:val="fr-FR"/>
        </w:rPr>
      </w:pPr>
    </w:p>
    <w:p w:rsidR="005302DB" w:rsidRPr="00EF505E" w:rsidRDefault="005302DB" w:rsidP="005302DB">
      <w:pPr>
        <w:outlineLvl w:val="0"/>
        <w:rPr>
          <w:sz w:val="22"/>
          <w:szCs w:val="22"/>
          <w:lang w:val="fr-FR"/>
        </w:rPr>
      </w:pPr>
    </w:p>
    <w:p w:rsidR="005302DB" w:rsidRPr="00EF505E" w:rsidRDefault="005302DB" w:rsidP="005302DB">
      <w:pPr>
        <w:outlineLvl w:val="0"/>
        <w:rPr>
          <w:sz w:val="22"/>
          <w:szCs w:val="22"/>
          <w:lang w:val="fr-FR"/>
        </w:rPr>
      </w:pP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t>P. Michele Ellison</w:t>
      </w:r>
    </w:p>
    <w:p w:rsidR="005302DB" w:rsidRDefault="005302DB" w:rsidP="005302DB">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sidRPr="00EF505E">
        <w:rPr>
          <w:sz w:val="22"/>
          <w:szCs w:val="22"/>
          <w:lang w:val="fr-FR"/>
        </w:rPr>
        <w:tab/>
      </w:r>
      <w:r>
        <w:rPr>
          <w:sz w:val="22"/>
          <w:szCs w:val="22"/>
        </w:rPr>
        <w:t>Chief, Enforcement Bureau</w:t>
      </w:r>
    </w:p>
    <w:p w:rsidR="005302DB" w:rsidRDefault="005302DB" w:rsidP="00BF12B3">
      <w:pPr>
        <w:pStyle w:val="Heading1"/>
        <w:rPr>
          <w:szCs w:val="22"/>
        </w:rPr>
        <w:sectPr w:rsidR="005302DB" w:rsidSect="005302D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noEndnote/>
          <w:titlePg/>
        </w:sectPr>
      </w:pPr>
    </w:p>
    <w:p w:rsidR="00D24B84" w:rsidRDefault="00D24B84" w:rsidP="00BF12B3">
      <w:pPr>
        <w:pStyle w:val="Heading1"/>
        <w:rPr>
          <w:szCs w:val="22"/>
        </w:rPr>
      </w:pPr>
    </w:p>
    <w:p w:rsidR="00B23CF5" w:rsidRDefault="00B23CF5" w:rsidP="00BF12B3">
      <w:pPr>
        <w:pStyle w:val="Heading1"/>
        <w:rPr>
          <w:szCs w:val="22"/>
        </w:rPr>
      </w:pPr>
      <w:r>
        <w:rPr>
          <w:szCs w:val="22"/>
        </w:rPr>
        <w:t>Before the</w:t>
      </w:r>
    </w:p>
    <w:p w:rsidR="00B23CF5" w:rsidRDefault="00B23CF5" w:rsidP="00BF12B3">
      <w:pPr>
        <w:pStyle w:val="Heading1"/>
        <w:rPr>
          <w:szCs w:val="22"/>
        </w:rPr>
      </w:pPr>
      <w:r>
        <w:rPr>
          <w:szCs w:val="22"/>
        </w:rPr>
        <w:t>Federal Communications Commission</w:t>
      </w:r>
    </w:p>
    <w:p w:rsidR="00B23CF5" w:rsidRDefault="00B23CF5" w:rsidP="00BF12B3">
      <w:pPr>
        <w:pStyle w:val="Heading1"/>
        <w:rPr>
          <w:szCs w:val="22"/>
        </w:rPr>
      </w:pPr>
      <w:r>
        <w:rPr>
          <w:szCs w:val="22"/>
        </w:rPr>
        <w:t>Washington, DC 20554</w:t>
      </w:r>
    </w:p>
    <w:p w:rsidR="00B23CF5" w:rsidRDefault="00B23CF5" w:rsidP="00BF12B3">
      <w:pPr>
        <w:rPr>
          <w:sz w:val="22"/>
          <w:szCs w:val="22"/>
        </w:rPr>
      </w:pPr>
    </w:p>
    <w:p w:rsidR="00B23CF5" w:rsidRDefault="00B23CF5" w:rsidP="00BF12B3">
      <w:pPr>
        <w:rPr>
          <w:sz w:val="22"/>
          <w:szCs w:val="22"/>
        </w:rPr>
      </w:pPr>
    </w:p>
    <w:tbl>
      <w:tblPr>
        <w:tblW w:w="0" w:type="auto"/>
        <w:tblLook w:val="0000" w:firstRow="0" w:lastRow="0" w:firstColumn="0" w:lastColumn="0" w:noHBand="0" w:noVBand="0"/>
      </w:tblPr>
      <w:tblGrid>
        <w:gridCol w:w="4428"/>
        <w:gridCol w:w="720"/>
        <w:gridCol w:w="4428"/>
      </w:tblGrid>
      <w:tr w:rsidR="00B23CF5" w:rsidTr="001207F5">
        <w:tc>
          <w:tcPr>
            <w:tcW w:w="4428" w:type="dxa"/>
          </w:tcPr>
          <w:p w:rsidR="00B23CF5" w:rsidRDefault="00B23CF5" w:rsidP="001207F5">
            <w:pPr>
              <w:keepNext/>
            </w:pPr>
          </w:p>
          <w:p w:rsidR="00B23CF5" w:rsidRDefault="00B23CF5" w:rsidP="001207F5">
            <w:pPr>
              <w:keepNext/>
            </w:pPr>
          </w:p>
          <w:p w:rsidR="00B23CF5" w:rsidRDefault="00B23CF5" w:rsidP="001207F5">
            <w:pPr>
              <w:keepNext/>
            </w:pPr>
            <w:r>
              <w:rPr>
                <w:sz w:val="22"/>
                <w:szCs w:val="22"/>
              </w:rPr>
              <w:t>In the Matter of</w:t>
            </w:r>
          </w:p>
          <w:p w:rsidR="00B23CF5" w:rsidRDefault="00B23CF5" w:rsidP="001207F5">
            <w:pPr>
              <w:keepNext/>
            </w:pPr>
          </w:p>
          <w:p w:rsidR="00B23CF5" w:rsidRDefault="00F73191" w:rsidP="009E7B83">
            <w:pPr>
              <w:keepNext/>
            </w:pPr>
            <w:r>
              <w:rPr>
                <w:sz w:val="22"/>
                <w:szCs w:val="22"/>
              </w:rPr>
              <w:t xml:space="preserve">AT&amp;T </w:t>
            </w:r>
            <w:r w:rsidR="00D87866">
              <w:rPr>
                <w:sz w:val="22"/>
                <w:szCs w:val="22"/>
              </w:rPr>
              <w:t>Inc</w:t>
            </w:r>
            <w:r>
              <w:rPr>
                <w:sz w:val="22"/>
                <w:szCs w:val="22"/>
              </w:rPr>
              <w:t>.</w:t>
            </w:r>
          </w:p>
        </w:tc>
        <w:tc>
          <w:tcPr>
            <w:tcW w:w="720" w:type="dxa"/>
          </w:tcPr>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p w:rsidR="00B23CF5" w:rsidRDefault="00B23CF5" w:rsidP="001207F5">
            <w:pPr>
              <w:keepNext/>
            </w:pPr>
            <w:r>
              <w:rPr>
                <w:sz w:val="22"/>
                <w:szCs w:val="22"/>
              </w:rPr>
              <w:t>)</w:t>
            </w:r>
          </w:p>
        </w:tc>
        <w:tc>
          <w:tcPr>
            <w:tcW w:w="4428" w:type="dxa"/>
          </w:tcPr>
          <w:p w:rsidR="00B23CF5" w:rsidRDefault="00B23CF5" w:rsidP="001207F5">
            <w:pPr>
              <w:ind w:left="-108" w:firstLine="108"/>
            </w:pPr>
          </w:p>
          <w:p w:rsidR="00B23CF5" w:rsidRPr="00902BC5" w:rsidRDefault="00B23CF5" w:rsidP="001207F5">
            <w:pPr>
              <w:ind w:left="-108" w:firstLine="108"/>
              <w:rPr>
                <w:spacing w:val="-2"/>
              </w:rPr>
            </w:pPr>
            <w:r>
              <w:rPr>
                <w:sz w:val="22"/>
              </w:rPr>
              <w:t>File No.:  EB-TCD-12-000003</w:t>
            </w:r>
            <w:r w:rsidR="00F73191">
              <w:rPr>
                <w:sz w:val="22"/>
              </w:rPr>
              <w:t>37</w:t>
            </w:r>
          </w:p>
          <w:p w:rsidR="00B23CF5" w:rsidRPr="00902BC5" w:rsidRDefault="00B23CF5" w:rsidP="001207F5">
            <w:pPr>
              <w:ind w:left="-108" w:firstLine="108"/>
            </w:pPr>
          </w:p>
          <w:p w:rsidR="00B23CF5" w:rsidRPr="00902BC5" w:rsidRDefault="00B23CF5" w:rsidP="001207F5">
            <w:pPr>
              <w:rPr>
                <w:spacing w:val="-2"/>
              </w:rPr>
            </w:pPr>
            <w:r w:rsidRPr="00902BC5">
              <w:rPr>
                <w:spacing w:val="-2"/>
                <w:sz w:val="22"/>
                <w:szCs w:val="22"/>
              </w:rPr>
              <w:t xml:space="preserve">Acct. No.:  </w:t>
            </w:r>
            <w:r w:rsidR="009D3C45">
              <w:rPr>
                <w:spacing w:val="-2"/>
                <w:sz w:val="22"/>
                <w:szCs w:val="22"/>
              </w:rPr>
              <w:t>201332170011</w:t>
            </w:r>
          </w:p>
          <w:p w:rsidR="00B23CF5" w:rsidRPr="00902BC5" w:rsidRDefault="00B23CF5" w:rsidP="001207F5">
            <w:pPr>
              <w:rPr>
                <w:spacing w:val="-2"/>
              </w:rPr>
            </w:pPr>
          </w:p>
          <w:p w:rsidR="00B23CF5" w:rsidRDefault="00B23CF5" w:rsidP="001207F5">
            <w:r>
              <w:rPr>
                <w:sz w:val="22"/>
                <w:szCs w:val="22"/>
              </w:rPr>
              <w:t xml:space="preserve">FRN:  </w:t>
            </w:r>
            <w:r w:rsidR="00D87866">
              <w:rPr>
                <w:sz w:val="22"/>
                <w:szCs w:val="22"/>
              </w:rPr>
              <w:t>000</w:t>
            </w:r>
            <w:r w:rsidR="00322668">
              <w:rPr>
                <w:sz w:val="22"/>
                <w:szCs w:val="22"/>
              </w:rPr>
              <w:t>5193701</w:t>
            </w:r>
          </w:p>
          <w:p w:rsidR="00B23CF5" w:rsidRDefault="00B23CF5" w:rsidP="001207F5">
            <w:pPr>
              <w:keepNext/>
            </w:pPr>
          </w:p>
        </w:tc>
      </w:tr>
    </w:tbl>
    <w:p w:rsidR="00B23CF5" w:rsidRDefault="00B23CF5" w:rsidP="00BF12B3">
      <w:pPr>
        <w:keepNext/>
        <w:rPr>
          <w:sz w:val="22"/>
          <w:szCs w:val="22"/>
        </w:rPr>
      </w:pPr>
    </w:p>
    <w:p w:rsidR="00B23CF5" w:rsidRDefault="00B23CF5" w:rsidP="00BF12B3">
      <w:pPr>
        <w:keepNext/>
        <w:jc w:val="center"/>
        <w:rPr>
          <w:b/>
          <w:sz w:val="22"/>
          <w:szCs w:val="22"/>
        </w:rPr>
      </w:pPr>
      <w:r>
        <w:rPr>
          <w:b/>
          <w:sz w:val="22"/>
          <w:szCs w:val="22"/>
        </w:rPr>
        <w:t>CONSENT DECREE</w:t>
      </w:r>
    </w:p>
    <w:p w:rsidR="00B23CF5" w:rsidRDefault="00B23CF5" w:rsidP="00BF12B3">
      <w:pPr>
        <w:keepNext/>
        <w:rPr>
          <w:sz w:val="22"/>
          <w:szCs w:val="22"/>
        </w:rPr>
      </w:pPr>
    </w:p>
    <w:p w:rsidR="00B23CF5" w:rsidRDefault="00B23CF5" w:rsidP="003B4727">
      <w:pPr>
        <w:ind w:firstLine="720"/>
        <w:rPr>
          <w:color w:val="000000"/>
        </w:rPr>
      </w:pPr>
      <w:r>
        <w:rPr>
          <w:sz w:val="22"/>
          <w:szCs w:val="22"/>
        </w:rPr>
        <w:t xml:space="preserve">The Enforcement Bureau of the Federal Communications Commission and </w:t>
      </w:r>
      <w:r w:rsidR="00F73191">
        <w:rPr>
          <w:sz w:val="22"/>
          <w:szCs w:val="22"/>
        </w:rPr>
        <w:t xml:space="preserve">AT&amp;T </w:t>
      </w:r>
      <w:r w:rsidR="00D87866">
        <w:rPr>
          <w:sz w:val="22"/>
          <w:szCs w:val="22"/>
        </w:rPr>
        <w:t>Inc</w:t>
      </w:r>
      <w:r w:rsidR="00F73191">
        <w:rPr>
          <w:sz w:val="22"/>
          <w:szCs w:val="22"/>
        </w:rPr>
        <w:t xml:space="preserve">., </w:t>
      </w:r>
      <w:r>
        <w:rPr>
          <w:sz w:val="22"/>
          <w:szCs w:val="22"/>
        </w:rPr>
        <w:t>by their authorized representatives, hereby enter into this Consent Decree that resolves and terminates the Enforcement Bureau</w:t>
      </w:r>
      <w:r w:rsidR="00306A73">
        <w:rPr>
          <w:sz w:val="22"/>
          <w:szCs w:val="22"/>
        </w:rPr>
        <w:t>’s</w:t>
      </w:r>
      <w:r>
        <w:rPr>
          <w:sz w:val="22"/>
          <w:szCs w:val="22"/>
        </w:rPr>
        <w:t xml:space="preserve"> investigation into </w:t>
      </w:r>
      <w:r w:rsidR="00F73191">
        <w:rPr>
          <w:sz w:val="22"/>
          <w:szCs w:val="22"/>
        </w:rPr>
        <w:t>AT&amp;T</w:t>
      </w:r>
      <w:r>
        <w:rPr>
          <w:sz w:val="22"/>
          <w:szCs w:val="22"/>
        </w:rPr>
        <w:t>’s compliance with Section 225 of the Communications Act of 1934, as amended,</w:t>
      </w:r>
      <w:r>
        <w:rPr>
          <w:rStyle w:val="FootnoteReference"/>
          <w:sz w:val="22"/>
          <w:szCs w:val="22"/>
        </w:rPr>
        <w:footnoteReference w:id="6"/>
      </w:r>
      <w:r>
        <w:rPr>
          <w:sz w:val="22"/>
          <w:szCs w:val="22"/>
        </w:rPr>
        <w:t xml:space="preserve"> Sections 64.604 and 64.605 of the Commission’s rules</w:t>
      </w:r>
      <w:r w:rsidR="00D87866">
        <w:rPr>
          <w:sz w:val="22"/>
          <w:szCs w:val="22"/>
        </w:rPr>
        <w:t>,</w:t>
      </w:r>
      <w:r>
        <w:rPr>
          <w:sz w:val="22"/>
          <w:szCs w:val="22"/>
        </w:rPr>
        <w:t xml:space="preserve"> </w:t>
      </w:r>
      <w:r w:rsidR="00D87866">
        <w:rPr>
          <w:sz w:val="22"/>
          <w:szCs w:val="22"/>
        </w:rPr>
        <w:t xml:space="preserve">and the Commission’s orders </w:t>
      </w:r>
      <w:r>
        <w:rPr>
          <w:sz w:val="22"/>
          <w:szCs w:val="22"/>
        </w:rPr>
        <w:t>concerning the provision of Telecommunications Relay Service</w:t>
      </w:r>
      <w:r w:rsidR="00E421E8">
        <w:rPr>
          <w:sz w:val="22"/>
          <w:szCs w:val="22"/>
        </w:rPr>
        <w:t>s</w:t>
      </w:r>
      <w:r>
        <w:rPr>
          <w:sz w:val="22"/>
          <w:szCs w:val="22"/>
        </w:rPr>
        <w:t xml:space="preserve"> and compe</w:t>
      </w:r>
      <w:r w:rsidR="0034361A">
        <w:rPr>
          <w:sz w:val="22"/>
          <w:szCs w:val="22"/>
        </w:rPr>
        <w:t>nsation from the TRS Fund</w:t>
      </w:r>
      <w:r>
        <w:rPr>
          <w:sz w:val="22"/>
          <w:szCs w:val="22"/>
        </w:rPr>
        <w:t>.</w:t>
      </w:r>
      <w:r>
        <w:rPr>
          <w:rStyle w:val="FootnoteReference"/>
          <w:sz w:val="22"/>
          <w:szCs w:val="22"/>
        </w:rPr>
        <w:footnoteReference w:id="7"/>
      </w:r>
      <w:r>
        <w:rPr>
          <w:color w:val="000000"/>
        </w:rPr>
        <w:t xml:space="preserve"> </w:t>
      </w:r>
    </w:p>
    <w:p w:rsidR="00B23CF5" w:rsidRDefault="00B23CF5" w:rsidP="00BF12B3">
      <w:pPr>
        <w:ind w:firstLine="720"/>
        <w:rPr>
          <w:color w:val="000000"/>
        </w:rPr>
      </w:pPr>
    </w:p>
    <w:p w:rsidR="00B23CF5" w:rsidRDefault="00B23CF5" w:rsidP="00BF12B3">
      <w:pPr>
        <w:pStyle w:val="par1"/>
        <w:numPr>
          <w:ilvl w:val="0"/>
          <w:numId w:val="0"/>
        </w:numPr>
        <w:tabs>
          <w:tab w:val="left" w:pos="720"/>
          <w:tab w:val="num" w:pos="1440"/>
        </w:tabs>
        <w:rPr>
          <w:b/>
          <w:szCs w:val="22"/>
        </w:rPr>
      </w:pPr>
      <w:r>
        <w:rPr>
          <w:b/>
          <w:szCs w:val="22"/>
        </w:rPr>
        <w:t>I.</w:t>
      </w:r>
      <w:r>
        <w:rPr>
          <w:b/>
          <w:szCs w:val="22"/>
        </w:rPr>
        <w:tab/>
        <w:t>DEFINITIONS</w:t>
      </w:r>
    </w:p>
    <w:p w:rsidR="00B23CF5" w:rsidRDefault="00B23CF5" w:rsidP="00BF12B3">
      <w:pPr>
        <w:pStyle w:val="par1"/>
        <w:numPr>
          <w:ilvl w:val="0"/>
          <w:numId w:val="0"/>
        </w:numPr>
        <w:tabs>
          <w:tab w:val="num" w:pos="1440"/>
        </w:tabs>
        <w:rPr>
          <w:b/>
          <w:szCs w:val="22"/>
        </w:rPr>
      </w:pPr>
    </w:p>
    <w:p w:rsidR="00B23CF5" w:rsidRDefault="00B23CF5" w:rsidP="00BF12B3">
      <w:pPr>
        <w:pStyle w:val="par1"/>
        <w:rPr>
          <w:szCs w:val="22"/>
        </w:rPr>
      </w:pPr>
      <w:r>
        <w:tab/>
        <w:t>For the purposes of this Consent Decree, the following definitions shall apply:</w:t>
      </w:r>
    </w:p>
    <w:p w:rsidR="00B23CF5" w:rsidRDefault="00B23CF5" w:rsidP="00BF12B3">
      <w:pPr>
        <w:tabs>
          <w:tab w:val="left" w:pos="720"/>
          <w:tab w:val="left" w:pos="1440"/>
        </w:tabs>
        <w:ind w:left="1440"/>
        <w:rPr>
          <w:sz w:val="22"/>
          <w:szCs w:val="22"/>
        </w:rPr>
      </w:pPr>
    </w:p>
    <w:p w:rsidR="00B23CF5" w:rsidRPr="00966159"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“Act” means the Communications Act of 1934, as amended, 47 U.S.C. § 151 </w:t>
      </w:r>
      <w:r>
        <w:rPr>
          <w:i/>
          <w:sz w:val="22"/>
          <w:szCs w:val="22"/>
        </w:rPr>
        <w:t>et seq.</w:t>
      </w:r>
    </w:p>
    <w:p w:rsidR="00B23CF5" w:rsidRDefault="00B23CF5" w:rsidP="00BF12B3">
      <w:pPr>
        <w:tabs>
          <w:tab w:val="left" w:pos="720"/>
          <w:tab w:val="left" w:pos="1440"/>
        </w:tabs>
        <w:ind w:left="1980" w:hanging="5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“Adopting Order” means an order of the Bureau adopting the terms of this Consent Decree without change, addition, deletion</w:t>
      </w:r>
      <w:r w:rsidR="0034361A">
        <w:rPr>
          <w:sz w:val="22"/>
          <w:szCs w:val="22"/>
        </w:rPr>
        <w:t>,</w:t>
      </w:r>
      <w:r>
        <w:rPr>
          <w:sz w:val="22"/>
          <w:szCs w:val="22"/>
        </w:rPr>
        <w:t xml:space="preserve"> or modification.</w:t>
      </w:r>
    </w:p>
    <w:p w:rsidR="00966159" w:rsidRDefault="00966159" w:rsidP="008645A4">
      <w:pPr>
        <w:tabs>
          <w:tab w:val="left" w:pos="720"/>
          <w:tab w:val="left" w:pos="1440"/>
        </w:tabs>
        <w:ind w:left="1440"/>
        <w:rPr>
          <w:sz w:val="22"/>
          <w:szCs w:val="22"/>
        </w:rPr>
      </w:pPr>
    </w:p>
    <w:p w:rsidR="00966159" w:rsidRPr="008645A4" w:rsidRDefault="00966159" w:rsidP="008645A4">
      <w:pPr>
        <w:numPr>
          <w:ilvl w:val="0"/>
          <w:numId w:val="3"/>
        </w:numPr>
        <w:tabs>
          <w:tab w:val="clear" w:pos="3960"/>
          <w:tab w:val="left" w:pos="720"/>
          <w:tab w:val="left" w:pos="1440"/>
        </w:tabs>
        <w:ind w:left="1980" w:hanging="540"/>
        <w:rPr>
          <w:sz w:val="22"/>
          <w:szCs w:val="22"/>
        </w:rPr>
      </w:pPr>
      <w:r w:rsidRPr="003E55EB">
        <w:rPr>
          <w:sz w:val="22"/>
          <w:szCs w:val="22"/>
        </w:rPr>
        <w:t>“</w:t>
      </w:r>
      <w:r>
        <w:rPr>
          <w:sz w:val="22"/>
          <w:szCs w:val="22"/>
        </w:rPr>
        <w:t xml:space="preserve">AT&amp;T” or “Company” </w:t>
      </w:r>
      <w:r w:rsidRPr="003E55EB">
        <w:rPr>
          <w:sz w:val="22"/>
          <w:szCs w:val="22"/>
        </w:rPr>
        <w:t xml:space="preserve">means </w:t>
      </w:r>
      <w:r>
        <w:rPr>
          <w:sz w:val="22"/>
          <w:szCs w:val="22"/>
        </w:rPr>
        <w:t xml:space="preserve">AT&amp;T </w:t>
      </w:r>
      <w:r w:rsidR="00186CAA">
        <w:rPr>
          <w:sz w:val="22"/>
          <w:szCs w:val="22"/>
        </w:rPr>
        <w:t>Inc</w:t>
      </w:r>
      <w:r>
        <w:rPr>
          <w:sz w:val="22"/>
          <w:szCs w:val="22"/>
        </w:rPr>
        <w:t>.</w:t>
      </w:r>
      <w:r w:rsidR="00E22347">
        <w:rPr>
          <w:sz w:val="22"/>
          <w:szCs w:val="22"/>
        </w:rPr>
        <w:t>,</w:t>
      </w:r>
      <w:r w:rsidRPr="003E55EB">
        <w:rPr>
          <w:sz w:val="22"/>
          <w:szCs w:val="22"/>
        </w:rPr>
        <w:t xml:space="preserve"> and </w:t>
      </w:r>
      <w:r w:rsidR="00E22347">
        <w:rPr>
          <w:sz w:val="22"/>
          <w:szCs w:val="22"/>
        </w:rPr>
        <w:t xml:space="preserve">each of </w:t>
      </w:r>
      <w:r w:rsidRPr="003E55EB">
        <w:rPr>
          <w:sz w:val="22"/>
          <w:szCs w:val="22"/>
        </w:rPr>
        <w:t xml:space="preserve">its </w:t>
      </w:r>
      <w:r w:rsidR="00E22347">
        <w:rPr>
          <w:sz w:val="22"/>
          <w:szCs w:val="22"/>
        </w:rPr>
        <w:t xml:space="preserve">subsidiaries, </w:t>
      </w:r>
      <w:r w:rsidRPr="003E55EB">
        <w:rPr>
          <w:sz w:val="22"/>
          <w:szCs w:val="22"/>
        </w:rPr>
        <w:t>predecessors</w:t>
      </w:r>
      <w:r w:rsidR="00E22347">
        <w:rPr>
          <w:sz w:val="22"/>
          <w:szCs w:val="22"/>
        </w:rPr>
        <w:t xml:space="preserve">, or </w:t>
      </w:r>
      <w:r w:rsidRPr="003E55EB">
        <w:rPr>
          <w:sz w:val="22"/>
          <w:szCs w:val="22"/>
        </w:rPr>
        <w:t>successors-in-interest.</w:t>
      </w:r>
    </w:p>
    <w:p w:rsidR="00B23CF5" w:rsidRPr="00966159" w:rsidRDefault="00B23CF5" w:rsidP="008645A4">
      <w:pPr>
        <w:tabs>
          <w:tab w:val="left" w:pos="720"/>
          <w:tab w:val="left" w:pos="1440"/>
        </w:tabs>
        <w:ind w:left="1440"/>
        <w:rPr>
          <w:sz w:val="22"/>
          <w:szCs w:val="22"/>
        </w:rPr>
      </w:pPr>
    </w:p>
    <w:p w:rsidR="00966159" w:rsidRPr="00966159" w:rsidRDefault="00B23CF5" w:rsidP="00966159">
      <w:pPr>
        <w:numPr>
          <w:ilvl w:val="0"/>
          <w:numId w:val="3"/>
        </w:numPr>
        <w:tabs>
          <w:tab w:val="clear" w:pos="3960"/>
          <w:tab w:val="left" w:pos="720"/>
          <w:tab w:val="left" w:pos="1440"/>
        </w:tabs>
        <w:ind w:left="1980" w:hanging="540"/>
        <w:rPr>
          <w:sz w:val="22"/>
          <w:szCs w:val="22"/>
        </w:rPr>
      </w:pPr>
      <w:r>
        <w:rPr>
          <w:sz w:val="22"/>
          <w:szCs w:val="22"/>
        </w:rPr>
        <w:t>“Bureau” means the Enforcement Bureau of the Federal Communications Commission.</w:t>
      </w:r>
    </w:p>
    <w:p w:rsidR="00B23CF5" w:rsidRDefault="00B23CF5" w:rsidP="008645A4">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“Commission” and “FCC” mean the Federal Communications Commission and all of its bureaus and offices.  </w:t>
      </w:r>
    </w:p>
    <w:p w:rsidR="00B23CF5" w:rsidRDefault="00B23CF5" w:rsidP="008645A4">
      <w:pPr>
        <w:tabs>
          <w:tab w:val="left" w:pos="720"/>
          <w:tab w:val="left" w:pos="1440"/>
        </w:tabs>
        <w:ind w:left="1440"/>
        <w:rPr>
          <w:sz w:val="22"/>
          <w:szCs w:val="22"/>
        </w:rPr>
      </w:pPr>
    </w:p>
    <w:p w:rsidR="0000678C" w:rsidRDefault="0000678C" w:rsidP="00505D65">
      <w:pPr>
        <w:numPr>
          <w:ilvl w:val="0"/>
          <w:numId w:val="3"/>
        </w:numPr>
        <w:tabs>
          <w:tab w:val="clear" w:pos="3960"/>
          <w:tab w:val="left" w:pos="720"/>
          <w:tab w:val="left" w:pos="1440"/>
        </w:tabs>
        <w:ind w:left="1980" w:hanging="540"/>
        <w:rPr>
          <w:sz w:val="22"/>
          <w:szCs w:val="22"/>
        </w:rPr>
      </w:pPr>
      <w:r w:rsidRPr="0000678C">
        <w:rPr>
          <w:sz w:val="22"/>
          <w:szCs w:val="22"/>
        </w:rPr>
        <w:t>“Communications Laws” means collectively, the Act, the Rules, and the published and promulgated orders and decisions of the Commission to which AT&amp;T is subject by virtue of its business activities.</w:t>
      </w:r>
    </w:p>
    <w:p w:rsidR="0000678C" w:rsidRDefault="0000678C" w:rsidP="008645A4">
      <w:pPr>
        <w:tabs>
          <w:tab w:val="left" w:pos="720"/>
          <w:tab w:val="left" w:pos="1440"/>
        </w:tabs>
        <w:ind w:left="1440"/>
        <w:rPr>
          <w:sz w:val="22"/>
          <w:szCs w:val="22"/>
        </w:rPr>
      </w:pPr>
    </w:p>
    <w:p w:rsidR="00BA4CD0" w:rsidRDefault="00BA4CD0" w:rsidP="00E35EF8">
      <w:pPr>
        <w:pStyle w:val="ListParagraph"/>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lastRenderedPageBreak/>
        <w:t xml:space="preserve">“Compliance Plan” means the compliance obligations, program, and procedures described in this Consent Decree at </w:t>
      </w:r>
      <w:r w:rsidRPr="001A2C8C">
        <w:rPr>
          <w:sz w:val="22"/>
          <w:szCs w:val="22"/>
        </w:rPr>
        <w:t xml:space="preserve">paragraph </w:t>
      </w:r>
      <w:r w:rsidR="00DF7872" w:rsidRPr="00322668">
        <w:rPr>
          <w:sz w:val="22"/>
          <w:szCs w:val="22"/>
        </w:rPr>
        <w:t>12</w:t>
      </w:r>
      <w:r>
        <w:rPr>
          <w:sz w:val="22"/>
          <w:szCs w:val="22"/>
        </w:rPr>
        <w:t>.</w:t>
      </w:r>
    </w:p>
    <w:p w:rsidR="0073756E" w:rsidRDefault="0073756E" w:rsidP="00C278F4">
      <w:pPr>
        <w:tabs>
          <w:tab w:val="left" w:pos="720"/>
          <w:tab w:val="left" w:pos="1440"/>
        </w:tabs>
        <w:ind w:left="1440"/>
        <w:rPr>
          <w:sz w:val="22"/>
          <w:szCs w:val="22"/>
        </w:rPr>
      </w:pPr>
    </w:p>
    <w:p w:rsidR="009B19B8" w:rsidRPr="00505D65" w:rsidRDefault="00B23CF5" w:rsidP="00505D65">
      <w:pPr>
        <w:numPr>
          <w:ilvl w:val="0"/>
          <w:numId w:val="3"/>
        </w:numPr>
        <w:tabs>
          <w:tab w:val="clear" w:pos="3960"/>
          <w:tab w:val="left" w:pos="720"/>
          <w:tab w:val="left" w:pos="1440"/>
        </w:tabs>
        <w:ind w:left="1980" w:hanging="540"/>
        <w:rPr>
          <w:sz w:val="22"/>
          <w:szCs w:val="22"/>
        </w:rPr>
      </w:pPr>
      <w:r w:rsidRPr="00505D65">
        <w:rPr>
          <w:sz w:val="22"/>
          <w:szCs w:val="22"/>
        </w:rPr>
        <w:t xml:space="preserve">“Compliance Reports” mean the reports </w:t>
      </w:r>
      <w:r w:rsidR="00F73191" w:rsidRPr="00505D65">
        <w:rPr>
          <w:sz w:val="22"/>
          <w:szCs w:val="22"/>
        </w:rPr>
        <w:t>AT&amp;T</w:t>
      </w:r>
      <w:r w:rsidRPr="00505D65">
        <w:rPr>
          <w:sz w:val="22"/>
          <w:szCs w:val="22"/>
        </w:rPr>
        <w:t xml:space="preserve"> is required to file with the Commission pursuant to paragraph </w:t>
      </w:r>
      <w:r w:rsidR="00DF7872" w:rsidRPr="00322668">
        <w:rPr>
          <w:sz w:val="22"/>
          <w:szCs w:val="22"/>
        </w:rPr>
        <w:t>14</w:t>
      </w:r>
      <w:r w:rsidRPr="00505D65">
        <w:rPr>
          <w:sz w:val="22"/>
          <w:szCs w:val="22"/>
        </w:rPr>
        <w:t>.</w:t>
      </w:r>
    </w:p>
    <w:p w:rsidR="00B23CF5" w:rsidRDefault="00B23CF5" w:rsidP="008645A4">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“Covered Personnel” means all employees</w:t>
      </w:r>
      <w:r w:rsidR="008351D6">
        <w:rPr>
          <w:sz w:val="22"/>
          <w:szCs w:val="22"/>
        </w:rPr>
        <w:t xml:space="preserve">, independent contractors, </w:t>
      </w:r>
      <w:r w:rsidR="0073756E">
        <w:rPr>
          <w:sz w:val="22"/>
          <w:szCs w:val="22"/>
        </w:rPr>
        <w:t xml:space="preserve">subcontractors, </w:t>
      </w:r>
      <w:r w:rsidR="008351D6">
        <w:rPr>
          <w:sz w:val="22"/>
          <w:szCs w:val="22"/>
        </w:rPr>
        <w:t>and agents</w:t>
      </w:r>
      <w:r>
        <w:rPr>
          <w:sz w:val="22"/>
          <w:szCs w:val="22"/>
        </w:rPr>
        <w:t xml:space="preserve"> of </w:t>
      </w:r>
      <w:r w:rsidR="00F73191">
        <w:rPr>
          <w:sz w:val="22"/>
          <w:szCs w:val="22"/>
        </w:rPr>
        <w:t>AT&amp;T</w:t>
      </w:r>
      <w:r>
        <w:rPr>
          <w:sz w:val="22"/>
          <w:szCs w:val="22"/>
        </w:rPr>
        <w:t xml:space="preserve"> who perform, supervise, oversee, or manage </w:t>
      </w:r>
      <w:r w:rsidR="00023F32">
        <w:rPr>
          <w:sz w:val="22"/>
          <w:szCs w:val="22"/>
        </w:rPr>
        <w:t>any activities</w:t>
      </w:r>
      <w:r>
        <w:rPr>
          <w:sz w:val="22"/>
          <w:szCs w:val="22"/>
        </w:rPr>
        <w:t xml:space="preserve"> that relate to the Company’s responsibilities under, and compliance with, Section 225 of the Act and the TRS Rules</w:t>
      </w:r>
      <w:r w:rsidRPr="008645A4">
        <w:rPr>
          <w:sz w:val="22"/>
          <w:szCs w:val="22"/>
        </w:rPr>
        <w:t>.</w:t>
      </w:r>
    </w:p>
    <w:p w:rsidR="008645A4" w:rsidRDefault="008645A4" w:rsidP="008645A4">
      <w:pPr>
        <w:pStyle w:val="ListParagraph"/>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sidRPr="00371969">
        <w:rPr>
          <w:sz w:val="22"/>
          <w:szCs w:val="22"/>
        </w:rPr>
        <w:t>“Effective Date” means the date on which the Bureau releases the Adopting Order.</w:t>
      </w:r>
    </w:p>
    <w:p w:rsidR="008645A4" w:rsidRDefault="008645A4" w:rsidP="008645A4">
      <w:pPr>
        <w:pStyle w:val="ListParagraph"/>
        <w:rPr>
          <w:sz w:val="22"/>
          <w:szCs w:val="22"/>
        </w:rPr>
      </w:pPr>
    </w:p>
    <w:p w:rsidR="00966159" w:rsidRDefault="00FC1295" w:rsidP="008645A4">
      <w:pPr>
        <w:numPr>
          <w:ilvl w:val="0"/>
          <w:numId w:val="3"/>
        </w:numPr>
        <w:tabs>
          <w:tab w:val="clear" w:pos="3960"/>
          <w:tab w:val="left" w:pos="720"/>
          <w:tab w:val="left" w:pos="1440"/>
        </w:tabs>
        <w:ind w:left="1980" w:hanging="540"/>
        <w:rPr>
          <w:sz w:val="22"/>
          <w:szCs w:val="22"/>
        </w:rPr>
      </w:pPr>
      <w:r>
        <w:rPr>
          <w:sz w:val="22"/>
          <w:szCs w:val="22"/>
        </w:rPr>
        <w:t xml:space="preserve">“FCC </w:t>
      </w:r>
      <w:r w:rsidR="00986F91">
        <w:rPr>
          <w:sz w:val="22"/>
          <w:szCs w:val="22"/>
        </w:rPr>
        <w:t>Compliance Assessment</w:t>
      </w:r>
      <w:r w:rsidR="00022D2B">
        <w:rPr>
          <w:sz w:val="22"/>
          <w:szCs w:val="22"/>
        </w:rPr>
        <w:t>s</w:t>
      </w:r>
      <w:r w:rsidR="00986F91">
        <w:rPr>
          <w:sz w:val="22"/>
          <w:szCs w:val="22"/>
        </w:rPr>
        <w:t>” means review</w:t>
      </w:r>
      <w:r w:rsidR="00810F37">
        <w:rPr>
          <w:sz w:val="22"/>
          <w:szCs w:val="22"/>
        </w:rPr>
        <w:t>s</w:t>
      </w:r>
      <w:r w:rsidR="00986F91">
        <w:rPr>
          <w:sz w:val="22"/>
          <w:szCs w:val="22"/>
        </w:rPr>
        <w:t xml:space="preserve"> conducted by </w:t>
      </w:r>
      <w:r w:rsidR="00F73191">
        <w:rPr>
          <w:sz w:val="22"/>
          <w:szCs w:val="22"/>
        </w:rPr>
        <w:t>AT&amp;T</w:t>
      </w:r>
      <w:r w:rsidR="00986F91">
        <w:rPr>
          <w:sz w:val="22"/>
          <w:szCs w:val="22"/>
        </w:rPr>
        <w:t xml:space="preserve"> </w:t>
      </w:r>
      <w:r w:rsidR="00022D2B">
        <w:rPr>
          <w:sz w:val="22"/>
          <w:szCs w:val="22"/>
        </w:rPr>
        <w:t xml:space="preserve">to ensure that </w:t>
      </w:r>
      <w:r w:rsidR="00986F91">
        <w:rPr>
          <w:sz w:val="22"/>
          <w:szCs w:val="22"/>
        </w:rPr>
        <w:t xml:space="preserve">any Product offered to </w:t>
      </w:r>
      <w:r w:rsidR="00022D2B">
        <w:rPr>
          <w:sz w:val="22"/>
          <w:szCs w:val="22"/>
        </w:rPr>
        <w:t xml:space="preserve">TRS </w:t>
      </w:r>
      <w:r w:rsidR="00986F91">
        <w:rPr>
          <w:sz w:val="22"/>
          <w:szCs w:val="22"/>
        </w:rPr>
        <w:t>user</w:t>
      </w:r>
      <w:r w:rsidR="00022D2B">
        <w:rPr>
          <w:sz w:val="22"/>
          <w:szCs w:val="22"/>
        </w:rPr>
        <w:t>s complies with the Communications Laws.</w:t>
      </w:r>
    </w:p>
    <w:p w:rsidR="008645A4" w:rsidRPr="008645A4" w:rsidRDefault="008645A4" w:rsidP="008645A4">
      <w:pPr>
        <w:tabs>
          <w:tab w:val="left" w:pos="720"/>
          <w:tab w:val="left" w:pos="1440"/>
        </w:tabs>
        <w:ind w:left="1440"/>
        <w:rPr>
          <w:sz w:val="22"/>
          <w:szCs w:val="22"/>
        </w:rPr>
      </w:pPr>
    </w:p>
    <w:p w:rsidR="00171C20" w:rsidRDefault="00171C20" w:rsidP="008645A4">
      <w:pPr>
        <w:numPr>
          <w:ilvl w:val="0"/>
          <w:numId w:val="3"/>
        </w:numPr>
        <w:tabs>
          <w:tab w:val="clear" w:pos="3960"/>
          <w:tab w:val="left" w:pos="720"/>
          <w:tab w:val="left" w:pos="1440"/>
        </w:tabs>
        <w:ind w:left="1980" w:hanging="540"/>
        <w:rPr>
          <w:sz w:val="22"/>
          <w:szCs w:val="22"/>
        </w:rPr>
      </w:pPr>
      <w:r w:rsidRPr="008645A4">
        <w:rPr>
          <w:sz w:val="22"/>
          <w:szCs w:val="22"/>
        </w:rPr>
        <w:t xml:space="preserve">“Internet-based TRS” means any form of TRS </w:t>
      </w:r>
      <w:r w:rsidR="00810F37">
        <w:rPr>
          <w:sz w:val="22"/>
          <w:szCs w:val="22"/>
        </w:rPr>
        <w:t xml:space="preserve">in which an individual with a hearing or speech disability connects to a communications assistant using an Internet Protocol-enabled device via the Internet.  </w:t>
      </w:r>
      <w:r w:rsidR="00810F37">
        <w:rPr>
          <w:i/>
          <w:sz w:val="22"/>
          <w:szCs w:val="22"/>
        </w:rPr>
        <w:t xml:space="preserve">See </w:t>
      </w:r>
      <w:r w:rsidR="00810F37">
        <w:rPr>
          <w:sz w:val="22"/>
          <w:szCs w:val="22"/>
        </w:rPr>
        <w:t>47 C.F.R. § 64.601(a)(11)</w:t>
      </w:r>
      <w:r w:rsidRPr="008645A4">
        <w:rPr>
          <w:sz w:val="22"/>
          <w:szCs w:val="22"/>
        </w:rPr>
        <w:t>.</w:t>
      </w:r>
    </w:p>
    <w:p w:rsidR="008645A4" w:rsidRPr="008645A4" w:rsidRDefault="008645A4" w:rsidP="008645A4">
      <w:pPr>
        <w:tabs>
          <w:tab w:val="left" w:pos="720"/>
          <w:tab w:val="left" w:pos="1440"/>
        </w:tabs>
        <w:ind w:left="1440"/>
        <w:rPr>
          <w:sz w:val="22"/>
          <w:szCs w:val="22"/>
        </w:rPr>
      </w:pPr>
    </w:p>
    <w:p w:rsidR="00171C20" w:rsidRDefault="00171C20" w:rsidP="008645A4">
      <w:pPr>
        <w:numPr>
          <w:ilvl w:val="0"/>
          <w:numId w:val="3"/>
        </w:numPr>
        <w:tabs>
          <w:tab w:val="clear" w:pos="3960"/>
          <w:tab w:val="left" w:pos="720"/>
          <w:tab w:val="left" w:pos="1440"/>
        </w:tabs>
        <w:ind w:left="1980" w:hanging="540"/>
        <w:rPr>
          <w:sz w:val="22"/>
          <w:szCs w:val="22"/>
        </w:rPr>
      </w:pPr>
      <w:r w:rsidRPr="008645A4">
        <w:rPr>
          <w:sz w:val="22"/>
          <w:szCs w:val="22"/>
        </w:rPr>
        <w:t xml:space="preserve">“Investigation” means </w:t>
      </w:r>
      <w:r w:rsidR="00016846">
        <w:rPr>
          <w:sz w:val="22"/>
          <w:szCs w:val="22"/>
        </w:rPr>
        <w:t>the inquiry</w:t>
      </w:r>
      <w:r w:rsidRPr="008645A4">
        <w:rPr>
          <w:sz w:val="22"/>
          <w:szCs w:val="22"/>
        </w:rPr>
        <w:t xml:space="preserve"> undertaken by the Bureau in File No.: EB-TCD-12-00000337 (formerly EB-11-TC-022)</w:t>
      </w:r>
      <w:r w:rsidR="00F91E8A">
        <w:rPr>
          <w:sz w:val="22"/>
          <w:szCs w:val="22"/>
        </w:rPr>
        <w:t xml:space="preserve"> regarding compliance with the TRS Rules</w:t>
      </w:r>
      <w:r w:rsidR="00B6579F">
        <w:rPr>
          <w:sz w:val="22"/>
          <w:szCs w:val="22"/>
        </w:rPr>
        <w:t>, and the term expressly excludes any pending litigation</w:t>
      </w:r>
      <w:r w:rsidRPr="008645A4">
        <w:rPr>
          <w:sz w:val="22"/>
          <w:szCs w:val="22"/>
        </w:rPr>
        <w:t>.</w:t>
      </w:r>
    </w:p>
    <w:p w:rsidR="008645A4" w:rsidRPr="008645A4" w:rsidRDefault="008645A4" w:rsidP="008645A4">
      <w:pPr>
        <w:tabs>
          <w:tab w:val="left" w:pos="720"/>
          <w:tab w:val="left" w:pos="1440"/>
        </w:tabs>
        <w:ind w:left="1440"/>
        <w:rPr>
          <w:sz w:val="22"/>
          <w:szCs w:val="22"/>
        </w:rPr>
      </w:pPr>
    </w:p>
    <w:p w:rsidR="00966159" w:rsidRDefault="00966159" w:rsidP="008645A4">
      <w:pPr>
        <w:numPr>
          <w:ilvl w:val="0"/>
          <w:numId w:val="3"/>
        </w:numPr>
        <w:tabs>
          <w:tab w:val="clear" w:pos="3960"/>
          <w:tab w:val="left" w:pos="720"/>
          <w:tab w:val="left" w:pos="1440"/>
        </w:tabs>
        <w:ind w:left="1980" w:hanging="540"/>
        <w:rPr>
          <w:sz w:val="22"/>
          <w:szCs w:val="22"/>
        </w:rPr>
      </w:pPr>
      <w:r w:rsidRPr="00966159">
        <w:rPr>
          <w:sz w:val="22"/>
          <w:szCs w:val="22"/>
        </w:rPr>
        <w:t>“IP Relay” means Internet Protocol Relay Service, 47 C.F.R. § 64.601(a)(13).</w:t>
      </w:r>
    </w:p>
    <w:p w:rsidR="008645A4" w:rsidRDefault="008645A4" w:rsidP="008645A4">
      <w:pPr>
        <w:tabs>
          <w:tab w:val="left" w:pos="720"/>
          <w:tab w:val="left" w:pos="1440"/>
        </w:tabs>
        <w:ind w:left="1440"/>
        <w:rPr>
          <w:sz w:val="22"/>
          <w:szCs w:val="22"/>
        </w:rPr>
      </w:pPr>
    </w:p>
    <w:p w:rsidR="00357B72" w:rsidRDefault="00357B72" w:rsidP="008645A4">
      <w:pPr>
        <w:numPr>
          <w:ilvl w:val="0"/>
          <w:numId w:val="3"/>
        </w:numPr>
        <w:tabs>
          <w:tab w:val="clear" w:pos="3960"/>
          <w:tab w:val="left" w:pos="720"/>
          <w:tab w:val="left" w:pos="1440"/>
        </w:tabs>
        <w:ind w:left="1980" w:hanging="540"/>
        <w:rPr>
          <w:sz w:val="22"/>
          <w:szCs w:val="22"/>
        </w:rPr>
      </w:pPr>
      <w:r>
        <w:rPr>
          <w:sz w:val="22"/>
          <w:szCs w:val="22"/>
        </w:rPr>
        <w:t>“iTRS database” means the TRS Numbering Directory as described in 47 C.F.R. § 64.613.</w:t>
      </w:r>
    </w:p>
    <w:p w:rsidR="00357B72" w:rsidRDefault="00357B72" w:rsidP="00357B72">
      <w:pPr>
        <w:pStyle w:val="ListParagraph"/>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 xml:space="preserve">“Operating Procedures” means the operating procedures </w:t>
      </w:r>
      <w:r w:rsidR="00170E34">
        <w:rPr>
          <w:sz w:val="22"/>
          <w:szCs w:val="22"/>
        </w:rPr>
        <w:t xml:space="preserve">and compliance policies </w:t>
      </w:r>
      <w:r w:rsidR="00BA4CD0">
        <w:rPr>
          <w:sz w:val="22"/>
          <w:szCs w:val="22"/>
        </w:rPr>
        <w:t>esta</w:t>
      </w:r>
      <w:r>
        <w:rPr>
          <w:sz w:val="22"/>
          <w:szCs w:val="22"/>
        </w:rPr>
        <w:t xml:space="preserve">blished </w:t>
      </w:r>
      <w:r w:rsidR="008C09FC">
        <w:rPr>
          <w:sz w:val="22"/>
          <w:szCs w:val="22"/>
        </w:rPr>
        <w:t xml:space="preserve">and used </w:t>
      </w:r>
      <w:r>
        <w:rPr>
          <w:sz w:val="22"/>
          <w:szCs w:val="22"/>
        </w:rPr>
        <w:t xml:space="preserve">by </w:t>
      </w:r>
      <w:r w:rsidR="00414946">
        <w:rPr>
          <w:sz w:val="22"/>
          <w:szCs w:val="22"/>
        </w:rPr>
        <w:t>AT&amp;T</w:t>
      </w:r>
      <w:r>
        <w:rPr>
          <w:sz w:val="22"/>
          <w:szCs w:val="22"/>
        </w:rPr>
        <w:t xml:space="preserve"> to implement the Compliance Plan.</w:t>
      </w:r>
    </w:p>
    <w:p w:rsidR="00B23CF5" w:rsidRDefault="00B23CF5" w:rsidP="008645A4">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“Parties” means </w:t>
      </w:r>
      <w:r w:rsidR="00414946">
        <w:rPr>
          <w:sz w:val="22"/>
          <w:szCs w:val="22"/>
        </w:rPr>
        <w:t>AT&amp;T</w:t>
      </w:r>
      <w:r>
        <w:rPr>
          <w:sz w:val="22"/>
          <w:szCs w:val="22"/>
        </w:rPr>
        <w:t xml:space="preserve"> and the Bureau, each of which is a “Party.”</w:t>
      </w:r>
    </w:p>
    <w:p w:rsidR="00B23CF5" w:rsidRDefault="00B23CF5" w:rsidP="008645A4">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“Products” means </w:t>
      </w:r>
      <w:r w:rsidR="00397A65">
        <w:rPr>
          <w:sz w:val="22"/>
          <w:szCs w:val="22"/>
        </w:rPr>
        <w:t xml:space="preserve">TRS </w:t>
      </w:r>
      <w:r>
        <w:rPr>
          <w:sz w:val="22"/>
          <w:szCs w:val="22"/>
        </w:rPr>
        <w:t xml:space="preserve">products, services, equipment, and software offered by </w:t>
      </w:r>
      <w:r w:rsidR="00414946">
        <w:rPr>
          <w:sz w:val="22"/>
          <w:szCs w:val="22"/>
        </w:rPr>
        <w:t>AT&amp;T</w:t>
      </w:r>
      <w:r>
        <w:rPr>
          <w:sz w:val="22"/>
          <w:szCs w:val="22"/>
        </w:rPr>
        <w:t xml:space="preserve"> to TRS users.</w:t>
      </w:r>
    </w:p>
    <w:p w:rsidR="00B23CF5" w:rsidRDefault="00B23CF5" w:rsidP="001503DA">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 xml:space="preserve">“Refund Payment” means the payment to be made by </w:t>
      </w:r>
      <w:r w:rsidR="00C307B6">
        <w:rPr>
          <w:sz w:val="22"/>
          <w:szCs w:val="22"/>
        </w:rPr>
        <w:t>AT&amp;T</w:t>
      </w:r>
      <w:r>
        <w:rPr>
          <w:sz w:val="22"/>
          <w:szCs w:val="22"/>
        </w:rPr>
        <w:t xml:space="preserve"> to the TRS Fund pursuant to this Consent Decree and described at paragraph</w:t>
      </w:r>
      <w:r w:rsidR="00966159">
        <w:rPr>
          <w:sz w:val="22"/>
          <w:szCs w:val="22"/>
        </w:rPr>
        <w:t xml:space="preserve"> </w:t>
      </w:r>
      <w:r w:rsidR="00DF7872" w:rsidRPr="00322668">
        <w:rPr>
          <w:sz w:val="22"/>
          <w:szCs w:val="22"/>
        </w:rPr>
        <w:t>18</w:t>
      </w:r>
      <w:r>
        <w:rPr>
          <w:sz w:val="22"/>
          <w:szCs w:val="22"/>
        </w:rPr>
        <w:t>.</w:t>
      </w:r>
    </w:p>
    <w:p w:rsidR="00B23CF5" w:rsidRDefault="00B23CF5" w:rsidP="001503DA">
      <w:pPr>
        <w:tabs>
          <w:tab w:val="left" w:pos="720"/>
          <w:tab w:val="left" w:pos="1440"/>
        </w:tabs>
        <w:ind w:left="1440"/>
        <w:rPr>
          <w:sz w:val="22"/>
          <w:szCs w:val="22"/>
        </w:rPr>
      </w:pPr>
    </w:p>
    <w:p w:rsidR="00B23CF5" w:rsidRDefault="00B23CF5" w:rsidP="00BF12B3">
      <w:pPr>
        <w:numPr>
          <w:ilvl w:val="0"/>
          <w:numId w:val="3"/>
        </w:numPr>
        <w:tabs>
          <w:tab w:val="clear" w:pos="3960"/>
          <w:tab w:val="left" w:pos="720"/>
          <w:tab w:val="left" w:pos="1440"/>
        </w:tabs>
        <w:ind w:left="1980" w:hanging="540"/>
        <w:rPr>
          <w:sz w:val="22"/>
          <w:szCs w:val="22"/>
        </w:rPr>
      </w:pPr>
      <w:r>
        <w:rPr>
          <w:sz w:val="22"/>
          <w:szCs w:val="22"/>
        </w:rPr>
        <w:t>“Rules” means the Commission’s regulations found in Title 47 of the Code of Federal Regulations.</w:t>
      </w:r>
    </w:p>
    <w:p w:rsidR="00B23CF5" w:rsidRDefault="00B23CF5" w:rsidP="001503DA">
      <w:pPr>
        <w:tabs>
          <w:tab w:val="left" w:pos="720"/>
          <w:tab w:val="left" w:pos="1440"/>
        </w:tabs>
        <w:ind w:left="1440"/>
        <w:rPr>
          <w:sz w:val="22"/>
          <w:szCs w:val="22"/>
        </w:rPr>
      </w:pPr>
    </w:p>
    <w:p w:rsidR="00B23CF5" w:rsidRDefault="00B23CF5" w:rsidP="00F90F15">
      <w:pPr>
        <w:numPr>
          <w:ilvl w:val="0"/>
          <w:numId w:val="3"/>
        </w:numPr>
        <w:tabs>
          <w:tab w:val="clear" w:pos="3960"/>
          <w:tab w:val="left" w:pos="720"/>
          <w:tab w:val="left" w:pos="1440"/>
        </w:tabs>
        <w:ind w:left="1980" w:hanging="540"/>
        <w:rPr>
          <w:sz w:val="22"/>
          <w:szCs w:val="22"/>
        </w:rPr>
      </w:pPr>
      <w:r>
        <w:rPr>
          <w:sz w:val="22"/>
          <w:szCs w:val="22"/>
        </w:rPr>
        <w:t>“TRS” means Telecommunications Relay Services, 47 C.F.R. § 64.601(a)(2</w:t>
      </w:r>
      <w:r w:rsidR="007E13EC">
        <w:rPr>
          <w:sz w:val="22"/>
          <w:szCs w:val="22"/>
        </w:rPr>
        <w:t>2</w:t>
      </w:r>
      <w:r>
        <w:rPr>
          <w:sz w:val="22"/>
          <w:szCs w:val="22"/>
        </w:rPr>
        <w:t>).</w:t>
      </w:r>
    </w:p>
    <w:p w:rsidR="00B23CF5" w:rsidRDefault="00B23CF5" w:rsidP="001503DA">
      <w:pPr>
        <w:tabs>
          <w:tab w:val="left" w:pos="720"/>
          <w:tab w:val="left" w:pos="1440"/>
        </w:tabs>
        <w:ind w:left="1440"/>
        <w:rPr>
          <w:sz w:val="22"/>
          <w:szCs w:val="22"/>
        </w:rPr>
      </w:pPr>
    </w:p>
    <w:p w:rsidR="00B23CF5" w:rsidRDefault="00B23CF5" w:rsidP="00E60E56">
      <w:pPr>
        <w:numPr>
          <w:ilvl w:val="0"/>
          <w:numId w:val="3"/>
        </w:numPr>
        <w:tabs>
          <w:tab w:val="clear" w:pos="3960"/>
          <w:tab w:val="left" w:pos="720"/>
          <w:tab w:val="left" w:pos="1440"/>
        </w:tabs>
        <w:ind w:left="1980" w:hanging="540"/>
        <w:rPr>
          <w:sz w:val="22"/>
          <w:szCs w:val="22"/>
        </w:rPr>
      </w:pPr>
      <w:r>
        <w:rPr>
          <w:sz w:val="22"/>
          <w:szCs w:val="22"/>
        </w:rPr>
        <w:t xml:space="preserve">“TRS Fund” or “Fund” means the </w:t>
      </w:r>
      <w:r w:rsidR="00C80B60">
        <w:rPr>
          <w:sz w:val="22"/>
          <w:szCs w:val="22"/>
        </w:rPr>
        <w:t>Interstate Cost Recovery Plan administered by an entity selected by the Commission</w:t>
      </w:r>
      <w:r w:rsidRPr="00471780">
        <w:rPr>
          <w:sz w:val="22"/>
          <w:szCs w:val="22"/>
        </w:rPr>
        <w:t>, 47 C.F.R. § 64.604(c)(5)(iii)</w:t>
      </w:r>
      <w:r>
        <w:rPr>
          <w:sz w:val="22"/>
          <w:szCs w:val="22"/>
        </w:rPr>
        <w:t>.</w:t>
      </w:r>
    </w:p>
    <w:p w:rsidR="00B23CF5" w:rsidRDefault="00B23CF5" w:rsidP="001503DA">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“TRS Fund administrator” or “Administrator” means the entity selected by the Commission to administer the TRS Fund</w:t>
      </w:r>
      <w:r w:rsidRPr="00471780">
        <w:rPr>
          <w:sz w:val="22"/>
          <w:szCs w:val="22"/>
        </w:rPr>
        <w:t>, 47 C.F.R. § 64.604(c)(5)(iii).</w:t>
      </w:r>
    </w:p>
    <w:p w:rsidR="00B23CF5" w:rsidRDefault="00B23CF5" w:rsidP="001503DA">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lastRenderedPageBreak/>
        <w:t xml:space="preserve">“TRS Rules” means the regulations set forth at Section 64.601 through Section 64.613 of the Rules, 47 C.F.R. §§ 64.601 </w:t>
      </w:r>
      <w:r w:rsidRPr="008645A4">
        <w:rPr>
          <w:sz w:val="22"/>
          <w:szCs w:val="22"/>
        </w:rPr>
        <w:t>et seq.</w:t>
      </w:r>
      <w:r w:rsidR="00186CAA">
        <w:rPr>
          <w:sz w:val="22"/>
          <w:szCs w:val="22"/>
        </w:rPr>
        <w:t xml:space="preserve">, </w:t>
      </w:r>
      <w:r>
        <w:rPr>
          <w:sz w:val="22"/>
          <w:szCs w:val="22"/>
        </w:rPr>
        <w:t>Commission orders implementing and interpreting 47 U.S.C. § 225 of the Act</w:t>
      </w:r>
      <w:r w:rsidR="00171C7B">
        <w:rPr>
          <w:sz w:val="22"/>
          <w:szCs w:val="22"/>
        </w:rPr>
        <w:t xml:space="preserve">, and any other </w:t>
      </w:r>
      <w:r w:rsidR="008C09FC">
        <w:rPr>
          <w:sz w:val="22"/>
          <w:szCs w:val="22"/>
        </w:rPr>
        <w:t>R</w:t>
      </w:r>
      <w:r w:rsidR="00631B67">
        <w:rPr>
          <w:sz w:val="22"/>
          <w:szCs w:val="22"/>
        </w:rPr>
        <w:t>ules and orders</w:t>
      </w:r>
      <w:r w:rsidR="00171C7B">
        <w:rPr>
          <w:sz w:val="22"/>
          <w:szCs w:val="22"/>
        </w:rPr>
        <w:t xml:space="preserve"> applicable to TRS providers</w:t>
      </w:r>
      <w:r w:rsidR="00A77185">
        <w:rPr>
          <w:sz w:val="22"/>
          <w:szCs w:val="22"/>
        </w:rPr>
        <w:t>,</w:t>
      </w:r>
      <w:r w:rsidR="007607EE">
        <w:rPr>
          <w:sz w:val="22"/>
          <w:szCs w:val="22"/>
        </w:rPr>
        <w:t xml:space="preserve"> as such Rules and orders apply to AT&amp;T and any Product or form of TRS offered by AT&amp;T</w:t>
      </w:r>
      <w:r>
        <w:rPr>
          <w:sz w:val="22"/>
          <w:szCs w:val="22"/>
        </w:rPr>
        <w:t>.</w:t>
      </w:r>
    </w:p>
    <w:p w:rsidR="00B23CF5" w:rsidRDefault="00B23CF5" w:rsidP="001503DA">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 xml:space="preserve">“Voluntary Contribution” means the payment </w:t>
      </w:r>
      <w:r w:rsidR="00370C40">
        <w:rPr>
          <w:sz w:val="22"/>
          <w:szCs w:val="22"/>
        </w:rPr>
        <w:t xml:space="preserve">to be </w:t>
      </w:r>
      <w:r>
        <w:rPr>
          <w:sz w:val="22"/>
          <w:szCs w:val="22"/>
        </w:rPr>
        <w:t xml:space="preserve">made by </w:t>
      </w:r>
      <w:r w:rsidR="00414946">
        <w:rPr>
          <w:sz w:val="22"/>
          <w:szCs w:val="22"/>
        </w:rPr>
        <w:t>AT&amp;T</w:t>
      </w:r>
      <w:r>
        <w:rPr>
          <w:sz w:val="22"/>
          <w:szCs w:val="22"/>
        </w:rPr>
        <w:t xml:space="preserve"> to the United States Treasury pursuant to this Consent Decree and describe</w:t>
      </w:r>
      <w:r w:rsidR="005716AA">
        <w:rPr>
          <w:sz w:val="22"/>
          <w:szCs w:val="22"/>
        </w:rPr>
        <w:t>d at paragraph</w:t>
      </w:r>
      <w:r w:rsidR="001930EE">
        <w:rPr>
          <w:sz w:val="22"/>
          <w:szCs w:val="22"/>
        </w:rPr>
        <w:t xml:space="preserve"> </w:t>
      </w:r>
      <w:r w:rsidR="00DF7872" w:rsidRPr="00322668">
        <w:rPr>
          <w:sz w:val="22"/>
          <w:szCs w:val="22"/>
        </w:rPr>
        <w:t>17</w:t>
      </w:r>
      <w:r>
        <w:rPr>
          <w:sz w:val="22"/>
          <w:szCs w:val="22"/>
        </w:rPr>
        <w:t>.</w:t>
      </w:r>
    </w:p>
    <w:p w:rsidR="00B23CF5" w:rsidRPr="00F31439" w:rsidRDefault="00B23CF5" w:rsidP="001503DA">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“VRS” means video relay service, 47 C.F.R. § 64.601(a)(27).</w:t>
      </w:r>
    </w:p>
    <w:p w:rsidR="00B23CF5" w:rsidRDefault="00B23CF5" w:rsidP="001503DA">
      <w:pPr>
        <w:tabs>
          <w:tab w:val="left" w:pos="720"/>
          <w:tab w:val="left" w:pos="1440"/>
        </w:tabs>
        <w:ind w:left="1440"/>
        <w:rPr>
          <w:sz w:val="22"/>
          <w:szCs w:val="22"/>
        </w:rPr>
      </w:pPr>
    </w:p>
    <w:p w:rsidR="00B23CF5" w:rsidRDefault="00B23CF5" w:rsidP="008645A4">
      <w:pPr>
        <w:numPr>
          <w:ilvl w:val="0"/>
          <w:numId w:val="3"/>
        </w:numPr>
        <w:tabs>
          <w:tab w:val="clear" w:pos="3960"/>
          <w:tab w:val="left" w:pos="720"/>
          <w:tab w:val="left" w:pos="1440"/>
        </w:tabs>
        <w:ind w:left="1980" w:hanging="540"/>
        <w:rPr>
          <w:sz w:val="22"/>
          <w:szCs w:val="22"/>
        </w:rPr>
      </w:pPr>
      <w:r>
        <w:rPr>
          <w:sz w:val="22"/>
          <w:szCs w:val="22"/>
        </w:rPr>
        <w:t xml:space="preserve">“Work Number” means a ten-digit number </w:t>
      </w:r>
      <w:r w:rsidR="00D82EAB">
        <w:rPr>
          <w:sz w:val="22"/>
          <w:szCs w:val="22"/>
        </w:rPr>
        <w:t xml:space="preserve">associated with </w:t>
      </w:r>
      <w:r w:rsidR="00186CAA">
        <w:rPr>
          <w:sz w:val="22"/>
          <w:szCs w:val="22"/>
        </w:rPr>
        <w:t>Covered Personnel</w:t>
      </w:r>
      <w:r w:rsidR="00D82EAB">
        <w:rPr>
          <w:sz w:val="22"/>
          <w:szCs w:val="22"/>
        </w:rPr>
        <w:t xml:space="preserve"> that is designated for business purposes</w:t>
      </w:r>
      <w:r w:rsidR="00186CAA">
        <w:rPr>
          <w:sz w:val="22"/>
          <w:szCs w:val="22"/>
        </w:rPr>
        <w:t xml:space="preserve">.  </w:t>
      </w:r>
    </w:p>
    <w:p w:rsidR="00B23CF5" w:rsidRDefault="00B23CF5" w:rsidP="004A0976">
      <w:pPr>
        <w:pStyle w:val="ListParagraph"/>
        <w:rPr>
          <w:sz w:val="22"/>
          <w:szCs w:val="22"/>
        </w:rPr>
      </w:pPr>
    </w:p>
    <w:p w:rsidR="00B23CF5" w:rsidRDefault="00B23CF5" w:rsidP="00BF12B3">
      <w:pPr>
        <w:keepNext/>
        <w:tabs>
          <w:tab w:val="left" w:pos="720"/>
        </w:tabs>
        <w:rPr>
          <w:b/>
          <w:sz w:val="22"/>
          <w:szCs w:val="22"/>
        </w:rPr>
      </w:pPr>
      <w:r>
        <w:rPr>
          <w:sz w:val="22"/>
          <w:szCs w:val="22"/>
        </w:rPr>
        <w:t xml:space="preserve"> </w:t>
      </w:r>
    </w:p>
    <w:p w:rsidR="00B23CF5" w:rsidRPr="004A0976" w:rsidRDefault="00B23CF5" w:rsidP="00163B72">
      <w:pPr>
        <w:keepNext/>
        <w:tabs>
          <w:tab w:val="left" w:pos="720"/>
        </w:tabs>
        <w:rPr>
          <w:b/>
          <w:sz w:val="22"/>
          <w:szCs w:val="22"/>
        </w:rPr>
      </w:pPr>
      <w:r w:rsidRPr="004A0976">
        <w:rPr>
          <w:b/>
          <w:sz w:val="22"/>
          <w:szCs w:val="22"/>
        </w:rPr>
        <w:t>II.</w:t>
      </w:r>
      <w:r w:rsidRPr="004A0976">
        <w:rPr>
          <w:b/>
          <w:sz w:val="22"/>
          <w:szCs w:val="22"/>
        </w:rPr>
        <w:tab/>
        <w:t>BACKGROUND</w:t>
      </w:r>
    </w:p>
    <w:p w:rsidR="00B23CF5" w:rsidRPr="004A0976" w:rsidRDefault="00B23CF5" w:rsidP="00BF12B3">
      <w:pPr>
        <w:pStyle w:val="par1"/>
        <w:numPr>
          <w:ilvl w:val="0"/>
          <w:numId w:val="0"/>
        </w:numPr>
        <w:rPr>
          <w:szCs w:val="22"/>
        </w:rPr>
      </w:pPr>
    </w:p>
    <w:p w:rsidR="00B3682C" w:rsidRPr="00A77185" w:rsidRDefault="00B23CF5" w:rsidP="00B3682C">
      <w:pPr>
        <w:pStyle w:val="par1"/>
        <w:numPr>
          <w:ilvl w:val="1"/>
          <w:numId w:val="6"/>
        </w:numPr>
        <w:tabs>
          <w:tab w:val="left" w:pos="1080"/>
          <w:tab w:val="left" w:pos="1440"/>
        </w:tabs>
        <w:ind w:left="0" w:firstLine="720"/>
        <w:rPr>
          <w:rFonts w:eastAsia="Batang"/>
          <w:snapToGrid w:val="0"/>
        </w:rPr>
      </w:pPr>
      <w:r w:rsidRPr="004A0976">
        <w:rPr>
          <w:rFonts w:eastAsia="Batang"/>
          <w:snapToGrid w:val="0"/>
          <w:szCs w:val="22"/>
        </w:rPr>
        <w:tab/>
      </w:r>
      <w:r w:rsidR="000B6851">
        <w:rPr>
          <w:rFonts w:eastAsia="Batang"/>
          <w:snapToGrid w:val="0"/>
          <w:szCs w:val="22"/>
        </w:rPr>
        <w:t xml:space="preserve">TRS is a telephone transmission service that </w:t>
      </w:r>
      <w:r w:rsidR="000B6851" w:rsidRPr="00683B91">
        <w:rPr>
          <w:rFonts w:eastAsia="Batang"/>
        </w:rPr>
        <w:t xml:space="preserve">enables </w:t>
      </w:r>
      <w:r w:rsidR="000B6851">
        <w:rPr>
          <w:rFonts w:eastAsia="Batang"/>
          <w:snapToGrid w:val="0"/>
          <w:szCs w:val="22"/>
        </w:rPr>
        <w:t xml:space="preserve">persons who are deaf, hard of </w:t>
      </w:r>
      <w:r w:rsidR="000B6851" w:rsidRPr="00683B91">
        <w:rPr>
          <w:rFonts w:eastAsia="Batang"/>
        </w:rPr>
        <w:t>hearing</w:t>
      </w:r>
      <w:r w:rsidR="000B6851">
        <w:rPr>
          <w:rFonts w:eastAsia="Batang"/>
          <w:snapToGrid w:val="0"/>
          <w:szCs w:val="22"/>
        </w:rPr>
        <w:t xml:space="preserve">, deaf-blind, as well as those with </w:t>
      </w:r>
      <w:r w:rsidR="000B6851" w:rsidRPr="00683B91">
        <w:rPr>
          <w:rFonts w:eastAsia="Batang"/>
        </w:rPr>
        <w:t xml:space="preserve">speech </w:t>
      </w:r>
      <w:r w:rsidR="000B6851">
        <w:rPr>
          <w:rFonts w:eastAsia="Batang"/>
          <w:snapToGrid w:val="0"/>
          <w:szCs w:val="22"/>
        </w:rPr>
        <w:t>disabilit</w:t>
      </w:r>
      <w:r w:rsidR="00F91E8A">
        <w:rPr>
          <w:rFonts w:eastAsia="Batang"/>
          <w:snapToGrid w:val="0"/>
          <w:szCs w:val="22"/>
        </w:rPr>
        <w:t>ies</w:t>
      </w:r>
      <w:r w:rsidR="000B6851" w:rsidRPr="00683B91">
        <w:rPr>
          <w:rFonts w:eastAsia="Batang"/>
        </w:rPr>
        <w:t xml:space="preserve"> to </w:t>
      </w:r>
      <w:r w:rsidR="000B6851">
        <w:rPr>
          <w:rFonts w:eastAsia="Batang"/>
          <w:snapToGrid w:val="0"/>
          <w:szCs w:val="22"/>
        </w:rPr>
        <w:t>communicate</w:t>
      </w:r>
      <w:r w:rsidR="000B6851" w:rsidRPr="00683B91">
        <w:rPr>
          <w:rFonts w:eastAsia="Batang"/>
        </w:rPr>
        <w:t xml:space="preserve"> by wire or radio </w:t>
      </w:r>
      <w:r w:rsidR="000B6851">
        <w:rPr>
          <w:rFonts w:eastAsia="Batang"/>
        </w:rPr>
        <w:t xml:space="preserve">with </w:t>
      </w:r>
      <w:r w:rsidR="000B6851">
        <w:rPr>
          <w:rFonts w:eastAsia="Batang"/>
          <w:snapToGrid w:val="0"/>
          <w:szCs w:val="22"/>
        </w:rPr>
        <w:t xml:space="preserve">hearing individuals </w:t>
      </w:r>
      <w:r w:rsidR="000B6851" w:rsidRPr="00683B91">
        <w:rPr>
          <w:rFonts w:eastAsia="Batang"/>
        </w:rPr>
        <w:t xml:space="preserve">in a manner </w:t>
      </w:r>
      <w:r w:rsidR="000B6851">
        <w:rPr>
          <w:rFonts w:eastAsia="Batang"/>
          <w:snapToGrid w:val="0"/>
          <w:szCs w:val="22"/>
        </w:rPr>
        <w:t xml:space="preserve">that is </w:t>
      </w:r>
      <w:r w:rsidR="000B6851" w:rsidRPr="00683B91">
        <w:rPr>
          <w:rFonts w:eastAsia="Batang"/>
        </w:rPr>
        <w:t xml:space="preserve">functionally equivalent to </w:t>
      </w:r>
      <w:r w:rsidR="000B6851" w:rsidRPr="003871D1">
        <w:rPr>
          <w:rFonts w:eastAsia="Batang"/>
        </w:rPr>
        <w:t xml:space="preserve">voice </w:t>
      </w:r>
      <w:r w:rsidR="000B6851">
        <w:rPr>
          <w:rFonts w:eastAsia="Batang"/>
          <w:snapToGrid w:val="0"/>
          <w:szCs w:val="22"/>
        </w:rPr>
        <w:t>communication</w:t>
      </w:r>
      <w:r w:rsidR="000B6851" w:rsidRPr="003871D1">
        <w:rPr>
          <w:rFonts w:eastAsia="Batang"/>
        </w:rPr>
        <w:t xml:space="preserve"> services </w:t>
      </w:r>
      <w:r w:rsidR="00F91E8A">
        <w:rPr>
          <w:rFonts w:eastAsia="Batang"/>
        </w:rPr>
        <w:t xml:space="preserve">utilized by those </w:t>
      </w:r>
      <w:r w:rsidR="000B6851">
        <w:rPr>
          <w:rFonts w:eastAsia="Batang"/>
          <w:snapToGrid w:val="0"/>
          <w:szCs w:val="22"/>
        </w:rPr>
        <w:t>without such disabilities.</w:t>
      </w:r>
      <w:r w:rsidR="000B6851" w:rsidRPr="00683B91">
        <w:rPr>
          <w:rStyle w:val="FootnoteReference"/>
          <w:rFonts w:eastAsia="Batang"/>
        </w:rPr>
        <w:footnoteReference w:id="8"/>
      </w:r>
      <w:r w:rsidR="000B6851">
        <w:rPr>
          <w:rFonts w:eastAsia="Batang"/>
        </w:rPr>
        <w:t xml:space="preserve">  </w:t>
      </w:r>
      <w:r w:rsidRPr="004A0976">
        <w:rPr>
          <w:rFonts w:eastAsia="Batang"/>
          <w:snapToGrid w:val="0"/>
          <w:szCs w:val="22"/>
        </w:rPr>
        <w:t xml:space="preserve">Section 225 of the Act </w:t>
      </w:r>
      <w:r w:rsidR="00F91E8A">
        <w:rPr>
          <w:rFonts w:eastAsia="Batang"/>
          <w:snapToGrid w:val="0"/>
          <w:szCs w:val="22"/>
        </w:rPr>
        <w:t>obligates</w:t>
      </w:r>
      <w:r w:rsidR="00F91E8A" w:rsidRPr="004A0976">
        <w:rPr>
          <w:rFonts w:eastAsia="Batang"/>
          <w:snapToGrid w:val="0"/>
          <w:szCs w:val="22"/>
        </w:rPr>
        <w:t xml:space="preserve"> </w:t>
      </w:r>
      <w:r w:rsidRPr="004A0976">
        <w:rPr>
          <w:rFonts w:eastAsia="Batang"/>
          <w:snapToGrid w:val="0"/>
          <w:szCs w:val="22"/>
        </w:rPr>
        <w:t xml:space="preserve">the </w:t>
      </w:r>
      <w:r w:rsidRPr="003A1875">
        <w:rPr>
          <w:rFonts w:eastAsia="Batang"/>
          <w:snapToGrid w:val="0"/>
          <w:szCs w:val="22"/>
        </w:rPr>
        <w:t>Commission to ensure that TRS is “available, to the extent possible and in the most efficient manner” to persons with hearing or speech disabilities in the United States</w:t>
      </w:r>
      <w:r>
        <w:rPr>
          <w:rFonts w:eastAsia="Batang"/>
          <w:snapToGrid w:val="0"/>
          <w:szCs w:val="22"/>
        </w:rPr>
        <w:t>.</w:t>
      </w:r>
      <w:r w:rsidRPr="007B165E">
        <w:rPr>
          <w:rFonts w:eastAsia="Batang"/>
          <w:snapToGrid w:val="0"/>
          <w:szCs w:val="22"/>
          <w:vertAlign w:val="superscript"/>
        </w:rPr>
        <w:footnoteReference w:id="9"/>
      </w:r>
      <w:r w:rsidR="000B6851">
        <w:rPr>
          <w:rFonts w:eastAsia="Batang"/>
          <w:snapToGrid w:val="0"/>
          <w:szCs w:val="22"/>
        </w:rPr>
        <w:t xml:space="preserve">  </w:t>
      </w:r>
      <w:r w:rsidR="000B6851" w:rsidRPr="00545A49">
        <w:rPr>
          <w:rFonts w:eastAsia="Batang"/>
          <w:snapToGrid w:val="0"/>
          <w:szCs w:val="22"/>
        </w:rPr>
        <w:t xml:space="preserve">In addition, the </w:t>
      </w:r>
      <w:r w:rsidR="00B3682C">
        <w:rPr>
          <w:rFonts w:eastAsia="Batang"/>
          <w:snapToGrid w:val="0"/>
          <w:szCs w:val="22"/>
        </w:rPr>
        <w:t>Act</w:t>
      </w:r>
      <w:r w:rsidR="00F91E8A">
        <w:rPr>
          <w:rFonts w:eastAsia="Batang"/>
          <w:snapToGrid w:val="0"/>
          <w:szCs w:val="22"/>
        </w:rPr>
        <w:t xml:space="preserve"> directs the </w:t>
      </w:r>
      <w:r w:rsidR="000B6851" w:rsidRPr="00545A49">
        <w:rPr>
          <w:rFonts w:eastAsia="Batang"/>
          <w:snapToGrid w:val="0"/>
          <w:szCs w:val="22"/>
        </w:rPr>
        <w:t>Commission</w:t>
      </w:r>
      <w:r w:rsidR="00F91E8A">
        <w:rPr>
          <w:rFonts w:eastAsia="Batang"/>
          <w:snapToGrid w:val="0"/>
          <w:szCs w:val="22"/>
        </w:rPr>
        <w:t xml:space="preserve"> </w:t>
      </w:r>
      <w:r w:rsidR="00B3682C">
        <w:rPr>
          <w:rFonts w:eastAsia="Batang"/>
          <w:snapToGrid w:val="0"/>
          <w:szCs w:val="22"/>
        </w:rPr>
        <w:t xml:space="preserve">to adopt </w:t>
      </w:r>
      <w:r w:rsidR="00F91E8A">
        <w:rPr>
          <w:rFonts w:eastAsia="Batang"/>
          <w:snapToGrid w:val="0"/>
          <w:szCs w:val="22"/>
        </w:rPr>
        <w:t>implementing</w:t>
      </w:r>
      <w:r w:rsidR="000B6851" w:rsidRPr="00545A49">
        <w:rPr>
          <w:rFonts w:eastAsia="Batang"/>
          <w:snapToGrid w:val="0"/>
          <w:szCs w:val="22"/>
        </w:rPr>
        <w:t xml:space="preserve"> regulations </w:t>
      </w:r>
      <w:r w:rsidR="00B3682C">
        <w:rPr>
          <w:rFonts w:eastAsia="Batang"/>
          <w:snapToGrid w:val="0"/>
          <w:szCs w:val="22"/>
        </w:rPr>
        <w:t xml:space="preserve">that </w:t>
      </w:r>
      <w:r w:rsidR="000B6851" w:rsidRPr="00545A49">
        <w:rPr>
          <w:rFonts w:eastAsia="Batang"/>
          <w:snapToGrid w:val="0"/>
          <w:szCs w:val="22"/>
        </w:rPr>
        <w:t xml:space="preserve">encourage the use of existing technology and </w:t>
      </w:r>
      <w:r w:rsidR="00F91E8A">
        <w:rPr>
          <w:rFonts w:eastAsia="Batang"/>
          <w:snapToGrid w:val="0"/>
          <w:szCs w:val="22"/>
        </w:rPr>
        <w:t>do no</w:t>
      </w:r>
      <w:r w:rsidR="00B3682C">
        <w:rPr>
          <w:rFonts w:eastAsia="Batang"/>
          <w:snapToGrid w:val="0"/>
          <w:szCs w:val="22"/>
        </w:rPr>
        <w:t>t</w:t>
      </w:r>
      <w:r w:rsidR="000B6851" w:rsidRPr="00545A49">
        <w:rPr>
          <w:rFonts w:eastAsia="Batang"/>
          <w:snapToGrid w:val="0"/>
          <w:szCs w:val="22"/>
        </w:rPr>
        <w:t xml:space="preserve"> discourage </w:t>
      </w:r>
      <w:r w:rsidR="00F91E8A">
        <w:rPr>
          <w:rFonts w:eastAsia="Batang"/>
          <w:snapToGrid w:val="0"/>
          <w:szCs w:val="22"/>
        </w:rPr>
        <w:t xml:space="preserve">or impair </w:t>
      </w:r>
      <w:r w:rsidR="000B6851" w:rsidRPr="00545A49">
        <w:rPr>
          <w:rFonts w:eastAsia="Batang"/>
          <w:snapToGrid w:val="0"/>
          <w:szCs w:val="22"/>
        </w:rPr>
        <w:t>the development of new technolog</w:t>
      </w:r>
      <w:r w:rsidR="000B6851">
        <w:rPr>
          <w:rFonts w:eastAsia="Batang"/>
          <w:snapToGrid w:val="0"/>
          <w:szCs w:val="22"/>
        </w:rPr>
        <w:t>ies</w:t>
      </w:r>
      <w:r w:rsidR="000B6851" w:rsidRPr="00545A49">
        <w:rPr>
          <w:rFonts w:eastAsia="Batang"/>
          <w:snapToGrid w:val="0"/>
          <w:szCs w:val="22"/>
        </w:rPr>
        <w:t>.</w:t>
      </w:r>
      <w:r w:rsidR="006473C4">
        <w:rPr>
          <w:rStyle w:val="FootnoteReference"/>
          <w:rFonts w:eastAsia="Batang"/>
          <w:snapToGrid w:val="0"/>
          <w:szCs w:val="22"/>
        </w:rPr>
        <w:footnoteReference w:id="10"/>
      </w:r>
      <w:r w:rsidR="000B6851" w:rsidRPr="00545A49">
        <w:rPr>
          <w:rFonts w:eastAsia="Batang"/>
          <w:snapToGrid w:val="0"/>
          <w:szCs w:val="22"/>
          <w:vertAlign w:val="superscript"/>
        </w:rPr>
        <w:t xml:space="preserve"> </w:t>
      </w:r>
    </w:p>
    <w:p w:rsidR="00B3682C" w:rsidRPr="00A77185" w:rsidRDefault="00B3682C" w:rsidP="00A77185">
      <w:pPr>
        <w:pStyle w:val="par1"/>
        <w:numPr>
          <w:ilvl w:val="0"/>
          <w:numId w:val="0"/>
        </w:numPr>
        <w:tabs>
          <w:tab w:val="left" w:pos="1440"/>
        </w:tabs>
        <w:ind w:left="720"/>
        <w:rPr>
          <w:rFonts w:eastAsia="Batang"/>
          <w:snapToGrid w:val="0"/>
        </w:rPr>
      </w:pPr>
    </w:p>
    <w:p w:rsidR="00B3682C" w:rsidRPr="007F2956" w:rsidRDefault="00B3682C" w:rsidP="00B3682C">
      <w:pPr>
        <w:pStyle w:val="par1"/>
        <w:numPr>
          <w:ilvl w:val="1"/>
          <w:numId w:val="6"/>
        </w:numPr>
        <w:tabs>
          <w:tab w:val="left" w:pos="1080"/>
          <w:tab w:val="left" w:pos="1440"/>
        </w:tabs>
        <w:ind w:left="0" w:firstLine="720"/>
        <w:rPr>
          <w:rFonts w:eastAsia="Batang"/>
          <w:snapToGrid w:val="0"/>
        </w:rPr>
      </w:pPr>
      <w:r w:rsidRPr="00545A49">
        <w:rPr>
          <w:rFonts w:eastAsia="Batang"/>
          <w:snapToGrid w:val="0"/>
          <w:szCs w:val="22"/>
        </w:rPr>
        <w:t xml:space="preserve">The Commission has approved </w:t>
      </w:r>
      <w:r>
        <w:rPr>
          <w:rFonts w:eastAsia="Batang"/>
          <w:snapToGrid w:val="0"/>
          <w:szCs w:val="22"/>
        </w:rPr>
        <w:t>various</w:t>
      </w:r>
      <w:r w:rsidRPr="00545A49">
        <w:rPr>
          <w:rFonts w:eastAsia="Batang"/>
          <w:snapToGrid w:val="0"/>
          <w:szCs w:val="22"/>
        </w:rPr>
        <w:t xml:space="preserve"> forms of TRS, including traditional Text telephone (TTY), VRS</w:t>
      </w:r>
      <w:r>
        <w:rPr>
          <w:rFonts w:eastAsia="Batang"/>
          <w:snapToGrid w:val="0"/>
          <w:szCs w:val="22"/>
        </w:rPr>
        <w:t>,</w:t>
      </w:r>
      <w:r w:rsidRPr="00545A49">
        <w:rPr>
          <w:rFonts w:eastAsia="Batang"/>
          <w:snapToGrid w:val="0"/>
          <w:szCs w:val="22"/>
        </w:rPr>
        <w:t xml:space="preserve"> and IP Relay.</w:t>
      </w:r>
      <w:r w:rsidRPr="00545A49">
        <w:rPr>
          <w:rStyle w:val="FootnoteReference"/>
          <w:rFonts w:eastAsia="Batang"/>
          <w:snapToGrid w:val="0"/>
          <w:szCs w:val="22"/>
        </w:rPr>
        <w:footnoteReference w:id="11"/>
      </w:r>
      <w:r w:rsidRPr="000B6851" w:rsidDel="00B3682C">
        <w:rPr>
          <w:rFonts w:eastAsia="Batang"/>
          <w:snapToGrid w:val="0"/>
        </w:rPr>
        <w:t xml:space="preserve"> </w:t>
      </w:r>
      <w:r>
        <w:rPr>
          <w:rFonts w:eastAsia="Batang"/>
          <w:snapToGrid w:val="0"/>
        </w:rPr>
        <w:t xml:space="preserve"> </w:t>
      </w:r>
      <w:r>
        <w:rPr>
          <w:rFonts w:eastAsia="Batang"/>
          <w:snapToGrid w:val="0"/>
          <w:szCs w:val="22"/>
        </w:rPr>
        <w:t>The Commission also has taken numerous steps to protect the TRS Fund from abuse and ensure that it only covers the cost of compensable minutes generated by eligible users.</w:t>
      </w:r>
      <w:r>
        <w:rPr>
          <w:rStyle w:val="FootnoteReference"/>
          <w:rFonts w:eastAsia="Batang"/>
          <w:snapToGrid w:val="0"/>
          <w:szCs w:val="22"/>
        </w:rPr>
        <w:footnoteReference w:id="12"/>
      </w:r>
      <w:r>
        <w:rPr>
          <w:rFonts w:eastAsia="Batang"/>
          <w:snapToGrid w:val="0"/>
          <w:szCs w:val="22"/>
        </w:rPr>
        <w:t xml:space="preserve">  </w:t>
      </w:r>
      <w:r w:rsidRPr="00545A49">
        <w:rPr>
          <w:rFonts w:eastAsia="Batang"/>
          <w:snapToGrid w:val="0"/>
          <w:szCs w:val="22"/>
        </w:rPr>
        <w:t xml:space="preserve">In </w:t>
      </w:r>
      <w:r w:rsidRPr="00683B91">
        <w:rPr>
          <w:rFonts w:eastAsia="Batang"/>
        </w:rPr>
        <w:t>2008, the Comm</w:t>
      </w:r>
      <w:r>
        <w:rPr>
          <w:rFonts w:eastAsia="Batang"/>
        </w:rPr>
        <w:t xml:space="preserve">ission adopted a new numbering system to assign </w:t>
      </w:r>
      <w:r w:rsidR="001371CA">
        <w:rPr>
          <w:rFonts w:eastAsia="Batang"/>
        </w:rPr>
        <w:t>V</w:t>
      </w:r>
      <w:r>
        <w:rPr>
          <w:rFonts w:eastAsia="Batang"/>
        </w:rPr>
        <w:t xml:space="preserve">RS </w:t>
      </w:r>
      <w:r w:rsidR="001371CA">
        <w:rPr>
          <w:rFonts w:eastAsia="Batang"/>
        </w:rPr>
        <w:t xml:space="preserve">and IP Relay </w:t>
      </w:r>
      <w:r>
        <w:rPr>
          <w:rFonts w:eastAsia="Batang"/>
        </w:rPr>
        <w:t>users ten-digit numbers linked to the North</w:t>
      </w:r>
      <w:r w:rsidRPr="001E651E">
        <w:t xml:space="preserve"> </w:t>
      </w:r>
      <w:r w:rsidRPr="001E651E">
        <w:rPr>
          <w:rFonts w:eastAsia="Batang"/>
        </w:rPr>
        <w:t>American Numbering Plan.</w:t>
      </w:r>
      <w:r>
        <w:rPr>
          <w:rStyle w:val="FootnoteReference"/>
          <w:rFonts w:eastAsia="Batang"/>
        </w:rPr>
        <w:footnoteReference w:id="13"/>
      </w:r>
      <w:r w:rsidRPr="001E651E">
        <w:rPr>
          <w:rFonts w:eastAsia="Batang"/>
        </w:rPr>
        <w:t xml:space="preserve">  </w:t>
      </w:r>
      <w:r>
        <w:rPr>
          <w:rFonts w:eastAsia="Batang"/>
        </w:rPr>
        <w:t xml:space="preserve">These dedicated numbers are similar to the </w:t>
      </w:r>
      <w:r>
        <w:rPr>
          <w:rFonts w:eastAsia="Batang"/>
        </w:rPr>
        <w:lastRenderedPageBreak/>
        <w:t>telephone numbers used by persons without disabilities, allowing VRS and IP Relay users to more easily make and receive calls, ensuring direct and automatic routing of emergency calls,</w:t>
      </w:r>
      <w:r>
        <w:rPr>
          <w:rStyle w:val="FootnoteReference"/>
          <w:rFonts w:eastAsia="Batang"/>
        </w:rPr>
        <w:footnoteReference w:id="14"/>
      </w:r>
      <w:r>
        <w:rPr>
          <w:rFonts w:eastAsia="Batang"/>
        </w:rPr>
        <w:t xml:space="preserve"> and reducing the misuse of IP Relay.</w:t>
      </w:r>
      <w:r>
        <w:rPr>
          <w:rStyle w:val="FootnoteReference"/>
          <w:rFonts w:eastAsia="Batang"/>
        </w:rPr>
        <w:footnoteReference w:id="15"/>
      </w:r>
      <w:r w:rsidR="000B6851" w:rsidRPr="00545A49">
        <w:rPr>
          <w:rFonts w:eastAsia="Batang"/>
          <w:snapToGrid w:val="0"/>
          <w:szCs w:val="22"/>
        </w:rPr>
        <w:t xml:space="preserve"> </w:t>
      </w:r>
    </w:p>
    <w:p w:rsidR="007F2956" w:rsidRDefault="007F2956" w:rsidP="007F2956">
      <w:pPr>
        <w:pStyle w:val="ListParagraph"/>
        <w:rPr>
          <w:rFonts w:eastAsia="Batang"/>
          <w:snapToGrid w:val="0"/>
        </w:rPr>
      </w:pPr>
    </w:p>
    <w:p w:rsidR="00354A7B" w:rsidRPr="00DC4403" w:rsidRDefault="0000678C" w:rsidP="007F2956">
      <w:pPr>
        <w:pStyle w:val="par1"/>
        <w:numPr>
          <w:ilvl w:val="1"/>
          <w:numId w:val="6"/>
        </w:numPr>
        <w:tabs>
          <w:tab w:val="left" w:pos="1080"/>
          <w:tab w:val="left" w:pos="1440"/>
        </w:tabs>
        <w:ind w:left="0" w:firstLine="720"/>
        <w:rPr>
          <w:rFonts w:eastAsia="Batang"/>
          <w:snapToGrid w:val="0"/>
        </w:rPr>
      </w:pPr>
      <w:r w:rsidRPr="0000678C">
        <w:rPr>
          <w:rFonts w:eastAsia="Batang"/>
        </w:rPr>
        <w:tab/>
      </w:r>
      <w:r w:rsidR="00DF7872">
        <w:rPr>
          <w:rFonts w:eastAsia="Batang"/>
        </w:rPr>
        <w:t>A</w:t>
      </w:r>
      <w:r w:rsidR="001E651E" w:rsidRPr="001E651E">
        <w:rPr>
          <w:rFonts w:eastAsia="Batang"/>
        </w:rPr>
        <w:t xml:space="preserve">fter December 31, 2008, </w:t>
      </w:r>
      <w:r w:rsidR="00393980">
        <w:rPr>
          <w:rFonts w:eastAsia="Batang"/>
        </w:rPr>
        <w:t>VRS and IP Relay</w:t>
      </w:r>
      <w:r w:rsidR="001E651E" w:rsidRPr="001E651E">
        <w:rPr>
          <w:rFonts w:eastAsia="Batang"/>
        </w:rPr>
        <w:t xml:space="preserve"> provider</w:t>
      </w:r>
      <w:r w:rsidR="00B3682C">
        <w:rPr>
          <w:rFonts w:eastAsia="Batang"/>
        </w:rPr>
        <w:t xml:space="preserve">s </w:t>
      </w:r>
      <w:r w:rsidR="00DF7872">
        <w:rPr>
          <w:rFonts w:eastAsia="Batang"/>
        </w:rPr>
        <w:t>were</w:t>
      </w:r>
      <w:r w:rsidR="00B3682C">
        <w:rPr>
          <w:rFonts w:eastAsia="Batang"/>
        </w:rPr>
        <w:t xml:space="preserve"> prohibited </w:t>
      </w:r>
      <w:r w:rsidR="00910785">
        <w:rPr>
          <w:rFonts w:eastAsia="Batang"/>
        </w:rPr>
        <w:t xml:space="preserve">from </w:t>
      </w:r>
      <w:r w:rsidR="00F06FBB">
        <w:rPr>
          <w:rFonts w:eastAsia="Batang"/>
        </w:rPr>
        <w:t>p</w:t>
      </w:r>
      <w:r w:rsidR="001E651E" w:rsidRPr="001E651E">
        <w:rPr>
          <w:rFonts w:eastAsia="Batang"/>
        </w:rPr>
        <w:t>rovid</w:t>
      </w:r>
      <w:r w:rsidR="00910785">
        <w:rPr>
          <w:rFonts w:eastAsia="Batang"/>
        </w:rPr>
        <w:t>ing</w:t>
      </w:r>
      <w:r w:rsidR="001E651E" w:rsidRPr="001E651E">
        <w:rPr>
          <w:rFonts w:eastAsia="Batang"/>
        </w:rPr>
        <w:t xml:space="preserve"> non-emergency service to </w:t>
      </w:r>
      <w:r w:rsidR="00F06FBB">
        <w:rPr>
          <w:rFonts w:eastAsia="Batang"/>
        </w:rPr>
        <w:t xml:space="preserve">a </w:t>
      </w:r>
      <w:r w:rsidR="001E651E" w:rsidRPr="001E651E">
        <w:rPr>
          <w:rFonts w:eastAsia="Batang"/>
        </w:rPr>
        <w:t xml:space="preserve">new </w:t>
      </w:r>
      <w:r w:rsidR="00393980">
        <w:rPr>
          <w:rFonts w:eastAsia="Batang"/>
        </w:rPr>
        <w:t>V</w:t>
      </w:r>
      <w:r w:rsidR="00B3682C">
        <w:rPr>
          <w:rFonts w:eastAsia="Batang"/>
        </w:rPr>
        <w:t xml:space="preserve">RS </w:t>
      </w:r>
      <w:r w:rsidR="00393980">
        <w:rPr>
          <w:rFonts w:eastAsia="Batang"/>
        </w:rPr>
        <w:t xml:space="preserve">or IP Relay </w:t>
      </w:r>
      <w:r w:rsidR="001E651E" w:rsidRPr="001E651E">
        <w:rPr>
          <w:rFonts w:eastAsia="Batang"/>
        </w:rPr>
        <w:t xml:space="preserve">user </w:t>
      </w:r>
      <w:r w:rsidR="00B3682C">
        <w:rPr>
          <w:rFonts w:eastAsia="Batang"/>
        </w:rPr>
        <w:t xml:space="preserve">unless the provider first </w:t>
      </w:r>
      <w:r w:rsidR="001E651E" w:rsidRPr="001E651E">
        <w:rPr>
          <w:rFonts w:eastAsia="Batang"/>
        </w:rPr>
        <w:t>register</w:t>
      </w:r>
      <w:r w:rsidR="00B3682C">
        <w:rPr>
          <w:rFonts w:eastAsia="Batang"/>
        </w:rPr>
        <w:t>ed</w:t>
      </w:r>
      <w:r w:rsidR="001E651E" w:rsidRPr="001E651E">
        <w:rPr>
          <w:rFonts w:eastAsia="Batang"/>
        </w:rPr>
        <w:t xml:space="preserve"> </w:t>
      </w:r>
      <w:r w:rsidR="00F06FBB">
        <w:rPr>
          <w:rFonts w:eastAsia="Batang"/>
        </w:rPr>
        <w:t>the</w:t>
      </w:r>
      <w:r w:rsidR="001E651E" w:rsidRPr="001E651E">
        <w:rPr>
          <w:rFonts w:eastAsia="Batang"/>
        </w:rPr>
        <w:t xml:space="preserve"> user and assign</w:t>
      </w:r>
      <w:r w:rsidR="00B3682C">
        <w:rPr>
          <w:rFonts w:eastAsia="Batang"/>
        </w:rPr>
        <w:t>ed</w:t>
      </w:r>
      <w:r w:rsidR="001E651E" w:rsidRPr="001E651E">
        <w:rPr>
          <w:rFonts w:eastAsia="Batang"/>
        </w:rPr>
        <w:t xml:space="preserve"> </w:t>
      </w:r>
      <w:r w:rsidR="006A4038">
        <w:rPr>
          <w:rFonts w:eastAsia="Batang"/>
        </w:rPr>
        <w:t>the user</w:t>
      </w:r>
      <w:r w:rsidR="00C34BF9">
        <w:rPr>
          <w:rFonts w:eastAsia="Batang"/>
        </w:rPr>
        <w:t xml:space="preserve"> </w:t>
      </w:r>
      <w:r w:rsidR="001E651E" w:rsidRPr="001E651E">
        <w:rPr>
          <w:rFonts w:eastAsia="Batang"/>
        </w:rPr>
        <w:t>a ten-digit number.</w:t>
      </w:r>
      <w:r w:rsidR="00F06FBB">
        <w:rPr>
          <w:rStyle w:val="FootnoteReference"/>
          <w:rFonts w:eastAsia="Batang"/>
        </w:rPr>
        <w:footnoteReference w:id="16"/>
      </w:r>
      <w:r w:rsidR="001E651E" w:rsidRPr="001E651E">
        <w:rPr>
          <w:rFonts w:eastAsia="Batang"/>
        </w:rPr>
        <w:t xml:space="preserve">  </w:t>
      </w:r>
      <w:r w:rsidR="007C32EE">
        <w:rPr>
          <w:rFonts w:eastAsia="Batang"/>
        </w:rPr>
        <w:t xml:space="preserve">To </w:t>
      </w:r>
      <w:r w:rsidR="00B3682C">
        <w:rPr>
          <w:rFonts w:eastAsia="Batang"/>
        </w:rPr>
        <w:t xml:space="preserve">further guard against misuse and </w:t>
      </w:r>
      <w:r w:rsidR="007C32EE">
        <w:rPr>
          <w:rFonts w:eastAsia="Batang"/>
        </w:rPr>
        <w:t xml:space="preserve">help ensure that VRS and IP Relay are used only for the intended purposes, </w:t>
      </w:r>
      <w:r w:rsidR="007A7CB5">
        <w:rPr>
          <w:rFonts w:eastAsia="Batang"/>
        </w:rPr>
        <w:t xml:space="preserve">the Commission </w:t>
      </w:r>
      <w:r w:rsidR="00B3682C">
        <w:rPr>
          <w:rFonts w:eastAsia="Batang"/>
        </w:rPr>
        <w:t xml:space="preserve">subsequently </w:t>
      </w:r>
      <w:r w:rsidR="007A7CB5">
        <w:rPr>
          <w:rFonts w:eastAsia="Batang"/>
        </w:rPr>
        <w:t xml:space="preserve">required </w:t>
      </w:r>
      <w:r w:rsidR="007F2956">
        <w:rPr>
          <w:rFonts w:eastAsia="Batang"/>
        </w:rPr>
        <w:t>V</w:t>
      </w:r>
      <w:r w:rsidR="007C32EE">
        <w:rPr>
          <w:rFonts w:eastAsia="Batang"/>
        </w:rPr>
        <w:t>RS</w:t>
      </w:r>
      <w:r w:rsidR="007F2956">
        <w:rPr>
          <w:rFonts w:eastAsia="Batang"/>
        </w:rPr>
        <w:t xml:space="preserve"> and IP Relay providers to institute procedures to</w:t>
      </w:r>
      <w:r w:rsidR="00B3682C">
        <w:rPr>
          <w:rFonts w:eastAsia="Batang"/>
        </w:rPr>
        <w:t xml:space="preserve"> </w:t>
      </w:r>
      <w:r w:rsidR="007C32EE">
        <w:rPr>
          <w:rFonts w:eastAsia="Batang"/>
        </w:rPr>
        <w:t xml:space="preserve">verify the information provided by users during registration, including </w:t>
      </w:r>
      <w:r w:rsidR="00B3682C">
        <w:rPr>
          <w:rFonts w:eastAsia="Batang"/>
        </w:rPr>
        <w:t xml:space="preserve">the user’s </w:t>
      </w:r>
      <w:r w:rsidR="007C32EE">
        <w:rPr>
          <w:rFonts w:eastAsia="Batang"/>
        </w:rPr>
        <w:t>name and address</w:t>
      </w:r>
      <w:r w:rsidR="007F2956" w:rsidRPr="007F2956">
        <w:rPr>
          <w:rFonts w:eastAsia="Batang"/>
        </w:rPr>
        <w:t xml:space="preserve">, </w:t>
      </w:r>
      <w:r w:rsidR="007F2956">
        <w:rPr>
          <w:rFonts w:eastAsia="Batang"/>
        </w:rPr>
        <w:t xml:space="preserve">and to </w:t>
      </w:r>
      <w:r w:rsidR="007F2956" w:rsidRPr="007F2956">
        <w:rPr>
          <w:rFonts w:eastAsia="Batang"/>
        </w:rPr>
        <w:t xml:space="preserve">obtain a self-certification </w:t>
      </w:r>
      <w:r w:rsidR="00C4494C">
        <w:rPr>
          <w:rFonts w:eastAsia="Batang"/>
        </w:rPr>
        <w:t>whereby the user verifies that he or she has a medically recognized hearing or speech disability necessitating their use of TRS</w:t>
      </w:r>
      <w:r w:rsidR="007C32EE">
        <w:rPr>
          <w:rFonts w:eastAsia="Batang"/>
        </w:rPr>
        <w:t>.</w:t>
      </w:r>
      <w:r w:rsidR="007C32EE">
        <w:rPr>
          <w:rStyle w:val="FootnoteReference"/>
          <w:rFonts w:eastAsia="Batang"/>
        </w:rPr>
        <w:footnoteReference w:id="17"/>
      </w:r>
      <w:r w:rsidR="00B3682C">
        <w:rPr>
          <w:rFonts w:eastAsia="Batang"/>
          <w:snapToGrid w:val="0"/>
        </w:rPr>
        <w:t xml:space="preserve">  T</w:t>
      </w:r>
      <w:r w:rsidR="00CC2998">
        <w:rPr>
          <w:rFonts w:eastAsia="Batang"/>
          <w:snapToGrid w:val="0"/>
        </w:rPr>
        <w:t xml:space="preserve">he Commission </w:t>
      </w:r>
      <w:r w:rsidR="00B3682C">
        <w:rPr>
          <w:rFonts w:eastAsia="Batang"/>
          <w:snapToGrid w:val="0"/>
        </w:rPr>
        <w:t xml:space="preserve">also </w:t>
      </w:r>
      <w:r w:rsidR="00CC2998">
        <w:rPr>
          <w:rFonts w:eastAsia="Batang"/>
          <w:snapToGrid w:val="0"/>
        </w:rPr>
        <w:t xml:space="preserve">emphasized that certain </w:t>
      </w:r>
      <w:r w:rsidR="00B3682C">
        <w:rPr>
          <w:rFonts w:eastAsia="Batang"/>
          <w:snapToGrid w:val="0"/>
        </w:rPr>
        <w:t xml:space="preserve">TRS </w:t>
      </w:r>
      <w:r w:rsidR="00CC2998">
        <w:rPr>
          <w:rFonts w:eastAsia="Batang"/>
          <w:snapToGrid w:val="0"/>
        </w:rPr>
        <w:t>calls are not compensable on a per-minute bas</w:t>
      </w:r>
      <w:r w:rsidR="00C759E5">
        <w:rPr>
          <w:rFonts w:eastAsia="Batang"/>
          <w:snapToGrid w:val="0"/>
        </w:rPr>
        <w:t>i</w:t>
      </w:r>
      <w:r w:rsidR="00CC2998">
        <w:rPr>
          <w:rFonts w:eastAsia="Batang"/>
          <w:snapToGrid w:val="0"/>
        </w:rPr>
        <w:t>s</w:t>
      </w:r>
      <w:r w:rsidR="00B3682C">
        <w:rPr>
          <w:rFonts w:eastAsia="Batang"/>
          <w:snapToGrid w:val="0"/>
        </w:rPr>
        <w:t xml:space="preserve">, including </w:t>
      </w:r>
      <w:r w:rsidR="00CC2998">
        <w:rPr>
          <w:rFonts w:eastAsia="Batang"/>
          <w:snapToGrid w:val="0"/>
        </w:rPr>
        <w:t xml:space="preserve">calls by provider </w:t>
      </w:r>
      <w:r w:rsidR="00B3682C">
        <w:rPr>
          <w:rFonts w:eastAsia="Batang"/>
          <w:snapToGrid w:val="0"/>
        </w:rPr>
        <w:t xml:space="preserve">or subcontractor </w:t>
      </w:r>
      <w:r w:rsidR="00CC2998">
        <w:rPr>
          <w:rFonts w:eastAsia="Batang"/>
          <w:snapToGrid w:val="0"/>
        </w:rPr>
        <w:t>employees.</w:t>
      </w:r>
      <w:r w:rsidR="00CC2998">
        <w:rPr>
          <w:rStyle w:val="FootnoteReference"/>
          <w:rFonts w:eastAsia="Batang"/>
          <w:snapToGrid w:val="0"/>
        </w:rPr>
        <w:footnoteReference w:id="18"/>
      </w:r>
      <w:r w:rsidR="00CC2998">
        <w:rPr>
          <w:rFonts w:eastAsia="Batang"/>
          <w:snapToGrid w:val="0"/>
        </w:rPr>
        <w:t xml:space="preserve">  </w:t>
      </w:r>
    </w:p>
    <w:p w:rsidR="00354A7B" w:rsidRDefault="00354A7B" w:rsidP="00DC4403">
      <w:pPr>
        <w:pStyle w:val="ListParagraph"/>
      </w:pPr>
    </w:p>
    <w:p w:rsidR="008B7BAC" w:rsidRPr="008B7BAC" w:rsidRDefault="0000678C" w:rsidP="008B7BAC">
      <w:pPr>
        <w:pStyle w:val="par1"/>
        <w:numPr>
          <w:ilvl w:val="1"/>
          <w:numId w:val="6"/>
        </w:numPr>
        <w:tabs>
          <w:tab w:val="left" w:pos="1080"/>
          <w:tab w:val="left" w:pos="1440"/>
        </w:tabs>
        <w:ind w:left="0" w:firstLine="720"/>
        <w:rPr>
          <w:rFonts w:eastAsia="Batang"/>
          <w:snapToGrid w:val="0"/>
        </w:rPr>
      </w:pPr>
      <w:r w:rsidRPr="0000678C">
        <w:tab/>
      </w:r>
      <w:r w:rsidR="008B7BAC">
        <w:t xml:space="preserve">On March 11, 2011, the Bureau’s Telecommunications Consumers Division (TCD) issued a Letter of Inquiry (LOI) to AT&amp;T </w:t>
      </w:r>
      <w:r w:rsidR="00F2622C">
        <w:t>seeking information on</w:t>
      </w:r>
      <w:r w:rsidR="00095F7B">
        <w:t xml:space="preserve">  </w:t>
      </w:r>
      <w:r w:rsidR="009F4084">
        <w:t xml:space="preserve">the Company’s </w:t>
      </w:r>
      <w:r w:rsidR="00DE14D8">
        <w:t xml:space="preserve">VRS and IP Relay </w:t>
      </w:r>
      <w:r w:rsidR="00095F7B">
        <w:t xml:space="preserve">service </w:t>
      </w:r>
      <w:r w:rsidR="00B3682C">
        <w:t>offerings</w:t>
      </w:r>
      <w:r w:rsidR="00095F7B">
        <w:t>,</w:t>
      </w:r>
      <w:r w:rsidR="006D409D">
        <w:t xml:space="preserve"> emergency call handling</w:t>
      </w:r>
      <w:r w:rsidR="009F4084">
        <w:t xml:space="preserve"> processes</w:t>
      </w:r>
      <w:r w:rsidR="006D409D">
        <w:t>,</w:t>
      </w:r>
      <w:r w:rsidR="00095F7B">
        <w:t xml:space="preserve"> submissions to the TRS Fund administrator, and </w:t>
      </w:r>
      <w:r w:rsidR="00F2622C">
        <w:t>registration and verification of VRS and IP Relay</w:t>
      </w:r>
      <w:r w:rsidR="00DE14D8">
        <w:t xml:space="preserve"> users assigned ten-digit numbers</w:t>
      </w:r>
      <w:r w:rsidR="00B3682C">
        <w:t>, among other things</w:t>
      </w:r>
      <w:r w:rsidR="008B7BAC">
        <w:t>.</w:t>
      </w:r>
      <w:r w:rsidR="006D4900">
        <w:rPr>
          <w:rStyle w:val="FootnoteReference"/>
        </w:rPr>
        <w:footnoteReference w:id="19"/>
      </w:r>
      <w:r w:rsidR="004E0305">
        <w:t xml:space="preserve">  </w:t>
      </w:r>
      <w:r w:rsidR="008B7BAC">
        <w:t xml:space="preserve">On January 23, 2012, </w:t>
      </w:r>
      <w:r w:rsidR="00B3682C">
        <w:t>the Bureau</w:t>
      </w:r>
      <w:r w:rsidR="008B7BAC">
        <w:t xml:space="preserve"> issued a supplemental LOI to AT&amp;T requesting </w:t>
      </w:r>
      <w:r w:rsidR="00F2622C">
        <w:t>more detailed information on AT&amp;T’s process for registering and verifying users of IP Relay.</w:t>
      </w:r>
      <w:r w:rsidR="00FC5D1E">
        <w:rPr>
          <w:rStyle w:val="FootnoteReference"/>
        </w:rPr>
        <w:footnoteReference w:id="20"/>
      </w:r>
      <w:r w:rsidR="008B7BAC" w:rsidRPr="00F82FD0">
        <w:rPr>
          <w:rStyle w:val="FootnoteReference"/>
        </w:rPr>
        <w:t xml:space="preserve"> </w:t>
      </w:r>
      <w:r w:rsidR="008B7BAC">
        <w:t xml:space="preserve"> </w:t>
      </w:r>
      <w:r w:rsidR="009F4084">
        <w:t xml:space="preserve"> </w:t>
      </w:r>
      <w:r w:rsidR="003D1385">
        <w:t>The Bureau simultaneously issued a subpoena to AT&amp;T for certain records related to TRS reimbursement requests.</w:t>
      </w:r>
      <w:r w:rsidR="00FC5D1E">
        <w:rPr>
          <w:rStyle w:val="FootnoteReference"/>
        </w:rPr>
        <w:footnoteReference w:id="21"/>
      </w:r>
      <w:r w:rsidR="007630C7">
        <w:t xml:space="preserve">  AT&amp;T </w:t>
      </w:r>
      <w:r w:rsidR="0032798B">
        <w:t xml:space="preserve">timely </w:t>
      </w:r>
      <w:r w:rsidR="007630C7">
        <w:t>filed responses</w:t>
      </w:r>
      <w:r w:rsidR="00FC5D1E">
        <w:t xml:space="preserve"> to </w:t>
      </w:r>
      <w:r w:rsidR="00B3682C">
        <w:t>these inquiries</w:t>
      </w:r>
      <w:r w:rsidR="00FC5D1E">
        <w:t>.</w:t>
      </w:r>
    </w:p>
    <w:p w:rsidR="008B7BAC" w:rsidRPr="008B7BAC" w:rsidRDefault="008B7BAC" w:rsidP="008B7BAC">
      <w:pPr>
        <w:pStyle w:val="par1"/>
        <w:numPr>
          <w:ilvl w:val="0"/>
          <w:numId w:val="0"/>
        </w:numPr>
        <w:tabs>
          <w:tab w:val="left" w:pos="1440"/>
        </w:tabs>
        <w:ind w:left="720"/>
        <w:rPr>
          <w:rFonts w:eastAsia="Batang"/>
          <w:snapToGrid w:val="0"/>
        </w:rPr>
      </w:pPr>
    </w:p>
    <w:p w:rsidR="00AF630E" w:rsidRDefault="00AF630E" w:rsidP="00AF630E">
      <w:pPr>
        <w:pStyle w:val="ListParagraph"/>
      </w:pPr>
    </w:p>
    <w:p w:rsidR="00B23CF5" w:rsidRDefault="00B23CF5" w:rsidP="00163B72">
      <w:pPr>
        <w:keepNext/>
        <w:tabs>
          <w:tab w:val="left" w:pos="0"/>
        </w:tabs>
        <w:rPr>
          <w:b/>
          <w:sz w:val="22"/>
          <w:szCs w:val="22"/>
        </w:rPr>
      </w:pPr>
      <w:r>
        <w:rPr>
          <w:b/>
          <w:sz w:val="22"/>
          <w:szCs w:val="22"/>
        </w:rPr>
        <w:t>III.</w:t>
      </w:r>
      <w:r>
        <w:rPr>
          <w:b/>
          <w:sz w:val="22"/>
          <w:szCs w:val="22"/>
        </w:rPr>
        <w:tab/>
        <w:t>TERMS OF AGREEMENT</w:t>
      </w:r>
    </w:p>
    <w:p w:rsidR="00B23CF5" w:rsidRDefault="00B23CF5" w:rsidP="00BF12B3">
      <w:pPr>
        <w:keepNext/>
        <w:tabs>
          <w:tab w:val="left" w:pos="0"/>
        </w:tabs>
        <w:rPr>
          <w:b/>
          <w:sz w:val="22"/>
          <w:szCs w:val="22"/>
          <w:u w:val="single"/>
        </w:rPr>
      </w:pPr>
    </w:p>
    <w:p w:rsidR="00B23CF5" w:rsidRDefault="00B23CF5" w:rsidP="00535874">
      <w:pPr>
        <w:pStyle w:val="par1"/>
        <w:numPr>
          <w:ilvl w:val="1"/>
          <w:numId w:val="6"/>
        </w:numPr>
        <w:tabs>
          <w:tab w:val="clear" w:pos="1080"/>
          <w:tab w:val="num" w:pos="1440"/>
        </w:tabs>
        <w:ind w:left="0" w:firstLine="720"/>
        <w:rPr>
          <w:b/>
          <w:szCs w:val="22"/>
          <w:u w:val="single"/>
        </w:rPr>
      </w:pPr>
      <w:r>
        <w:rPr>
          <w:b/>
          <w:szCs w:val="22"/>
          <w:u w:val="single"/>
        </w:rPr>
        <w:t>Adopting Order</w:t>
      </w:r>
      <w:r>
        <w:rPr>
          <w:szCs w:val="22"/>
        </w:rPr>
        <w:t>.</w:t>
      </w:r>
      <w:r>
        <w:rPr>
          <w:b/>
          <w:szCs w:val="22"/>
        </w:rPr>
        <w:t xml:space="preserve">  </w:t>
      </w:r>
      <w:r>
        <w:rPr>
          <w:szCs w:val="22"/>
        </w:rPr>
        <w:t xml:space="preserve">The Parties agree that the provisions of this Consent Decree shall be subject to final approval by the </w:t>
      </w:r>
      <w:r>
        <w:rPr>
          <w:bCs/>
          <w:szCs w:val="22"/>
        </w:rPr>
        <w:t xml:space="preserve">Bureau </w:t>
      </w:r>
      <w:r>
        <w:rPr>
          <w:szCs w:val="22"/>
        </w:rPr>
        <w:t xml:space="preserve">by incorporation of </w:t>
      </w:r>
      <w:r w:rsidRPr="00535874">
        <w:rPr>
          <w:rFonts w:eastAsia="Batang"/>
          <w:snapToGrid w:val="0"/>
          <w:szCs w:val="22"/>
        </w:rPr>
        <w:t>such</w:t>
      </w:r>
      <w:r>
        <w:rPr>
          <w:szCs w:val="22"/>
        </w:rPr>
        <w:t xml:space="preserve"> provisions by reference in the Adopting Order.</w:t>
      </w:r>
      <w:r>
        <w:rPr>
          <w:b/>
          <w:szCs w:val="22"/>
          <w:u w:val="single"/>
        </w:rPr>
        <w:t xml:space="preserve"> </w:t>
      </w:r>
    </w:p>
    <w:p w:rsidR="00B23CF5" w:rsidRDefault="00B23CF5" w:rsidP="00BF12B3">
      <w:pPr>
        <w:pStyle w:val="par1"/>
        <w:numPr>
          <w:ilvl w:val="0"/>
          <w:numId w:val="0"/>
        </w:numPr>
        <w:ind w:firstLine="720"/>
        <w:rPr>
          <w:b/>
          <w:szCs w:val="22"/>
          <w:u w:val="single"/>
        </w:rPr>
      </w:pPr>
    </w:p>
    <w:p w:rsidR="00B23CF5" w:rsidRDefault="00B23CF5" w:rsidP="00535874">
      <w:pPr>
        <w:pStyle w:val="par1"/>
        <w:numPr>
          <w:ilvl w:val="1"/>
          <w:numId w:val="6"/>
        </w:numPr>
        <w:tabs>
          <w:tab w:val="clear" w:pos="1080"/>
          <w:tab w:val="num" w:pos="1440"/>
        </w:tabs>
        <w:ind w:left="0" w:firstLine="720"/>
        <w:rPr>
          <w:szCs w:val="22"/>
        </w:rPr>
      </w:pPr>
      <w:r>
        <w:rPr>
          <w:b/>
          <w:szCs w:val="22"/>
          <w:u w:val="single"/>
        </w:rPr>
        <w:t>Jurisdiction</w:t>
      </w:r>
      <w:r>
        <w:rPr>
          <w:szCs w:val="22"/>
        </w:rPr>
        <w:t xml:space="preserve">.  </w:t>
      </w:r>
      <w:r w:rsidR="00C307B6">
        <w:rPr>
          <w:szCs w:val="22"/>
        </w:rPr>
        <w:t>AT&amp;T</w:t>
      </w:r>
      <w:r>
        <w:rPr>
          <w:szCs w:val="22"/>
        </w:rPr>
        <w:t xml:space="preserve"> agrees </w:t>
      </w:r>
      <w:r w:rsidRPr="00535874">
        <w:rPr>
          <w:bCs/>
          <w:szCs w:val="22"/>
        </w:rPr>
        <w:t>that</w:t>
      </w:r>
      <w:r>
        <w:rPr>
          <w:szCs w:val="22"/>
        </w:rPr>
        <w:t xml:space="preserve"> the </w:t>
      </w:r>
      <w:r>
        <w:rPr>
          <w:bCs/>
          <w:szCs w:val="22"/>
        </w:rPr>
        <w:t>Bureau</w:t>
      </w:r>
      <w:r>
        <w:rPr>
          <w:szCs w:val="22"/>
        </w:rPr>
        <w:t xml:space="preserve"> has jurisdiction over it and the matters contained in this Consent Decree and that the Bureau has the authority to enter into and adopt this Consent Decree.</w:t>
      </w:r>
    </w:p>
    <w:p w:rsidR="00B23CF5" w:rsidRDefault="00B23CF5" w:rsidP="00BF12B3">
      <w:pPr>
        <w:rPr>
          <w:bCs/>
        </w:rPr>
      </w:pPr>
    </w:p>
    <w:p w:rsidR="00F63A57" w:rsidRDefault="00B23CF5" w:rsidP="00F63A57">
      <w:pPr>
        <w:pStyle w:val="par1"/>
        <w:numPr>
          <w:ilvl w:val="1"/>
          <w:numId w:val="6"/>
        </w:numPr>
        <w:tabs>
          <w:tab w:val="clear" w:pos="1080"/>
          <w:tab w:val="num" w:pos="1440"/>
        </w:tabs>
        <w:ind w:left="0" w:firstLine="720"/>
      </w:pPr>
      <w:r>
        <w:rPr>
          <w:b/>
          <w:u w:val="single"/>
        </w:rPr>
        <w:t>Effective Date; Violations</w:t>
      </w:r>
      <w:r>
        <w:t>.</w:t>
      </w:r>
      <w:r>
        <w:rPr>
          <w:b/>
        </w:rPr>
        <w:t xml:space="preserve">  </w:t>
      </w:r>
      <w:r>
        <w:t xml:space="preserve">The Parties agree that this Consent Decree shall become effective on the Effective Date.  As of the Effective Date, the Adopting Order and this Consent Decree shall have the same force and effect as any other order of the Commission.  Any violation of the Adopting Order or of the terms of this Consent Decree shall </w:t>
      </w:r>
      <w:r w:rsidRPr="00535874">
        <w:rPr>
          <w:szCs w:val="22"/>
        </w:rPr>
        <w:t>constitute</w:t>
      </w:r>
      <w:r>
        <w:t xml:space="preserve"> a separate violation of a Commission order, entitling the Commission</w:t>
      </w:r>
      <w:r>
        <w:rPr>
          <w:bCs/>
        </w:rPr>
        <w:t xml:space="preserve"> </w:t>
      </w:r>
      <w:r>
        <w:t>to exercise any rights and remedies attendant to the enforcement of a Commission order.</w:t>
      </w:r>
    </w:p>
    <w:p w:rsidR="00F63A57" w:rsidRDefault="00F63A57" w:rsidP="00F63A57">
      <w:pPr>
        <w:pStyle w:val="ListParagraph"/>
        <w:rPr>
          <w:b/>
          <w:szCs w:val="22"/>
          <w:u w:val="single"/>
        </w:rPr>
      </w:pPr>
    </w:p>
    <w:p w:rsidR="00B23CF5" w:rsidRPr="00F63A57" w:rsidRDefault="00B23CF5" w:rsidP="00F63A57">
      <w:pPr>
        <w:pStyle w:val="par1"/>
        <w:numPr>
          <w:ilvl w:val="1"/>
          <w:numId w:val="6"/>
        </w:numPr>
        <w:tabs>
          <w:tab w:val="clear" w:pos="1080"/>
          <w:tab w:val="num" w:pos="1440"/>
        </w:tabs>
        <w:ind w:left="0" w:firstLine="720"/>
      </w:pPr>
      <w:r w:rsidRPr="00F63A57">
        <w:rPr>
          <w:b/>
          <w:szCs w:val="22"/>
          <w:u w:val="single"/>
        </w:rPr>
        <w:t>Termination of Investigation</w:t>
      </w:r>
      <w:r w:rsidRPr="00F63A57">
        <w:rPr>
          <w:szCs w:val="22"/>
        </w:rPr>
        <w:t>.</w:t>
      </w:r>
      <w:r w:rsidRPr="00F63A57">
        <w:rPr>
          <w:b/>
          <w:szCs w:val="22"/>
        </w:rPr>
        <w:t xml:space="preserve">  </w:t>
      </w:r>
      <w:r>
        <w:t>In express reliance on the covenants and representations in this Consent Decree and to avoid further expenditure of public resources, the Bureau agrees to terminate the Investigation.  In consideration for the t</w:t>
      </w:r>
      <w:r w:rsidR="00966159">
        <w:t>ermination of the Investigation</w:t>
      </w:r>
      <w:r>
        <w:t xml:space="preserve">, </w:t>
      </w:r>
      <w:r w:rsidR="00C307B6">
        <w:t>AT&amp;T</w:t>
      </w:r>
      <w:r w:rsidRPr="00F63A57">
        <w:rPr>
          <w:szCs w:val="22"/>
        </w:rPr>
        <w:t xml:space="preserve"> </w:t>
      </w:r>
      <w:r>
        <w:t xml:space="preserve">agrees to the terms, conditions, and procedures contained herein.  The Bureau further agrees that in the absence of new material evidence, the Bureau will not use the </w:t>
      </w:r>
      <w:r w:rsidRPr="00F63A57">
        <w:rPr>
          <w:rFonts w:eastAsia="Batang"/>
          <w:snapToGrid w:val="0"/>
          <w:szCs w:val="22"/>
        </w:rPr>
        <w:t>facts</w:t>
      </w:r>
      <w:r>
        <w:t xml:space="preserve"> developed in </w:t>
      </w:r>
      <w:r w:rsidR="00966159">
        <w:t>this Investigation</w:t>
      </w:r>
      <w:r>
        <w:t xml:space="preserve"> through the Effective Date, or the existence of this Consent Decree, to institute on its own motion any new proceeding, formal or informal, or take any action on its own motion against </w:t>
      </w:r>
      <w:r w:rsidR="00C307B6">
        <w:t>AT&amp;T</w:t>
      </w:r>
      <w:r>
        <w:t xml:space="preserve"> concerning the matters that were the subject of the Investigation.  The Bureau also agrees that</w:t>
      </w:r>
      <w:r w:rsidR="00573996" w:rsidRPr="001F309B">
        <w:t xml:space="preserve">, </w:t>
      </w:r>
      <w:r w:rsidR="00573996" w:rsidRPr="00F63A57">
        <w:rPr>
          <w:szCs w:val="22"/>
        </w:rPr>
        <w:t>based solely on the record developed to date in this Investigation, and</w:t>
      </w:r>
      <w:r>
        <w:t xml:space="preserve"> in the absence of new material evidence it will not use the facts developed in </w:t>
      </w:r>
      <w:r w:rsidR="00966159">
        <w:t>this Investigation</w:t>
      </w:r>
      <w:r>
        <w:t xml:space="preserve"> through the Effective Date, or the existence of this Consent Decree, to institute on its own motion any proceeding, formal or informal, or take any action on its own motion against </w:t>
      </w:r>
      <w:r w:rsidR="00C307B6">
        <w:t>AT&amp;T</w:t>
      </w:r>
      <w:r w:rsidRPr="00F63A57">
        <w:rPr>
          <w:szCs w:val="22"/>
        </w:rPr>
        <w:t xml:space="preserve"> </w:t>
      </w:r>
      <w:r>
        <w:t xml:space="preserve">with respect to </w:t>
      </w:r>
      <w:r w:rsidR="00C307B6">
        <w:t>AT&amp;T</w:t>
      </w:r>
      <w:r w:rsidRPr="00F63A57">
        <w:rPr>
          <w:szCs w:val="22"/>
        </w:rPr>
        <w:t xml:space="preserve">’s </w:t>
      </w:r>
      <w:r>
        <w:t>basic qualifications, including its character qualifications</w:t>
      </w:r>
      <w:r w:rsidR="003C1F74">
        <w:t>,</w:t>
      </w:r>
      <w:r>
        <w:t xml:space="preserve"> to hold Commission certifications, licenses</w:t>
      </w:r>
      <w:r w:rsidR="00C37F44">
        <w:t>,</w:t>
      </w:r>
      <w:r>
        <w:t xml:space="preserve"> or authorizations</w:t>
      </w:r>
      <w:r w:rsidRPr="00F63A57">
        <w:rPr>
          <w:szCs w:val="22"/>
        </w:rPr>
        <w:t xml:space="preserve">.  </w:t>
      </w:r>
      <w:r w:rsidR="009B074B" w:rsidRPr="00F63A57">
        <w:rPr>
          <w:szCs w:val="22"/>
        </w:rPr>
        <w:t xml:space="preserve">This Consent Decree does not constitute an admission or concession by either party </w:t>
      </w:r>
      <w:r w:rsidR="00AD5FEE" w:rsidRPr="00F63A57">
        <w:rPr>
          <w:szCs w:val="22"/>
        </w:rPr>
        <w:t xml:space="preserve">to the litigation below </w:t>
      </w:r>
      <w:r w:rsidR="009B074B" w:rsidRPr="00F63A57">
        <w:rPr>
          <w:szCs w:val="22"/>
        </w:rPr>
        <w:t xml:space="preserve">with respect to any claim, allegation, </w:t>
      </w:r>
      <w:r w:rsidR="00B54756">
        <w:rPr>
          <w:szCs w:val="22"/>
        </w:rPr>
        <w:t xml:space="preserve">fact, </w:t>
      </w:r>
      <w:r w:rsidR="009B074B" w:rsidRPr="00F63A57">
        <w:rPr>
          <w:szCs w:val="22"/>
        </w:rPr>
        <w:t>or defense that has or may be asserted</w:t>
      </w:r>
      <w:r w:rsidR="00AD5FEE" w:rsidRPr="00F63A57">
        <w:rPr>
          <w:szCs w:val="22"/>
        </w:rPr>
        <w:t>, or any relief that has been or may be sought,</w:t>
      </w:r>
      <w:r w:rsidR="009B074B" w:rsidRPr="00F63A57">
        <w:rPr>
          <w:szCs w:val="22"/>
        </w:rPr>
        <w:t xml:space="preserve"> in </w:t>
      </w:r>
      <w:r w:rsidR="00B54756">
        <w:rPr>
          <w:i/>
          <w:szCs w:val="22"/>
        </w:rPr>
        <w:t>United</w:t>
      </w:r>
      <w:r w:rsidR="009B074B" w:rsidRPr="00F63A57">
        <w:rPr>
          <w:i/>
          <w:szCs w:val="22"/>
        </w:rPr>
        <w:t xml:space="preserve"> States ex rel. Lyttle v. AT&amp;T Corp</w:t>
      </w:r>
      <w:r w:rsidR="009B074B" w:rsidRPr="00F63A57">
        <w:rPr>
          <w:szCs w:val="22"/>
        </w:rPr>
        <w:t>., No. 10-1376 (W.D. Pa.).</w:t>
      </w:r>
    </w:p>
    <w:p w:rsidR="00B23CF5" w:rsidRPr="00C61A44" w:rsidRDefault="00B23CF5" w:rsidP="00BF12B3">
      <w:pPr>
        <w:pStyle w:val="par1"/>
        <w:numPr>
          <w:ilvl w:val="0"/>
          <w:numId w:val="0"/>
        </w:numPr>
        <w:tabs>
          <w:tab w:val="num" w:pos="1440"/>
        </w:tabs>
        <w:rPr>
          <w:szCs w:val="22"/>
        </w:rPr>
      </w:pPr>
    </w:p>
    <w:p w:rsidR="00E8098D" w:rsidRPr="00DC4403" w:rsidRDefault="00E8098D" w:rsidP="00357EBE">
      <w:pPr>
        <w:pStyle w:val="par1"/>
        <w:numPr>
          <w:ilvl w:val="1"/>
          <w:numId w:val="6"/>
        </w:numPr>
        <w:tabs>
          <w:tab w:val="clear" w:pos="1080"/>
          <w:tab w:val="num" w:pos="1440"/>
        </w:tabs>
        <w:ind w:left="0" w:firstLine="720"/>
        <w:rPr>
          <w:szCs w:val="22"/>
        </w:rPr>
      </w:pPr>
      <w:r>
        <w:rPr>
          <w:b/>
          <w:szCs w:val="22"/>
          <w:u w:val="single"/>
        </w:rPr>
        <w:t>Representations; Warranties</w:t>
      </w:r>
      <w:r>
        <w:rPr>
          <w:szCs w:val="22"/>
        </w:rPr>
        <w:t xml:space="preserve">.  </w:t>
      </w:r>
      <w:r w:rsidR="00357EBE" w:rsidRPr="00357EBE">
        <w:rPr>
          <w:szCs w:val="22"/>
        </w:rPr>
        <w:t xml:space="preserve">AT&amp;T represents and warrants that as of February 2012, the Company </w:t>
      </w:r>
      <w:r w:rsidR="00EE662C">
        <w:rPr>
          <w:szCs w:val="22"/>
        </w:rPr>
        <w:t xml:space="preserve">began </w:t>
      </w:r>
      <w:r w:rsidR="00357EBE" w:rsidRPr="00357EBE">
        <w:rPr>
          <w:szCs w:val="22"/>
        </w:rPr>
        <w:t>verif</w:t>
      </w:r>
      <w:r w:rsidR="00EE662C">
        <w:rPr>
          <w:szCs w:val="22"/>
        </w:rPr>
        <w:t>ying</w:t>
      </w:r>
      <w:r w:rsidR="00357EBE" w:rsidRPr="00357EBE">
        <w:rPr>
          <w:szCs w:val="22"/>
        </w:rPr>
        <w:t xml:space="preserve"> existing </w:t>
      </w:r>
      <w:r w:rsidR="0037484C">
        <w:rPr>
          <w:szCs w:val="22"/>
        </w:rPr>
        <w:t xml:space="preserve">AT&amp;T </w:t>
      </w:r>
      <w:r w:rsidR="00357EBE" w:rsidRPr="00357EBE">
        <w:rPr>
          <w:szCs w:val="22"/>
        </w:rPr>
        <w:t>I</w:t>
      </w:r>
      <w:r w:rsidR="00EE662C">
        <w:rPr>
          <w:szCs w:val="22"/>
        </w:rPr>
        <w:t>P Relay</w:t>
      </w:r>
      <w:r w:rsidR="00357EBE" w:rsidRPr="00357EBE">
        <w:rPr>
          <w:szCs w:val="22"/>
        </w:rPr>
        <w:t xml:space="preserve"> registered users through a process that, at a minimum, verified the user’s name, linked the named user to the U.S. address provided by the user during registration</w:t>
      </w:r>
      <w:r w:rsidR="008E0100">
        <w:rPr>
          <w:szCs w:val="22"/>
        </w:rPr>
        <w:t xml:space="preserve">, and ensured </w:t>
      </w:r>
      <w:r w:rsidR="00357EBE" w:rsidRPr="00357EBE">
        <w:rPr>
          <w:szCs w:val="22"/>
        </w:rPr>
        <w:t xml:space="preserve">that </w:t>
      </w:r>
      <w:r w:rsidR="00EE662C">
        <w:rPr>
          <w:szCs w:val="22"/>
        </w:rPr>
        <w:t xml:space="preserve">the </w:t>
      </w:r>
      <w:r w:rsidR="00357EBE" w:rsidRPr="00357EBE">
        <w:rPr>
          <w:szCs w:val="22"/>
        </w:rPr>
        <w:t>users ha</w:t>
      </w:r>
      <w:r w:rsidR="00EE662C">
        <w:rPr>
          <w:szCs w:val="22"/>
        </w:rPr>
        <w:t>d</w:t>
      </w:r>
      <w:r w:rsidR="00357EBE" w:rsidRPr="00357EBE">
        <w:rPr>
          <w:szCs w:val="22"/>
        </w:rPr>
        <w:t xml:space="preserve"> provided a self-certification attesting that they have a disability and are eligible to use IP Relay.  </w:t>
      </w:r>
      <w:r w:rsidR="00EE662C">
        <w:rPr>
          <w:szCs w:val="22"/>
        </w:rPr>
        <w:t xml:space="preserve">AT&amp;T further represents and warrants that it used this process to verify all IP Relay users by the end of June 2012.  </w:t>
      </w:r>
      <w:r w:rsidR="00357EBE" w:rsidRPr="00357EBE">
        <w:rPr>
          <w:szCs w:val="22"/>
        </w:rPr>
        <w:t xml:space="preserve">AT&amp;T further represents and warrants that it has removed from the iTRS database </w:t>
      </w:r>
      <w:r w:rsidR="008E0100">
        <w:rPr>
          <w:szCs w:val="22"/>
        </w:rPr>
        <w:t>any and all</w:t>
      </w:r>
      <w:r w:rsidR="008E0100" w:rsidRPr="00357EBE">
        <w:rPr>
          <w:szCs w:val="22"/>
        </w:rPr>
        <w:t xml:space="preserve"> </w:t>
      </w:r>
      <w:r w:rsidR="008E0100">
        <w:rPr>
          <w:szCs w:val="22"/>
        </w:rPr>
        <w:t xml:space="preserve">assigned </w:t>
      </w:r>
      <w:r w:rsidR="00357EBE" w:rsidRPr="00357EBE">
        <w:rPr>
          <w:szCs w:val="22"/>
        </w:rPr>
        <w:t>ten-digit number</w:t>
      </w:r>
      <w:r w:rsidR="008E0100">
        <w:rPr>
          <w:szCs w:val="22"/>
        </w:rPr>
        <w:t>s</w:t>
      </w:r>
      <w:r w:rsidR="00357EBE" w:rsidRPr="00357EBE">
        <w:rPr>
          <w:szCs w:val="22"/>
        </w:rPr>
        <w:t xml:space="preserve"> that</w:t>
      </w:r>
      <w:r w:rsidR="00357EBE">
        <w:rPr>
          <w:szCs w:val="22"/>
        </w:rPr>
        <w:t xml:space="preserve"> </w:t>
      </w:r>
      <w:r w:rsidR="008E0100">
        <w:rPr>
          <w:szCs w:val="22"/>
        </w:rPr>
        <w:t xml:space="preserve">correspond to </w:t>
      </w:r>
      <w:r w:rsidR="0073756E">
        <w:rPr>
          <w:szCs w:val="22"/>
        </w:rPr>
        <w:t xml:space="preserve">AT&amp;T registered </w:t>
      </w:r>
      <w:r w:rsidR="00357EBE">
        <w:rPr>
          <w:szCs w:val="22"/>
        </w:rPr>
        <w:t>user</w:t>
      </w:r>
      <w:r w:rsidR="008E0100">
        <w:rPr>
          <w:szCs w:val="22"/>
        </w:rPr>
        <w:t>s</w:t>
      </w:r>
      <w:r w:rsidR="006E55C5">
        <w:rPr>
          <w:szCs w:val="22"/>
        </w:rPr>
        <w:t xml:space="preserve"> </w:t>
      </w:r>
      <w:r w:rsidR="008E0100">
        <w:rPr>
          <w:szCs w:val="22"/>
        </w:rPr>
        <w:t>who</w:t>
      </w:r>
      <w:r w:rsidR="006E55C5">
        <w:rPr>
          <w:szCs w:val="22"/>
        </w:rPr>
        <w:t xml:space="preserve"> failed to provide </w:t>
      </w:r>
      <w:r w:rsidR="008E0100">
        <w:rPr>
          <w:szCs w:val="22"/>
        </w:rPr>
        <w:t xml:space="preserve">the required </w:t>
      </w:r>
      <w:r w:rsidR="006E55C5">
        <w:rPr>
          <w:szCs w:val="22"/>
        </w:rPr>
        <w:t xml:space="preserve">self-certification </w:t>
      </w:r>
      <w:r w:rsidR="008E0100">
        <w:rPr>
          <w:szCs w:val="22"/>
        </w:rPr>
        <w:t xml:space="preserve">as to their disability and eligibility </w:t>
      </w:r>
      <w:r w:rsidR="006E55C5">
        <w:rPr>
          <w:szCs w:val="22"/>
        </w:rPr>
        <w:t xml:space="preserve">or </w:t>
      </w:r>
      <w:r w:rsidR="008E0100">
        <w:rPr>
          <w:szCs w:val="22"/>
        </w:rPr>
        <w:t xml:space="preserve">who could not be verified </w:t>
      </w:r>
      <w:r w:rsidR="00B24F93">
        <w:rPr>
          <w:szCs w:val="22"/>
        </w:rPr>
        <w:t xml:space="preserve">through </w:t>
      </w:r>
      <w:r w:rsidR="008E0100">
        <w:rPr>
          <w:szCs w:val="22"/>
        </w:rPr>
        <w:t>the Company’s</w:t>
      </w:r>
      <w:r w:rsidR="00B24F93">
        <w:rPr>
          <w:szCs w:val="22"/>
        </w:rPr>
        <w:t xml:space="preserve"> verification process</w:t>
      </w:r>
      <w:r w:rsidR="008E0100">
        <w:rPr>
          <w:szCs w:val="22"/>
        </w:rPr>
        <w:t xml:space="preserve"> (i.e., </w:t>
      </w:r>
      <w:r w:rsidR="006E55C5">
        <w:rPr>
          <w:szCs w:val="22"/>
        </w:rPr>
        <w:t>verif</w:t>
      </w:r>
      <w:r w:rsidR="008E0100">
        <w:rPr>
          <w:szCs w:val="22"/>
        </w:rPr>
        <w:t>ication of</w:t>
      </w:r>
      <w:r w:rsidR="006E55C5">
        <w:rPr>
          <w:szCs w:val="22"/>
        </w:rPr>
        <w:t xml:space="preserve"> the</w:t>
      </w:r>
      <w:r w:rsidR="00B24F93">
        <w:rPr>
          <w:szCs w:val="22"/>
        </w:rPr>
        <w:t xml:space="preserve"> </w:t>
      </w:r>
      <w:r w:rsidR="006E55C5">
        <w:rPr>
          <w:szCs w:val="22"/>
        </w:rPr>
        <w:t xml:space="preserve">registrant’s name, address, and </w:t>
      </w:r>
      <w:r w:rsidR="00EF0A0A">
        <w:rPr>
          <w:szCs w:val="22"/>
        </w:rPr>
        <w:t xml:space="preserve">a </w:t>
      </w:r>
      <w:r w:rsidR="00B24F93">
        <w:rPr>
          <w:szCs w:val="22"/>
        </w:rPr>
        <w:t xml:space="preserve">link between </w:t>
      </w:r>
      <w:r w:rsidR="006E55C5">
        <w:rPr>
          <w:szCs w:val="22"/>
        </w:rPr>
        <w:t>such</w:t>
      </w:r>
      <w:r w:rsidR="0037664E">
        <w:rPr>
          <w:szCs w:val="22"/>
        </w:rPr>
        <w:t xml:space="preserve"> </w:t>
      </w:r>
      <w:r w:rsidR="00357EBE" w:rsidRPr="00357EBE">
        <w:rPr>
          <w:szCs w:val="22"/>
        </w:rPr>
        <w:t>name and address</w:t>
      </w:r>
      <w:r w:rsidR="008E0100">
        <w:rPr>
          <w:szCs w:val="22"/>
        </w:rPr>
        <w:t>)</w:t>
      </w:r>
      <w:r w:rsidR="00357EBE">
        <w:rPr>
          <w:szCs w:val="22"/>
        </w:rPr>
        <w:t>.</w:t>
      </w:r>
      <w:r w:rsidR="00DF7872">
        <w:rPr>
          <w:szCs w:val="22"/>
        </w:rPr>
        <w:t xml:space="preserve">  AT&amp;T also represents and warrants that the Company’s last request for reimbursement </w:t>
      </w:r>
      <w:r w:rsidR="001B5599">
        <w:rPr>
          <w:szCs w:val="22"/>
        </w:rPr>
        <w:t xml:space="preserve">for IP Relay </w:t>
      </w:r>
      <w:r w:rsidR="00DF7872">
        <w:rPr>
          <w:szCs w:val="22"/>
        </w:rPr>
        <w:t xml:space="preserve">was submitted to the TRS Fund administrator in January 2012, and that the Company has received no reimbursements </w:t>
      </w:r>
      <w:r w:rsidR="001B5599">
        <w:rPr>
          <w:szCs w:val="22"/>
        </w:rPr>
        <w:t xml:space="preserve">for IP Relay </w:t>
      </w:r>
      <w:r w:rsidR="00DF7872">
        <w:rPr>
          <w:szCs w:val="22"/>
        </w:rPr>
        <w:t>from the TRS Fund since February 2012</w:t>
      </w:r>
      <w:r w:rsidR="001B5599">
        <w:rPr>
          <w:szCs w:val="22"/>
        </w:rPr>
        <w:t xml:space="preserve">, other than </w:t>
      </w:r>
      <w:r w:rsidR="00BC46FC">
        <w:rPr>
          <w:szCs w:val="22"/>
        </w:rPr>
        <w:t>true-</w:t>
      </w:r>
      <w:r w:rsidR="001B5599">
        <w:rPr>
          <w:szCs w:val="22"/>
        </w:rPr>
        <w:t>ups attributable to reimbursements for months prior to January 2012</w:t>
      </w:r>
      <w:r w:rsidR="00DF7872">
        <w:rPr>
          <w:szCs w:val="22"/>
        </w:rPr>
        <w:t>.</w:t>
      </w:r>
    </w:p>
    <w:p w:rsidR="00E8098D" w:rsidRDefault="00E8098D" w:rsidP="00DC4403">
      <w:pPr>
        <w:pStyle w:val="ListParagraph"/>
        <w:rPr>
          <w:b/>
          <w:szCs w:val="22"/>
          <w:u w:val="single"/>
        </w:rPr>
      </w:pPr>
    </w:p>
    <w:p w:rsidR="00B23CF5" w:rsidRPr="00963731" w:rsidRDefault="00B23CF5" w:rsidP="00535874">
      <w:pPr>
        <w:pStyle w:val="par1"/>
        <w:numPr>
          <w:ilvl w:val="1"/>
          <w:numId w:val="6"/>
        </w:numPr>
        <w:tabs>
          <w:tab w:val="clear" w:pos="1080"/>
          <w:tab w:val="num" w:pos="1440"/>
        </w:tabs>
        <w:ind w:left="0" w:firstLine="720"/>
        <w:rPr>
          <w:szCs w:val="22"/>
        </w:rPr>
      </w:pPr>
      <w:r>
        <w:rPr>
          <w:b/>
          <w:szCs w:val="22"/>
          <w:u w:val="single"/>
        </w:rPr>
        <w:t>Compliance Officer</w:t>
      </w:r>
      <w:r>
        <w:rPr>
          <w:szCs w:val="22"/>
        </w:rPr>
        <w:t>.</w:t>
      </w:r>
      <w:r>
        <w:rPr>
          <w:b/>
          <w:szCs w:val="22"/>
        </w:rPr>
        <w:t xml:space="preserve">  </w:t>
      </w:r>
      <w:r>
        <w:rPr>
          <w:szCs w:val="22"/>
        </w:rPr>
        <w:t xml:space="preserve">Within thirty (30) calendar days after the Effective Date, </w:t>
      </w:r>
      <w:r w:rsidR="00C307B6">
        <w:rPr>
          <w:szCs w:val="22"/>
        </w:rPr>
        <w:t>AT&amp;T</w:t>
      </w:r>
      <w:r>
        <w:rPr>
          <w:szCs w:val="22"/>
        </w:rPr>
        <w:t xml:space="preserve"> shall designate a senior corporate manager with the requisite corporate and organizational authority to serve as Compliance Officer and to discharge the duties set forth below.   The Compliance Officer shall be responsible for developing, implementing, and administering the </w:t>
      </w:r>
      <w:r w:rsidR="008A4FA1">
        <w:rPr>
          <w:szCs w:val="22"/>
        </w:rPr>
        <w:t>compliance procedures,</w:t>
      </w:r>
      <w:r w:rsidR="007E223B">
        <w:rPr>
          <w:szCs w:val="22"/>
        </w:rPr>
        <w:t xml:space="preserve"> </w:t>
      </w:r>
      <w:r w:rsidR="00782DC0">
        <w:rPr>
          <w:szCs w:val="22"/>
        </w:rPr>
        <w:t>detailed below</w:t>
      </w:r>
      <w:r w:rsidR="00DA12F0">
        <w:rPr>
          <w:szCs w:val="22"/>
        </w:rPr>
        <w:t>,</w:t>
      </w:r>
      <w:r>
        <w:rPr>
          <w:szCs w:val="22"/>
        </w:rPr>
        <w:t xml:space="preserve"> </w:t>
      </w:r>
      <w:r w:rsidR="00DA12F0">
        <w:rPr>
          <w:szCs w:val="22"/>
        </w:rPr>
        <w:t xml:space="preserve">that </w:t>
      </w:r>
      <w:r w:rsidR="00C307B6">
        <w:rPr>
          <w:szCs w:val="22"/>
        </w:rPr>
        <w:t>AT&amp;T</w:t>
      </w:r>
      <w:r>
        <w:rPr>
          <w:szCs w:val="22"/>
        </w:rPr>
        <w:t xml:space="preserve"> </w:t>
      </w:r>
      <w:r w:rsidR="00DA12F0">
        <w:rPr>
          <w:szCs w:val="22"/>
        </w:rPr>
        <w:t>must implement to ensure compliance</w:t>
      </w:r>
      <w:r>
        <w:rPr>
          <w:szCs w:val="22"/>
        </w:rPr>
        <w:t xml:space="preserve"> with the terms and conditions of this Consent Decree.  In addition to the general knowledge of the Communications Laws necessary to discharge his/her duties under this Consent Decree, the Compliance Officer shall have specific knowledge of the TRS Rules prior to assuming his/her duties.       </w:t>
      </w:r>
    </w:p>
    <w:p w:rsidR="00B23CF5" w:rsidRDefault="00B23CF5" w:rsidP="00BF12B3">
      <w:pPr>
        <w:pStyle w:val="par1"/>
        <w:numPr>
          <w:ilvl w:val="0"/>
          <w:numId w:val="0"/>
        </w:numPr>
        <w:tabs>
          <w:tab w:val="num" w:pos="1440"/>
        </w:tabs>
        <w:ind w:firstLine="720"/>
        <w:rPr>
          <w:b/>
          <w:u w:val="single"/>
        </w:rPr>
      </w:pPr>
    </w:p>
    <w:p w:rsidR="00B23CF5" w:rsidRDefault="00B23CF5" w:rsidP="00535874">
      <w:pPr>
        <w:pStyle w:val="par1"/>
        <w:numPr>
          <w:ilvl w:val="1"/>
          <w:numId w:val="6"/>
        </w:numPr>
        <w:tabs>
          <w:tab w:val="clear" w:pos="1080"/>
          <w:tab w:val="num" w:pos="1440"/>
        </w:tabs>
        <w:ind w:left="0" w:firstLine="720"/>
        <w:rPr>
          <w:szCs w:val="22"/>
        </w:rPr>
      </w:pPr>
      <w:r>
        <w:rPr>
          <w:b/>
          <w:u w:val="single"/>
        </w:rPr>
        <w:t>Compliance Plan</w:t>
      </w:r>
      <w:r>
        <w:t xml:space="preserve">.  </w:t>
      </w:r>
      <w:r w:rsidR="00C307B6">
        <w:t>AT&amp;T</w:t>
      </w:r>
      <w:r>
        <w:t xml:space="preserve"> agrees that it shall within sixty (60) calendar days after the </w:t>
      </w:r>
      <w:r w:rsidRPr="00535874">
        <w:rPr>
          <w:szCs w:val="22"/>
        </w:rPr>
        <w:t>Effective</w:t>
      </w:r>
      <w:r>
        <w:t xml:space="preserve"> Date, develop, implement,</w:t>
      </w:r>
      <w:r w:rsidR="00195092">
        <w:t xml:space="preserve"> </w:t>
      </w:r>
      <w:r>
        <w:t xml:space="preserve">and maintain a Compliance Plan </w:t>
      </w:r>
      <w:r w:rsidR="00E65D98">
        <w:t xml:space="preserve">that is </w:t>
      </w:r>
      <w:r>
        <w:t>designed to ensure future compliance with the Communications Laws and with the terms and conditions of this Consent Decree.</w:t>
      </w:r>
      <w:r w:rsidR="008A4FA1">
        <w:rPr>
          <w:rStyle w:val="FootnoteReference"/>
        </w:rPr>
        <w:footnoteReference w:id="22"/>
      </w:r>
      <w:r>
        <w:t xml:space="preserve">  With respect to </w:t>
      </w:r>
      <w:r>
        <w:rPr>
          <w:szCs w:val="22"/>
        </w:rPr>
        <w:t xml:space="preserve">the TRS Rules, </w:t>
      </w:r>
      <w:r w:rsidR="00C307B6">
        <w:rPr>
          <w:szCs w:val="22"/>
        </w:rPr>
        <w:t>AT&amp;T</w:t>
      </w:r>
      <w:r>
        <w:rPr>
          <w:szCs w:val="22"/>
        </w:rPr>
        <w:t xml:space="preserve"> shall implement the following</w:t>
      </w:r>
      <w:r>
        <w:t>:</w:t>
      </w:r>
    </w:p>
    <w:p w:rsidR="00EE662C" w:rsidRPr="00EE662C" w:rsidRDefault="00EE662C" w:rsidP="00EE662C">
      <w:pPr>
        <w:ind w:left="1440"/>
        <w:rPr>
          <w:sz w:val="22"/>
          <w:szCs w:val="22"/>
        </w:rPr>
      </w:pPr>
    </w:p>
    <w:p w:rsidR="00B23CF5" w:rsidRDefault="00B23CF5" w:rsidP="00BF12B3">
      <w:pPr>
        <w:numPr>
          <w:ilvl w:val="1"/>
          <w:numId w:val="4"/>
        </w:numPr>
        <w:tabs>
          <w:tab w:val="clear" w:pos="1800"/>
          <w:tab w:val="num" w:pos="1440"/>
        </w:tabs>
        <w:ind w:left="1980" w:hanging="540"/>
        <w:rPr>
          <w:sz w:val="22"/>
          <w:szCs w:val="22"/>
        </w:rPr>
      </w:pPr>
      <w:r>
        <w:rPr>
          <w:rFonts w:ascii="Times New Roman Bold" w:hAnsi="Times New Roman Bold"/>
          <w:b/>
          <w:sz w:val="22"/>
          <w:szCs w:val="22"/>
          <w:u w:val="single"/>
        </w:rPr>
        <w:t>Operating Procedures</w:t>
      </w:r>
      <w:r>
        <w:rPr>
          <w:sz w:val="22"/>
          <w:szCs w:val="22"/>
        </w:rPr>
        <w:t xml:space="preserve">.   Within sixty (60) calendar days after the Effective Date, </w:t>
      </w:r>
      <w:r w:rsidR="00C307B6">
        <w:rPr>
          <w:sz w:val="22"/>
          <w:szCs w:val="22"/>
        </w:rPr>
        <w:t>AT&amp;T</w:t>
      </w:r>
      <w:r>
        <w:rPr>
          <w:sz w:val="22"/>
          <w:szCs w:val="22"/>
        </w:rPr>
        <w:t xml:space="preserve"> shall establish</w:t>
      </w:r>
      <w:r w:rsidR="00F46B54">
        <w:rPr>
          <w:sz w:val="22"/>
          <w:szCs w:val="22"/>
        </w:rPr>
        <w:t xml:space="preserve">, use, </w:t>
      </w:r>
      <w:r>
        <w:rPr>
          <w:sz w:val="22"/>
          <w:szCs w:val="22"/>
        </w:rPr>
        <w:t>and maintain Operating Procedures that the Compliance Officer and</w:t>
      </w:r>
      <w:r w:rsidR="007E223B">
        <w:rPr>
          <w:sz w:val="22"/>
          <w:szCs w:val="22"/>
        </w:rPr>
        <w:t xml:space="preserve"> </w:t>
      </w:r>
      <w:r>
        <w:rPr>
          <w:sz w:val="22"/>
          <w:szCs w:val="22"/>
        </w:rPr>
        <w:t xml:space="preserve">all Covered Personnel </w:t>
      </w:r>
      <w:r w:rsidR="001D73F2">
        <w:rPr>
          <w:sz w:val="22"/>
          <w:szCs w:val="22"/>
        </w:rPr>
        <w:t>shall</w:t>
      </w:r>
      <w:r>
        <w:rPr>
          <w:sz w:val="22"/>
          <w:szCs w:val="22"/>
        </w:rPr>
        <w:t xml:space="preserve"> </w:t>
      </w:r>
      <w:r w:rsidR="004C5FF9">
        <w:rPr>
          <w:sz w:val="22"/>
          <w:szCs w:val="22"/>
        </w:rPr>
        <w:t>follow</w:t>
      </w:r>
      <w:r>
        <w:rPr>
          <w:sz w:val="22"/>
          <w:szCs w:val="22"/>
        </w:rPr>
        <w:t xml:space="preserve"> to help ensure </w:t>
      </w:r>
      <w:r w:rsidR="00C307B6">
        <w:rPr>
          <w:sz w:val="22"/>
          <w:szCs w:val="22"/>
        </w:rPr>
        <w:t>AT&amp;T</w:t>
      </w:r>
      <w:r>
        <w:rPr>
          <w:sz w:val="22"/>
          <w:szCs w:val="22"/>
        </w:rPr>
        <w:t>’s compliance with the</w:t>
      </w:r>
      <w:r w:rsidR="001D73F2">
        <w:rPr>
          <w:sz w:val="22"/>
          <w:szCs w:val="22"/>
        </w:rPr>
        <w:t xml:space="preserve"> </w:t>
      </w:r>
      <w:r>
        <w:rPr>
          <w:sz w:val="22"/>
          <w:szCs w:val="22"/>
        </w:rPr>
        <w:t>TRS Rules</w:t>
      </w:r>
      <w:r w:rsidR="00090DD8">
        <w:rPr>
          <w:sz w:val="22"/>
          <w:szCs w:val="22"/>
        </w:rPr>
        <w:t xml:space="preserve"> and terms of this Consent Decree</w:t>
      </w:r>
      <w:r>
        <w:rPr>
          <w:sz w:val="22"/>
          <w:szCs w:val="22"/>
        </w:rPr>
        <w:t xml:space="preserve">.  </w:t>
      </w:r>
      <w:r w:rsidR="00C307B6">
        <w:rPr>
          <w:sz w:val="22"/>
          <w:szCs w:val="22"/>
        </w:rPr>
        <w:t>AT&amp;T</w:t>
      </w:r>
      <w:r>
        <w:rPr>
          <w:sz w:val="22"/>
          <w:szCs w:val="22"/>
        </w:rPr>
        <w:t xml:space="preserve">’s Operating Procedures shall, at a minimum, include procedures and policies specifically designed to ensure that </w:t>
      </w:r>
      <w:r w:rsidR="00C307B6">
        <w:rPr>
          <w:sz w:val="22"/>
          <w:szCs w:val="22"/>
        </w:rPr>
        <w:t>AT&amp;T</w:t>
      </w:r>
      <w:r>
        <w:rPr>
          <w:sz w:val="22"/>
          <w:szCs w:val="22"/>
        </w:rPr>
        <w:t xml:space="preserve"> operations</w:t>
      </w:r>
      <w:r w:rsidR="001D73F2">
        <w:rPr>
          <w:sz w:val="22"/>
          <w:szCs w:val="22"/>
        </w:rPr>
        <w:t xml:space="preserve"> and provision of TRS</w:t>
      </w:r>
      <w:r w:rsidR="00F87B78">
        <w:rPr>
          <w:sz w:val="22"/>
          <w:szCs w:val="22"/>
        </w:rPr>
        <w:t xml:space="preserve">, including any </w:t>
      </w:r>
      <w:r w:rsidR="00454897">
        <w:rPr>
          <w:sz w:val="22"/>
          <w:szCs w:val="22"/>
        </w:rPr>
        <w:t xml:space="preserve">aspect of </w:t>
      </w:r>
      <w:r w:rsidR="00F87B78">
        <w:rPr>
          <w:sz w:val="22"/>
          <w:szCs w:val="22"/>
        </w:rPr>
        <w:t xml:space="preserve">TRS provided by </w:t>
      </w:r>
      <w:r w:rsidR="004C5FF9">
        <w:rPr>
          <w:sz w:val="22"/>
          <w:szCs w:val="22"/>
        </w:rPr>
        <w:t xml:space="preserve">independent </w:t>
      </w:r>
      <w:r w:rsidR="00F87B78">
        <w:rPr>
          <w:sz w:val="22"/>
          <w:szCs w:val="22"/>
        </w:rPr>
        <w:t>contractors</w:t>
      </w:r>
      <w:r w:rsidR="004C5FF9">
        <w:rPr>
          <w:sz w:val="22"/>
          <w:szCs w:val="22"/>
        </w:rPr>
        <w:t>, subcontractors,</w:t>
      </w:r>
      <w:r w:rsidR="00F87B78">
        <w:rPr>
          <w:sz w:val="22"/>
          <w:szCs w:val="22"/>
        </w:rPr>
        <w:t xml:space="preserve"> or agents,</w:t>
      </w:r>
      <w:r>
        <w:rPr>
          <w:sz w:val="22"/>
          <w:szCs w:val="22"/>
        </w:rPr>
        <w:t xml:space="preserve"> </w:t>
      </w:r>
      <w:r w:rsidR="007607EE">
        <w:rPr>
          <w:sz w:val="22"/>
          <w:szCs w:val="22"/>
        </w:rPr>
        <w:t>comply</w:t>
      </w:r>
      <w:r>
        <w:rPr>
          <w:sz w:val="22"/>
          <w:szCs w:val="22"/>
        </w:rPr>
        <w:t xml:space="preserve"> </w:t>
      </w:r>
      <w:r w:rsidR="00090DD8">
        <w:rPr>
          <w:sz w:val="22"/>
          <w:szCs w:val="22"/>
        </w:rPr>
        <w:t xml:space="preserve">with </w:t>
      </w:r>
      <w:r>
        <w:rPr>
          <w:sz w:val="22"/>
          <w:szCs w:val="22"/>
        </w:rPr>
        <w:t xml:space="preserve">Section 225 of the Act and </w:t>
      </w:r>
      <w:r w:rsidR="00090DD8">
        <w:rPr>
          <w:sz w:val="22"/>
          <w:szCs w:val="22"/>
        </w:rPr>
        <w:t>all</w:t>
      </w:r>
      <w:r>
        <w:rPr>
          <w:sz w:val="22"/>
          <w:szCs w:val="22"/>
        </w:rPr>
        <w:t xml:space="preserve"> TRS Rules </w:t>
      </w:r>
      <w:r w:rsidR="00BD7AD5">
        <w:rPr>
          <w:sz w:val="22"/>
          <w:szCs w:val="22"/>
        </w:rPr>
        <w:t xml:space="preserve">that are </w:t>
      </w:r>
      <w:r>
        <w:rPr>
          <w:sz w:val="22"/>
          <w:szCs w:val="22"/>
        </w:rPr>
        <w:t xml:space="preserve">applicable to any form of TRS offered or provided by </w:t>
      </w:r>
      <w:r w:rsidR="00C307B6">
        <w:rPr>
          <w:sz w:val="22"/>
          <w:szCs w:val="22"/>
        </w:rPr>
        <w:t>AT&amp;T</w:t>
      </w:r>
      <w:r w:rsidR="00F87B78">
        <w:rPr>
          <w:sz w:val="22"/>
          <w:szCs w:val="22"/>
        </w:rPr>
        <w:t>, either directly or indirectly through a</w:t>
      </w:r>
      <w:r w:rsidR="004C5FF9">
        <w:rPr>
          <w:sz w:val="22"/>
          <w:szCs w:val="22"/>
        </w:rPr>
        <w:t>n independent</w:t>
      </w:r>
      <w:r w:rsidR="00F87B78">
        <w:rPr>
          <w:sz w:val="22"/>
          <w:szCs w:val="22"/>
        </w:rPr>
        <w:t xml:space="preserve"> contractor</w:t>
      </w:r>
      <w:r w:rsidR="004C5FF9">
        <w:rPr>
          <w:sz w:val="22"/>
          <w:szCs w:val="22"/>
        </w:rPr>
        <w:t>, subcontractor,</w:t>
      </w:r>
      <w:r w:rsidR="00F87B78">
        <w:rPr>
          <w:sz w:val="22"/>
          <w:szCs w:val="22"/>
        </w:rPr>
        <w:t xml:space="preserve"> or agent</w:t>
      </w:r>
      <w:r w:rsidR="00A575AE">
        <w:rPr>
          <w:sz w:val="22"/>
          <w:szCs w:val="22"/>
        </w:rPr>
        <w:t>.</w:t>
      </w:r>
    </w:p>
    <w:p w:rsidR="00B23CF5" w:rsidRDefault="00B23CF5" w:rsidP="002A26D3">
      <w:pPr>
        <w:ind w:left="1440"/>
        <w:rPr>
          <w:b/>
          <w:sz w:val="22"/>
          <w:szCs w:val="22"/>
          <w:u w:val="single"/>
        </w:rPr>
      </w:pPr>
    </w:p>
    <w:p w:rsidR="00B23CF5" w:rsidRDefault="00B23CF5" w:rsidP="00BF12B3">
      <w:pPr>
        <w:numPr>
          <w:ilvl w:val="1"/>
          <w:numId w:val="4"/>
        </w:numPr>
        <w:tabs>
          <w:tab w:val="clear" w:pos="1800"/>
          <w:tab w:val="num" w:pos="1440"/>
        </w:tabs>
        <w:ind w:left="1980" w:hanging="540"/>
        <w:rPr>
          <w:sz w:val="22"/>
          <w:szCs w:val="22"/>
        </w:rPr>
      </w:pPr>
      <w:r w:rsidRPr="00B752D4">
        <w:rPr>
          <w:b/>
          <w:sz w:val="22"/>
          <w:szCs w:val="22"/>
          <w:u w:val="single"/>
        </w:rPr>
        <w:t>C</w:t>
      </w:r>
      <w:r>
        <w:rPr>
          <w:b/>
          <w:sz w:val="22"/>
          <w:szCs w:val="22"/>
          <w:u w:val="single"/>
        </w:rPr>
        <w:t>ompliance Manual</w:t>
      </w:r>
      <w:r>
        <w:rPr>
          <w:sz w:val="22"/>
          <w:szCs w:val="22"/>
        </w:rPr>
        <w:t>.</w:t>
      </w:r>
      <w:r>
        <w:rPr>
          <w:b/>
          <w:sz w:val="22"/>
          <w:szCs w:val="22"/>
        </w:rPr>
        <w:t xml:space="preserve">  </w:t>
      </w:r>
      <w:r>
        <w:rPr>
          <w:sz w:val="22"/>
          <w:szCs w:val="22"/>
        </w:rPr>
        <w:t xml:space="preserve">Within sixty (60) calendar days after the Effective Date, </w:t>
      </w:r>
      <w:r w:rsidR="008D780A">
        <w:rPr>
          <w:sz w:val="22"/>
          <w:szCs w:val="22"/>
        </w:rPr>
        <w:t>AT&amp;T</w:t>
      </w:r>
      <w:r>
        <w:rPr>
          <w:sz w:val="22"/>
          <w:szCs w:val="22"/>
        </w:rPr>
        <w:t xml:space="preserve"> shall develop</w:t>
      </w:r>
      <w:r w:rsidR="009F4DF7">
        <w:rPr>
          <w:sz w:val="22"/>
          <w:szCs w:val="22"/>
        </w:rPr>
        <w:t xml:space="preserve">, use, </w:t>
      </w:r>
      <w:r>
        <w:rPr>
          <w:sz w:val="22"/>
          <w:szCs w:val="22"/>
        </w:rPr>
        <w:t xml:space="preserve">and maintain a Compliance Manual and distribute the Compliance Manual to all Covered Personnel.  </w:t>
      </w:r>
      <w:r w:rsidR="00ED7D48">
        <w:rPr>
          <w:sz w:val="22"/>
          <w:szCs w:val="22"/>
        </w:rPr>
        <w:t xml:space="preserve">For any person who becomes Covered Personnel after the Effective Date, AT&amp;T shall distribute the Compliance Manual to that person within thirty (30) calendar days after the date such person becomes Covered Personnel.  </w:t>
      </w:r>
      <w:r>
        <w:rPr>
          <w:sz w:val="22"/>
          <w:szCs w:val="22"/>
        </w:rPr>
        <w:t xml:space="preserve">The Compliance Manual shall explain the </w:t>
      </w:r>
      <w:r w:rsidR="00AA62BC">
        <w:rPr>
          <w:sz w:val="22"/>
          <w:szCs w:val="22"/>
        </w:rPr>
        <w:t xml:space="preserve">TRS </w:t>
      </w:r>
      <w:r>
        <w:rPr>
          <w:sz w:val="22"/>
          <w:szCs w:val="22"/>
        </w:rPr>
        <w:t>Rule</w:t>
      </w:r>
      <w:r w:rsidRPr="00F04527">
        <w:rPr>
          <w:sz w:val="22"/>
          <w:szCs w:val="22"/>
        </w:rPr>
        <w:t>s</w:t>
      </w:r>
      <w:r>
        <w:rPr>
          <w:sz w:val="22"/>
          <w:szCs w:val="22"/>
        </w:rPr>
        <w:t xml:space="preserve"> and the Operating Procedures</w:t>
      </w:r>
      <w:r w:rsidR="00A97FCD" w:rsidRPr="00A97FCD">
        <w:rPr>
          <w:sz w:val="22"/>
          <w:szCs w:val="22"/>
        </w:rPr>
        <w:t xml:space="preserve"> </w:t>
      </w:r>
      <w:r w:rsidR="00A97FCD">
        <w:rPr>
          <w:sz w:val="22"/>
          <w:szCs w:val="22"/>
        </w:rPr>
        <w:t>that Covered Personnel</w:t>
      </w:r>
      <w:r w:rsidR="00ED7D48">
        <w:rPr>
          <w:sz w:val="22"/>
          <w:szCs w:val="22"/>
        </w:rPr>
        <w:t xml:space="preserve"> </w:t>
      </w:r>
      <w:r w:rsidR="00A97FCD">
        <w:rPr>
          <w:sz w:val="22"/>
          <w:szCs w:val="22"/>
        </w:rPr>
        <w:t>shall follow to help ensure AT&amp;T’s compliance with the TRS Rules.  The Compliance Manual shall require Covered Personnel</w:t>
      </w:r>
      <w:r w:rsidR="00ED7D48">
        <w:rPr>
          <w:sz w:val="22"/>
          <w:szCs w:val="22"/>
        </w:rPr>
        <w:t xml:space="preserve"> </w:t>
      </w:r>
      <w:r w:rsidR="00A97FCD">
        <w:rPr>
          <w:sz w:val="22"/>
          <w:szCs w:val="22"/>
        </w:rPr>
        <w:t xml:space="preserve">to contact </w:t>
      </w:r>
      <w:r w:rsidR="005F36A9">
        <w:rPr>
          <w:sz w:val="22"/>
          <w:szCs w:val="22"/>
        </w:rPr>
        <w:t>the</w:t>
      </w:r>
      <w:r w:rsidR="00ED7D48">
        <w:rPr>
          <w:sz w:val="22"/>
          <w:szCs w:val="22"/>
        </w:rPr>
        <w:t>ir</w:t>
      </w:r>
      <w:r w:rsidR="005F36A9">
        <w:rPr>
          <w:sz w:val="22"/>
          <w:szCs w:val="22"/>
        </w:rPr>
        <w:t xml:space="preserve"> </w:t>
      </w:r>
      <w:r w:rsidR="00011093">
        <w:rPr>
          <w:sz w:val="22"/>
          <w:szCs w:val="22"/>
        </w:rPr>
        <w:t xml:space="preserve">supervisor and/or the </w:t>
      </w:r>
      <w:r w:rsidR="005F36A9">
        <w:rPr>
          <w:sz w:val="22"/>
          <w:szCs w:val="22"/>
        </w:rPr>
        <w:t>Compliance Officer</w:t>
      </w:r>
      <w:r w:rsidR="00A97FCD">
        <w:rPr>
          <w:sz w:val="22"/>
          <w:szCs w:val="22"/>
        </w:rPr>
        <w:t xml:space="preserve"> with any questions or concerns that arise with respect to AT&amp;T’s obligations under</w:t>
      </w:r>
      <w:r w:rsidR="007607EE">
        <w:rPr>
          <w:sz w:val="22"/>
          <w:szCs w:val="22"/>
        </w:rPr>
        <w:t xml:space="preserve"> or compliance with</w:t>
      </w:r>
      <w:r w:rsidR="00A97FCD">
        <w:rPr>
          <w:sz w:val="22"/>
          <w:szCs w:val="22"/>
        </w:rPr>
        <w:t xml:space="preserve"> the TRS Rules.  </w:t>
      </w:r>
      <w:r w:rsidR="00011093">
        <w:rPr>
          <w:sz w:val="22"/>
          <w:szCs w:val="22"/>
        </w:rPr>
        <w:t xml:space="preserve">The supervisor shall promptly notify the Compliance Officer when a violation or potential violation of the TRS Rules or this Consent Decree is raised by Covered </w:t>
      </w:r>
      <w:r w:rsidR="00ED7D48">
        <w:rPr>
          <w:sz w:val="22"/>
          <w:szCs w:val="22"/>
        </w:rPr>
        <w:t>Personnel</w:t>
      </w:r>
      <w:r w:rsidR="00011093">
        <w:rPr>
          <w:sz w:val="22"/>
          <w:szCs w:val="22"/>
        </w:rPr>
        <w:t xml:space="preserve">.  </w:t>
      </w:r>
      <w:r w:rsidR="00A97FCD">
        <w:rPr>
          <w:sz w:val="22"/>
          <w:szCs w:val="22"/>
        </w:rPr>
        <w:t>In addition, the Compliance Manual</w:t>
      </w:r>
      <w:r>
        <w:rPr>
          <w:sz w:val="22"/>
          <w:szCs w:val="22"/>
        </w:rPr>
        <w:t xml:space="preserve"> shall </w:t>
      </w:r>
      <w:r w:rsidR="00933A0D">
        <w:rPr>
          <w:sz w:val="22"/>
          <w:szCs w:val="22"/>
        </w:rPr>
        <w:t>explain</w:t>
      </w:r>
      <w:r>
        <w:rPr>
          <w:sz w:val="22"/>
          <w:szCs w:val="22"/>
        </w:rPr>
        <w:t xml:space="preserve"> how </w:t>
      </w:r>
      <w:r w:rsidR="008351D6">
        <w:rPr>
          <w:sz w:val="22"/>
          <w:szCs w:val="22"/>
        </w:rPr>
        <w:t xml:space="preserve">Covered </w:t>
      </w:r>
      <w:r w:rsidR="00702B1E">
        <w:rPr>
          <w:sz w:val="22"/>
          <w:szCs w:val="22"/>
        </w:rPr>
        <w:t>Personnel</w:t>
      </w:r>
      <w:r>
        <w:rPr>
          <w:sz w:val="22"/>
          <w:szCs w:val="22"/>
        </w:rPr>
        <w:t xml:space="preserve"> may report waste, fraud, or abuse </w:t>
      </w:r>
      <w:r w:rsidR="005F36A9">
        <w:rPr>
          <w:sz w:val="22"/>
          <w:szCs w:val="22"/>
        </w:rPr>
        <w:t>to the FCC’s Office of the Inspector General and shall set forth t</w:t>
      </w:r>
      <w:r>
        <w:rPr>
          <w:sz w:val="22"/>
          <w:szCs w:val="22"/>
        </w:rPr>
        <w:t xml:space="preserve">he general hotline number and website address for the FCC’s Office of the Inspector General.  </w:t>
      </w:r>
      <w:r w:rsidR="00C307B6">
        <w:rPr>
          <w:sz w:val="22"/>
          <w:szCs w:val="22"/>
        </w:rPr>
        <w:t>AT&amp;T</w:t>
      </w:r>
      <w:r>
        <w:rPr>
          <w:sz w:val="22"/>
          <w:szCs w:val="22"/>
        </w:rPr>
        <w:t xml:space="preserve"> shall periodically review and revise the Compliance Manual as necessary to ensure that the information set forth therein remains current and complete</w:t>
      </w:r>
      <w:r w:rsidR="006F258D">
        <w:rPr>
          <w:sz w:val="22"/>
          <w:szCs w:val="22"/>
        </w:rPr>
        <w:t>,</w:t>
      </w:r>
      <w:r w:rsidR="008D780A">
        <w:rPr>
          <w:sz w:val="22"/>
          <w:szCs w:val="22"/>
        </w:rPr>
        <w:t xml:space="preserve"> taking into account changes in AT&amp;T’s Products</w:t>
      </w:r>
      <w:r w:rsidR="0055323B">
        <w:rPr>
          <w:sz w:val="22"/>
          <w:szCs w:val="22"/>
        </w:rPr>
        <w:t xml:space="preserve"> and</w:t>
      </w:r>
      <w:r w:rsidR="001E32A7">
        <w:rPr>
          <w:sz w:val="22"/>
          <w:szCs w:val="22"/>
        </w:rPr>
        <w:t xml:space="preserve"> processes</w:t>
      </w:r>
      <w:r w:rsidR="008D780A">
        <w:rPr>
          <w:sz w:val="22"/>
          <w:szCs w:val="22"/>
        </w:rPr>
        <w:t xml:space="preserve"> and </w:t>
      </w:r>
      <w:r w:rsidR="006F258D">
        <w:rPr>
          <w:sz w:val="22"/>
          <w:szCs w:val="22"/>
        </w:rPr>
        <w:t xml:space="preserve">any </w:t>
      </w:r>
      <w:r w:rsidR="008D780A">
        <w:rPr>
          <w:sz w:val="22"/>
          <w:szCs w:val="22"/>
        </w:rPr>
        <w:t>modifications to the TRS Rules</w:t>
      </w:r>
      <w:r>
        <w:rPr>
          <w:sz w:val="22"/>
          <w:szCs w:val="22"/>
        </w:rPr>
        <w:t xml:space="preserve">.  </w:t>
      </w:r>
      <w:r w:rsidR="00C307B6">
        <w:rPr>
          <w:sz w:val="22"/>
          <w:szCs w:val="22"/>
        </w:rPr>
        <w:t>AT&amp;T</w:t>
      </w:r>
      <w:r>
        <w:rPr>
          <w:sz w:val="22"/>
          <w:szCs w:val="22"/>
        </w:rPr>
        <w:t xml:space="preserve"> shall distribute any revisions to the Compliance Manual to all Covered Personnel within </w:t>
      </w:r>
      <w:r w:rsidR="00FC1295">
        <w:rPr>
          <w:sz w:val="22"/>
          <w:szCs w:val="22"/>
        </w:rPr>
        <w:t xml:space="preserve">thirty </w:t>
      </w:r>
      <w:r>
        <w:rPr>
          <w:sz w:val="22"/>
          <w:szCs w:val="22"/>
        </w:rPr>
        <w:t>(</w:t>
      </w:r>
      <w:r w:rsidR="00FC1295">
        <w:rPr>
          <w:sz w:val="22"/>
          <w:szCs w:val="22"/>
        </w:rPr>
        <w:t>30</w:t>
      </w:r>
      <w:r>
        <w:rPr>
          <w:sz w:val="22"/>
          <w:szCs w:val="22"/>
        </w:rPr>
        <w:t xml:space="preserve">) calendar days </w:t>
      </w:r>
      <w:r w:rsidR="006F258D">
        <w:rPr>
          <w:sz w:val="22"/>
          <w:szCs w:val="22"/>
        </w:rPr>
        <w:t>after</w:t>
      </w:r>
      <w:r>
        <w:rPr>
          <w:sz w:val="22"/>
          <w:szCs w:val="22"/>
        </w:rPr>
        <w:t xml:space="preserve"> any revisions </w:t>
      </w:r>
      <w:r w:rsidR="006F258D">
        <w:rPr>
          <w:sz w:val="22"/>
          <w:szCs w:val="22"/>
        </w:rPr>
        <w:t xml:space="preserve">have </w:t>
      </w:r>
      <w:r>
        <w:rPr>
          <w:sz w:val="22"/>
          <w:szCs w:val="22"/>
        </w:rPr>
        <w:t xml:space="preserve">been made.  </w:t>
      </w:r>
    </w:p>
    <w:p w:rsidR="00B23CF5" w:rsidRDefault="00B23CF5" w:rsidP="00BF12B3">
      <w:pPr>
        <w:tabs>
          <w:tab w:val="left" w:pos="720"/>
        </w:tabs>
        <w:ind w:left="1980" w:hanging="540"/>
        <w:rPr>
          <w:sz w:val="22"/>
          <w:szCs w:val="22"/>
        </w:rPr>
      </w:pPr>
    </w:p>
    <w:p w:rsidR="00B23CF5" w:rsidRPr="007F5201" w:rsidRDefault="00B23CF5" w:rsidP="00717FB6">
      <w:pPr>
        <w:numPr>
          <w:ilvl w:val="1"/>
          <w:numId w:val="4"/>
        </w:numPr>
        <w:rPr>
          <w:sz w:val="22"/>
          <w:szCs w:val="22"/>
        </w:rPr>
      </w:pPr>
      <w:r w:rsidRPr="007F5201">
        <w:rPr>
          <w:b/>
          <w:sz w:val="22"/>
          <w:szCs w:val="22"/>
          <w:u w:val="single"/>
        </w:rPr>
        <w:t>Compliance Training Program</w:t>
      </w:r>
      <w:r w:rsidRPr="007F5201">
        <w:rPr>
          <w:sz w:val="22"/>
          <w:szCs w:val="22"/>
        </w:rPr>
        <w:t xml:space="preserve">.  </w:t>
      </w:r>
      <w:r>
        <w:rPr>
          <w:sz w:val="22"/>
          <w:szCs w:val="22"/>
        </w:rPr>
        <w:t>Within</w:t>
      </w:r>
      <w:r w:rsidR="008351D6">
        <w:rPr>
          <w:sz w:val="22"/>
          <w:szCs w:val="22"/>
        </w:rPr>
        <w:t xml:space="preserve"> sixty</w:t>
      </w:r>
      <w:r>
        <w:rPr>
          <w:sz w:val="22"/>
          <w:szCs w:val="22"/>
        </w:rPr>
        <w:t xml:space="preserve"> (</w:t>
      </w:r>
      <w:r w:rsidR="008351D6">
        <w:rPr>
          <w:sz w:val="22"/>
          <w:szCs w:val="22"/>
        </w:rPr>
        <w:t>60</w:t>
      </w:r>
      <w:r>
        <w:rPr>
          <w:sz w:val="22"/>
          <w:szCs w:val="22"/>
        </w:rPr>
        <w:t xml:space="preserve">) calendar days </w:t>
      </w:r>
      <w:r w:rsidR="006F258D">
        <w:rPr>
          <w:sz w:val="22"/>
          <w:szCs w:val="22"/>
        </w:rPr>
        <w:t xml:space="preserve">after </w:t>
      </w:r>
      <w:r>
        <w:rPr>
          <w:sz w:val="22"/>
          <w:szCs w:val="22"/>
        </w:rPr>
        <w:t xml:space="preserve">the Effective Date, </w:t>
      </w:r>
      <w:r w:rsidR="00C307B6">
        <w:rPr>
          <w:sz w:val="22"/>
          <w:szCs w:val="22"/>
        </w:rPr>
        <w:t>AT&amp;T</w:t>
      </w:r>
      <w:r w:rsidRPr="007F5201">
        <w:rPr>
          <w:sz w:val="22"/>
          <w:szCs w:val="22"/>
        </w:rPr>
        <w:t xml:space="preserve"> shall establish</w:t>
      </w:r>
      <w:r>
        <w:rPr>
          <w:sz w:val="22"/>
          <w:szCs w:val="22"/>
        </w:rPr>
        <w:t>,</w:t>
      </w:r>
      <w:r w:rsidRPr="007F5201">
        <w:rPr>
          <w:sz w:val="22"/>
          <w:szCs w:val="22"/>
        </w:rPr>
        <w:t xml:space="preserve"> implement</w:t>
      </w:r>
      <w:r>
        <w:rPr>
          <w:sz w:val="22"/>
          <w:szCs w:val="22"/>
        </w:rPr>
        <w:t>, and maintain</w:t>
      </w:r>
      <w:r w:rsidRPr="007F5201">
        <w:rPr>
          <w:sz w:val="22"/>
          <w:szCs w:val="22"/>
        </w:rPr>
        <w:t xml:space="preserve"> a Compliance Training Program </w:t>
      </w:r>
      <w:r>
        <w:rPr>
          <w:sz w:val="22"/>
          <w:szCs w:val="22"/>
        </w:rPr>
        <w:t xml:space="preserve">to ensure compliance with </w:t>
      </w:r>
      <w:r w:rsidRPr="007F5201">
        <w:rPr>
          <w:sz w:val="22"/>
          <w:szCs w:val="22"/>
        </w:rPr>
        <w:t>the TRS Rules and the Operating Procedures</w:t>
      </w:r>
      <w:r>
        <w:rPr>
          <w:sz w:val="22"/>
          <w:szCs w:val="22"/>
        </w:rPr>
        <w:t>.  As</w:t>
      </w:r>
      <w:r w:rsidRPr="007F5201">
        <w:rPr>
          <w:sz w:val="22"/>
          <w:szCs w:val="22"/>
        </w:rPr>
        <w:t xml:space="preserve"> part of the Compliance Training Program, Covered Personnel shall be advised of </w:t>
      </w:r>
      <w:r w:rsidR="00C307B6">
        <w:rPr>
          <w:sz w:val="22"/>
          <w:szCs w:val="22"/>
        </w:rPr>
        <w:t>AT&amp;T</w:t>
      </w:r>
      <w:r w:rsidRPr="007F5201">
        <w:rPr>
          <w:sz w:val="22"/>
          <w:szCs w:val="22"/>
        </w:rPr>
        <w:t xml:space="preserve">’s obligation to report any noncompliance with the TRS Rules under paragraph </w:t>
      </w:r>
      <w:r w:rsidR="00DF7872">
        <w:rPr>
          <w:sz w:val="22"/>
          <w:szCs w:val="22"/>
        </w:rPr>
        <w:t>13</w:t>
      </w:r>
      <w:r w:rsidRPr="007F5201">
        <w:rPr>
          <w:sz w:val="22"/>
          <w:szCs w:val="22"/>
        </w:rPr>
        <w:t xml:space="preserve"> of this Consent Decree and shall be instructed on how to disclose noncompliance to the Compliance Officer</w:t>
      </w:r>
      <w:r>
        <w:rPr>
          <w:sz w:val="22"/>
          <w:szCs w:val="22"/>
        </w:rPr>
        <w:t xml:space="preserve">.  </w:t>
      </w:r>
      <w:r w:rsidR="003D67D0">
        <w:rPr>
          <w:sz w:val="22"/>
          <w:szCs w:val="22"/>
        </w:rPr>
        <w:t xml:space="preserve">All </w:t>
      </w:r>
      <w:r w:rsidR="00CE2818">
        <w:rPr>
          <w:sz w:val="22"/>
          <w:szCs w:val="22"/>
        </w:rPr>
        <w:t>Covered Personnel</w:t>
      </w:r>
      <w:r w:rsidR="003D67D0">
        <w:rPr>
          <w:sz w:val="22"/>
          <w:szCs w:val="22"/>
        </w:rPr>
        <w:t xml:space="preserve"> shall be trained</w:t>
      </w:r>
      <w:r w:rsidR="00CE2818">
        <w:rPr>
          <w:sz w:val="22"/>
          <w:szCs w:val="22"/>
        </w:rPr>
        <w:t xml:space="preserve"> </w:t>
      </w:r>
      <w:r w:rsidRPr="007F5201">
        <w:rPr>
          <w:sz w:val="22"/>
          <w:szCs w:val="22"/>
        </w:rPr>
        <w:t xml:space="preserve">pursuant to the Compliance Training Program within </w:t>
      </w:r>
      <w:r w:rsidR="008351D6">
        <w:rPr>
          <w:sz w:val="22"/>
          <w:szCs w:val="22"/>
        </w:rPr>
        <w:t>sixty</w:t>
      </w:r>
      <w:r w:rsidRPr="007F5201">
        <w:rPr>
          <w:sz w:val="22"/>
          <w:szCs w:val="22"/>
        </w:rPr>
        <w:t xml:space="preserve"> (</w:t>
      </w:r>
      <w:r w:rsidR="008351D6">
        <w:rPr>
          <w:sz w:val="22"/>
          <w:szCs w:val="22"/>
        </w:rPr>
        <w:t>60</w:t>
      </w:r>
      <w:r w:rsidRPr="007F5201">
        <w:rPr>
          <w:sz w:val="22"/>
          <w:szCs w:val="22"/>
        </w:rPr>
        <w:t xml:space="preserve">) calendar days after the </w:t>
      </w:r>
      <w:r>
        <w:rPr>
          <w:sz w:val="22"/>
          <w:szCs w:val="22"/>
        </w:rPr>
        <w:t>Effective Date, except that</w:t>
      </w:r>
      <w:r w:rsidR="00CE2818">
        <w:rPr>
          <w:sz w:val="22"/>
          <w:szCs w:val="22"/>
        </w:rPr>
        <w:t xml:space="preserve"> </w:t>
      </w:r>
      <w:r>
        <w:rPr>
          <w:sz w:val="22"/>
          <w:szCs w:val="22"/>
        </w:rPr>
        <w:t xml:space="preserve">any person who becomes Covered Personnel at any time after the Effective Date </w:t>
      </w:r>
      <w:r w:rsidR="00B54756">
        <w:rPr>
          <w:sz w:val="22"/>
          <w:szCs w:val="22"/>
        </w:rPr>
        <w:t xml:space="preserve">shall be trained </w:t>
      </w:r>
      <w:r>
        <w:rPr>
          <w:sz w:val="22"/>
          <w:szCs w:val="22"/>
        </w:rPr>
        <w:t>within thirty (30) calendar days after the date such person becomes Covered Personnel.</w:t>
      </w:r>
      <w:r w:rsidR="00C548B8">
        <w:rPr>
          <w:sz w:val="22"/>
          <w:szCs w:val="22"/>
        </w:rPr>
        <w:t xml:space="preserve"> </w:t>
      </w:r>
      <w:r>
        <w:rPr>
          <w:sz w:val="22"/>
          <w:szCs w:val="22"/>
        </w:rPr>
        <w:t xml:space="preserve"> </w:t>
      </w:r>
      <w:r w:rsidR="00C307B6">
        <w:rPr>
          <w:sz w:val="22"/>
          <w:szCs w:val="22"/>
        </w:rPr>
        <w:t>AT&amp;T</w:t>
      </w:r>
      <w:r w:rsidRPr="007F5201">
        <w:rPr>
          <w:sz w:val="22"/>
          <w:szCs w:val="22"/>
        </w:rPr>
        <w:t xml:space="preserve"> shall repeat the compliance training on an annual basis and shall periodically review and revise the Compliance Training Program as necessary to ensure that it remains current and complete and to en</w:t>
      </w:r>
      <w:r w:rsidR="00FE21EC">
        <w:rPr>
          <w:sz w:val="22"/>
          <w:szCs w:val="22"/>
        </w:rPr>
        <w:t>hance its effectiveness</w:t>
      </w:r>
      <w:r w:rsidR="00717FB6" w:rsidRPr="00717FB6">
        <w:rPr>
          <w:sz w:val="22"/>
          <w:szCs w:val="22"/>
        </w:rPr>
        <w:t xml:space="preserve">.  </w:t>
      </w:r>
    </w:p>
    <w:p w:rsidR="00B23CF5" w:rsidRDefault="00B23CF5" w:rsidP="00045743">
      <w:pPr>
        <w:ind w:left="1440"/>
        <w:rPr>
          <w:sz w:val="22"/>
          <w:szCs w:val="22"/>
        </w:rPr>
      </w:pPr>
    </w:p>
    <w:p w:rsidR="00717FB6" w:rsidRPr="00717FB6" w:rsidRDefault="00717FB6" w:rsidP="00C61A44">
      <w:pPr>
        <w:numPr>
          <w:ilvl w:val="1"/>
          <w:numId w:val="4"/>
        </w:numPr>
        <w:rPr>
          <w:b/>
          <w:sz w:val="22"/>
          <w:szCs w:val="22"/>
          <w:u w:val="single"/>
        </w:rPr>
      </w:pPr>
      <w:r>
        <w:rPr>
          <w:b/>
          <w:sz w:val="22"/>
          <w:szCs w:val="22"/>
          <w:u w:val="single"/>
        </w:rPr>
        <w:t>Act</w:t>
      </w:r>
      <w:r w:rsidR="00CB0ED4">
        <w:rPr>
          <w:b/>
          <w:sz w:val="22"/>
          <w:szCs w:val="22"/>
          <w:u w:val="single"/>
        </w:rPr>
        <w:t>s</w:t>
      </w:r>
      <w:r>
        <w:rPr>
          <w:b/>
          <w:sz w:val="22"/>
          <w:szCs w:val="22"/>
          <w:u w:val="single"/>
        </w:rPr>
        <w:t xml:space="preserve"> or Omissions of Contractors and Agents</w:t>
      </w:r>
      <w:r w:rsidR="00B6579F">
        <w:rPr>
          <w:sz w:val="22"/>
          <w:szCs w:val="22"/>
        </w:rPr>
        <w:t>.  AT&amp;T acknowledges that the</w:t>
      </w:r>
      <w:r w:rsidR="00C61A44" w:rsidRPr="00C61A44">
        <w:rPr>
          <w:sz w:val="22"/>
          <w:szCs w:val="22"/>
        </w:rPr>
        <w:t xml:space="preserve"> act</w:t>
      </w:r>
      <w:r w:rsidR="00CE2818">
        <w:rPr>
          <w:sz w:val="22"/>
          <w:szCs w:val="22"/>
        </w:rPr>
        <w:t>, failure to act,</w:t>
      </w:r>
      <w:r w:rsidR="00C61A44" w:rsidRPr="00C61A44">
        <w:rPr>
          <w:sz w:val="22"/>
          <w:szCs w:val="22"/>
        </w:rPr>
        <w:t xml:space="preserve"> or omission by any </w:t>
      </w:r>
      <w:r w:rsidR="00CE2818">
        <w:rPr>
          <w:sz w:val="22"/>
          <w:szCs w:val="22"/>
        </w:rPr>
        <w:t>independent contractor, subcontractor, or agent of AT&amp;T</w:t>
      </w:r>
      <w:r w:rsidR="006572E1">
        <w:rPr>
          <w:sz w:val="22"/>
          <w:szCs w:val="22"/>
        </w:rPr>
        <w:t>, acting in such capacity,</w:t>
      </w:r>
      <w:r w:rsidR="00C61A44" w:rsidRPr="00C61A44">
        <w:rPr>
          <w:sz w:val="22"/>
          <w:szCs w:val="22"/>
        </w:rPr>
        <w:t xml:space="preserve"> that results in a violation of the Act, TRS Rules, or this Consent Decr</w:t>
      </w:r>
      <w:r w:rsidR="00CE2818">
        <w:rPr>
          <w:sz w:val="22"/>
          <w:szCs w:val="22"/>
        </w:rPr>
        <w:t>ee</w:t>
      </w:r>
      <w:r w:rsidR="00B6579F">
        <w:rPr>
          <w:sz w:val="22"/>
          <w:szCs w:val="22"/>
        </w:rPr>
        <w:t xml:space="preserve"> constitutes</w:t>
      </w:r>
      <w:r w:rsidR="00CE2818">
        <w:rPr>
          <w:sz w:val="22"/>
          <w:szCs w:val="22"/>
        </w:rPr>
        <w:t xml:space="preserve"> an act, failure to act, </w:t>
      </w:r>
      <w:r w:rsidR="00C61A44" w:rsidRPr="00C61A44">
        <w:rPr>
          <w:sz w:val="22"/>
          <w:szCs w:val="22"/>
        </w:rPr>
        <w:t>or omission by AT&amp;T</w:t>
      </w:r>
      <w:r w:rsidR="00CE2818">
        <w:rPr>
          <w:sz w:val="22"/>
          <w:szCs w:val="22"/>
        </w:rPr>
        <w:t>.</w:t>
      </w:r>
      <w:r w:rsidR="00B6579F">
        <w:rPr>
          <w:sz w:val="22"/>
          <w:szCs w:val="22"/>
        </w:rPr>
        <w:t xml:space="preserve">  </w:t>
      </w:r>
      <w:r w:rsidR="00964DA9">
        <w:rPr>
          <w:sz w:val="22"/>
          <w:szCs w:val="22"/>
        </w:rPr>
        <w:t>If the Company must renegotiate any contract with any independent contractor</w:t>
      </w:r>
      <w:r w:rsidR="00732EBD">
        <w:rPr>
          <w:sz w:val="22"/>
          <w:szCs w:val="22"/>
        </w:rPr>
        <w:t xml:space="preserve"> or subcontractor</w:t>
      </w:r>
      <w:r w:rsidR="00964DA9">
        <w:rPr>
          <w:sz w:val="22"/>
          <w:szCs w:val="22"/>
        </w:rPr>
        <w:t xml:space="preserve"> to discharge its responsib</w:t>
      </w:r>
      <w:r w:rsidR="009A23C3">
        <w:rPr>
          <w:sz w:val="22"/>
          <w:szCs w:val="22"/>
        </w:rPr>
        <w:t xml:space="preserve">ilities pursuant to </w:t>
      </w:r>
      <w:r w:rsidR="006572E1">
        <w:rPr>
          <w:sz w:val="22"/>
          <w:szCs w:val="22"/>
        </w:rPr>
        <w:t xml:space="preserve">this </w:t>
      </w:r>
      <w:r w:rsidR="00964DA9">
        <w:rPr>
          <w:sz w:val="22"/>
          <w:szCs w:val="22"/>
        </w:rPr>
        <w:t xml:space="preserve">Consent Decree, </w:t>
      </w:r>
      <w:r w:rsidR="00732EBD">
        <w:rPr>
          <w:sz w:val="22"/>
          <w:szCs w:val="22"/>
        </w:rPr>
        <w:t>the Company must take all commercially reasonable steps to do so</w:t>
      </w:r>
      <w:r w:rsidR="009A23C3">
        <w:rPr>
          <w:sz w:val="22"/>
          <w:szCs w:val="22"/>
        </w:rPr>
        <w:t xml:space="preserve"> within the 60-day deadline set forth in such paragraphs</w:t>
      </w:r>
      <w:r w:rsidR="00732EBD">
        <w:rPr>
          <w:sz w:val="22"/>
          <w:szCs w:val="22"/>
        </w:rPr>
        <w:t xml:space="preserve">.  </w:t>
      </w:r>
      <w:r w:rsidR="00B6579F">
        <w:rPr>
          <w:sz w:val="22"/>
          <w:szCs w:val="22"/>
        </w:rPr>
        <w:t>If, after</w:t>
      </w:r>
      <w:r w:rsidR="00732EBD">
        <w:rPr>
          <w:sz w:val="22"/>
          <w:szCs w:val="22"/>
        </w:rPr>
        <w:t xml:space="preserve"> taking such steps, the Company</w:t>
      </w:r>
      <w:r w:rsidR="009A23C3">
        <w:rPr>
          <w:sz w:val="22"/>
          <w:szCs w:val="22"/>
        </w:rPr>
        <w:t xml:space="preserve"> has</w:t>
      </w:r>
      <w:r w:rsidR="00732EBD">
        <w:rPr>
          <w:sz w:val="22"/>
          <w:szCs w:val="22"/>
        </w:rPr>
        <w:t xml:space="preserve"> not successfully renegotiated a contract with any independent contractor or subcontractor as necessary to discharge its responsibilities </w:t>
      </w:r>
      <w:r w:rsidR="009A23C3">
        <w:rPr>
          <w:sz w:val="22"/>
          <w:szCs w:val="22"/>
        </w:rPr>
        <w:t xml:space="preserve">pursuant to </w:t>
      </w:r>
      <w:r w:rsidR="006572E1">
        <w:rPr>
          <w:sz w:val="22"/>
          <w:szCs w:val="22"/>
        </w:rPr>
        <w:t>this Consent Decree</w:t>
      </w:r>
      <w:r w:rsidR="00732EBD">
        <w:rPr>
          <w:sz w:val="22"/>
          <w:szCs w:val="22"/>
        </w:rPr>
        <w:t xml:space="preserve"> within the </w:t>
      </w:r>
      <w:r w:rsidR="009A23C3">
        <w:rPr>
          <w:sz w:val="22"/>
          <w:szCs w:val="22"/>
        </w:rPr>
        <w:t xml:space="preserve">60-day </w:t>
      </w:r>
      <w:r w:rsidR="00964DA9">
        <w:rPr>
          <w:sz w:val="22"/>
          <w:szCs w:val="22"/>
        </w:rPr>
        <w:t xml:space="preserve">deadlines set forth </w:t>
      </w:r>
      <w:r w:rsidR="009A23C3">
        <w:rPr>
          <w:sz w:val="22"/>
          <w:szCs w:val="22"/>
        </w:rPr>
        <w:t>in such paragraphs</w:t>
      </w:r>
      <w:r w:rsidR="00964DA9">
        <w:rPr>
          <w:sz w:val="22"/>
          <w:szCs w:val="22"/>
        </w:rPr>
        <w:t>, the Company shall notify the Commission, within 75 days after the Effective Date</w:t>
      </w:r>
      <w:r w:rsidR="00732EBD">
        <w:rPr>
          <w:sz w:val="22"/>
          <w:szCs w:val="22"/>
        </w:rPr>
        <w:t>, of</w:t>
      </w:r>
      <w:r w:rsidR="00964DA9">
        <w:rPr>
          <w:sz w:val="22"/>
          <w:szCs w:val="22"/>
        </w:rPr>
        <w:t xml:space="preserve">: (i) the name of each </w:t>
      </w:r>
      <w:r w:rsidR="00732EBD">
        <w:rPr>
          <w:sz w:val="22"/>
          <w:szCs w:val="22"/>
        </w:rPr>
        <w:t xml:space="preserve">such </w:t>
      </w:r>
      <w:r w:rsidR="00964DA9">
        <w:rPr>
          <w:sz w:val="22"/>
          <w:szCs w:val="22"/>
        </w:rPr>
        <w:t xml:space="preserve">contractor or subcontractor; (ii) the </w:t>
      </w:r>
      <w:r w:rsidR="00732EBD">
        <w:rPr>
          <w:sz w:val="22"/>
          <w:szCs w:val="22"/>
        </w:rPr>
        <w:t xml:space="preserve">steps that AT&amp;T took to renegotiate the contract; (iii) </w:t>
      </w:r>
      <w:r w:rsidR="00964DA9">
        <w:rPr>
          <w:sz w:val="22"/>
          <w:szCs w:val="22"/>
        </w:rPr>
        <w:t xml:space="preserve">further steps that AT&amp;T will take to comply with </w:t>
      </w:r>
      <w:r w:rsidR="006572E1">
        <w:rPr>
          <w:sz w:val="22"/>
          <w:szCs w:val="22"/>
        </w:rPr>
        <w:t>this Consent Decree</w:t>
      </w:r>
      <w:r w:rsidR="00964DA9">
        <w:rPr>
          <w:sz w:val="22"/>
          <w:szCs w:val="22"/>
        </w:rPr>
        <w:t xml:space="preserve"> with respect to </w:t>
      </w:r>
      <w:r w:rsidR="00732EBD">
        <w:rPr>
          <w:sz w:val="22"/>
          <w:szCs w:val="22"/>
        </w:rPr>
        <w:t xml:space="preserve">each </w:t>
      </w:r>
      <w:r w:rsidR="00964DA9">
        <w:rPr>
          <w:sz w:val="22"/>
          <w:szCs w:val="22"/>
        </w:rPr>
        <w:t xml:space="preserve">such </w:t>
      </w:r>
      <w:r w:rsidR="00732EBD">
        <w:rPr>
          <w:sz w:val="22"/>
          <w:szCs w:val="22"/>
        </w:rPr>
        <w:t>independent contractor and subcontractor</w:t>
      </w:r>
      <w:r w:rsidR="00964DA9">
        <w:rPr>
          <w:sz w:val="22"/>
          <w:szCs w:val="22"/>
        </w:rPr>
        <w:t xml:space="preserve">; and </w:t>
      </w:r>
      <w:r w:rsidR="009A23C3">
        <w:rPr>
          <w:sz w:val="22"/>
          <w:szCs w:val="22"/>
        </w:rPr>
        <w:t>(iv</w:t>
      </w:r>
      <w:r w:rsidR="00964DA9">
        <w:rPr>
          <w:sz w:val="22"/>
          <w:szCs w:val="22"/>
        </w:rPr>
        <w:t xml:space="preserve">) the </w:t>
      </w:r>
      <w:r w:rsidR="009A23C3">
        <w:rPr>
          <w:sz w:val="22"/>
          <w:szCs w:val="22"/>
        </w:rPr>
        <w:t xml:space="preserve">date by which </w:t>
      </w:r>
      <w:r w:rsidR="00964DA9">
        <w:rPr>
          <w:sz w:val="22"/>
          <w:szCs w:val="22"/>
        </w:rPr>
        <w:t xml:space="preserve">AT&amp;T will </w:t>
      </w:r>
      <w:r w:rsidR="006572E1">
        <w:rPr>
          <w:sz w:val="22"/>
          <w:szCs w:val="22"/>
        </w:rPr>
        <w:t>discharge its responsibilities under this Consent Decree</w:t>
      </w:r>
      <w:r w:rsidR="00964DA9">
        <w:rPr>
          <w:sz w:val="22"/>
          <w:szCs w:val="22"/>
        </w:rPr>
        <w:t xml:space="preserve">.  </w:t>
      </w:r>
    </w:p>
    <w:p w:rsidR="00717FB6" w:rsidRPr="007F5201" w:rsidRDefault="00717FB6" w:rsidP="00045743">
      <w:pPr>
        <w:ind w:left="1440"/>
        <w:rPr>
          <w:sz w:val="22"/>
          <w:szCs w:val="22"/>
        </w:rPr>
      </w:pPr>
    </w:p>
    <w:p w:rsidR="006F258D" w:rsidRPr="00C278F4" w:rsidRDefault="00B23CF5" w:rsidP="00BF12B3">
      <w:pPr>
        <w:numPr>
          <w:ilvl w:val="1"/>
          <w:numId w:val="4"/>
        </w:numPr>
        <w:tabs>
          <w:tab w:val="clear" w:pos="1800"/>
          <w:tab w:val="num" w:pos="1440"/>
        </w:tabs>
        <w:ind w:left="1980" w:hanging="540"/>
        <w:rPr>
          <w:sz w:val="22"/>
          <w:szCs w:val="22"/>
        </w:rPr>
      </w:pPr>
      <w:r w:rsidRPr="007F5201">
        <w:rPr>
          <w:b/>
          <w:sz w:val="22"/>
          <w:szCs w:val="22"/>
          <w:u w:val="single"/>
        </w:rPr>
        <w:t>Additional Compliance Measures</w:t>
      </w:r>
      <w:r w:rsidR="005D5CA8">
        <w:rPr>
          <w:sz w:val="22"/>
          <w:szCs w:val="22"/>
        </w:rPr>
        <w:t>.</w:t>
      </w:r>
      <w:r w:rsidR="00A77185" w:rsidRPr="009F2DC5">
        <w:rPr>
          <w:b/>
          <w:sz w:val="22"/>
          <w:szCs w:val="22"/>
        </w:rPr>
        <w:t xml:space="preserve"> </w:t>
      </w:r>
      <w:r w:rsidR="00DF7872" w:rsidRPr="009F2DC5">
        <w:rPr>
          <w:b/>
          <w:sz w:val="22"/>
          <w:szCs w:val="22"/>
        </w:rPr>
        <w:t xml:space="preserve"> </w:t>
      </w:r>
      <w:r w:rsidR="00A77185" w:rsidRPr="009F2DC5">
        <w:rPr>
          <w:sz w:val="22"/>
          <w:szCs w:val="22"/>
        </w:rPr>
        <w:t>AT&amp;T shall implement the following</w:t>
      </w:r>
      <w:r w:rsidR="00B205CB">
        <w:rPr>
          <w:sz w:val="22"/>
          <w:szCs w:val="22"/>
        </w:rPr>
        <w:t xml:space="preserve"> additional</w:t>
      </w:r>
      <w:r w:rsidR="00A77185" w:rsidRPr="009F2DC5">
        <w:rPr>
          <w:sz w:val="22"/>
          <w:szCs w:val="22"/>
        </w:rPr>
        <w:t xml:space="preserve"> compliance measures:</w:t>
      </w:r>
    </w:p>
    <w:p w:rsidR="006F258D" w:rsidRDefault="006F258D" w:rsidP="00C278F4">
      <w:pPr>
        <w:pStyle w:val="ListParagraph"/>
        <w:rPr>
          <w:b/>
          <w:sz w:val="22"/>
          <w:szCs w:val="22"/>
          <w:u w:val="single"/>
        </w:rPr>
      </w:pPr>
    </w:p>
    <w:p w:rsidR="00C825CA" w:rsidRDefault="006F258D" w:rsidP="0073756E">
      <w:pPr>
        <w:numPr>
          <w:ilvl w:val="2"/>
          <w:numId w:val="4"/>
        </w:numPr>
        <w:tabs>
          <w:tab w:val="clear" w:pos="2430"/>
        </w:tabs>
        <w:ind w:left="2520"/>
        <w:rPr>
          <w:sz w:val="22"/>
          <w:szCs w:val="22"/>
        </w:rPr>
      </w:pPr>
      <w:r w:rsidRPr="00045526">
        <w:rPr>
          <w:b/>
          <w:sz w:val="22"/>
          <w:szCs w:val="22"/>
          <w:u w:val="single"/>
        </w:rPr>
        <w:t xml:space="preserve">Work </w:t>
      </w:r>
      <w:r w:rsidR="0047320D" w:rsidRPr="00045526">
        <w:rPr>
          <w:b/>
          <w:sz w:val="22"/>
          <w:szCs w:val="22"/>
          <w:u w:val="single"/>
        </w:rPr>
        <w:t>Numbers</w:t>
      </w:r>
      <w:r w:rsidR="00B23CF5" w:rsidRPr="007F5201">
        <w:rPr>
          <w:sz w:val="22"/>
          <w:szCs w:val="22"/>
        </w:rPr>
        <w:t xml:space="preserve">.  </w:t>
      </w:r>
      <w:r w:rsidR="00C825CA">
        <w:rPr>
          <w:sz w:val="22"/>
          <w:szCs w:val="22"/>
        </w:rPr>
        <w:t xml:space="preserve">Within sixty (60) calendar days after the Effective Date, the Company shall compile a list of the Work Numbers (Work Number List) and on a monthly basis file the Work Number List with any requests for reimbursements submitted to the TRS Fund administrator.  The Company shall not submit </w:t>
      </w:r>
      <w:r w:rsidR="00C61B70">
        <w:rPr>
          <w:sz w:val="22"/>
          <w:szCs w:val="22"/>
        </w:rPr>
        <w:t xml:space="preserve">requests to the TRS Fund administrator for reimbursement of </w:t>
      </w:r>
      <w:r w:rsidR="00C825CA">
        <w:rPr>
          <w:sz w:val="22"/>
          <w:szCs w:val="22"/>
        </w:rPr>
        <w:t>any minutes that are associated with any number on the Work Number List.  AT&amp;T shall maintain and update the Work Number List to ensure that it remains accurate.  AT&amp;T shall include in its Operating Procedures an instruction that Covered Personnel must use their Work Number whenever they access or use TRS for a business purposes, whether or not at the workplace and notify all Covered Personnel in writing of the obligation relating to Work Numbers.  The Company shall not subsequently submit requests to the TRS Fund administrator for reimbursement for any calls associated with a Work Number during the time such Work Number was on a list that AT&amp;T submitted to the TRS Fund administrator.  The Company shall segregate and keep the call detail records for all Work Numbers to ensure compliance with this provision.</w:t>
      </w:r>
    </w:p>
    <w:p w:rsidR="00C825CA" w:rsidRDefault="00C825CA" w:rsidP="00C61B70">
      <w:pPr>
        <w:ind w:left="2160"/>
        <w:rPr>
          <w:sz w:val="22"/>
          <w:szCs w:val="22"/>
        </w:rPr>
      </w:pPr>
    </w:p>
    <w:p w:rsidR="00C61B70" w:rsidRPr="00C61B70" w:rsidRDefault="00C61B70" w:rsidP="00C61B70">
      <w:pPr>
        <w:pStyle w:val="ListParagraph"/>
        <w:numPr>
          <w:ilvl w:val="2"/>
          <w:numId w:val="4"/>
        </w:numPr>
        <w:rPr>
          <w:sz w:val="22"/>
          <w:szCs w:val="22"/>
        </w:rPr>
      </w:pPr>
      <w:r w:rsidRPr="00C61B70">
        <w:rPr>
          <w:b/>
          <w:sz w:val="22"/>
          <w:szCs w:val="22"/>
          <w:u w:val="single"/>
        </w:rPr>
        <w:t>Maintenance of Documents and Information</w:t>
      </w:r>
      <w:r w:rsidRPr="00C61B70">
        <w:rPr>
          <w:sz w:val="22"/>
          <w:szCs w:val="22"/>
        </w:rPr>
        <w:t xml:space="preserve">.  In addition, within sixty (60) calendar days after the Effective Date, AT&amp;T shall: (1) revise the Company’s website to advise TRS users about how to make emergency calls using any Product offered by the Company for which the Company seeks compensation from the TRS Fund; (2) establish and maintain procedures for modifying or adding emergency calling advisories to all </w:t>
      </w:r>
      <w:r>
        <w:rPr>
          <w:sz w:val="22"/>
          <w:szCs w:val="22"/>
        </w:rPr>
        <w:t>TRS</w:t>
      </w:r>
      <w:r w:rsidRPr="00C61B70">
        <w:rPr>
          <w:sz w:val="22"/>
          <w:szCs w:val="22"/>
        </w:rPr>
        <w:t xml:space="preserve"> literature provided to the public; (3)  develop and maintain records of when </w:t>
      </w:r>
      <w:r w:rsidR="00045526">
        <w:rPr>
          <w:sz w:val="22"/>
          <w:szCs w:val="22"/>
        </w:rPr>
        <w:t>TRS</w:t>
      </w:r>
      <w:r w:rsidRPr="00C61B70">
        <w:rPr>
          <w:sz w:val="22"/>
          <w:szCs w:val="22"/>
        </w:rPr>
        <w:t xml:space="preserve"> literature and Product marketing materials are created, modified and used; and (4) establish and maintain procedures for documenting and retaining FCC Compliance Assessments on new Products.  </w:t>
      </w:r>
    </w:p>
    <w:p w:rsidR="005D5CA8" w:rsidRDefault="005D5CA8" w:rsidP="00C278F4">
      <w:pPr>
        <w:ind w:left="2520"/>
        <w:rPr>
          <w:sz w:val="22"/>
          <w:szCs w:val="22"/>
        </w:rPr>
      </w:pPr>
    </w:p>
    <w:p w:rsidR="00EA1657" w:rsidRPr="0043328A" w:rsidRDefault="005D5CA8" w:rsidP="00EA1657">
      <w:pPr>
        <w:numPr>
          <w:ilvl w:val="2"/>
          <w:numId w:val="4"/>
        </w:numPr>
        <w:tabs>
          <w:tab w:val="clear" w:pos="2430"/>
        </w:tabs>
        <w:ind w:left="2520"/>
        <w:rPr>
          <w:sz w:val="22"/>
          <w:szCs w:val="22"/>
        </w:rPr>
      </w:pPr>
      <w:r w:rsidRPr="0043328A">
        <w:rPr>
          <w:b/>
          <w:sz w:val="22"/>
          <w:szCs w:val="22"/>
          <w:u w:val="single"/>
        </w:rPr>
        <w:t>Recordkeeping</w:t>
      </w:r>
      <w:r w:rsidRPr="0043328A">
        <w:rPr>
          <w:sz w:val="22"/>
          <w:szCs w:val="22"/>
        </w:rPr>
        <w:t xml:space="preserve">.  </w:t>
      </w:r>
      <w:r w:rsidR="00EA1657" w:rsidRPr="0043328A">
        <w:rPr>
          <w:sz w:val="22"/>
          <w:szCs w:val="22"/>
        </w:rPr>
        <w:t xml:space="preserve">Within sixty (60) calendar days after the Effective Date, AT&amp;T shall require all independent contractors, subcontractors, and agents to maintain and produce to AT&amp;T and/or the FCC upon request, any records or documentation that support or relate to an AT&amp;T claim for reimbursement from the TRS Fund as required by the TRS Rules, including as required to ensure AT&amp;T’s compliance with 47 C.F.R. § 64.604(c)(5)(iii)(D)(1)-(4) and (6)-(7), and the terms of this paragraph </w:t>
      </w:r>
      <w:r w:rsidR="00EA1657" w:rsidRPr="002E6555">
        <w:rPr>
          <w:sz w:val="22"/>
          <w:szCs w:val="22"/>
        </w:rPr>
        <w:t>1</w:t>
      </w:r>
      <w:r w:rsidR="006572E1" w:rsidRPr="002E6555">
        <w:rPr>
          <w:sz w:val="22"/>
          <w:szCs w:val="22"/>
        </w:rPr>
        <w:t>2</w:t>
      </w:r>
      <w:r w:rsidR="00EA1657" w:rsidRPr="0043328A">
        <w:rPr>
          <w:sz w:val="22"/>
          <w:szCs w:val="22"/>
        </w:rPr>
        <w:t>.</w:t>
      </w:r>
    </w:p>
    <w:p w:rsidR="00EA1657" w:rsidRPr="00EA1657" w:rsidRDefault="00EA1657" w:rsidP="0043328A">
      <w:pPr>
        <w:ind w:left="2160"/>
        <w:rPr>
          <w:sz w:val="22"/>
          <w:szCs w:val="22"/>
        </w:rPr>
      </w:pPr>
    </w:p>
    <w:p w:rsidR="00B23CF5" w:rsidRDefault="001628E0" w:rsidP="00C278F4">
      <w:pPr>
        <w:numPr>
          <w:ilvl w:val="2"/>
          <w:numId w:val="4"/>
        </w:numPr>
        <w:tabs>
          <w:tab w:val="clear" w:pos="2430"/>
        </w:tabs>
        <w:ind w:left="2520"/>
        <w:rPr>
          <w:sz w:val="22"/>
          <w:szCs w:val="22"/>
        </w:rPr>
      </w:pPr>
      <w:r w:rsidRPr="00CC26C7">
        <w:rPr>
          <w:b/>
          <w:sz w:val="22"/>
          <w:szCs w:val="22"/>
          <w:u w:val="single"/>
        </w:rPr>
        <w:t>iTRS Database Entries</w:t>
      </w:r>
      <w:r w:rsidR="00E402E7">
        <w:rPr>
          <w:sz w:val="22"/>
          <w:szCs w:val="22"/>
        </w:rPr>
        <w:t>.  AT&amp;T shall immediately</w:t>
      </w:r>
      <w:r w:rsidR="00CC26C7">
        <w:rPr>
          <w:sz w:val="22"/>
          <w:szCs w:val="22"/>
        </w:rPr>
        <w:t xml:space="preserve"> block and promptly</w:t>
      </w:r>
      <w:r w:rsidR="00E402E7">
        <w:rPr>
          <w:sz w:val="22"/>
          <w:szCs w:val="22"/>
        </w:rPr>
        <w:t xml:space="preserve"> </w:t>
      </w:r>
      <w:r w:rsidRPr="001628E0">
        <w:rPr>
          <w:sz w:val="22"/>
          <w:szCs w:val="22"/>
        </w:rPr>
        <w:t>remove</w:t>
      </w:r>
      <w:r w:rsidR="00A77185" w:rsidRPr="00A77185">
        <w:rPr>
          <w:sz w:val="22"/>
          <w:szCs w:val="22"/>
        </w:rPr>
        <w:t xml:space="preserve"> </w:t>
      </w:r>
      <w:r w:rsidR="00A77185" w:rsidRPr="001628E0">
        <w:rPr>
          <w:sz w:val="22"/>
          <w:szCs w:val="22"/>
        </w:rPr>
        <w:t xml:space="preserve">from the Company’s database </w:t>
      </w:r>
      <w:r w:rsidRPr="001628E0">
        <w:rPr>
          <w:sz w:val="22"/>
          <w:szCs w:val="22"/>
        </w:rPr>
        <w:t>a</w:t>
      </w:r>
      <w:r w:rsidR="00E402E7">
        <w:rPr>
          <w:sz w:val="22"/>
          <w:szCs w:val="22"/>
        </w:rPr>
        <w:t>ny</w:t>
      </w:r>
      <w:r w:rsidRPr="001628E0">
        <w:rPr>
          <w:sz w:val="22"/>
          <w:szCs w:val="22"/>
        </w:rPr>
        <w:t xml:space="preserve"> ten-digit number associated with an AT&amp;T registered user </w:t>
      </w:r>
      <w:r w:rsidR="00E402E7">
        <w:rPr>
          <w:sz w:val="22"/>
          <w:szCs w:val="22"/>
        </w:rPr>
        <w:t>who</w:t>
      </w:r>
      <w:r w:rsidR="00AC7339">
        <w:rPr>
          <w:sz w:val="22"/>
          <w:szCs w:val="22"/>
        </w:rPr>
        <w:t>m</w:t>
      </w:r>
      <w:r w:rsidR="00E402E7" w:rsidRPr="001628E0">
        <w:rPr>
          <w:sz w:val="22"/>
          <w:szCs w:val="22"/>
        </w:rPr>
        <w:t xml:space="preserve"> </w:t>
      </w:r>
      <w:r w:rsidR="00CC26C7">
        <w:rPr>
          <w:sz w:val="22"/>
          <w:szCs w:val="22"/>
        </w:rPr>
        <w:t>AT&amp;T</w:t>
      </w:r>
      <w:r w:rsidR="00E402E7" w:rsidRPr="001628E0">
        <w:rPr>
          <w:sz w:val="22"/>
          <w:szCs w:val="22"/>
        </w:rPr>
        <w:t xml:space="preserve"> deem</w:t>
      </w:r>
      <w:r w:rsidR="00CC26C7">
        <w:rPr>
          <w:sz w:val="22"/>
          <w:szCs w:val="22"/>
        </w:rPr>
        <w:t>s</w:t>
      </w:r>
      <w:r w:rsidR="00E402E7" w:rsidRPr="001628E0">
        <w:rPr>
          <w:sz w:val="22"/>
          <w:szCs w:val="22"/>
        </w:rPr>
        <w:t xml:space="preserve"> to be ineligible to make </w:t>
      </w:r>
      <w:r w:rsidR="00E402E7">
        <w:rPr>
          <w:sz w:val="22"/>
          <w:szCs w:val="22"/>
        </w:rPr>
        <w:t xml:space="preserve">TRS </w:t>
      </w:r>
      <w:r w:rsidR="00E402E7" w:rsidRPr="001628E0">
        <w:rPr>
          <w:sz w:val="22"/>
          <w:szCs w:val="22"/>
        </w:rPr>
        <w:t>calls</w:t>
      </w:r>
      <w:r w:rsidR="0046662B">
        <w:rPr>
          <w:sz w:val="22"/>
          <w:szCs w:val="22"/>
        </w:rPr>
        <w:t>.  C</w:t>
      </w:r>
      <w:r w:rsidR="00CC26C7">
        <w:rPr>
          <w:sz w:val="22"/>
          <w:szCs w:val="22"/>
        </w:rPr>
        <w:t>ontemporaneously</w:t>
      </w:r>
      <w:r w:rsidR="0046662B">
        <w:rPr>
          <w:sz w:val="22"/>
          <w:szCs w:val="22"/>
        </w:rPr>
        <w:t xml:space="preserve"> to removing the user from AT&amp;T’s database, the Company shall complete all actions required by a provider to have the number removed from the iTRS database</w:t>
      </w:r>
      <w:r w:rsidRPr="001628E0">
        <w:rPr>
          <w:sz w:val="22"/>
          <w:szCs w:val="22"/>
        </w:rPr>
        <w:t xml:space="preserve">.  </w:t>
      </w:r>
    </w:p>
    <w:p w:rsidR="00B23CF5" w:rsidRDefault="00B23CF5" w:rsidP="00BF12B3">
      <w:pPr>
        <w:pStyle w:val="par1"/>
        <w:numPr>
          <w:ilvl w:val="0"/>
          <w:numId w:val="0"/>
        </w:numPr>
        <w:tabs>
          <w:tab w:val="num" w:pos="1440"/>
        </w:tabs>
        <w:rPr>
          <w:szCs w:val="22"/>
        </w:rPr>
      </w:pPr>
    </w:p>
    <w:p w:rsidR="00535874" w:rsidRDefault="00B23CF5" w:rsidP="00535874">
      <w:pPr>
        <w:pStyle w:val="par1"/>
        <w:numPr>
          <w:ilvl w:val="1"/>
          <w:numId w:val="6"/>
        </w:numPr>
        <w:tabs>
          <w:tab w:val="clear" w:pos="1080"/>
          <w:tab w:val="num" w:pos="1440"/>
        </w:tabs>
        <w:ind w:left="0" w:firstLine="720"/>
        <w:rPr>
          <w:szCs w:val="22"/>
        </w:rPr>
      </w:pPr>
      <w:r>
        <w:rPr>
          <w:b/>
          <w:szCs w:val="22"/>
          <w:u w:val="single"/>
        </w:rPr>
        <w:t>Reporting Noncompliance</w:t>
      </w:r>
      <w:r>
        <w:rPr>
          <w:szCs w:val="22"/>
        </w:rPr>
        <w:t xml:space="preserve">.  </w:t>
      </w:r>
      <w:r w:rsidR="00C307B6">
        <w:rPr>
          <w:szCs w:val="22"/>
        </w:rPr>
        <w:t>AT&amp;T</w:t>
      </w:r>
      <w:r>
        <w:rPr>
          <w:szCs w:val="22"/>
        </w:rPr>
        <w:t xml:space="preserve"> shall report any noncompliance with the TRS Rules and with the terms and conditions of this Consent Decree within fifteen (15) calendar days after discovery of such noncompliance.  Such reports shall include a detailed explanation of</w:t>
      </w:r>
      <w:r w:rsidR="00DF2B11">
        <w:rPr>
          <w:szCs w:val="22"/>
        </w:rPr>
        <w:t>:</w:t>
      </w:r>
      <w:r>
        <w:rPr>
          <w:szCs w:val="22"/>
        </w:rPr>
        <w:t xml:space="preserve"> (i) each instance of noncompliance; (ii) the steps that </w:t>
      </w:r>
      <w:r w:rsidR="00C307B6">
        <w:rPr>
          <w:szCs w:val="22"/>
        </w:rPr>
        <w:t>AT&amp;T</w:t>
      </w:r>
      <w:r>
        <w:rPr>
          <w:szCs w:val="22"/>
        </w:rPr>
        <w:t xml:space="preserve"> has taken or will take to remedy such noncompliance; (iii) the schedule on which such remedial actions will be </w:t>
      </w:r>
      <w:r w:rsidRPr="00535874">
        <w:t>taken</w:t>
      </w:r>
      <w:r>
        <w:rPr>
          <w:szCs w:val="22"/>
        </w:rPr>
        <w:t xml:space="preserve">; and (iv) the steps that </w:t>
      </w:r>
      <w:r w:rsidR="00C307B6">
        <w:rPr>
          <w:szCs w:val="22"/>
        </w:rPr>
        <w:t>AT&amp;T</w:t>
      </w:r>
      <w:r>
        <w:rPr>
          <w:szCs w:val="22"/>
        </w:rPr>
        <w:t xml:space="preserve">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a copy submitted electronically to Sharon Lee at </w:t>
      </w:r>
      <w:r w:rsidR="00700758">
        <w:rPr>
          <w:szCs w:val="22"/>
        </w:rPr>
        <w:t>s</w:t>
      </w:r>
      <w:r>
        <w:rPr>
          <w:szCs w:val="22"/>
        </w:rPr>
        <w:t>haron.</w:t>
      </w:r>
      <w:r w:rsidR="00700758">
        <w:rPr>
          <w:szCs w:val="22"/>
        </w:rPr>
        <w:t>l</w:t>
      </w:r>
      <w:r>
        <w:rPr>
          <w:szCs w:val="22"/>
        </w:rPr>
        <w:t>ee</w:t>
      </w:r>
      <w:r>
        <w:t>@fcc.gov</w:t>
      </w:r>
      <w:r>
        <w:rPr>
          <w:szCs w:val="22"/>
        </w:rPr>
        <w:t xml:space="preserve"> and to fccebaccess@</w:t>
      </w:r>
      <w:r w:rsidRPr="00AE6683">
        <w:rPr>
          <w:szCs w:val="22"/>
        </w:rPr>
        <w:t>fcc.gov</w:t>
      </w:r>
      <w:r>
        <w:rPr>
          <w:szCs w:val="22"/>
        </w:rPr>
        <w:t xml:space="preserve">. </w:t>
      </w:r>
    </w:p>
    <w:p w:rsidR="00B23CF5" w:rsidRDefault="00B23CF5" w:rsidP="00535874">
      <w:pPr>
        <w:pStyle w:val="par1"/>
        <w:numPr>
          <w:ilvl w:val="0"/>
          <w:numId w:val="0"/>
        </w:numPr>
        <w:ind w:left="720"/>
        <w:rPr>
          <w:szCs w:val="22"/>
        </w:rPr>
      </w:pPr>
      <w:r>
        <w:rPr>
          <w:szCs w:val="22"/>
        </w:rPr>
        <w:t xml:space="preserve"> </w:t>
      </w:r>
    </w:p>
    <w:p w:rsidR="00B23CF5" w:rsidRDefault="00B23CF5" w:rsidP="00535874">
      <w:pPr>
        <w:pStyle w:val="par1"/>
        <w:numPr>
          <w:ilvl w:val="1"/>
          <w:numId w:val="6"/>
        </w:numPr>
        <w:tabs>
          <w:tab w:val="clear" w:pos="1080"/>
          <w:tab w:val="num" w:pos="1440"/>
        </w:tabs>
        <w:ind w:left="0" w:firstLine="720"/>
        <w:rPr>
          <w:szCs w:val="22"/>
        </w:rPr>
      </w:pPr>
      <w:r>
        <w:rPr>
          <w:b/>
          <w:szCs w:val="22"/>
          <w:u w:val="single"/>
        </w:rPr>
        <w:t>Compliance Reports</w:t>
      </w:r>
      <w:r>
        <w:rPr>
          <w:szCs w:val="22"/>
        </w:rPr>
        <w:t xml:space="preserve">.  </w:t>
      </w:r>
      <w:r w:rsidR="00C307B6">
        <w:rPr>
          <w:szCs w:val="22"/>
        </w:rPr>
        <w:t>AT&amp;T</w:t>
      </w:r>
      <w:r>
        <w:rPr>
          <w:szCs w:val="22"/>
        </w:rPr>
        <w:t xml:space="preserve"> shall file Compliance Reports with the Commission ninety (90) calendar days after the Effective Date, twelve (12) months after the Effective Date, and twenty-four (24) months after the Effective Date.</w:t>
      </w:r>
    </w:p>
    <w:p w:rsidR="00B119EF" w:rsidRDefault="00B23CF5" w:rsidP="00BF12B3">
      <w:pPr>
        <w:pStyle w:val="par1"/>
        <w:numPr>
          <w:ilvl w:val="0"/>
          <w:numId w:val="5"/>
        </w:numPr>
        <w:tabs>
          <w:tab w:val="clear" w:pos="1080"/>
        </w:tabs>
        <w:spacing w:before="240"/>
        <w:ind w:left="1980" w:hanging="540"/>
        <w:rPr>
          <w:szCs w:val="22"/>
        </w:rPr>
      </w:pPr>
      <w:r>
        <w:rPr>
          <w:szCs w:val="22"/>
        </w:rPr>
        <w:t xml:space="preserve">Each Compliance Report shall include a detailed description of </w:t>
      </w:r>
      <w:r w:rsidR="00C307B6">
        <w:rPr>
          <w:szCs w:val="22"/>
        </w:rPr>
        <w:t>AT&amp;T</w:t>
      </w:r>
      <w:r>
        <w:rPr>
          <w:szCs w:val="22"/>
        </w:rPr>
        <w:t xml:space="preserve">’s efforts during the relevant period </w:t>
      </w:r>
      <w:r w:rsidR="00AD5FEE">
        <w:rPr>
          <w:szCs w:val="22"/>
        </w:rPr>
        <w:t xml:space="preserve">(beginning on the Effective date, and continuing through to the filing date of each report) </w:t>
      </w:r>
      <w:r>
        <w:rPr>
          <w:szCs w:val="22"/>
        </w:rPr>
        <w:t xml:space="preserve">to comply with the terms and conditions of this Consent Decree and the </w:t>
      </w:r>
      <w:r w:rsidRPr="002A26D3">
        <w:t xml:space="preserve">TRS </w:t>
      </w:r>
      <w:r>
        <w:rPr>
          <w:szCs w:val="22"/>
        </w:rPr>
        <w:t xml:space="preserve">Rules.  </w:t>
      </w:r>
    </w:p>
    <w:p w:rsidR="00B23CF5" w:rsidRPr="00E402E7" w:rsidRDefault="00B23CF5" w:rsidP="00BF12B3">
      <w:pPr>
        <w:pStyle w:val="par1"/>
        <w:numPr>
          <w:ilvl w:val="0"/>
          <w:numId w:val="5"/>
        </w:numPr>
        <w:tabs>
          <w:tab w:val="clear" w:pos="1080"/>
        </w:tabs>
        <w:spacing w:before="240"/>
        <w:ind w:left="1980" w:hanging="540"/>
        <w:rPr>
          <w:szCs w:val="22"/>
        </w:rPr>
      </w:pPr>
      <w:r w:rsidRPr="00E402E7">
        <w:rPr>
          <w:szCs w:val="22"/>
        </w:rPr>
        <w:t xml:space="preserve">In addition, each Compliance Report shall include a certification by the Compliance Officer, as an agent of and on behalf of </w:t>
      </w:r>
      <w:r w:rsidR="00C307B6" w:rsidRPr="00E402E7">
        <w:rPr>
          <w:szCs w:val="22"/>
        </w:rPr>
        <w:t>AT&amp;T</w:t>
      </w:r>
      <w:r w:rsidRPr="00E402E7">
        <w:rPr>
          <w:szCs w:val="22"/>
        </w:rPr>
        <w:t xml:space="preserve">, stating that the Compliance Officer has personal knowledge that </w:t>
      </w:r>
      <w:r w:rsidR="00C307B6" w:rsidRPr="00E402E7">
        <w:rPr>
          <w:szCs w:val="22"/>
        </w:rPr>
        <w:t>AT&amp;T</w:t>
      </w:r>
      <w:r w:rsidR="008B4974" w:rsidRPr="00E402E7">
        <w:rPr>
          <w:szCs w:val="22"/>
        </w:rPr>
        <w:t>:</w:t>
      </w:r>
      <w:r w:rsidRPr="00E402E7">
        <w:rPr>
          <w:szCs w:val="22"/>
        </w:rPr>
        <w:t xml:space="preserve"> (i) has established, implemented, and is maintaining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DF7872" w:rsidRPr="00DC11C3">
        <w:rPr>
          <w:szCs w:val="22"/>
        </w:rPr>
        <w:t>13</w:t>
      </w:r>
      <w:r w:rsidR="00247DA3" w:rsidRPr="00E402E7">
        <w:rPr>
          <w:szCs w:val="22"/>
        </w:rPr>
        <w:t xml:space="preserve"> </w:t>
      </w:r>
      <w:r w:rsidRPr="00E402E7">
        <w:rPr>
          <w:szCs w:val="22"/>
        </w:rPr>
        <w:t>herein.</w:t>
      </w:r>
    </w:p>
    <w:p w:rsidR="00B23CF5" w:rsidRDefault="00B23CF5" w:rsidP="00BF12B3">
      <w:pPr>
        <w:pStyle w:val="par1"/>
        <w:numPr>
          <w:ilvl w:val="0"/>
          <w:numId w:val="5"/>
        </w:numPr>
        <w:tabs>
          <w:tab w:val="clear" w:pos="1080"/>
        </w:tabs>
        <w:spacing w:before="240"/>
        <w:ind w:left="1980" w:hanging="540"/>
        <w:rPr>
          <w:szCs w:val="22"/>
        </w:rPr>
      </w:pPr>
      <w:r>
        <w:rPr>
          <w:szCs w:val="22"/>
        </w:rPr>
        <w:t>The Compliance Officer’s certification shall be accompanied by a statement explaining the basis for such certification and must be in the form set forth in Section 1.16 of the Rules</w:t>
      </w:r>
      <w:r>
        <w:rPr>
          <w:rStyle w:val="FootnoteReference"/>
          <w:szCs w:val="22"/>
        </w:rPr>
        <w:footnoteReference w:id="23"/>
      </w:r>
      <w:r>
        <w:rPr>
          <w:szCs w:val="22"/>
        </w:rPr>
        <w:t xml:space="preserve"> and be subscribed to as true under penalty of perjury in substantially the form set forth therein.</w:t>
      </w:r>
    </w:p>
    <w:p w:rsidR="00B23CF5" w:rsidRDefault="00B23CF5" w:rsidP="00BF12B3">
      <w:pPr>
        <w:pStyle w:val="par1"/>
        <w:numPr>
          <w:ilvl w:val="0"/>
          <w:numId w:val="5"/>
        </w:numPr>
        <w:tabs>
          <w:tab w:val="clear" w:pos="1080"/>
        </w:tabs>
        <w:spacing w:before="240"/>
        <w:ind w:left="1980" w:hanging="540"/>
        <w:rPr>
          <w:szCs w:val="22"/>
        </w:rPr>
      </w:pPr>
      <w:r>
        <w:rPr>
          <w:szCs w:val="22"/>
        </w:rPr>
        <w:t xml:space="preserve">If the Compliance Officer cannot provide the requisite certification, the Compliance Officer, as an agent of and on behalf of </w:t>
      </w:r>
      <w:r w:rsidR="00C307B6">
        <w:rPr>
          <w:szCs w:val="22"/>
        </w:rPr>
        <w:t>AT&amp;T</w:t>
      </w:r>
      <w:r>
        <w:rPr>
          <w:szCs w:val="22"/>
        </w:rPr>
        <w:t>, shall provide the Commission with a detailed explanation of the reason(s) why and describe fully</w:t>
      </w:r>
      <w:r w:rsidR="008B4974">
        <w:rPr>
          <w:szCs w:val="22"/>
        </w:rPr>
        <w:t>:</w:t>
      </w:r>
      <w:r>
        <w:rPr>
          <w:szCs w:val="22"/>
        </w:rPr>
        <w:t xml:space="preserve"> (i) each instance of noncompliance; (ii) the steps that </w:t>
      </w:r>
      <w:r w:rsidR="00C307B6">
        <w:rPr>
          <w:szCs w:val="22"/>
        </w:rPr>
        <w:t>AT&amp;T</w:t>
      </w:r>
      <w:r>
        <w:rPr>
          <w:szCs w:val="22"/>
        </w:rPr>
        <w:t xml:space="preserve"> has taken or will take to remedy such noncompliance, including the schedule on which proposed remedial actions will be taken; and (iii) the steps that </w:t>
      </w:r>
      <w:r w:rsidR="00C307B6">
        <w:rPr>
          <w:szCs w:val="22"/>
        </w:rPr>
        <w:t>AT&amp;T</w:t>
      </w:r>
      <w:r>
        <w:rPr>
          <w:szCs w:val="22"/>
        </w:rPr>
        <w:t xml:space="preserve"> has taken or will take to prevent the recurrence of any such noncompliance, including the schedule on which such preventive action will be taken.</w:t>
      </w:r>
    </w:p>
    <w:p w:rsidR="00B23CF5" w:rsidRDefault="00B23CF5" w:rsidP="00BF12B3">
      <w:pPr>
        <w:pStyle w:val="par1"/>
        <w:numPr>
          <w:ilvl w:val="0"/>
          <w:numId w:val="5"/>
        </w:numPr>
        <w:tabs>
          <w:tab w:val="clear" w:pos="1080"/>
        </w:tabs>
        <w:spacing w:before="240"/>
        <w:ind w:left="1980" w:hanging="540"/>
        <w:rPr>
          <w:szCs w:val="22"/>
        </w:rPr>
      </w:pPr>
      <w:r>
        <w:rPr>
          <w:szCs w:val="22"/>
        </w:rPr>
        <w:t xml:space="preserve">All Compliance Reports shall be submitted to the Chief, Telecommunications Consumers Division, Enforcement Bureau, Federal Communications Commission, 445 12th Street, SW, Washington, D.C. 20554, with a copy submitted electronically to Sharon Lee at </w:t>
      </w:r>
      <w:r w:rsidR="00B119EF">
        <w:rPr>
          <w:szCs w:val="22"/>
        </w:rPr>
        <w:t>sharon</w:t>
      </w:r>
      <w:r>
        <w:rPr>
          <w:szCs w:val="22"/>
        </w:rPr>
        <w:t>.</w:t>
      </w:r>
      <w:r w:rsidR="00B119EF">
        <w:rPr>
          <w:szCs w:val="22"/>
        </w:rPr>
        <w:t>lee</w:t>
      </w:r>
      <w:r>
        <w:t>@fcc.gov</w:t>
      </w:r>
      <w:r>
        <w:rPr>
          <w:szCs w:val="22"/>
        </w:rPr>
        <w:t xml:space="preserve"> and to </w:t>
      </w:r>
      <w:r w:rsidR="00887D9D" w:rsidRPr="00C278F4">
        <w:rPr>
          <w:szCs w:val="22"/>
        </w:rPr>
        <w:t>fccebaccess@fcc.gov</w:t>
      </w:r>
      <w:r>
        <w:rPr>
          <w:szCs w:val="22"/>
        </w:rPr>
        <w:t>.</w:t>
      </w:r>
    </w:p>
    <w:p w:rsidR="003F7D64" w:rsidRPr="003F7D64" w:rsidRDefault="003F7D64" w:rsidP="003F7D64">
      <w:pPr>
        <w:pStyle w:val="par1"/>
        <w:numPr>
          <w:ilvl w:val="0"/>
          <w:numId w:val="0"/>
        </w:numPr>
        <w:ind w:left="720"/>
        <w:rPr>
          <w:szCs w:val="22"/>
        </w:rPr>
      </w:pPr>
    </w:p>
    <w:p w:rsidR="00B23CF5" w:rsidRDefault="00B23CF5" w:rsidP="00535874">
      <w:pPr>
        <w:pStyle w:val="par1"/>
        <w:numPr>
          <w:ilvl w:val="1"/>
          <w:numId w:val="6"/>
        </w:numPr>
        <w:tabs>
          <w:tab w:val="clear" w:pos="1080"/>
          <w:tab w:val="num" w:pos="1440"/>
        </w:tabs>
        <w:ind w:left="0" w:firstLine="720"/>
        <w:rPr>
          <w:szCs w:val="22"/>
        </w:rPr>
      </w:pPr>
      <w:r>
        <w:rPr>
          <w:b/>
          <w:szCs w:val="22"/>
          <w:u w:val="single"/>
        </w:rPr>
        <w:t>Termination Date</w:t>
      </w:r>
      <w:r>
        <w:rPr>
          <w:szCs w:val="22"/>
        </w:rPr>
        <w:t xml:space="preserve">.  Unless stated otherwise, the obligations set forth in paragraphs </w:t>
      </w:r>
      <w:r w:rsidR="00A77185" w:rsidRPr="00DC11C3">
        <w:rPr>
          <w:szCs w:val="22"/>
        </w:rPr>
        <w:t>1</w:t>
      </w:r>
      <w:r w:rsidR="006572E1" w:rsidRPr="00DC11C3">
        <w:rPr>
          <w:szCs w:val="22"/>
        </w:rPr>
        <w:t>1</w:t>
      </w:r>
      <w:r w:rsidR="00A77185">
        <w:rPr>
          <w:szCs w:val="22"/>
        </w:rPr>
        <w:t xml:space="preserve"> </w:t>
      </w:r>
      <w:r>
        <w:rPr>
          <w:szCs w:val="22"/>
        </w:rPr>
        <w:t xml:space="preserve">through </w:t>
      </w:r>
      <w:r w:rsidR="00A77185" w:rsidRPr="00DC11C3">
        <w:rPr>
          <w:szCs w:val="22"/>
        </w:rPr>
        <w:t>14</w:t>
      </w:r>
      <w:r w:rsidR="00A77185">
        <w:rPr>
          <w:szCs w:val="22"/>
        </w:rPr>
        <w:t xml:space="preserve"> </w:t>
      </w:r>
      <w:r>
        <w:rPr>
          <w:szCs w:val="22"/>
        </w:rPr>
        <w:t>of this Consent Decree shall expire twenty-four (24) months after the Effective Date.</w:t>
      </w:r>
    </w:p>
    <w:p w:rsidR="00FA0996" w:rsidRDefault="00FA0996" w:rsidP="00FA0996">
      <w:pPr>
        <w:pStyle w:val="par1"/>
        <w:numPr>
          <w:ilvl w:val="0"/>
          <w:numId w:val="0"/>
        </w:numPr>
        <w:ind w:left="720"/>
        <w:rPr>
          <w:szCs w:val="22"/>
        </w:rPr>
      </w:pPr>
    </w:p>
    <w:p w:rsidR="00FA0996" w:rsidRPr="00FA0996" w:rsidRDefault="00FA0996" w:rsidP="00FA0996">
      <w:pPr>
        <w:pStyle w:val="par1"/>
        <w:numPr>
          <w:ilvl w:val="1"/>
          <w:numId w:val="6"/>
        </w:numPr>
        <w:tabs>
          <w:tab w:val="clear" w:pos="1080"/>
          <w:tab w:val="num" w:pos="1440"/>
        </w:tabs>
        <w:ind w:left="0" w:firstLine="720"/>
        <w:rPr>
          <w:szCs w:val="22"/>
        </w:rPr>
      </w:pPr>
      <w:r w:rsidRPr="00FA0996">
        <w:rPr>
          <w:b/>
          <w:szCs w:val="22"/>
          <w:u w:val="single"/>
        </w:rPr>
        <w:t>Section 208 Complaints; Subsequent Investigations</w:t>
      </w:r>
      <w:r w:rsidRPr="00FA0996">
        <w:rPr>
          <w:szCs w:val="22"/>
        </w:rPr>
        <w:t xml:space="preserve">.  Nothing in this Consent Decree shall prevent the Commission or its delegated authority from adjudicating complaints filed pursuant to Section 208 of the Act against </w:t>
      </w:r>
      <w:r>
        <w:rPr>
          <w:szCs w:val="22"/>
        </w:rPr>
        <w:t xml:space="preserve">AT&amp;T </w:t>
      </w:r>
      <w:r w:rsidRPr="00FA0996">
        <w:rPr>
          <w:szCs w:val="22"/>
        </w:rPr>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Pr>
          <w:szCs w:val="22"/>
        </w:rPr>
        <w:t>AT&amp;T</w:t>
      </w:r>
      <w:r w:rsidRPr="00FA0996">
        <w:rPr>
          <w:szCs w:val="22"/>
        </w:rPr>
        <w:t xml:space="preserve"> with the Communications Laws.</w:t>
      </w:r>
    </w:p>
    <w:p w:rsidR="0047774E" w:rsidRPr="0047774E" w:rsidRDefault="0047774E" w:rsidP="0047774E">
      <w:pPr>
        <w:pStyle w:val="par1"/>
        <w:numPr>
          <w:ilvl w:val="0"/>
          <w:numId w:val="0"/>
        </w:numPr>
        <w:ind w:left="720"/>
        <w:rPr>
          <w:rFonts w:eastAsia="MS Mincho"/>
          <w:szCs w:val="22"/>
        </w:rPr>
      </w:pPr>
    </w:p>
    <w:p w:rsidR="00B23CF5" w:rsidRPr="00B61C01" w:rsidRDefault="00B23CF5" w:rsidP="00535874">
      <w:pPr>
        <w:pStyle w:val="par1"/>
        <w:numPr>
          <w:ilvl w:val="1"/>
          <w:numId w:val="6"/>
        </w:numPr>
        <w:tabs>
          <w:tab w:val="clear" w:pos="1080"/>
          <w:tab w:val="num" w:pos="1440"/>
        </w:tabs>
        <w:ind w:left="0" w:firstLine="720"/>
        <w:rPr>
          <w:rFonts w:eastAsia="MS Mincho"/>
          <w:szCs w:val="22"/>
        </w:rPr>
      </w:pPr>
      <w:r w:rsidRPr="00B61C01">
        <w:rPr>
          <w:b/>
          <w:szCs w:val="22"/>
          <w:u w:val="single"/>
        </w:rPr>
        <w:t>Voluntary Contribution</w:t>
      </w:r>
      <w:r w:rsidRPr="00B61C01">
        <w:rPr>
          <w:szCs w:val="22"/>
        </w:rPr>
        <w:t>.</w:t>
      </w:r>
      <w:r w:rsidRPr="00B61C01">
        <w:rPr>
          <w:b/>
          <w:szCs w:val="22"/>
        </w:rPr>
        <w:t xml:space="preserve">   </w:t>
      </w:r>
      <w:r w:rsidR="00C307B6">
        <w:rPr>
          <w:szCs w:val="22"/>
        </w:rPr>
        <w:t>AT&amp;T</w:t>
      </w:r>
      <w:r w:rsidRPr="00B61C01">
        <w:rPr>
          <w:rFonts w:eastAsia="MS Mincho"/>
          <w:szCs w:val="22"/>
        </w:rPr>
        <w:t xml:space="preserve"> agrees that it will make a Voluntary Contribution to the United States Treasury </w:t>
      </w:r>
      <w:r w:rsidR="002305BE">
        <w:rPr>
          <w:rFonts w:eastAsia="MS Mincho"/>
          <w:szCs w:val="22"/>
        </w:rPr>
        <w:t>totaling</w:t>
      </w:r>
      <w:r w:rsidRPr="00B61C01">
        <w:rPr>
          <w:rFonts w:eastAsia="MS Mincho"/>
          <w:szCs w:val="22"/>
        </w:rPr>
        <w:t xml:space="preserve"> </w:t>
      </w:r>
      <w:r w:rsidR="00692BC0">
        <w:rPr>
          <w:rFonts w:eastAsia="MS Mincho"/>
          <w:szCs w:val="22"/>
        </w:rPr>
        <w:t>eleven m</w:t>
      </w:r>
      <w:r w:rsidR="002D553E">
        <w:rPr>
          <w:rFonts w:eastAsia="MS Mincho"/>
          <w:szCs w:val="22"/>
        </w:rPr>
        <w:t>illion</w:t>
      </w:r>
      <w:r w:rsidR="00692BC0">
        <w:rPr>
          <w:rFonts w:eastAsia="MS Mincho"/>
          <w:szCs w:val="22"/>
        </w:rPr>
        <w:t xml:space="preserve"> two hundred fifty thousand dollars ($11,250,000.00)</w:t>
      </w:r>
      <w:r w:rsidR="008946D6">
        <w:rPr>
          <w:b/>
        </w:rPr>
        <w:t xml:space="preserve"> </w:t>
      </w:r>
      <w:r w:rsidRPr="00B61C01">
        <w:rPr>
          <w:rFonts w:eastAsia="MS Mincho"/>
          <w:szCs w:val="22"/>
        </w:rPr>
        <w:t>within thirty (30) calendar days after the Effective Date</w:t>
      </w:r>
      <w:r w:rsidRPr="00B61C01">
        <w:rPr>
          <w:szCs w:val="22"/>
        </w:rPr>
        <w:t xml:space="preserve">.  </w:t>
      </w:r>
      <w:r w:rsidR="00C307B6">
        <w:rPr>
          <w:szCs w:val="22"/>
        </w:rPr>
        <w:t>AT&amp;T</w:t>
      </w:r>
      <w:r w:rsidRPr="00B61C01">
        <w:rPr>
          <w:szCs w:val="22"/>
        </w:rPr>
        <w:t xml:space="preserve"> acknowledges and agrees that upon execution of this Consent Decree, the Voluntary Contribution shall become a “Claim” or “Debt” as defined in 31 U.S.C. § 3701(b)(1).</w:t>
      </w:r>
      <w:r w:rsidRPr="00B61C01">
        <w:rPr>
          <w:rStyle w:val="FootnoteReference"/>
          <w:szCs w:val="22"/>
        </w:rPr>
        <w:footnoteReference w:id="24"/>
      </w:r>
      <w:r w:rsidRPr="00B61C01">
        <w:rPr>
          <w:szCs w:val="22"/>
        </w:rPr>
        <w:t xml:space="preserve"> </w:t>
      </w:r>
      <w:r w:rsidR="0047774E">
        <w:rPr>
          <w:szCs w:val="22"/>
        </w:rPr>
        <w:t xml:space="preserve"> </w:t>
      </w:r>
      <w:r w:rsidR="00C307B6">
        <w:rPr>
          <w:szCs w:val="22"/>
        </w:rPr>
        <w:t>AT&amp;T</w:t>
      </w:r>
      <w:r w:rsidRPr="00B61C01">
        <w:rPr>
          <w:rFonts w:eastAsia="MS Mincho"/>
          <w:szCs w:val="22"/>
        </w:rPr>
        <w:t xml:space="preserve"> shall also send electronic notification of payment to Sharon Lee at </w:t>
      </w:r>
      <w:r w:rsidR="00A574C7">
        <w:rPr>
          <w:rFonts w:eastAsia="MS Mincho"/>
          <w:szCs w:val="22"/>
        </w:rPr>
        <w:t>s</w:t>
      </w:r>
      <w:r w:rsidR="00A574C7" w:rsidRPr="00B61C01">
        <w:rPr>
          <w:rFonts w:eastAsia="MS Mincho"/>
          <w:szCs w:val="22"/>
        </w:rPr>
        <w:t>haron</w:t>
      </w:r>
      <w:r w:rsidRPr="00B61C01">
        <w:rPr>
          <w:rFonts w:eastAsia="MS Mincho"/>
          <w:szCs w:val="22"/>
        </w:rPr>
        <w:t>.</w:t>
      </w:r>
      <w:r w:rsidR="00A574C7">
        <w:rPr>
          <w:rFonts w:eastAsia="MS Mincho"/>
          <w:szCs w:val="22"/>
        </w:rPr>
        <w:t>l</w:t>
      </w:r>
      <w:r w:rsidR="00A574C7" w:rsidRPr="00B61C01">
        <w:rPr>
          <w:rFonts w:eastAsia="MS Mincho"/>
          <w:szCs w:val="22"/>
        </w:rPr>
        <w:t>ee</w:t>
      </w:r>
      <w:r w:rsidRPr="00B61C01">
        <w:rPr>
          <w:rFonts w:eastAsia="MS Mincho"/>
          <w:szCs w:val="22"/>
        </w:rPr>
        <w:t xml:space="preserve">@fcc.gov </w:t>
      </w:r>
      <w:r w:rsidR="00A574C7">
        <w:rPr>
          <w:rFonts w:eastAsia="MS Mincho"/>
          <w:szCs w:val="22"/>
        </w:rPr>
        <w:t xml:space="preserve">and to </w:t>
      </w:r>
      <w:r w:rsidR="0073756E" w:rsidRPr="00C278F4">
        <w:rPr>
          <w:rFonts w:eastAsia="MS Mincho"/>
          <w:szCs w:val="22"/>
        </w:rPr>
        <w:t>fccebaccess@fcc.gov</w:t>
      </w:r>
      <w:r w:rsidR="00A574C7">
        <w:rPr>
          <w:rFonts w:eastAsia="MS Mincho"/>
          <w:szCs w:val="22"/>
        </w:rPr>
        <w:t xml:space="preserve"> </w:t>
      </w:r>
      <w:r w:rsidRPr="00B61C01">
        <w:rPr>
          <w:rFonts w:eastAsia="MS Mincho"/>
          <w:szCs w:val="22"/>
        </w:rPr>
        <w:t xml:space="preserve">on the date said payment is made.  The payment must be made by check or similar instrument, wire transfer, or credit card, and must include the Account </w:t>
      </w:r>
      <w:r w:rsidR="00C37865">
        <w:rPr>
          <w:rFonts w:eastAsia="MS Mincho"/>
          <w:szCs w:val="22"/>
        </w:rPr>
        <w:t>N</w:t>
      </w:r>
      <w:r w:rsidRPr="00B61C01">
        <w:rPr>
          <w:rFonts w:eastAsia="MS Mincho"/>
          <w:szCs w:val="22"/>
        </w:rPr>
        <w:t>umber and FRN referenced above.  Regardless of the form of payment, a completed FCC Form 159 (Remittance Advice) must be submitted.</w:t>
      </w:r>
      <w:r w:rsidRPr="00B61C01">
        <w:rPr>
          <w:rStyle w:val="FootnoteReference"/>
          <w:rFonts w:eastAsia="MS Mincho"/>
          <w:szCs w:val="22"/>
        </w:rPr>
        <w:footnoteReference w:id="25"/>
      </w:r>
      <w:r w:rsidRPr="00B61C01">
        <w:rPr>
          <w:rFonts w:eastAsia="MS Mincho"/>
          <w:szCs w:val="22"/>
        </w:rPr>
        <w:t xml:space="preserve">  When completing the FCC Form 159, enter the Account Number in block number 23A (call sign/other ID) and enter the letters “FORF” in block number 24A (payment type code).  </w:t>
      </w:r>
      <w:r w:rsidRPr="00B61C01">
        <w:rPr>
          <w:szCs w:val="22"/>
        </w:rPr>
        <w:t xml:space="preserve">Below are additional instructions </w:t>
      </w:r>
      <w:r w:rsidR="00B54756">
        <w:rPr>
          <w:szCs w:val="22"/>
        </w:rPr>
        <w:t>AT&amp;T</w:t>
      </w:r>
      <w:r w:rsidRPr="00B61C01">
        <w:rPr>
          <w:szCs w:val="22"/>
        </w:rPr>
        <w:t xml:space="preserve"> should follow based on the form of payment </w:t>
      </w:r>
      <w:r w:rsidR="00B54756">
        <w:rPr>
          <w:szCs w:val="22"/>
        </w:rPr>
        <w:t>it</w:t>
      </w:r>
      <w:r w:rsidRPr="00B61C01">
        <w:rPr>
          <w:szCs w:val="22"/>
        </w:rPr>
        <w:t xml:space="preserve"> select</w:t>
      </w:r>
      <w:r w:rsidR="00B54756">
        <w:rPr>
          <w:szCs w:val="22"/>
        </w:rPr>
        <w:t>s</w:t>
      </w:r>
      <w:r w:rsidRPr="00B61C01">
        <w:rPr>
          <w:szCs w:val="22"/>
        </w:rPr>
        <w:t xml:space="preserve">: </w:t>
      </w:r>
    </w:p>
    <w:p w:rsidR="00B23CF5" w:rsidRPr="00D77E2C" w:rsidRDefault="00B23CF5" w:rsidP="00862603">
      <w:pPr>
        <w:pStyle w:val="ParaNum"/>
        <w:numPr>
          <w:ilvl w:val="0"/>
          <w:numId w:val="9"/>
        </w:numPr>
        <w:spacing w:before="120"/>
        <w:rPr>
          <w:rFonts w:eastAsia="MS Mincho"/>
          <w:szCs w:val="22"/>
        </w:rPr>
      </w:pPr>
      <w:r w:rsidRPr="00B61C01">
        <w:rPr>
          <w:rFonts w:eastAsia="MS Mincho"/>
          <w:szCs w:val="22"/>
        </w:rPr>
        <w:t>Payment by check o</w:t>
      </w:r>
      <w:r w:rsidRPr="00D77E2C">
        <w:rPr>
          <w:rFonts w:eastAsia="MS Mincho"/>
          <w:szCs w:val="22"/>
        </w:rPr>
        <w:t xml:space="preserve">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B23CF5" w:rsidRPr="00D77E2C" w:rsidRDefault="00B23CF5" w:rsidP="00862603">
      <w:pPr>
        <w:pStyle w:val="ParaNum"/>
        <w:numPr>
          <w:ilvl w:val="0"/>
          <w:numId w:val="9"/>
        </w:numPr>
        <w:rPr>
          <w:rFonts w:eastAsia="MS Mincho"/>
          <w:szCs w:val="22"/>
        </w:rPr>
      </w:pPr>
      <w:r w:rsidRPr="00D77E2C">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B23CF5" w:rsidRPr="00D77E2C" w:rsidRDefault="00B23CF5" w:rsidP="00862603">
      <w:pPr>
        <w:pStyle w:val="ParaNum"/>
        <w:numPr>
          <w:ilvl w:val="0"/>
          <w:numId w:val="9"/>
        </w:numPr>
        <w:rPr>
          <w:rFonts w:eastAsia="MS Mincho"/>
          <w:szCs w:val="22"/>
        </w:rPr>
      </w:pPr>
      <w:r w:rsidRPr="00D77E2C">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w:t>
      </w:r>
      <w:r>
        <w:rPr>
          <w:rFonts w:eastAsia="MS Mincho"/>
          <w:szCs w:val="22"/>
        </w:rPr>
        <w:t>a, St. Louis, MO 63101.</w:t>
      </w:r>
    </w:p>
    <w:p w:rsidR="00DF753D" w:rsidRDefault="00B23CF5" w:rsidP="00DF753D">
      <w:pPr>
        <w:pStyle w:val="ParaNum"/>
        <w:numPr>
          <w:ilvl w:val="0"/>
          <w:numId w:val="0"/>
        </w:numPr>
        <w:spacing w:after="240"/>
        <w:rPr>
          <w:rFonts w:eastAsia="MS Mincho"/>
          <w:szCs w:val="22"/>
        </w:rPr>
      </w:pPr>
      <w:r w:rsidRPr="00D77E2C">
        <w:rPr>
          <w:rFonts w:eastAsia="MS Mincho"/>
          <w:szCs w:val="22"/>
        </w:rPr>
        <w:t xml:space="preserve">If </w:t>
      </w:r>
      <w:r w:rsidR="00B54756">
        <w:rPr>
          <w:rFonts w:eastAsia="MS Mincho"/>
          <w:szCs w:val="22"/>
        </w:rPr>
        <w:t>AT&amp;T has</w:t>
      </w:r>
      <w:r w:rsidRPr="00D77E2C">
        <w:rPr>
          <w:rFonts w:eastAsia="MS Mincho"/>
          <w:szCs w:val="22"/>
        </w:rPr>
        <w:t xml:space="preserve"> question</w:t>
      </w:r>
      <w:r w:rsidR="00B54756">
        <w:rPr>
          <w:rFonts w:eastAsia="MS Mincho"/>
          <w:szCs w:val="22"/>
        </w:rPr>
        <w:t xml:space="preserve">s regarding payment procedures, it </w:t>
      </w:r>
      <w:r w:rsidR="0066308B">
        <w:rPr>
          <w:rFonts w:eastAsia="MS Mincho"/>
          <w:szCs w:val="22"/>
        </w:rPr>
        <w:t>may</w:t>
      </w:r>
      <w:r w:rsidRPr="00D77E2C">
        <w:rPr>
          <w:rFonts w:eastAsia="MS Mincho"/>
          <w:szCs w:val="22"/>
        </w:rPr>
        <w:t xml:space="preserve"> contact the Financial Operations Group Help Desk by </w:t>
      </w:r>
      <w:r w:rsidRPr="00DF753D">
        <w:rPr>
          <w:rFonts w:eastAsia="MS Mincho"/>
          <w:szCs w:val="22"/>
        </w:rPr>
        <w:t>phone, 1-877-480-3201, or by e</w:t>
      </w:r>
      <w:r w:rsidRPr="00DF753D">
        <w:rPr>
          <w:rFonts w:eastAsia="MS Mincho"/>
          <w:szCs w:val="22"/>
        </w:rPr>
        <w:noBreakHyphen/>
        <w:t xml:space="preserve">mail, </w:t>
      </w:r>
      <w:hyperlink r:id="rId14" w:history="1">
        <w:r w:rsidR="00DF753D" w:rsidRPr="00DF2B11">
          <w:rPr>
            <w:rStyle w:val="Hyperlink"/>
            <w:rFonts w:eastAsia="MS Mincho"/>
            <w:color w:val="auto"/>
            <w:szCs w:val="22"/>
            <w:u w:val="none"/>
          </w:rPr>
          <w:t>ARINQUIRIES@fcc.gov</w:t>
        </w:r>
      </w:hyperlink>
      <w:r w:rsidRPr="00DF753D">
        <w:rPr>
          <w:rFonts w:eastAsia="MS Mincho"/>
          <w:szCs w:val="22"/>
        </w:rPr>
        <w:t>.</w:t>
      </w:r>
    </w:p>
    <w:p w:rsidR="00B23CF5" w:rsidRPr="00535874" w:rsidRDefault="00B23CF5" w:rsidP="00535874">
      <w:pPr>
        <w:pStyle w:val="par1"/>
        <w:numPr>
          <w:ilvl w:val="1"/>
          <w:numId w:val="6"/>
        </w:numPr>
        <w:tabs>
          <w:tab w:val="clear" w:pos="1080"/>
          <w:tab w:val="num" w:pos="1440"/>
        </w:tabs>
        <w:ind w:left="0" w:firstLine="720"/>
      </w:pPr>
      <w:r w:rsidRPr="00DF753D">
        <w:rPr>
          <w:b/>
          <w:u w:val="single"/>
        </w:rPr>
        <w:t>Reim</w:t>
      </w:r>
      <w:r w:rsidRPr="002A26D3">
        <w:rPr>
          <w:b/>
          <w:u w:val="single"/>
        </w:rPr>
        <w:t>bursement to the TRS Fund.</w:t>
      </w:r>
      <w:r w:rsidRPr="002A26D3">
        <w:t xml:space="preserve">  </w:t>
      </w:r>
      <w:r w:rsidR="00C307B6">
        <w:t>AT&amp;T</w:t>
      </w:r>
      <w:r w:rsidRPr="002A26D3">
        <w:t xml:space="preserve"> agrees </w:t>
      </w:r>
      <w:r w:rsidRPr="00727971">
        <w:t>that it shall</w:t>
      </w:r>
      <w:r w:rsidRPr="002A26D3">
        <w:t xml:space="preserve"> make a Refund Payment to the TRS Fund within thirty (30) calendar days a</w:t>
      </w:r>
      <w:r w:rsidR="00692BC0">
        <w:t>fter the Effective Date totaling seven million dollars</w:t>
      </w:r>
      <w:r w:rsidRPr="002A26D3">
        <w:t xml:space="preserve"> </w:t>
      </w:r>
      <w:r w:rsidR="00692BC0">
        <w:t>($7,000,000)</w:t>
      </w:r>
      <w:r w:rsidR="003B6993">
        <w:t>,</w:t>
      </w:r>
      <w:r w:rsidR="005B34D7">
        <w:t xml:space="preserve"> </w:t>
      </w:r>
      <w:r>
        <w:t>which includes accrued</w:t>
      </w:r>
      <w:r w:rsidRPr="002A26D3">
        <w:t xml:space="preserve"> </w:t>
      </w:r>
      <w:r w:rsidRPr="00DF753D">
        <w:rPr>
          <w:color w:val="000000"/>
          <w:szCs w:val="22"/>
        </w:rPr>
        <w:t>interest</w:t>
      </w:r>
      <w:r w:rsidRPr="002A26D3">
        <w:t>.</w:t>
      </w:r>
      <w:r w:rsidRPr="00727971">
        <w:rPr>
          <w:szCs w:val="22"/>
        </w:rPr>
        <w:t xml:space="preserve"> </w:t>
      </w:r>
      <w:r w:rsidR="00DF753D">
        <w:rPr>
          <w:szCs w:val="22"/>
        </w:rPr>
        <w:t xml:space="preserve"> </w:t>
      </w:r>
    </w:p>
    <w:p w:rsidR="00535874" w:rsidRPr="00DF753D" w:rsidRDefault="00535874" w:rsidP="00535874">
      <w:pPr>
        <w:pStyle w:val="par1"/>
        <w:numPr>
          <w:ilvl w:val="0"/>
          <w:numId w:val="0"/>
        </w:numPr>
        <w:ind w:left="720"/>
      </w:pPr>
    </w:p>
    <w:p w:rsidR="00E86399" w:rsidRPr="00AF59C5" w:rsidRDefault="00E86399" w:rsidP="00E86399">
      <w:pPr>
        <w:pStyle w:val="par1"/>
        <w:numPr>
          <w:ilvl w:val="1"/>
          <w:numId w:val="6"/>
        </w:numPr>
        <w:tabs>
          <w:tab w:val="clear" w:pos="1080"/>
          <w:tab w:val="num" w:pos="1440"/>
        </w:tabs>
        <w:ind w:left="0" w:firstLine="720"/>
        <w:rPr>
          <w:b/>
          <w:u w:val="single"/>
        </w:rPr>
      </w:pPr>
      <w:r w:rsidRPr="00E86399">
        <w:rPr>
          <w:b/>
          <w:u w:val="single"/>
        </w:rPr>
        <w:t>Event of Default; Interest and Charges for Collection</w:t>
      </w:r>
      <w:r w:rsidRPr="00526E31">
        <w:t xml:space="preserve">.  </w:t>
      </w:r>
      <w:r w:rsidRPr="00E86399">
        <w:t>AT&amp;T agrees that an event of default by nonpayment shall occur upon the failure of A</w:t>
      </w:r>
      <w:r w:rsidR="00BF07FD">
        <w:t>T</w:t>
      </w:r>
      <w:r w:rsidRPr="00E86399">
        <w:t xml:space="preserve">&amp;T to pay the full amount of the Voluntary Contribution, or the full amount of the Refund Payment.  </w:t>
      </w:r>
      <w:r w:rsidR="0078556C" w:rsidRPr="0078556C">
        <w:t>AT&amp;T acknowledges and agrees that, for purposes of this Consent Decree,</w:t>
      </w:r>
      <w:r w:rsidR="006572E1">
        <w:t xml:space="preserve"> in the event of such default by non-payment, any unpaid amount shall become </w:t>
      </w:r>
      <w:r w:rsidR="0078556C" w:rsidRPr="0078556C">
        <w:t xml:space="preserve">a “Debt” as defined in 31 U.S.C. § 3701(b)(1).  </w:t>
      </w:r>
      <w:r w:rsidRPr="00E86399">
        <w:t>An event of default on either payment of the Voluntary Contribution or the Refund Payment will result in a cross default on both amounts.  Upon an event of default, without further notice, demand, or presentment, all procedures for collection permitted by the Debt Collection Improvement Act of 1996</w:t>
      </w:r>
      <w:r>
        <w:rPr>
          <w:rStyle w:val="FootnoteReference"/>
        </w:rPr>
        <w:footnoteReference w:id="26"/>
      </w:r>
      <w:r w:rsidRPr="00E86399">
        <w:t xml:space="preserve"> and other provisions of law</w:t>
      </w:r>
      <w:r>
        <w:rPr>
          <w:rStyle w:val="FootnoteReference"/>
        </w:rPr>
        <w:footnoteReference w:id="27"/>
      </w:r>
      <w:r w:rsidRPr="00E86399">
        <w:t xml:space="preserve"> may, at the Commission’s discretion, be initiated and </w:t>
      </w:r>
      <w:r w:rsidR="00AF59C5">
        <w:t xml:space="preserve">(1) </w:t>
      </w:r>
      <w:r w:rsidRPr="00E86399">
        <w:t xml:space="preserve">the then entire unpaid amount of the Voluntary Contribution and Refund Payment, </w:t>
      </w:r>
      <w:r w:rsidR="00AF59C5">
        <w:t xml:space="preserve">which </w:t>
      </w:r>
      <w:r w:rsidRPr="00E86399">
        <w:t xml:space="preserve">shall accrue </w:t>
      </w:r>
      <w:r w:rsidR="00C41BE7">
        <w:t xml:space="preserve">interest </w:t>
      </w:r>
      <w:r w:rsidRPr="00E86399">
        <w:t>at a rate of 15.75% per annum from the date of the event o</w:t>
      </w:r>
      <w:r w:rsidR="00084E0D">
        <w:t>f default until payment in full</w:t>
      </w:r>
      <w:r w:rsidR="00084E0D" w:rsidRPr="00AF59C5">
        <w:t xml:space="preserve"> </w:t>
      </w:r>
      <w:r w:rsidR="00AF59C5">
        <w:t>and (2)</w:t>
      </w:r>
      <w:r w:rsidRPr="00AF59C5">
        <w:t xml:space="preserve"> any penalties permitted and/or required by the law, including but not limited to 31 U.S.C. § 3717 and </w:t>
      </w:r>
      <w:r w:rsidR="00AF59C5">
        <w:t xml:space="preserve">(3) any </w:t>
      </w:r>
      <w:r w:rsidRPr="00AF59C5">
        <w:t xml:space="preserve">administrative charge(s), </w:t>
      </w:r>
      <w:r w:rsidR="00AF59C5">
        <w:t>including</w:t>
      </w:r>
      <w:r w:rsidRPr="00AF59C5">
        <w:t xml:space="preserve"> the costs of collection, litigation, and attorneys’ fees, is accelerated and shall become immediately due and payable, without notice, presentment, demand, protest, or notice of protest of any kind, all of which are waived by AT&amp;T.</w:t>
      </w:r>
      <w:r w:rsidRPr="00AF59C5">
        <w:rPr>
          <w:b/>
          <w:u w:val="single"/>
        </w:rPr>
        <w:t xml:space="preserve">  </w:t>
      </w:r>
    </w:p>
    <w:p w:rsidR="00535874" w:rsidRDefault="00535874" w:rsidP="00535874">
      <w:pPr>
        <w:pStyle w:val="ListParagraph"/>
        <w:rPr>
          <w:color w:val="000000"/>
          <w:szCs w:val="22"/>
        </w:rPr>
      </w:pPr>
    </w:p>
    <w:p w:rsidR="00B23CF5" w:rsidRDefault="00B23CF5" w:rsidP="00535874">
      <w:pPr>
        <w:pStyle w:val="par1"/>
        <w:numPr>
          <w:ilvl w:val="1"/>
          <w:numId w:val="6"/>
        </w:numPr>
        <w:tabs>
          <w:tab w:val="clear" w:pos="1080"/>
          <w:tab w:val="num" w:pos="1440"/>
        </w:tabs>
        <w:ind w:left="0" w:firstLine="720"/>
      </w:pPr>
      <w:r w:rsidRPr="000E7726">
        <w:rPr>
          <w:b/>
          <w:u w:val="single"/>
        </w:rPr>
        <w:t>Waivers</w:t>
      </w:r>
      <w:r>
        <w:t xml:space="preserve">.  </w:t>
      </w:r>
      <w:r w:rsidR="00C307B6">
        <w:t>AT&amp;T</w:t>
      </w:r>
      <w:r>
        <w:t xml:space="preserve"> waives any and all rights it may have to seek administrative or judicial reconsideration, review, appeal, or stay, or to otherwise challenge or contest the validity of this Consent Decree and the Adopting Order, </w:t>
      </w:r>
      <w:r w:rsidRPr="00535874">
        <w:rPr>
          <w:color w:val="000000"/>
          <w:szCs w:val="22"/>
        </w:rPr>
        <w:t>provided</w:t>
      </w:r>
      <w:r>
        <w:t xml:space="preserve"> the Bureau issues </w:t>
      </w:r>
      <w:r w:rsidR="00702FB8">
        <w:t>the</w:t>
      </w:r>
      <w:r>
        <w:t xml:space="preserve"> Adopting Order as defined herein.  </w:t>
      </w:r>
      <w:r w:rsidR="00C307B6">
        <w:t>AT&amp;T</w:t>
      </w:r>
      <w:r w:rsidRPr="000E7726">
        <w:rPr>
          <w:szCs w:val="22"/>
        </w:rPr>
        <w:t xml:space="preserve"> </w:t>
      </w:r>
      <w:r>
        <w:t xml:space="preserve">shall retain the right to challenge Commission interpretation of the Consent Decree or any terms contained herein.  If either Party (or the United States on behalf of the Commission) brings a judicial action to enforce the terms of the Adopting Order, neither </w:t>
      </w:r>
      <w:r w:rsidR="00C307B6">
        <w:t>AT&amp;T</w:t>
      </w:r>
      <w:r w:rsidRPr="000E7726">
        <w:rPr>
          <w:szCs w:val="22"/>
        </w:rPr>
        <w:t xml:space="preserve"> </w:t>
      </w:r>
      <w:r>
        <w:t xml:space="preserve">nor the Commission shall contest the validity of the Consent Decree or the Adopting Order, and </w:t>
      </w:r>
      <w:r w:rsidR="00C307B6">
        <w:t>AT&amp;T</w:t>
      </w:r>
      <w:r w:rsidRPr="000E7726">
        <w:rPr>
          <w:szCs w:val="22"/>
        </w:rPr>
        <w:t xml:space="preserve"> </w:t>
      </w:r>
      <w:r>
        <w:t xml:space="preserve">shall waive any statutory right to a trial </w:t>
      </w:r>
      <w:r w:rsidRPr="000E7726">
        <w:rPr>
          <w:i/>
        </w:rPr>
        <w:t>de novo</w:t>
      </w:r>
      <w:r>
        <w:t xml:space="preserve">.  </w:t>
      </w:r>
      <w:r w:rsidR="00C307B6">
        <w:t>AT&amp;T</w:t>
      </w:r>
      <w:r w:rsidRPr="000E7726">
        <w:rPr>
          <w:szCs w:val="22"/>
        </w:rPr>
        <w:t xml:space="preserve"> </w:t>
      </w:r>
      <w:r>
        <w:t xml:space="preserve">hereby agrees to waive any claims it may have under the Equal Access to Justice Act, 5 U.S.C. § 504 and 47 C.F.R. § 1.1501 </w:t>
      </w:r>
      <w:r w:rsidRPr="00B224A3">
        <w:rPr>
          <w:i/>
        </w:rPr>
        <w:t>et seq.</w:t>
      </w:r>
      <w:r>
        <w:t>, relating to the matters addressed in this Consent Decree.</w:t>
      </w:r>
    </w:p>
    <w:p w:rsidR="00535874" w:rsidRDefault="00535874" w:rsidP="00535874">
      <w:pPr>
        <w:pStyle w:val="ListParagraph"/>
      </w:pPr>
    </w:p>
    <w:p w:rsidR="00535874" w:rsidRDefault="00B23CF5" w:rsidP="00535874">
      <w:pPr>
        <w:pStyle w:val="par1"/>
        <w:numPr>
          <w:ilvl w:val="1"/>
          <w:numId w:val="6"/>
        </w:numPr>
        <w:tabs>
          <w:tab w:val="clear" w:pos="1080"/>
          <w:tab w:val="num" w:pos="1440"/>
        </w:tabs>
        <w:ind w:left="0" w:firstLine="720"/>
      </w:pPr>
      <w:r>
        <w:rPr>
          <w:b/>
          <w:u w:val="single"/>
        </w:rPr>
        <w:t>Invalidi</w:t>
      </w:r>
      <w:r w:rsidRPr="00642F33">
        <w:rPr>
          <w:b/>
          <w:u w:val="single"/>
        </w:rPr>
        <w:t>ty</w:t>
      </w:r>
      <w:r w:rsidRPr="00642F33">
        <w:t xml:space="preserve">.  The Parties agree that if </w:t>
      </w:r>
      <w:r w:rsidR="008C044E">
        <w:t xml:space="preserve">a court of competent jurisdiction renders </w:t>
      </w:r>
      <w:r w:rsidRPr="00642F33">
        <w:t>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any court of competent jurisdiction, it shall become null and void and may not be used in any manner in any legal proceeding.</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Subsequent Rule or Order</w:t>
      </w:r>
      <w:r>
        <w:t xml:space="preserve">.  The Parties agree that if any provision of the Consent Decree conflicts with any subsequent Rule or order adopted by the Commission (except an order specifically intended to revise the terms of </w:t>
      </w:r>
      <w:r w:rsidRPr="00535874">
        <w:rPr>
          <w:szCs w:val="22"/>
        </w:rPr>
        <w:t>this</w:t>
      </w:r>
      <w:r>
        <w:t xml:space="preserve"> Consent Decree to which </w:t>
      </w:r>
      <w:r w:rsidR="00C307B6">
        <w:t>AT&amp;T</w:t>
      </w:r>
      <w:r w:rsidRPr="00535874">
        <w:rPr>
          <w:szCs w:val="22"/>
        </w:rPr>
        <w:t xml:space="preserve"> </w:t>
      </w:r>
      <w:r>
        <w:t>does not expressly consent) that provision will be superseded by such Rule or Commission order.</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Successors and Assigns</w:t>
      </w:r>
      <w:r>
        <w:t xml:space="preserve">.  </w:t>
      </w:r>
      <w:r w:rsidR="00C307B6">
        <w:t>AT&amp;T</w:t>
      </w:r>
      <w:r w:rsidRPr="00535874">
        <w:rPr>
          <w:szCs w:val="22"/>
        </w:rPr>
        <w:t xml:space="preserve"> agrees</w:t>
      </w:r>
      <w:r>
        <w:t xml:space="preserve"> that the provisions of this Consent Decree shall be binding on its successors, assigns, and transferees.</w:t>
      </w:r>
      <w:r w:rsidRPr="00535874">
        <w:rPr>
          <w:u w:val="single"/>
        </w:rPr>
        <w:t xml:space="preserve">  </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Final Settlement</w:t>
      </w:r>
      <w:r w:rsidR="004663BF">
        <w:t xml:space="preserve">.  </w:t>
      </w:r>
      <w:r w:rsidR="002D663E">
        <w:t>The Bureau con</w:t>
      </w:r>
      <w:r w:rsidR="00BD633C">
        <w:t xml:space="preserve">ducted </w:t>
      </w:r>
      <w:r w:rsidR="00CE2818">
        <w:t>the</w:t>
      </w:r>
      <w:r w:rsidR="00BD633C">
        <w:t xml:space="preserve"> Investigation into AT&amp;T’s</w:t>
      </w:r>
      <w:r w:rsidR="002D663E">
        <w:t xml:space="preserve"> possible violation of Section 225 of the Act and the TRS Rules.  AT&amp;T neither admits nor denies any such violations, and the Commission does not concede or otherwise represent that its claims are not well-founded.  </w:t>
      </w:r>
      <w:r>
        <w:t>The Parties agree and acknowledge that this Consent Decree shall constitute a final settlement between the Parties with respect to the Investigation.  The Parties further agree that this Consent Decree does not constitute an adjudication on the merits, or a factual or legal finding or determination regarding any compliance or noncompliance with the Communications Laws.</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Modifications</w:t>
      </w:r>
      <w:r>
        <w:t xml:space="preserve">.  This Consent </w:t>
      </w:r>
      <w:r w:rsidRPr="00535874">
        <w:rPr>
          <w:szCs w:val="22"/>
        </w:rPr>
        <w:t>Decree</w:t>
      </w:r>
      <w:r>
        <w:t xml:space="preserve"> cannot be modified without the advance written consent of both Parties.</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Paragraph Headings</w:t>
      </w:r>
      <w:r>
        <w:t xml:space="preserve">.  The headings </w:t>
      </w:r>
      <w:r w:rsidRPr="00535874">
        <w:rPr>
          <w:szCs w:val="22"/>
        </w:rPr>
        <w:t>of</w:t>
      </w:r>
      <w:r>
        <w:t xml:space="preserve"> the paragraphs in this Consent Decree are inserted for convenience only and are not intended to affect the meaning or interpretation of this Consent Decree.</w:t>
      </w:r>
    </w:p>
    <w:p w:rsidR="00535874" w:rsidRDefault="00535874" w:rsidP="00535874">
      <w:pPr>
        <w:pStyle w:val="ListParagraph"/>
        <w:rPr>
          <w:b/>
          <w:u w:val="single"/>
        </w:rPr>
      </w:pPr>
    </w:p>
    <w:p w:rsidR="00535874" w:rsidRDefault="00B23CF5" w:rsidP="00535874">
      <w:pPr>
        <w:pStyle w:val="par1"/>
        <w:numPr>
          <w:ilvl w:val="1"/>
          <w:numId w:val="6"/>
        </w:numPr>
        <w:tabs>
          <w:tab w:val="clear" w:pos="1080"/>
          <w:tab w:val="num" w:pos="1440"/>
        </w:tabs>
        <w:ind w:left="0" w:firstLine="720"/>
      </w:pPr>
      <w:r w:rsidRPr="00535874">
        <w:rPr>
          <w:b/>
          <w:u w:val="single"/>
        </w:rPr>
        <w:t>Authorized Representative</w:t>
      </w:r>
      <w:r>
        <w:t xml:space="preserve">.  The individual signing this Consent Decree on behalf of </w:t>
      </w:r>
      <w:r w:rsidR="00C307B6">
        <w:t>AT&amp;T</w:t>
      </w:r>
      <w:r w:rsidRPr="00535874">
        <w:rPr>
          <w:szCs w:val="22"/>
        </w:rPr>
        <w:t xml:space="preserve"> </w:t>
      </w:r>
      <w:r>
        <w:t xml:space="preserve">represents and warrants that he is authorized by </w:t>
      </w:r>
      <w:r w:rsidR="00C307B6">
        <w:t>AT&amp;T</w:t>
      </w:r>
      <w:r w:rsidRPr="00535874">
        <w:rPr>
          <w:szCs w:val="22"/>
        </w:rPr>
        <w:t xml:space="preserve"> </w:t>
      </w:r>
      <w:r>
        <w:t xml:space="preserve">to execute this Consent Decree and to bind </w:t>
      </w:r>
      <w:r w:rsidR="00C307B6">
        <w:t>AT&amp;T</w:t>
      </w:r>
      <w:r>
        <w:t xml:space="preserve"> to the obligations, including all payment obligations, set forth herein.  The FCC signatory represents that she is signing this Consent Decree in her official capacity and that she is authorized to execute this Consent Decree.</w:t>
      </w:r>
    </w:p>
    <w:p w:rsidR="00535874" w:rsidRDefault="00535874">
      <w:pPr>
        <w:rPr>
          <w:b/>
          <w:u w:val="single"/>
        </w:rPr>
      </w:pPr>
      <w:r>
        <w:rPr>
          <w:b/>
          <w:u w:val="single"/>
        </w:rPr>
        <w:br w:type="page"/>
      </w:r>
    </w:p>
    <w:p w:rsidR="00535874" w:rsidRDefault="00535874" w:rsidP="00535874">
      <w:pPr>
        <w:pStyle w:val="ListParagraph"/>
        <w:rPr>
          <w:b/>
          <w:u w:val="single"/>
        </w:rPr>
      </w:pPr>
    </w:p>
    <w:p w:rsidR="00B23CF5" w:rsidRDefault="00B23CF5" w:rsidP="00535874">
      <w:pPr>
        <w:pStyle w:val="par1"/>
        <w:numPr>
          <w:ilvl w:val="1"/>
          <w:numId w:val="6"/>
        </w:numPr>
        <w:tabs>
          <w:tab w:val="clear" w:pos="1080"/>
          <w:tab w:val="num" w:pos="1440"/>
        </w:tabs>
        <w:ind w:left="0" w:firstLine="720"/>
      </w:pPr>
      <w:r w:rsidRPr="00535874">
        <w:rPr>
          <w:b/>
          <w:u w:val="single"/>
        </w:rPr>
        <w:t>Counterparts</w:t>
      </w:r>
      <w:r>
        <w:t>.  This Consent Decree may be signed in any number of counterparts (including by facsimile), each of which, when executed and delivered, shall be an original, and all of which counterparts together shall constitute one and the same fully executed instrument.</w:t>
      </w:r>
    </w:p>
    <w:p w:rsidR="00B23CF5" w:rsidRDefault="00B23CF5" w:rsidP="00BF12B3">
      <w:pPr>
        <w:pStyle w:val="Heading1A"/>
        <w:tabs>
          <w:tab w:val="left" w:pos="0"/>
        </w:tabs>
        <w:spacing w:after="0" w:line="227" w:lineRule="auto"/>
        <w:rPr>
          <w:rFonts w:ascii="Times New Roman" w:hAnsi="Times New Roman"/>
          <w:sz w:val="22"/>
        </w:rPr>
      </w:pPr>
    </w:p>
    <w:p w:rsidR="00B23CF5" w:rsidRDefault="00B23CF5" w:rsidP="00BF12B3">
      <w:pPr>
        <w:jc w:val="center"/>
        <w:rPr>
          <w:b/>
        </w:rPr>
      </w:pPr>
    </w:p>
    <w:p w:rsidR="00B23CF5" w:rsidRDefault="00B23CF5" w:rsidP="00BF12B3"/>
    <w:p w:rsidR="00B23CF5" w:rsidRDefault="00B23CF5" w:rsidP="00BF12B3"/>
    <w:p w:rsidR="00B23CF5" w:rsidRDefault="00B23CF5" w:rsidP="00BF12B3">
      <w:pPr>
        <w:keepNext/>
      </w:pPr>
      <w:r>
        <w:t>________________________________</w:t>
      </w:r>
    </w:p>
    <w:p w:rsidR="00B23CF5" w:rsidRDefault="00B23CF5" w:rsidP="00BF12B3">
      <w:pPr>
        <w:pStyle w:val="BodyText1"/>
        <w:rPr>
          <w:rFonts w:ascii="Times New Roman" w:hAnsi="Times New Roman"/>
          <w:sz w:val="22"/>
          <w:u w:val="none"/>
        </w:rPr>
      </w:pPr>
      <w:r>
        <w:rPr>
          <w:rFonts w:ascii="Times New Roman" w:hAnsi="Times New Roman"/>
          <w:sz w:val="22"/>
          <w:u w:val="none"/>
        </w:rPr>
        <w:t>P. Michele Ellison</w:t>
      </w:r>
    </w:p>
    <w:p w:rsidR="00B23CF5" w:rsidRDefault="00B23CF5" w:rsidP="00BF12B3">
      <w:pPr>
        <w:pStyle w:val="BodyText1"/>
        <w:rPr>
          <w:rFonts w:ascii="Times New Roman" w:hAnsi="Times New Roman"/>
          <w:sz w:val="22"/>
          <w:u w:val="none"/>
        </w:rPr>
      </w:pPr>
      <w:r>
        <w:rPr>
          <w:rFonts w:ascii="Times New Roman" w:hAnsi="Times New Roman"/>
          <w:sz w:val="22"/>
          <w:u w:val="none"/>
        </w:rPr>
        <w:t>Chief</w:t>
      </w:r>
    </w:p>
    <w:p w:rsidR="00B23CF5" w:rsidRDefault="00B23CF5" w:rsidP="00BF12B3">
      <w:pPr>
        <w:pStyle w:val="BodyText1"/>
        <w:rPr>
          <w:rFonts w:ascii="Times New Roman" w:hAnsi="Times New Roman"/>
          <w:sz w:val="22"/>
          <w:u w:val="none"/>
        </w:rPr>
      </w:pPr>
      <w:r>
        <w:rPr>
          <w:rFonts w:ascii="Times New Roman" w:hAnsi="Times New Roman"/>
          <w:sz w:val="22"/>
          <w:u w:val="none"/>
        </w:rPr>
        <w:t>Enforcement Bureau</w:t>
      </w:r>
    </w:p>
    <w:p w:rsidR="00B23CF5" w:rsidRDefault="00B23CF5" w:rsidP="00BF12B3">
      <w:pPr>
        <w:keepNext/>
      </w:pPr>
    </w:p>
    <w:p w:rsidR="00B23CF5" w:rsidRDefault="00B23CF5" w:rsidP="00BF12B3">
      <w:pPr>
        <w:keepNext/>
      </w:pPr>
    </w:p>
    <w:p w:rsidR="00B23CF5" w:rsidRDefault="00B23CF5" w:rsidP="00BF12B3">
      <w:pPr>
        <w:keepNext/>
      </w:pPr>
      <w:r>
        <w:t>_______________________________</w:t>
      </w:r>
    </w:p>
    <w:p w:rsidR="00B23CF5" w:rsidRDefault="00B23CF5" w:rsidP="00BF12B3">
      <w:pPr>
        <w:keepNext/>
        <w:rPr>
          <w:sz w:val="22"/>
          <w:szCs w:val="22"/>
        </w:rPr>
      </w:pPr>
      <w:r>
        <w:rPr>
          <w:sz w:val="22"/>
          <w:szCs w:val="22"/>
        </w:rPr>
        <w:t>Date</w:t>
      </w:r>
    </w:p>
    <w:p w:rsidR="00B23CF5" w:rsidRDefault="00B23CF5" w:rsidP="00BF12B3">
      <w:pPr>
        <w:keepNext/>
      </w:pPr>
    </w:p>
    <w:p w:rsidR="00B23CF5" w:rsidRDefault="00B23CF5" w:rsidP="00BF12B3">
      <w:pPr>
        <w:keepNext/>
      </w:pPr>
    </w:p>
    <w:p w:rsidR="00B23CF5" w:rsidRDefault="00B23CF5" w:rsidP="00BF12B3">
      <w:pPr>
        <w:keepNext/>
      </w:pPr>
    </w:p>
    <w:p w:rsidR="00B23CF5" w:rsidRDefault="00B23CF5" w:rsidP="00BF12B3">
      <w:pPr>
        <w:pStyle w:val="Heading1"/>
        <w:tabs>
          <w:tab w:val="left" w:pos="1440"/>
          <w:tab w:val="left" w:pos="2160"/>
        </w:tabs>
        <w:jc w:val="left"/>
        <w:rPr>
          <w:szCs w:val="22"/>
        </w:rPr>
      </w:pPr>
      <w:r>
        <w:rPr>
          <w:szCs w:val="22"/>
        </w:rPr>
        <w:t>_______________________________</w:t>
      </w:r>
    </w:p>
    <w:p w:rsidR="00E76D5E" w:rsidRPr="00E76D5E" w:rsidRDefault="00E76D5E" w:rsidP="00E76D5E">
      <w:pPr>
        <w:pStyle w:val="Heading1"/>
        <w:tabs>
          <w:tab w:val="left" w:pos="1440"/>
          <w:tab w:val="left" w:pos="2160"/>
        </w:tabs>
        <w:jc w:val="left"/>
        <w:rPr>
          <w:b w:val="0"/>
          <w:szCs w:val="22"/>
        </w:rPr>
      </w:pPr>
      <w:r w:rsidRPr="00E76D5E">
        <w:rPr>
          <w:b w:val="0"/>
          <w:szCs w:val="22"/>
        </w:rPr>
        <w:t>Carmen P. Nava</w:t>
      </w:r>
    </w:p>
    <w:p w:rsidR="00E76D5E" w:rsidRPr="00E76D5E" w:rsidRDefault="00E76D5E" w:rsidP="00E76D5E">
      <w:pPr>
        <w:pStyle w:val="Heading1"/>
        <w:tabs>
          <w:tab w:val="left" w:pos="1440"/>
          <w:tab w:val="left" w:pos="2160"/>
        </w:tabs>
        <w:jc w:val="left"/>
        <w:rPr>
          <w:b w:val="0"/>
          <w:szCs w:val="22"/>
        </w:rPr>
      </w:pPr>
      <w:r w:rsidRPr="00E76D5E">
        <w:rPr>
          <w:b w:val="0"/>
          <w:szCs w:val="22"/>
        </w:rPr>
        <w:t>Senior Vice President-Customer Experience</w:t>
      </w:r>
    </w:p>
    <w:p w:rsidR="00B23CF5" w:rsidRDefault="007D2BDF" w:rsidP="00E76D5E">
      <w:pPr>
        <w:pStyle w:val="Heading1"/>
        <w:tabs>
          <w:tab w:val="left" w:pos="1440"/>
          <w:tab w:val="left" w:pos="2160"/>
        </w:tabs>
        <w:jc w:val="left"/>
        <w:rPr>
          <w:b w:val="0"/>
          <w:szCs w:val="22"/>
        </w:rPr>
      </w:pPr>
      <w:r>
        <w:rPr>
          <w:b w:val="0"/>
          <w:szCs w:val="22"/>
        </w:rPr>
        <w:t xml:space="preserve">AT&amp;T </w:t>
      </w:r>
      <w:r w:rsidR="00A574C7">
        <w:rPr>
          <w:b w:val="0"/>
          <w:szCs w:val="22"/>
        </w:rPr>
        <w:t>Inc</w:t>
      </w:r>
      <w:r w:rsidR="00C307B6">
        <w:rPr>
          <w:b w:val="0"/>
          <w:szCs w:val="22"/>
        </w:rPr>
        <w:t>.</w:t>
      </w:r>
    </w:p>
    <w:p w:rsidR="00B23CF5" w:rsidRDefault="00B23CF5" w:rsidP="00BF12B3">
      <w:pPr>
        <w:pStyle w:val="BodyText1"/>
        <w:rPr>
          <w:rFonts w:ascii="Times New Roman" w:hAnsi="Times New Roman"/>
          <w:sz w:val="22"/>
          <w:u w:val="none"/>
        </w:rPr>
      </w:pPr>
    </w:p>
    <w:p w:rsidR="00B23CF5" w:rsidRDefault="00B23CF5" w:rsidP="00BF12B3">
      <w:pPr>
        <w:pStyle w:val="BodyText1"/>
        <w:rPr>
          <w:rFonts w:ascii="Times New Roman" w:hAnsi="Times New Roman"/>
          <w:sz w:val="22"/>
          <w:u w:val="none"/>
        </w:rPr>
      </w:pPr>
    </w:p>
    <w:p w:rsidR="00B23CF5" w:rsidRDefault="00B23CF5" w:rsidP="00BF12B3">
      <w:r>
        <w:t>______________________________</w:t>
      </w:r>
    </w:p>
    <w:p w:rsidR="00B23CF5" w:rsidRDefault="00B23CF5" w:rsidP="00BF12B3">
      <w:pPr>
        <w:rPr>
          <w:sz w:val="22"/>
          <w:szCs w:val="22"/>
        </w:rPr>
      </w:pPr>
      <w:r>
        <w:rPr>
          <w:sz w:val="22"/>
          <w:szCs w:val="22"/>
        </w:rPr>
        <w:t>Date</w:t>
      </w:r>
    </w:p>
    <w:p w:rsidR="00B23CF5" w:rsidRDefault="00B23CF5"/>
    <w:sectPr w:rsidR="00B23CF5" w:rsidSect="005302DB">
      <w:footnotePr>
        <w:numRestart w:val="eachSect"/>
      </w:foot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A2" w:rsidRDefault="009147A2">
      <w:r>
        <w:separator/>
      </w:r>
    </w:p>
  </w:endnote>
  <w:endnote w:type="continuationSeparator" w:id="0">
    <w:p w:rsidR="009147A2" w:rsidRDefault="0091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ヒラギノ角ゴ Pro W3">
    <w:charset w:val="80"/>
    <w:family w:val="auto"/>
    <w:pitch w:val="variable"/>
    <w:sig w:usb0="01000000" w:usb1="00000000" w:usb2="07040001"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D" w:rsidRDefault="00C92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8" w:rsidRDefault="000865DC" w:rsidP="001207F5">
    <w:pPr>
      <w:pStyle w:val="Footer"/>
      <w:framePr w:wrap="around" w:vAnchor="text" w:hAnchor="margin" w:xAlign="center" w:y="1"/>
      <w:rPr>
        <w:rStyle w:val="PageNumber"/>
      </w:rPr>
    </w:pPr>
    <w:r>
      <w:rPr>
        <w:rStyle w:val="PageNumber"/>
      </w:rPr>
      <w:fldChar w:fldCharType="begin"/>
    </w:r>
    <w:r w:rsidR="005D5CA8">
      <w:rPr>
        <w:rStyle w:val="PageNumber"/>
      </w:rPr>
      <w:instrText xml:space="preserve">PAGE  </w:instrText>
    </w:r>
    <w:r>
      <w:rPr>
        <w:rStyle w:val="PageNumber"/>
      </w:rPr>
      <w:fldChar w:fldCharType="separate"/>
    </w:r>
    <w:r w:rsidR="00D01D0A">
      <w:rPr>
        <w:rStyle w:val="PageNumber"/>
        <w:noProof/>
      </w:rPr>
      <w:t>3</w:t>
    </w:r>
    <w:r>
      <w:rPr>
        <w:rStyle w:val="PageNumber"/>
      </w:rPr>
      <w:fldChar w:fldCharType="end"/>
    </w:r>
  </w:p>
  <w:p w:rsidR="005D5CA8" w:rsidRDefault="005D5CA8" w:rsidP="007D2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D" w:rsidRDefault="00C9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A2" w:rsidRDefault="009147A2">
      <w:r>
        <w:separator/>
      </w:r>
    </w:p>
  </w:footnote>
  <w:footnote w:type="continuationSeparator" w:id="0">
    <w:p w:rsidR="009147A2" w:rsidRDefault="009147A2">
      <w:r>
        <w:continuationSeparator/>
      </w:r>
    </w:p>
  </w:footnote>
  <w:footnote w:id="1">
    <w:p w:rsidR="005302DB" w:rsidRPr="006E0593" w:rsidRDefault="005302DB" w:rsidP="005302DB">
      <w:pPr>
        <w:pStyle w:val="FootnoteText"/>
        <w:spacing w:after="120"/>
        <w:ind w:left="-432"/>
      </w:pPr>
      <w:r w:rsidRPr="006E0593">
        <w:rPr>
          <w:rStyle w:val="FootnoteReference"/>
        </w:rPr>
        <w:footnoteRef/>
      </w:r>
      <w:r w:rsidRPr="006E0593">
        <w:t xml:space="preserve"> The investigation was originally identified as file number EB-11-TC-0</w:t>
      </w:r>
      <w:r>
        <w:t>22</w:t>
      </w:r>
      <w:r w:rsidRPr="006E0593">
        <w:t>.</w:t>
      </w:r>
    </w:p>
  </w:footnote>
  <w:footnote w:id="2">
    <w:p w:rsidR="005302DB" w:rsidRPr="00DF7D0A" w:rsidRDefault="005302DB" w:rsidP="005302DB">
      <w:pPr>
        <w:pStyle w:val="FootnoteText"/>
        <w:spacing w:after="120"/>
        <w:ind w:left="-432"/>
      </w:pPr>
      <w:r w:rsidRPr="00DF7D0A">
        <w:rPr>
          <w:rStyle w:val="FootnoteReference"/>
        </w:rPr>
        <w:footnoteRef/>
      </w:r>
      <w:r w:rsidRPr="00DF7D0A">
        <w:t xml:space="preserve"> 47 U.S.C. § 225.</w:t>
      </w:r>
    </w:p>
  </w:footnote>
  <w:footnote w:id="3">
    <w:p w:rsidR="005302DB" w:rsidRDefault="005302DB" w:rsidP="005302DB">
      <w:pPr>
        <w:pStyle w:val="FootnoteText"/>
        <w:spacing w:after="120"/>
        <w:ind w:left="-432"/>
      </w:pPr>
      <w:r w:rsidRPr="00DF7D0A">
        <w:rPr>
          <w:rStyle w:val="FootnoteReference"/>
        </w:rPr>
        <w:footnoteRef/>
      </w:r>
      <w:r w:rsidRPr="00DF7D0A">
        <w:t xml:space="preserve"> 47 C.F.R. §§ 64.604, 64.605.</w:t>
      </w:r>
      <w:r>
        <w:t xml:space="preserve">  </w:t>
      </w:r>
    </w:p>
  </w:footnote>
  <w:footnote w:id="4">
    <w:p w:rsidR="005302DB" w:rsidRPr="0096683A" w:rsidRDefault="005302DB" w:rsidP="005302DB">
      <w:pPr>
        <w:pStyle w:val="FootnoteText"/>
        <w:spacing w:after="120"/>
        <w:ind w:left="-432"/>
      </w:pPr>
      <w:r w:rsidRPr="0096683A">
        <w:rPr>
          <w:rStyle w:val="FootnoteReference"/>
        </w:rPr>
        <w:footnoteRef/>
      </w:r>
      <w:r w:rsidRPr="0096683A">
        <w:t xml:space="preserve"> 47 U.S.C. §§ 154(i),</w:t>
      </w:r>
      <w:r>
        <w:t xml:space="preserve"> 154(j),</w:t>
      </w:r>
      <w:r w:rsidRPr="0096683A">
        <w:t xml:space="preserve"> 503(b).</w:t>
      </w:r>
    </w:p>
  </w:footnote>
  <w:footnote w:id="5">
    <w:p w:rsidR="005302DB" w:rsidRPr="0096683A" w:rsidRDefault="005302DB" w:rsidP="005302DB">
      <w:pPr>
        <w:pStyle w:val="FootnoteText"/>
        <w:spacing w:after="120"/>
        <w:ind w:left="-432"/>
      </w:pPr>
      <w:r w:rsidRPr="0096683A">
        <w:rPr>
          <w:rStyle w:val="FootnoteReference"/>
        </w:rPr>
        <w:footnoteRef/>
      </w:r>
      <w:r w:rsidRPr="0096683A">
        <w:t xml:space="preserve"> 47 C.F.R §§ 0.111, 0.311.</w:t>
      </w:r>
    </w:p>
  </w:footnote>
  <w:footnote w:id="6">
    <w:p w:rsidR="005D5CA8" w:rsidRDefault="005D5CA8" w:rsidP="004E0305">
      <w:pPr>
        <w:pStyle w:val="FootnoteText"/>
        <w:spacing w:after="120"/>
      </w:pPr>
      <w:r>
        <w:rPr>
          <w:rStyle w:val="FootnoteReference"/>
        </w:rPr>
        <w:footnoteRef/>
      </w:r>
      <w:r>
        <w:t xml:space="preserve"> 47 U.S.C. § 225.</w:t>
      </w:r>
    </w:p>
  </w:footnote>
  <w:footnote w:id="7">
    <w:p w:rsidR="005D5CA8" w:rsidRDefault="005D5CA8" w:rsidP="004E0305">
      <w:pPr>
        <w:pStyle w:val="FootnoteText"/>
        <w:spacing w:after="120"/>
      </w:pPr>
      <w:r>
        <w:rPr>
          <w:rStyle w:val="FootnoteReference"/>
        </w:rPr>
        <w:footnoteRef/>
      </w:r>
      <w:r>
        <w:t xml:space="preserve"> 47 C.F.R. §§ 64.604, 64.605.  </w:t>
      </w:r>
    </w:p>
  </w:footnote>
  <w:footnote w:id="8">
    <w:p w:rsidR="005D5CA8" w:rsidRDefault="005D5CA8" w:rsidP="004E0305">
      <w:pPr>
        <w:pStyle w:val="FootnoteText"/>
        <w:spacing w:after="120"/>
      </w:pPr>
      <w:r>
        <w:rPr>
          <w:rStyle w:val="FootnoteReference"/>
        </w:rPr>
        <w:footnoteRef/>
      </w:r>
      <w:r>
        <w:t xml:space="preserve"> </w:t>
      </w:r>
      <w:r w:rsidRPr="00B10AB0">
        <w:rPr>
          <w:i/>
        </w:rPr>
        <w:t>See</w:t>
      </w:r>
      <w:r w:rsidRPr="00B10AB0">
        <w:t xml:space="preserve"> 47 U.S.C. § 225(a)(3)</w:t>
      </w:r>
      <w:r>
        <w:t xml:space="preserve">.  </w:t>
      </w:r>
      <w:r>
        <w:rPr>
          <w:i/>
        </w:rPr>
        <w:t>See also</w:t>
      </w:r>
      <w:r>
        <w:t xml:space="preserve"> 47 C.F.R. </w:t>
      </w:r>
      <w:r w:rsidRPr="00B10AB0">
        <w:t>§</w:t>
      </w:r>
      <w:r>
        <w:t xml:space="preserve"> 64.601(a)(22).</w:t>
      </w:r>
    </w:p>
  </w:footnote>
  <w:footnote w:id="9">
    <w:p w:rsidR="005D5CA8" w:rsidRDefault="005D5CA8" w:rsidP="004E0305">
      <w:pPr>
        <w:pStyle w:val="FootnoteText"/>
        <w:spacing w:after="120"/>
      </w:pPr>
      <w:r w:rsidRPr="00567EB3">
        <w:rPr>
          <w:rStyle w:val="FootnoteReference"/>
        </w:rPr>
        <w:footnoteRef/>
      </w:r>
      <w:r w:rsidRPr="00187229">
        <w:t xml:space="preserve"> </w:t>
      </w:r>
      <w:r>
        <w:rPr>
          <w:rStyle w:val="FootnoteTextChar1Char1"/>
        </w:rPr>
        <w:t>47 U.S.C. § 225(b</w:t>
      </w:r>
      <w:r w:rsidRPr="00951436">
        <w:rPr>
          <w:rStyle w:val="FootnoteTextChar1Char1"/>
        </w:rPr>
        <w:t>)(1)</w:t>
      </w:r>
      <w:r w:rsidRPr="0078044E">
        <w:rPr>
          <w:rStyle w:val="FootnoteTextChar1Char1"/>
        </w:rPr>
        <w:t>;</w:t>
      </w:r>
      <w:r>
        <w:rPr>
          <w:rStyle w:val="FootnoteTextChar1Char1"/>
          <w:i/>
        </w:rPr>
        <w:t xml:space="preserve"> see </w:t>
      </w:r>
      <w:r>
        <w:rPr>
          <w:rStyle w:val="FootnoteTextChar1Char1"/>
        </w:rPr>
        <w:t xml:space="preserve">Americans with Disabilities Act of 1990, Pub. L. No. 101-336, § 401, 104 Stat. 327, 336-69 (1990). </w:t>
      </w:r>
    </w:p>
  </w:footnote>
  <w:footnote w:id="10">
    <w:p w:rsidR="006473C4" w:rsidRDefault="006473C4" w:rsidP="006473C4">
      <w:pPr>
        <w:pStyle w:val="FootnoteText"/>
        <w:spacing w:after="120"/>
      </w:pPr>
      <w:r>
        <w:rPr>
          <w:rStyle w:val="FootnoteReference"/>
        </w:rPr>
        <w:footnoteRef/>
      </w:r>
      <w:r>
        <w:t xml:space="preserve"> </w:t>
      </w:r>
      <w:r w:rsidRPr="006473C4">
        <w:t>47 U.S.C. § 225(d)(2).</w:t>
      </w:r>
    </w:p>
  </w:footnote>
  <w:footnote w:id="11">
    <w:p w:rsidR="005D5CA8" w:rsidRDefault="005D5CA8" w:rsidP="00B3682C">
      <w:pPr>
        <w:pStyle w:val="FootnoteText"/>
        <w:spacing w:after="120"/>
      </w:pPr>
      <w:r>
        <w:rPr>
          <w:rStyle w:val="FootnoteReference"/>
        </w:rPr>
        <w:footnoteRef/>
      </w:r>
      <w:r>
        <w:t xml:space="preserve"> </w:t>
      </w:r>
      <w:r w:rsidRPr="004C2055">
        <w:rPr>
          <w:i/>
        </w:rPr>
        <w:t xml:space="preserve">See </w:t>
      </w:r>
      <w:r w:rsidRPr="004C2055">
        <w:t>47 U.S.C. § 64.601.</w:t>
      </w:r>
    </w:p>
  </w:footnote>
  <w:footnote w:id="12">
    <w:p w:rsidR="005D5CA8" w:rsidRDefault="005D5CA8" w:rsidP="00C278F4">
      <w:pPr>
        <w:pStyle w:val="FootnoteText"/>
        <w:spacing w:after="120"/>
      </w:pPr>
      <w:r>
        <w:rPr>
          <w:rStyle w:val="FootnoteReference"/>
        </w:rPr>
        <w:footnoteRef/>
      </w:r>
      <w:r>
        <w:t xml:space="preserve"> </w:t>
      </w:r>
      <w:r w:rsidRPr="00D66554">
        <w:t>TRS users do not pay to use the service.  To cover the costs of TRS, telecommunications carriers and Voice over Internet Protocol (VoIP) service providers collect a surcharge from a</w:t>
      </w:r>
      <w:r>
        <w:t>ll subscribers as part of the billing process</w:t>
      </w:r>
      <w:r w:rsidRPr="00D66554">
        <w:t xml:space="preserve">.  </w:t>
      </w:r>
      <w:r w:rsidRPr="00780F94">
        <w:t>47 C.F.R. § 64.604(c)(</w:t>
      </w:r>
      <w:r>
        <w:t>5</w:t>
      </w:r>
      <w:r w:rsidRPr="00780F94">
        <w:t>)</w:t>
      </w:r>
      <w:r>
        <w:t xml:space="preserve"> (establishing the method for recovering the costs of TRS from subscribers of interstate and intrastate telecommunications (e.g., mobile telephone, operator services, voice telephone services, toll free number services, international, etc.) and VoIP services and contributions to the TRS Fund).  </w:t>
      </w:r>
      <w:r w:rsidRPr="00D66554">
        <w:t xml:space="preserve"> These monies are then paid into the TRS Fund and used to reimburse eligible TRS providers for the costs of providing TRS.   </w:t>
      </w:r>
      <w:r w:rsidRPr="001E25B2">
        <w:t xml:space="preserve">47 U.S.C. § 225(d)(3).  </w:t>
      </w:r>
      <w:r>
        <w:t xml:space="preserve">  </w:t>
      </w:r>
      <w:r w:rsidRPr="00D66554">
        <w:t xml:space="preserve">Section 64.604(c)(5)(iii)(D) of the Rules requires TRS providers seeking compensation from the TRS Fund to submit true and adequate data to the TRS Fund </w:t>
      </w:r>
      <w:r w:rsidR="00431C78">
        <w:t>a</w:t>
      </w:r>
      <w:r w:rsidRPr="00D66554">
        <w:t xml:space="preserve">dministrator to, among other things, facilitate payments.   </w:t>
      </w:r>
    </w:p>
  </w:footnote>
  <w:footnote w:id="13">
    <w:p w:rsidR="005D5CA8" w:rsidRDefault="005D5CA8" w:rsidP="00B3682C">
      <w:pPr>
        <w:pStyle w:val="FootnoteText"/>
      </w:pPr>
      <w:r>
        <w:rPr>
          <w:rStyle w:val="FootnoteReference"/>
        </w:rPr>
        <w:footnoteRef/>
      </w:r>
      <w:r>
        <w:t xml:space="preserve"> </w:t>
      </w:r>
      <w:r w:rsidRPr="00DC4403">
        <w:rPr>
          <w:i/>
        </w:rPr>
        <w:t>Telecommunications Relay Services and Speech-to-Speech Services for Individuals with Hearing and Speech Disabilities</w:t>
      </w:r>
      <w:r w:rsidRPr="007F1D42">
        <w:t>, Report and Order and Further Notice of Proposed Rulemaking, 23 FCC Rcd 11591 (2008) (</w:t>
      </w:r>
      <w:r w:rsidRPr="00DC4403">
        <w:rPr>
          <w:i/>
        </w:rPr>
        <w:t>Internet-Based TRS Order</w:t>
      </w:r>
      <w:r w:rsidRPr="007F1D42">
        <w:t xml:space="preserve">); </w:t>
      </w:r>
      <w:r w:rsidRPr="00DC4403">
        <w:rPr>
          <w:i/>
        </w:rPr>
        <w:t>Telecommunications Relay Services and Speech-to-Speech Services for Individuals with Hearing and Speech Disabilities</w:t>
      </w:r>
      <w:r w:rsidRPr="007F1D42">
        <w:t xml:space="preserve">, </w:t>
      </w:r>
      <w:r>
        <w:rPr>
          <w:i/>
        </w:rPr>
        <w:t xml:space="preserve"> </w:t>
      </w:r>
      <w:r w:rsidRPr="007F1D42">
        <w:t>Second Report and Order and Order on Reconsideration, 24 FCC Rcd 791 (2008) (</w:t>
      </w:r>
      <w:r w:rsidRPr="00DC4403">
        <w:rPr>
          <w:i/>
        </w:rPr>
        <w:t>Second Internet-Based TRS Report &amp; Order</w:t>
      </w:r>
      <w:r w:rsidRPr="007F1D42">
        <w:t>).</w:t>
      </w:r>
    </w:p>
    <w:p w:rsidR="005D5CA8" w:rsidRDefault="005D5CA8" w:rsidP="00B3682C">
      <w:pPr>
        <w:pStyle w:val="FootnoteText"/>
      </w:pPr>
    </w:p>
  </w:footnote>
  <w:footnote w:id="14">
    <w:p w:rsidR="005D5CA8" w:rsidRPr="002D3E10" w:rsidRDefault="005D5CA8" w:rsidP="0073756E">
      <w:pPr>
        <w:pStyle w:val="FootnoteText"/>
        <w:spacing w:after="120"/>
      </w:pPr>
      <w:r>
        <w:rPr>
          <w:rStyle w:val="FootnoteReference"/>
        </w:rPr>
        <w:footnoteRef/>
      </w:r>
      <w:r>
        <w:t xml:space="preserve"> </w:t>
      </w:r>
      <w:r>
        <w:rPr>
          <w:i/>
        </w:rPr>
        <w:t xml:space="preserve">Internet-based TRS Order, </w:t>
      </w:r>
      <w:r>
        <w:t>23 FCC Rcd at 11592, para. 1.</w:t>
      </w:r>
    </w:p>
  </w:footnote>
  <w:footnote w:id="15">
    <w:p w:rsidR="005D5CA8" w:rsidRPr="002D3E10" w:rsidRDefault="005D5CA8" w:rsidP="0073756E">
      <w:pPr>
        <w:pStyle w:val="FootnoteText"/>
        <w:spacing w:after="120"/>
      </w:pPr>
      <w:r>
        <w:rPr>
          <w:rStyle w:val="FootnoteReference"/>
        </w:rPr>
        <w:footnoteRef/>
      </w:r>
      <w:r>
        <w:t xml:space="preserve"> </w:t>
      </w:r>
      <w:r>
        <w:rPr>
          <w:i/>
        </w:rPr>
        <w:t xml:space="preserve">Second Internet-based TRS Order, </w:t>
      </w:r>
      <w:r>
        <w:t>24 FCC Rcd at 809-810, para. 38 (noting that the ten-digit numbering systems eliminates the anonymity previously associated with using the service).</w:t>
      </w:r>
    </w:p>
  </w:footnote>
  <w:footnote w:id="16">
    <w:p w:rsidR="005D5CA8" w:rsidRPr="002D3E10" w:rsidRDefault="005D5CA8" w:rsidP="0073756E">
      <w:pPr>
        <w:pStyle w:val="FootnoteText"/>
        <w:spacing w:after="120"/>
      </w:pPr>
      <w:r>
        <w:rPr>
          <w:rStyle w:val="FootnoteReference"/>
        </w:rPr>
        <w:footnoteRef/>
      </w:r>
      <w:r>
        <w:t xml:space="preserve"> </w:t>
      </w:r>
      <w:r>
        <w:rPr>
          <w:i/>
        </w:rPr>
        <w:t xml:space="preserve">Second Internet-based TRS Order, </w:t>
      </w:r>
      <w:r>
        <w:t xml:space="preserve">24 FCC Rcd 801-802, para. 21.  </w:t>
      </w:r>
      <w:r w:rsidRPr="001E651E">
        <w:rPr>
          <w:rFonts w:eastAsia="Batang"/>
        </w:rPr>
        <w:t>With respect to existing users,</w:t>
      </w:r>
      <w:r>
        <w:rPr>
          <w:rFonts w:eastAsia="Batang"/>
        </w:rPr>
        <w:t xml:space="preserve"> the prohibition applied</w:t>
      </w:r>
      <w:r w:rsidRPr="001E651E">
        <w:rPr>
          <w:rFonts w:eastAsia="Batang"/>
        </w:rPr>
        <w:t xml:space="preserve"> </w:t>
      </w:r>
      <w:r>
        <w:rPr>
          <w:rFonts w:eastAsia="Batang"/>
        </w:rPr>
        <w:t>after November 12, 2009</w:t>
      </w:r>
      <w:r w:rsidRPr="001E651E">
        <w:rPr>
          <w:rFonts w:eastAsia="Batang"/>
        </w:rPr>
        <w:t>.</w:t>
      </w:r>
      <w:r w:rsidRPr="00B3682C">
        <w:rPr>
          <w:i/>
        </w:rPr>
        <w:t xml:space="preserve"> </w:t>
      </w:r>
      <w:r>
        <w:rPr>
          <w:i/>
        </w:rPr>
        <w:t xml:space="preserve"> </w:t>
      </w:r>
      <w:r w:rsidRPr="00DC4403">
        <w:rPr>
          <w:i/>
        </w:rPr>
        <w:t>Telecommunications Relay Services and Speech-to-Speech Services for Individuals with Hearing and Speech Disabilities</w:t>
      </w:r>
      <w:r w:rsidRPr="003204DD">
        <w:t>,</w:t>
      </w:r>
      <w:r>
        <w:t xml:space="preserve"> Order, 24 FCC Rcd 8000 (2009) (extending the initial deadline from June 30, 2009 to November 12, 2009).</w:t>
      </w:r>
    </w:p>
  </w:footnote>
  <w:footnote w:id="17">
    <w:p w:rsidR="005D5CA8" w:rsidRPr="00DC4403" w:rsidRDefault="005D5CA8" w:rsidP="0073756E">
      <w:pPr>
        <w:pStyle w:val="FootnoteText"/>
        <w:spacing w:after="120"/>
        <w:rPr>
          <w:i/>
        </w:rPr>
      </w:pPr>
      <w:r>
        <w:rPr>
          <w:rStyle w:val="FootnoteReference"/>
        </w:rPr>
        <w:footnoteRef/>
      </w:r>
      <w:r>
        <w:t xml:space="preserve"> </w:t>
      </w:r>
      <w:r w:rsidRPr="00DC4403">
        <w:rPr>
          <w:i/>
        </w:rPr>
        <w:t>Second Internet-based TRS Order</w:t>
      </w:r>
      <w:r w:rsidRPr="007C32EE">
        <w:t>, 24 FCC Rcd at 809, para. 3</w:t>
      </w:r>
      <w:r>
        <w:t>7 (</w:t>
      </w:r>
      <w:r>
        <w:rPr>
          <w:rFonts w:eastAsia="Batang"/>
        </w:rPr>
        <w:t>effective May 28, 2010)</w:t>
      </w:r>
      <w:r>
        <w:t>.  The Commission recently prohibited Internet-based TRS providers from handling calls made by new users prior to taking reasonable measures to verify users</w:t>
      </w:r>
      <w:r w:rsidR="00B534D7">
        <w:t>’</w:t>
      </w:r>
      <w:r>
        <w:t xml:space="preserve"> registration information, i.e., eliminating the “guest-user” policy.  </w:t>
      </w:r>
      <w:r>
        <w:rPr>
          <w:i/>
        </w:rPr>
        <w:t>See Misuse of Internet Protocol (IP) Relay Service</w:t>
      </w:r>
      <w:r>
        <w:t>, First Report and Order, 27 FCC Rcd 7866 (2012).</w:t>
      </w:r>
    </w:p>
  </w:footnote>
  <w:footnote w:id="18">
    <w:p w:rsidR="005D5CA8" w:rsidRPr="002D3E10" w:rsidRDefault="005D5CA8" w:rsidP="0073756E">
      <w:pPr>
        <w:pStyle w:val="FootnoteText"/>
        <w:spacing w:after="120"/>
      </w:pPr>
      <w:r>
        <w:rPr>
          <w:rStyle w:val="FootnoteReference"/>
        </w:rPr>
        <w:footnoteRef/>
      </w:r>
      <w:r>
        <w:t xml:space="preserve"> </w:t>
      </w:r>
      <w:r>
        <w:rPr>
          <w:i/>
        </w:rPr>
        <w:t xml:space="preserve">Structure and Practices of the Video Relay Service Program, </w:t>
      </w:r>
      <w:r>
        <w:t>Declaratory Ruling, 25 FCC Rcd 1868 (2010).</w:t>
      </w:r>
    </w:p>
  </w:footnote>
  <w:footnote w:id="19">
    <w:p w:rsidR="005D5CA8" w:rsidRPr="006D4900" w:rsidRDefault="005D5CA8" w:rsidP="0073756E">
      <w:pPr>
        <w:pStyle w:val="FootnoteText"/>
        <w:spacing w:after="120"/>
      </w:pPr>
      <w:r>
        <w:rPr>
          <w:rStyle w:val="FootnoteReference"/>
        </w:rPr>
        <w:footnoteRef/>
      </w:r>
      <w:r>
        <w:t xml:space="preserve"> </w:t>
      </w:r>
      <w:r>
        <w:rPr>
          <w:i/>
        </w:rPr>
        <w:t>See</w:t>
      </w:r>
      <w:r>
        <w:t xml:space="preserve"> Letter from Richard A. Hindman, Chief, TCD, FCC Enforcement Bureau, to Celia Nogales, Assistant Vice President, AT&amp;T Services, Inc. (Mar. 11, 2011) (on file in </w:t>
      </w:r>
      <w:r w:rsidRPr="00FC5D1E">
        <w:t>EB-TCD-12-00000337</w:t>
      </w:r>
      <w:r>
        <w:t>).</w:t>
      </w:r>
    </w:p>
  </w:footnote>
  <w:footnote w:id="20">
    <w:p w:rsidR="005D5CA8" w:rsidRPr="00FC5D1E" w:rsidRDefault="005D5CA8" w:rsidP="00FC5D1E">
      <w:pPr>
        <w:pStyle w:val="FootnoteText"/>
        <w:spacing w:after="120"/>
      </w:pPr>
      <w:r>
        <w:rPr>
          <w:rStyle w:val="FootnoteReference"/>
        </w:rPr>
        <w:footnoteRef/>
      </w:r>
      <w:r>
        <w:t xml:space="preserve"> </w:t>
      </w:r>
      <w:r>
        <w:rPr>
          <w:i/>
        </w:rPr>
        <w:t xml:space="preserve">See </w:t>
      </w:r>
      <w:r>
        <w:t xml:space="preserve">Letter from Richard A. Hindman, Chief, TCD, FCC Enforcement Bureau, to Jackie Flemming, Assistant Vice President, External Affairs Regulatory, AT&amp;T Services, Inc. (Jan. 23, 2012) (on file in </w:t>
      </w:r>
      <w:r w:rsidRPr="00FC5D1E">
        <w:t>EB-TCD-12-00000337</w:t>
      </w:r>
      <w:r>
        <w:t>).</w:t>
      </w:r>
    </w:p>
  </w:footnote>
  <w:footnote w:id="21">
    <w:p w:rsidR="005D5CA8" w:rsidRPr="00FC5D1E" w:rsidRDefault="005D5CA8">
      <w:pPr>
        <w:pStyle w:val="FootnoteText"/>
      </w:pPr>
      <w:r>
        <w:rPr>
          <w:rStyle w:val="FootnoteReference"/>
        </w:rPr>
        <w:footnoteRef/>
      </w:r>
      <w:r>
        <w:t xml:space="preserve"> </w:t>
      </w:r>
      <w:r>
        <w:rPr>
          <w:i/>
        </w:rPr>
        <w:t>See</w:t>
      </w:r>
      <w:r>
        <w:t xml:space="preserve"> Subpoena from Richard A. Hindman, Chief, TCD, FCC Enforcement Bureau, to Jackie Flemming, Assistant Vice President, External Affairs Regulatory, AT&amp;T Services, Inc. (Jan. 23, 2012) (on file in </w:t>
      </w:r>
      <w:r w:rsidRPr="00FC5D1E">
        <w:t>EB-TCD-12-00000337</w:t>
      </w:r>
      <w:r>
        <w:t>).</w:t>
      </w:r>
    </w:p>
  </w:footnote>
  <w:footnote w:id="22">
    <w:p w:rsidR="008A4FA1" w:rsidRDefault="008A4FA1">
      <w:pPr>
        <w:pStyle w:val="FootnoteText"/>
      </w:pPr>
      <w:r>
        <w:rPr>
          <w:rStyle w:val="FootnoteReference"/>
        </w:rPr>
        <w:footnoteRef/>
      </w:r>
      <w:r>
        <w:t xml:space="preserve"> AT&amp;T represents that it has comprehensive organizational structures, plans, and procedures in place that are intended to ensure compliance with the Communications Laws.  </w:t>
      </w:r>
      <w:r w:rsidRPr="008A4FA1">
        <w:rPr>
          <w:i/>
        </w:rPr>
        <w:t>See, e.g., AT&amp;</w:t>
      </w:r>
      <w:r>
        <w:rPr>
          <w:i/>
        </w:rPr>
        <w:t>T, Inc.,</w:t>
      </w:r>
      <w:r>
        <w:t xml:space="preserve"> Order, </w:t>
      </w:r>
      <w:r w:rsidR="00DC6070">
        <w:t xml:space="preserve">27 FCC Rcd 13492, 13496-501, para. 10-16 (Enf. Bur. 2012) (re: 47 U.S.C. §§ 201(b), 202(a); truth-in-billing); </w:t>
      </w:r>
      <w:r w:rsidR="00DC6070" w:rsidRPr="00DC6070">
        <w:rPr>
          <w:i/>
        </w:rPr>
        <w:t>AT&amp;T, Inc.</w:t>
      </w:r>
      <w:r w:rsidR="00DC6070">
        <w:t xml:space="preserve">, Order, </w:t>
      </w:r>
      <w:r>
        <w:t>26 FCC Rcd 3332, 3336-37, para. 8 (Enf. Bur. 2011)</w:t>
      </w:r>
      <w:r w:rsidR="00DC6070">
        <w:t xml:space="preserve"> (re: network outage reporting); </w:t>
      </w:r>
      <w:r w:rsidR="00DC6070" w:rsidRPr="00DC6070">
        <w:rPr>
          <w:i/>
        </w:rPr>
        <w:t>AT&amp;T, Inc.</w:t>
      </w:r>
      <w:r w:rsidR="009A23C3">
        <w:t>, 25 FCC Rcd 16196, 16201-03, para. 10</w:t>
      </w:r>
      <w:r w:rsidR="00DC6070">
        <w:t xml:space="preserve"> (re: CPNI)</w:t>
      </w:r>
      <w:r>
        <w:t>.  This Consent Decree does not require new organizational structures, plans, or</w:t>
      </w:r>
      <w:r w:rsidR="009A23C3">
        <w:t xml:space="preserve"> procedures except as necessar</w:t>
      </w:r>
      <w:r>
        <w:t xml:space="preserve">y to implement paragraphs </w:t>
      </w:r>
      <w:r w:rsidRPr="00166D16">
        <w:t>11-14</w:t>
      </w:r>
      <w:r>
        <w:t xml:space="preserve"> of this Consent Decree.  </w:t>
      </w:r>
    </w:p>
  </w:footnote>
  <w:footnote w:id="23">
    <w:p w:rsidR="005D5CA8" w:rsidRDefault="005D5CA8" w:rsidP="004E0305">
      <w:pPr>
        <w:pStyle w:val="FootnoteText"/>
        <w:spacing w:after="120"/>
      </w:pPr>
      <w:r>
        <w:rPr>
          <w:rStyle w:val="FootnoteReference"/>
        </w:rPr>
        <w:footnoteRef/>
      </w:r>
      <w:r>
        <w:t xml:space="preserve"> 47 C.F.R. § 1.16.</w:t>
      </w:r>
    </w:p>
  </w:footnote>
  <w:footnote w:id="24">
    <w:p w:rsidR="005D5CA8" w:rsidRDefault="005D5CA8" w:rsidP="004E0305">
      <w:pPr>
        <w:pStyle w:val="FootnoteText"/>
        <w:spacing w:after="120"/>
      </w:pPr>
      <w:r>
        <w:rPr>
          <w:rStyle w:val="FootnoteReference"/>
        </w:rPr>
        <w:footnoteRef/>
      </w:r>
      <w:r>
        <w:t xml:space="preserve"> Debt Collection Improvement Act of 1996, Pub. L. No. 104-134, 110 Stat. 1321, 1358 (1996).</w:t>
      </w:r>
    </w:p>
  </w:footnote>
  <w:footnote w:id="25">
    <w:p w:rsidR="005D5CA8" w:rsidRDefault="005D5CA8" w:rsidP="004E0305">
      <w:pPr>
        <w:pStyle w:val="FootnoteText"/>
        <w:spacing w:after="120"/>
      </w:pPr>
      <w:r w:rsidRPr="00E12683">
        <w:rPr>
          <w:rStyle w:val="FootnoteReference"/>
        </w:rPr>
        <w:footnoteRef/>
      </w:r>
      <w:r w:rsidRPr="00E12683">
        <w:t xml:space="preserve"> </w:t>
      </w:r>
      <w:r w:rsidRPr="00E12683">
        <w:rPr>
          <w:rFonts w:eastAsia="MS Mincho" w:cs="Arial"/>
        </w:rPr>
        <w:t xml:space="preserve">An FCC Form </w:t>
      </w:r>
      <w:r w:rsidRPr="00CD1A11">
        <w:t>159</w:t>
      </w:r>
      <w:r w:rsidRPr="00E12683">
        <w:rPr>
          <w:rFonts w:eastAsia="MS Mincho" w:cs="Arial"/>
        </w:rPr>
        <w:t> and detailed instructions for completing the form may be obtained at http://www.fcc.gov/Forms/Form159/159.pdf.</w:t>
      </w:r>
    </w:p>
  </w:footnote>
  <w:footnote w:id="26">
    <w:p w:rsidR="005D5CA8" w:rsidRDefault="005D5CA8">
      <w:pPr>
        <w:pStyle w:val="FootnoteText"/>
      </w:pPr>
      <w:r>
        <w:rPr>
          <w:rStyle w:val="FootnoteReference"/>
        </w:rPr>
        <w:footnoteRef/>
      </w:r>
      <w:r>
        <w:t xml:space="preserve"> Debt </w:t>
      </w:r>
      <w:r w:rsidRPr="00E86399">
        <w:t>Collection Improvement Act of 1996, Pub. L. No. 104-134, 110 Stat. 1321, 1358 (1996)</w:t>
      </w:r>
      <w:r>
        <w:t xml:space="preserve"> (</w:t>
      </w:r>
      <w:r w:rsidRPr="00E86399">
        <w:rPr>
          <w:i/>
        </w:rPr>
        <w:t>DCIA</w:t>
      </w:r>
      <w:r>
        <w:t>), codified in part at 31 U.S.C. §§ 3711, 3716, 3717,3720B.</w:t>
      </w:r>
    </w:p>
    <w:p w:rsidR="005D5CA8" w:rsidRDefault="005D5CA8">
      <w:pPr>
        <w:pStyle w:val="FootnoteText"/>
      </w:pPr>
    </w:p>
  </w:footnote>
  <w:footnote w:id="27">
    <w:p w:rsidR="005D5CA8" w:rsidRPr="00E86399" w:rsidRDefault="005D5CA8">
      <w:pPr>
        <w:pStyle w:val="FootnoteText"/>
      </w:pPr>
      <w:r>
        <w:rPr>
          <w:rStyle w:val="FootnoteReference"/>
        </w:rPr>
        <w:footnoteRef/>
      </w:r>
      <w:r>
        <w:t xml:space="preserve"> </w:t>
      </w:r>
      <w:r>
        <w:rPr>
          <w:i/>
        </w:rPr>
        <w:t>See</w:t>
      </w:r>
      <w:r>
        <w:t xml:space="preserve"> 31 C.F.R. Part 900, </w:t>
      </w:r>
      <w:r>
        <w:rPr>
          <w:i/>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3D" w:rsidRDefault="00C9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8" w:rsidRDefault="005D5CA8" w:rsidP="001207F5">
    <w:pPr>
      <w:pStyle w:val="Header"/>
      <w:pBdr>
        <w:bottom w:val="single" w:sz="12" w:space="1" w:color="auto"/>
      </w:pBdr>
      <w:tabs>
        <w:tab w:val="clear" w:pos="8640"/>
      </w:tabs>
      <w:rPr>
        <w:b/>
        <w:sz w:val="22"/>
        <w:szCs w:val="22"/>
      </w:rPr>
    </w:pPr>
    <w:r>
      <w:rPr>
        <w:b/>
        <w:sz w:val="22"/>
        <w:szCs w:val="22"/>
      </w:rPr>
      <w:tab/>
      <w:t xml:space="preserve">             Federal Communications Commission</w:t>
    </w:r>
    <w:r>
      <w:rPr>
        <w:b/>
        <w:sz w:val="22"/>
        <w:szCs w:val="22"/>
      </w:rPr>
      <w:tab/>
      <w:t xml:space="preserve"> </w:t>
    </w:r>
    <w:r>
      <w:rPr>
        <w:b/>
        <w:sz w:val="22"/>
        <w:szCs w:val="22"/>
      </w:rPr>
      <w:tab/>
    </w:r>
    <w:r>
      <w:rPr>
        <w:b/>
        <w:sz w:val="22"/>
        <w:szCs w:val="22"/>
      </w:rPr>
      <w:tab/>
      <w:t xml:space="preserve">      </w:t>
    </w:r>
    <w:r>
      <w:rPr>
        <w:b/>
        <w:spacing w:val="-2"/>
        <w:sz w:val="22"/>
        <w:szCs w:val="22"/>
      </w:rPr>
      <w:t>DA 13-594</w:t>
    </w:r>
  </w:p>
  <w:p w:rsidR="005D5CA8" w:rsidRDefault="005D5CA8" w:rsidP="001207F5">
    <w:pPr>
      <w:pStyle w:val="Header"/>
    </w:pPr>
  </w:p>
  <w:p w:rsidR="005D5CA8" w:rsidRDefault="005D5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A8" w:rsidRDefault="005D5CA8" w:rsidP="00102AA8">
    <w:pPr>
      <w:pStyle w:val="Header"/>
      <w:pBdr>
        <w:bottom w:val="single" w:sz="12" w:space="0" w:color="auto"/>
      </w:pBdr>
      <w:tabs>
        <w:tab w:val="clear" w:pos="8640"/>
      </w:tabs>
      <w:rPr>
        <w:b/>
        <w:sz w:val="22"/>
        <w:szCs w:val="22"/>
      </w:rPr>
    </w:pPr>
    <w:r>
      <w:rPr>
        <w:b/>
        <w:sz w:val="22"/>
        <w:szCs w:val="22"/>
      </w:rPr>
      <w:tab/>
      <w:t xml:space="preserve">             Federal Communications Commission</w:t>
    </w:r>
    <w:r>
      <w:rPr>
        <w:b/>
        <w:sz w:val="22"/>
        <w:szCs w:val="22"/>
      </w:rPr>
      <w:tab/>
      <w:t xml:space="preserve"> </w:t>
    </w:r>
    <w:r>
      <w:rPr>
        <w:b/>
        <w:sz w:val="22"/>
        <w:szCs w:val="22"/>
      </w:rPr>
      <w:tab/>
    </w:r>
    <w:r>
      <w:rPr>
        <w:b/>
        <w:sz w:val="22"/>
        <w:szCs w:val="22"/>
      </w:rPr>
      <w:tab/>
      <w:t xml:space="preserve">     </w:t>
    </w:r>
    <w:r>
      <w:rPr>
        <w:b/>
        <w:spacing w:val="-2"/>
        <w:sz w:val="22"/>
        <w:szCs w:val="22"/>
      </w:rPr>
      <w:t>DA 13-594</w:t>
    </w:r>
  </w:p>
  <w:p w:rsidR="005D5CA8" w:rsidRDefault="005D5CA8" w:rsidP="0012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E38"/>
    <w:multiLevelType w:val="hybridMultilevel"/>
    <w:tmpl w:val="0BB447B2"/>
    <w:lvl w:ilvl="0" w:tplc="0EE852DE">
      <w:start w:val="10"/>
      <w:numFmt w:val="decimal"/>
      <w:lvlText w:val="%1."/>
      <w:lvlJc w:val="left"/>
      <w:pPr>
        <w:tabs>
          <w:tab w:val="num" w:pos="4176"/>
        </w:tabs>
        <w:ind w:left="4176" w:hanging="360"/>
      </w:pPr>
      <w:rPr>
        <w:rFonts w:cs="Times New Roman" w:hint="default"/>
        <w:u w:val="none"/>
      </w:rPr>
    </w:lvl>
    <w:lvl w:ilvl="1" w:tplc="04090019">
      <w:start w:val="1"/>
      <w:numFmt w:val="lowerLetter"/>
      <w:lvlText w:val="%2."/>
      <w:lvlJc w:val="left"/>
      <w:pPr>
        <w:tabs>
          <w:tab w:val="num" w:pos="4896"/>
        </w:tabs>
        <w:ind w:left="4896" w:hanging="360"/>
      </w:pPr>
      <w:rPr>
        <w:rFonts w:cs="Times New Roman"/>
      </w:rPr>
    </w:lvl>
    <w:lvl w:ilvl="2" w:tplc="0409001B" w:tentative="1">
      <w:start w:val="1"/>
      <w:numFmt w:val="lowerRoman"/>
      <w:lvlText w:val="%3."/>
      <w:lvlJc w:val="right"/>
      <w:pPr>
        <w:tabs>
          <w:tab w:val="num" w:pos="5616"/>
        </w:tabs>
        <w:ind w:left="5616" w:hanging="180"/>
      </w:pPr>
      <w:rPr>
        <w:rFonts w:cs="Times New Roman"/>
      </w:rPr>
    </w:lvl>
    <w:lvl w:ilvl="3" w:tplc="0409000F" w:tentative="1">
      <w:start w:val="1"/>
      <w:numFmt w:val="decimal"/>
      <w:lvlText w:val="%4."/>
      <w:lvlJc w:val="left"/>
      <w:pPr>
        <w:tabs>
          <w:tab w:val="num" w:pos="6336"/>
        </w:tabs>
        <w:ind w:left="6336" w:hanging="360"/>
      </w:pPr>
      <w:rPr>
        <w:rFonts w:cs="Times New Roman"/>
      </w:rPr>
    </w:lvl>
    <w:lvl w:ilvl="4" w:tplc="04090019" w:tentative="1">
      <w:start w:val="1"/>
      <w:numFmt w:val="lowerLetter"/>
      <w:lvlText w:val="%5."/>
      <w:lvlJc w:val="left"/>
      <w:pPr>
        <w:tabs>
          <w:tab w:val="num" w:pos="7056"/>
        </w:tabs>
        <w:ind w:left="7056" w:hanging="360"/>
      </w:pPr>
      <w:rPr>
        <w:rFonts w:cs="Times New Roman"/>
      </w:rPr>
    </w:lvl>
    <w:lvl w:ilvl="5" w:tplc="0409001B" w:tentative="1">
      <w:start w:val="1"/>
      <w:numFmt w:val="lowerRoman"/>
      <w:lvlText w:val="%6."/>
      <w:lvlJc w:val="right"/>
      <w:pPr>
        <w:tabs>
          <w:tab w:val="num" w:pos="7776"/>
        </w:tabs>
        <w:ind w:left="7776" w:hanging="180"/>
      </w:pPr>
      <w:rPr>
        <w:rFonts w:cs="Times New Roman"/>
      </w:rPr>
    </w:lvl>
    <w:lvl w:ilvl="6" w:tplc="0409000F" w:tentative="1">
      <w:start w:val="1"/>
      <w:numFmt w:val="decimal"/>
      <w:lvlText w:val="%7."/>
      <w:lvlJc w:val="left"/>
      <w:pPr>
        <w:tabs>
          <w:tab w:val="num" w:pos="8496"/>
        </w:tabs>
        <w:ind w:left="8496" w:hanging="360"/>
      </w:pPr>
      <w:rPr>
        <w:rFonts w:cs="Times New Roman"/>
      </w:rPr>
    </w:lvl>
    <w:lvl w:ilvl="7" w:tplc="04090019" w:tentative="1">
      <w:start w:val="1"/>
      <w:numFmt w:val="lowerLetter"/>
      <w:lvlText w:val="%8."/>
      <w:lvlJc w:val="left"/>
      <w:pPr>
        <w:tabs>
          <w:tab w:val="num" w:pos="9216"/>
        </w:tabs>
        <w:ind w:left="9216" w:hanging="360"/>
      </w:pPr>
      <w:rPr>
        <w:rFonts w:cs="Times New Roman"/>
      </w:rPr>
    </w:lvl>
    <w:lvl w:ilvl="8" w:tplc="0409001B" w:tentative="1">
      <w:start w:val="1"/>
      <w:numFmt w:val="lowerRoman"/>
      <w:lvlText w:val="%9."/>
      <w:lvlJc w:val="right"/>
      <w:pPr>
        <w:tabs>
          <w:tab w:val="num" w:pos="9936"/>
        </w:tabs>
        <w:ind w:left="9936" w:hanging="180"/>
      </w:pPr>
      <w:rPr>
        <w:rFonts w:cs="Times New Roman"/>
      </w:rPr>
    </w:lvl>
  </w:abstractNum>
  <w:abstractNum w:abstractNumId="1">
    <w:nsid w:val="0E6E43EA"/>
    <w:multiLevelType w:val="hybridMultilevel"/>
    <w:tmpl w:val="27BEEE74"/>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430"/>
        </w:tabs>
        <w:ind w:left="243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4D5C795F"/>
    <w:multiLevelType w:val="hybridMultilevel"/>
    <w:tmpl w:val="A028D04C"/>
    <w:lvl w:ilvl="0" w:tplc="DA94031C">
      <w:start w:val="1"/>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0"/>
  </w:num>
  <w:num w:numId="2">
    <w:abstractNumId w:val="9"/>
  </w:num>
  <w:num w:numId="3">
    <w:abstractNumId w:val="2"/>
  </w:num>
  <w:num w:numId="4">
    <w:abstractNumId w:val="1"/>
  </w:num>
  <w:num w:numId="5">
    <w:abstractNumId w:val="4"/>
  </w:num>
  <w:num w:numId="6">
    <w:abstractNumId w:val="3"/>
  </w:num>
  <w:num w:numId="7">
    <w:abstractNumId w:val="0"/>
  </w:num>
  <w:num w:numId="8">
    <w:abstractNumId w:val="8"/>
  </w:num>
  <w:num w:numId="9">
    <w:abstractNumId w:val="6"/>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7"/>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B3"/>
    <w:rsid w:val="00001350"/>
    <w:rsid w:val="0000678C"/>
    <w:rsid w:val="00010226"/>
    <w:rsid w:val="00011093"/>
    <w:rsid w:val="00016846"/>
    <w:rsid w:val="00020A52"/>
    <w:rsid w:val="0002143B"/>
    <w:rsid w:val="00022D2B"/>
    <w:rsid w:val="00023F32"/>
    <w:rsid w:val="0003243D"/>
    <w:rsid w:val="00032C15"/>
    <w:rsid w:val="000406D7"/>
    <w:rsid w:val="00044050"/>
    <w:rsid w:val="00045526"/>
    <w:rsid w:val="00045743"/>
    <w:rsid w:val="00047DA3"/>
    <w:rsid w:val="00051E81"/>
    <w:rsid w:val="00052363"/>
    <w:rsid w:val="00060F18"/>
    <w:rsid w:val="00075F75"/>
    <w:rsid w:val="00081EC9"/>
    <w:rsid w:val="00084E0D"/>
    <w:rsid w:val="000865DC"/>
    <w:rsid w:val="00090DD8"/>
    <w:rsid w:val="00095F7B"/>
    <w:rsid w:val="000A477F"/>
    <w:rsid w:val="000A4E10"/>
    <w:rsid w:val="000A50B4"/>
    <w:rsid w:val="000A5B0F"/>
    <w:rsid w:val="000A5F11"/>
    <w:rsid w:val="000A6824"/>
    <w:rsid w:val="000B4C3F"/>
    <w:rsid w:val="000B4E67"/>
    <w:rsid w:val="000B6851"/>
    <w:rsid w:val="000C07AE"/>
    <w:rsid w:val="000C3722"/>
    <w:rsid w:val="000D1325"/>
    <w:rsid w:val="000D5AE3"/>
    <w:rsid w:val="000E7726"/>
    <w:rsid w:val="00102256"/>
    <w:rsid w:val="00102AA8"/>
    <w:rsid w:val="00104168"/>
    <w:rsid w:val="00104417"/>
    <w:rsid w:val="00106277"/>
    <w:rsid w:val="00107902"/>
    <w:rsid w:val="001140B9"/>
    <w:rsid w:val="0011567C"/>
    <w:rsid w:val="0011629C"/>
    <w:rsid w:val="00116BF7"/>
    <w:rsid w:val="001207F5"/>
    <w:rsid w:val="00123D76"/>
    <w:rsid w:val="00124942"/>
    <w:rsid w:val="00131B02"/>
    <w:rsid w:val="001371CA"/>
    <w:rsid w:val="0013781F"/>
    <w:rsid w:val="001503DA"/>
    <w:rsid w:val="0015717F"/>
    <w:rsid w:val="001628E0"/>
    <w:rsid w:val="00163B72"/>
    <w:rsid w:val="00166D16"/>
    <w:rsid w:val="00170E34"/>
    <w:rsid w:val="00171C20"/>
    <w:rsid w:val="00171C7B"/>
    <w:rsid w:val="00175741"/>
    <w:rsid w:val="001776FD"/>
    <w:rsid w:val="00180AE8"/>
    <w:rsid w:val="001859F0"/>
    <w:rsid w:val="00186CAA"/>
    <w:rsid w:val="00187229"/>
    <w:rsid w:val="00187BE9"/>
    <w:rsid w:val="001930EE"/>
    <w:rsid w:val="00193AB7"/>
    <w:rsid w:val="00195092"/>
    <w:rsid w:val="001A1584"/>
    <w:rsid w:val="001A1769"/>
    <w:rsid w:val="001A2C8C"/>
    <w:rsid w:val="001A3897"/>
    <w:rsid w:val="001A790D"/>
    <w:rsid w:val="001B5599"/>
    <w:rsid w:val="001C09BD"/>
    <w:rsid w:val="001C2705"/>
    <w:rsid w:val="001C6274"/>
    <w:rsid w:val="001C73CF"/>
    <w:rsid w:val="001D1310"/>
    <w:rsid w:val="001D54FA"/>
    <w:rsid w:val="001D73F2"/>
    <w:rsid w:val="001E00DF"/>
    <w:rsid w:val="001E32A7"/>
    <w:rsid w:val="001E47AF"/>
    <w:rsid w:val="001E5029"/>
    <w:rsid w:val="001E651E"/>
    <w:rsid w:val="001F309B"/>
    <w:rsid w:val="001F71CC"/>
    <w:rsid w:val="001F72C4"/>
    <w:rsid w:val="001F77C4"/>
    <w:rsid w:val="00213372"/>
    <w:rsid w:val="00213D95"/>
    <w:rsid w:val="002142EF"/>
    <w:rsid w:val="002159D8"/>
    <w:rsid w:val="00225BF4"/>
    <w:rsid w:val="002305BE"/>
    <w:rsid w:val="0023371B"/>
    <w:rsid w:val="00244D4C"/>
    <w:rsid w:val="00245A6F"/>
    <w:rsid w:val="00247DA3"/>
    <w:rsid w:val="00251208"/>
    <w:rsid w:val="00261AEA"/>
    <w:rsid w:val="0026505B"/>
    <w:rsid w:val="00266BF6"/>
    <w:rsid w:val="00272407"/>
    <w:rsid w:val="00282B94"/>
    <w:rsid w:val="002875E5"/>
    <w:rsid w:val="002915DB"/>
    <w:rsid w:val="00292BEE"/>
    <w:rsid w:val="0029715D"/>
    <w:rsid w:val="002A238A"/>
    <w:rsid w:val="002A267D"/>
    <w:rsid w:val="002A26D3"/>
    <w:rsid w:val="002A2B46"/>
    <w:rsid w:val="002A6B8C"/>
    <w:rsid w:val="002A7D51"/>
    <w:rsid w:val="002B684E"/>
    <w:rsid w:val="002C327E"/>
    <w:rsid w:val="002D0B97"/>
    <w:rsid w:val="002D1A37"/>
    <w:rsid w:val="002D24F8"/>
    <w:rsid w:val="002D3648"/>
    <w:rsid w:val="002D3B00"/>
    <w:rsid w:val="002D3E10"/>
    <w:rsid w:val="002D4205"/>
    <w:rsid w:val="002D51B9"/>
    <w:rsid w:val="002D553E"/>
    <w:rsid w:val="002D663E"/>
    <w:rsid w:val="002E268E"/>
    <w:rsid w:val="002E39C1"/>
    <w:rsid w:val="002E49E9"/>
    <w:rsid w:val="002E6555"/>
    <w:rsid w:val="002F064D"/>
    <w:rsid w:val="002F131C"/>
    <w:rsid w:val="002F3CB9"/>
    <w:rsid w:val="002F4684"/>
    <w:rsid w:val="00306A73"/>
    <w:rsid w:val="00310864"/>
    <w:rsid w:val="00311510"/>
    <w:rsid w:val="003125D8"/>
    <w:rsid w:val="0031424C"/>
    <w:rsid w:val="00314CD0"/>
    <w:rsid w:val="00317485"/>
    <w:rsid w:val="003200BD"/>
    <w:rsid w:val="003204DD"/>
    <w:rsid w:val="00322668"/>
    <w:rsid w:val="00323781"/>
    <w:rsid w:val="00323B1D"/>
    <w:rsid w:val="003241A2"/>
    <w:rsid w:val="0032497D"/>
    <w:rsid w:val="0032597A"/>
    <w:rsid w:val="00326581"/>
    <w:rsid w:val="0032798B"/>
    <w:rsid w:val="00332BCC"/>
    <w:rsid w:val="00333D64"/>
    <w:rsid w:val="00334901"/>
    <w:rsid w:val="003364D6"/>
    <w:rsid w:val="003416ED"/>
    <w:rsid w:val="003420AA"/>
    <w:rsid w:val="0034361A"/>
    <w:rsid w:val="00345C26"/>
    <w:rsid w:val="00351171"/>
    <w:rsid w:val="00354A7B"/>
    <w:rsid w:val="00357B72"/>
    <w:rsid w:val="00357EBE"/>
    <w:rsid w:val="00361113"/>
    <w:rsid w:val="003622A6"/>
    <w:rsid w:val="00364C20"/>
    <w:rsid w:val="00370C40"/>
    <w:rsid w:val="00371969"/>
    <w:rsid w:val="0037484C"/>
    <w:rsid w:val="0037664E"/>
    <w:rsid w:val="003824B6"/>
    <w:rsid w:val="003832CB"/>
    <w:rsid w:val="00383779"/>
    <w:rsid w:val="00385B8B"/>
    <w:rsid w:val="00390C6D"/>
    <w:rsid w:val="00393980"/>
    <w:rsid w:val="00397A65"/>
    <w:rsid w:val="003A1875"/>
    <w:rsid w:val="003A3D96"/>
    <w:rsid w:val="003A4B94"/>
    <w:rsid w:val="003A5C73"/>
    <w:rsid w:val="003B06B2"/>
    <w:rsid w:val="003B11EA"/>
    <w:rsid w:val="003B1496"/>
    <w:rsid w:val="003B4727"/>
    <w:rsid w:val="003B634D"/>
    <w:rsid w:val="003B6993"/>
    <w:rsid w:val="003C0403"/>
    <w:rsid w:val="003C1F74"/>
    <w:rsid w:val="003C5153"/>
    <w:rsid w:val="003C773B"/>
    <w:rsid w:val="003D1385"/>
    <w:rsid w:val="003D4D63"/>
    <w:rsid w:val="003D67D0"/>
    <w:rsid w:val="003E0B37"/>
    <w:rsid w:val="003E142A"/>
    <w:rsid w:val="003E55EB"/>
    <w:rsid w:val="003F2474"/>
    <w:rsid w:val="003F7D64"/>
    <w:rsid w:val="00411C1B"/>
    <w:rsid w:val="00414946"/>
    <w:rsid w:val="00416615"/>
    <w:rsid w:val="00422A27"/>
    <w:rsid w:val="00424D86"/>
    <w:rsid w:val="004268E6"/>
    <w:rsid w:val="00426E32"/>
    <w:rsid w:val="00431C78"/>
    <w:rsid w:val="00432602"/>
    <w:rsid w:val="0043328A"/>
    <w:rsid w:val="00433C90"/>
    <w:rsid w:val="004348DD"/>
    <w:rsid w:val="00435CF0"/>
    <w:rsid w:val="00440AF4"/>
    <w:rsid w:val="00446C4A"/>
    <w:rsid w:val="00447C4E"/>
    <w:rsid w:val="00447EA0"/>
    <w:rsid w:val="00450242"/>
    <w:rsid w:val="00454897"/>
    <w:rsid w:val="004663BF"/>
    <w:rsid w:val="0046662B"/>
    <w:rsid w:val="00471780"/>
    <w:rsid w:val="0047320D"/>
    <w:rsid w:val="0047774E"/>
    <w:rsid w:val="00482FDF"/>
    <w:rsid w:val="00483673"/>
    <w:rsid w:val="004840B6"/>
    <w:rsid w:val="00484AE6"/>
    <w:rsid w:val="004925A1"/>
    <w:rsid w:val="00494450"/>
    <w:rsid w:val="00495C5B"/>
    <w:rsid w:val="00495F23"/>
    <w:rsid w:val="00496EB2"/>
    <w:rsid w:val="004A0976"/>
    <w:rsid w:val="004A71D1"/>
    <w:rsid w:val="004A793A"/>
    <w:rsid w:val="004B7AC5"/>
    <w:rsid w:val="004C0D4D"/>
    <w:rsid w:val="004C5FF9"/>
    <w:rsid w:val="004C731A"/>
    <w:rsid w:val="004C786B"/>
    <w:rsid w:val="004D1E84"/>
    <w:rsid w:val="004D1E94"/>
    <w:rsid w:val="004E0305"/>
    <w:rsid w:val="004E34AB"/>
    <w:rsid w:val="004E3B73"/>
    <w:rsid w:val="004F027A"/>
    <w:rsid w:val="004F6E24"/>
    <w:rsid w:val="004F7BD5"/>
    <w:rsid w:val="00500A2C"/>
    <w:rsid w:val="00502940"/>
    <w:rsid w:val="00505D65"/>
    <w:rsid w:val="00507B6C"/>
    <w:rsid w:val="00510AF1"/>
    <w:rsid w:val="005118A8"/>
    <w:rsid w:val="0051486F"/>
    <w:rsid w:val="0051587B"/>
    <w:rsid w:val="00516382"/>
    <w:rsid w:val="00516D14"/>
    <w:rsid w:val="00520690"/>
    <w:rsid w:val="00524BDB"/>
    <w:rsid w:val="00526E31"/>
    <w:rsid w:val="005302DB"/>
    <w:rsid w:val="00534840"/>
    <w:rsid w:val="00535874"/>
    <w:rsid w:val="00535A48"/>
    <w:rsid w:val="005365A6"/>
    <w:rsid w:val="0054080B"/>
    <w:rsid w:val="00544CD7"/>
    <w:rsid w:val="0055323B"/>
    <w:rsid w:val="005618C7"/>
    <w:rsid w:val="00563A2F"/>
    <w:rsid w:val="00564E20"/>
    <w:rsid w:val="00567B6B"/>
    <w:rsid w:val="00567EB3"/>
    <w:rsid w:val="0057117B"/>
    <w:rsid w:val="005716AA"/>
    <w:rsid w:val="00573996"/>
    <w:rsid w:val="005830A7"/>
    <w:rsid w:val="00583473"/>
    <w:rsid w:val="0059093C"/>
    <w:rsid w:val="00590D3A"/>
    <w:rsid w:val="005A097A"/>
    <w:rsid w:val="005A7EEA"/>
    <w:rsid w:val="005B34D7"/>
    <w:rsid w:val="005B79FB"/>
    <w:rsid w:val="005C31D3"/>
    <w:rsid w:val="005D2A38"/>
    <w:rsid w:val="005D5CA8"/>
    <w:rsid w:val="005E0386"/>
    <w:rsid w:val="005E17D8"/>
    <w:rsid w:val="005E1BD2"/>
    <w:rsid w:val="005F03B3"/>
    <w:rsid w:val="005F07BA"/>
    <w:rsid w:val="005F2843"/>
    <w:rsid w:val="005F3697"/>
    <w:rsid w:val="005F36A9"/>
    <w:rsid w:val="005F75BD"/>
    <w:rsid w:val="00620B6D"/>
    <w:rsid w:val="006217F4"/>
    <w:rsid w:val="00624C17"/>
    <w:rsid w:val="006275F7"/>
    <w:rsid w:val="00630994"/>
    <w:rsid w:val="00631B67"/>
    <w:rsid w:val="00635406"/>
    <w:rsid w:val="0063575C"/>
    <w:rsid w:val="0063684F"/>
    <w:rsid w:val="0063712A"/>
    <w:rsid w:val="00642F33"/>
    <w:rsid w:val="006473C4"/>
    <w:rsid w:val="00656AC3"/>
    <w:rsid w:val="006572E1"/>
    <w:rsid w:val="00661B87"/>
    <w:rsid w:val="0066308B"/>
    <w:rsid w:val="00666F02"/>
    <w:rsid w:val="00674F8C"/>
    <w:rsid w:val="006809AF"/>
    <w:rsid w:val="00683AC7"/>
    <w:rsid w:val="006867A7"/>
    <w:rsid w:val="006928EC"/>
    <w:rsid w:val="00692BC0"/>
    <w:rsid w:val="00692E0C"/>
    <w:rsid w:val="006957C1"/>
    <w:rsid w:val="00697019"/>
    <w:rsid w:val="006A24A4"/>
    <w:rsid w:val="006A34B9"/>
    <w:rsid w:val="006A4038"/>
    <w:rsid w:val="006B5E4A"/>
    <w:rsid w:val="006C5E0C"/>
    <w:rsid w:val="006C6333"/>
    <w:rsid w:val="006D1230"/>
    <w:rsid w:val="006D31B1"/>
    <w:rsid w:val="006D409D"/>
    <w:rsid w:val="006D4900"/>
    <w:rsid w:val="006D751B"/>
    <w:rsid w:val="006D7586"/>
    <w:rsid w:val="006E4CEF"/>
    <w:rsid w:val="006E55C5"/>
    <w:rsid w:val="006F11EF"/>
    <w:rsid w:val="006F258D"/>
    <w:rsid w:val="006F7014"/>
    <w:rsid w:val="00700758"/>
    <w:rsid w:val="007009F6"/>
    <w:rsid w:val="00702B1E"/>
    <w:rsid w:val="00702FB8"/>
    <w:rsid w:val="0070388C"/>
    <w:rsid w:val="00704BC3"/>
    <w:rsid w:val="007070CB"/>
    <w:rsid w:val="00712411"/>
    <w:rsid w:val="007173AC"/>
    <w:rsid w:val="00717FB6"/>
    <w:rsid w:val="00727971"/>
    <w:rsid w:val="007326EC"/>
    <w:rsid w:val="00732EBD"/>
    <w:rsid w:val="007366CF"/>
    <w:rsid w:val="0073756E"/>
    <w:rsid w:val="007409C8"/>
    <w:rsid w:val="00746F8A"/>
    <w:rsid w:val="00750F69"/>
    <w:rsid w:val="007533CA"/>
    <w:rsid w:val="00754E4D"/>
    <w:rsid w:val="0075723D"/>
    <w:rsid w:val="007607EE"/>
    <w:rsid w:val="007630C7"/>
    <w:rsid w:val="00767770"/>
    <w:rsid w:val="00777D46"/>
    <w:rsid w:val="0078044E"/>
    <w:rsid w:val="00781C90"/>
    <w:rsid w:val="00782DC0"/>
    <w:rsid w:val="007847AC"/>
    <w:rsid w:val="0078556C"/>
    <w:rsid w:val="007876FB"/>
    <w:rsid w:val="00791128"/>
    <w:rsid w:val="007A7CB5"/>
    <w:rsid w:val="007B062C"/>
    <w:rsid w:val="007B165E"/>
    <w:rsid w:val="007B17A9"/>
    <w:rsid w:val="007B62D0"/>
    <w:rsid w:val="007C0304"/>
    <w:rsid w:val="007C183D"/>
    <w:rsid w:val="007C1C88"/>
    <w:rsid w:val="007C32EE"/>
    <w:rsid w:val="007C6CBA"/>
    <w:rsid w:val="007D1AA9"/>
    <w:rsid w:val="007D1D30"/>
    <w:rsid w:val="007D2BDF"/>
    <w:rsid w:val="007D4238"/>
    <w:rsid w:val="007D43F9"/>
    <w:rsid w:val="007D4FCE"/>
    <w:rsid w:val="007E13EC"/>
    <w:rsid w:val="007E223B"/>
    <w:rsid w:val="007E2D16"/>
    <w:rsid w:val="007E4838"/>
    <w:rsid w:val="007E4F8E"/>
    <w:rsid w:val="007F15B8"/>
    <w:rsid w:val="007F1D42"/>
    <w:rsid w:val="007F2956"/>
    <w:rsid w:val="007F5201"/>
    <w:rsid w:val="00801434"/>
    <w:rsid w:val="00803C4B"/>
    <w:rsid w:val="00810F37"/>
    <w:rsid w:val="008223A1"/>
    <w:rsid w:val="008228B7"/>
    <w:rsid w:val="0083481C"/>
    <w:rsid w:val="008351D6"/>
    <w:rsid w:val="00836414"/>
    <w:rsid w:val="00840B11"/>
    <w:rsid w:val="00840DCA"/>
    <w:rsid w:val="00841B5F"/>
    <w:rsid w:val="008434B3"/>
    <w:rsid w:val="00845E95"/>
    <w:rsid w:val="008472A7"/>
    <w:rsid w:val="008525D3"/>
    <w:rsid w:val="00856664"/>
    <w:rsid w:val="00862603"/>
    <w:rsid w:val="00863145"/>
    <w:rsid w:val="008637DE"/>
    <w:rsid w:val="008639CC"/>
    <w:rsid w:val="008645A4"/>
    <w:rsid w:val="0086595A"/>
    <w:rsid w:val="00871923"/>
    <w:rsid w:val="00877284"/>
    <w:rsid w:val="008814D6"/>
    <w:rsid w:val="00886DE9"/>
    <w:rsid w:val="008874F1"/>
    <w:rsid w:val="00887D9D"/>
    <w:rsid w:val="00894134"/>
    <w:rsid w:val="008946D6"/>
    <w:rsid w:val="0089597A"/>
    <w:rsid w:val="0089599B"/>
    <w:rsid w:val="008A3C26"/>
    <w:rsid w:val="008A4FA1"/>
    <w:rsid w:val="008A6D23"/>
    <w:rsid w:val="008B3878"/>
    <w:rsid w:val="008B4974"/>
    <w:rsid w:val="008B7BAC"/>
    <w:rsid w:val="008C044E"/>
    <w:rsid w:val="008C09FC"/>
    <w:rsid w:val="008C3B51"/>
    <w:rsid w:val="008D780A"/>
    <w:rsid w:val="008E0100"/>
    <w:rsid w:val="008E5CFC"/>
    <w:rsid w:val="008E762D"/>
    <w:rsid w:val="008E78B9"/>
    <w:rsid w:val="008E7A07"/>
    <w:rsid w:val="008F0F23"/>
    <w:rsid w:val="008F5541"/>
    <w:rsid w:val="00902BC5"/>
    <w:rsid w:val="009053CE"/>
    <w:rsid w:val="00905E76"/>
    <w:rsid w:val="00910785"/>
    <w:rsid w:val="0091127D"/>
    <w:rsid w:val="009147A2"/>
    <w:rsid w:val="00921D0C"/>
    <w:rsid w:val="00930C1A"/>
    <w:rsid w:val="00933163"/>
    <w:rsid w:val="00933A0D"/>
    <w:rsid w:val="0094030A"/>
    <w:rsid w:val="00951436"/>
    <w:rsid w:val="0096096B"/>
    <w:rsid w:val="00963731"/>
    <w:rsid w:val="00964DA9"/>
    <w:rsid w:val="00966159"/>
    <w:rsid w:val="00967DAD"/>
    <w:rsid w:val="009733A3"/>
    <w:rsid w:val="009856AF"/>
    <w:rsid w:val="00986F91"/>
    <w:rsid w:val="009915F0"/>
    <w:rsid w:val="00993D72"/>
    <w:rsid w:val="00996763"/>
    <w:rsid w:val="00996D85"/>
    <w:rsid w:val="009A23C3"/>
    <w:rsid w:val="009A24D7"/>
    <w:rsid w:val="009A38BE"/>
    <w:rsid w:val="009B074B"/>
    <w:rsid w:val="009B19B8"/>
    <w:rsid w:val="009B6762"/>
    <w:rsid w:val="009B7351"/>
    <w:rsid w:val="009C494A"/>
    <w:rsid w:val="009D11F0"/>
    <w:rsid w:val="009D3C45"/>
    <w:rsid w:val="009D4BEE"/>
    <w:rsid w:val="009D4EC6"/>
    <w:rsid w:val="009D5DB9"/>
    <w:rsid w:val="009D5F97"/>
    <w:rsid w:val="009E4114"/>
    <w:rsid w:val="009E63B4"/>
    <w:rsid w:val="009E68C8"/>
    <w:rsid w:val="009E7B83"/>
    <w:rsid w:val="009F0289"/>
    <w:rsid w:val="009F0EB9"/>
    <w:rsid w:val="009F2DC5"/>
    <w:rsid w:val="009F4084"/>
    <w:rsid w:val="009F4DF7"/>
    <w:rsid w:val="00A03EE0"/>
    <w:rsid w:val="00A1385C"/>
    <w:rsid w:val="00A15501"/>
    <w:rsid w:val="00A15E3F"/>
    <w:rsid w:val="00A161DE"/>
    <w:rsid w:val="00A20EB4"/>
    <w:rsid w:val="00A22AF6"/>
    <w:rsid w:val="00A22B06"/>
    <w:rsid w:val="00A34F0E"/>
    <w:rsid w:val="00A40158"/>
    <w:rsid w:val="00A41AB3"/>
    <w:rsid w:val="00A450E1"/>
    <w:rsid w:val="00A53406"/>
    <w:rsid w:val="00A53D50"/>
    <w:rsid w:val="00A561DC"/>
    <w:rsid w:val="00A56AE9"/>
    <w:rsid w:val="00A574C7"/>
    <w:rsid w:val="00A575AE"/>
    <w:rsid w:val="00A6772A"/>
    <w:rsid w:val="00A713A2"/>
    <w:rsid w:val="00A77185"/>
    <w:rsid w:val="00A772B5"/>
    <w:rsid w:val="00A803EE"/>
    <w:rsid w:val="00A816AD"/>
    <w:rsid w:val="00A86F2E"/>
    <w:rsid w:val="00A92EC7"/>
    <w:rsid w:val="00A97FCD"/>
    <w:rsid w:val="00AA129F"/>
    <w:rsid w:val="00AA62BC"/>
    <w:rsid w:val="00AA6DCF"/>
    <w:rsid w:val="00AB3763"/>
    <w:rsid w:val="00AB4E25"/>
    <w:rsid w:val="00AB5970"/>
    <w:rsid w:val="00AB7AA6"/>
    <w:rsid w:val="00AC6258"/>
    <w:rsid w:val="00AC6DC6"/>
    <w:rsid w:val="00AC7339"/>
    <w:rsid w:val="00AD5FEE"/>
    <w:rsid w:val="00AD68DA"/>
    <w:rsid w:val="00AE1356"/>
    <w:rsid w:val="00AE1992"/>
    <w:rsid w:val="00AE607B"/>
    <w:rsid w:val="00AE622C"/>
    <w:rsid w:val="00AE6683"/>
    <w:rsid w:val="00AE7A00"/>
    <w:rsid w:val="00AF10E2"/>
    <w:rsid w:val="00AF29A7"/>
    <w:rsid w:val="00AF59C5"/>
    <w:rsid w:val="00AF630E"/>
    <w:rsid w:val="00B0297D"/>
    <w:rsid w:val="00B06E92"/>
    <w:rsid w:val="00B119EF"/>
    <w:rsid w:val="00B149D9"/>
    <w:rsid w:val="00B1747A"/>
    <w:rsid w:val="00B202BB"/>
    <w:rsid w:val="00B205CB"/>
    <w:rsid w:val="00B224A3"/>
    <w:rsid w:val="00B23CF5"/>
    <w:rsid w:val="00B24F93"/>
    <w:rsid w:val="00B32061"/>
    <w:rsid w:val="00B328B1"/>
    <w:rsid w:val="00B33A7C"/>
    <w:rsid w:val="00B34B05"/>
    <w:rsid w:val="00B35052"/>
    <w:rsid w:val="00B3682C"/>
    <w:rsid w:val="00B44AC4"/>
    <w:rsid w:val="00B5043A"/>
    <w:rsid w:val="00B53181"/>
    <w:rsid w:val="00B534D7"/>
    <w:rsid w:val="00B54756"/>
    <w:rsid w:val="00B61C01"/>
    <w:rsid w:val="00B65164"/>
    <w:rsid w:val="00B656D5"/>
    <w:rsid w:val="00B6579F"/>
    <w:rsid w:val="00B73AD6"/>
    <w:rsid w:val="00B74675"/>
    <w:rsid w:val="00B7502B"/>
    <w:rsid w:val="00B752D4"/>
    <w:rsid w:val="00B7667F"/>
    <w:rsid w:val="00B926FE"/>
    <w:rsid w:val="00B95858"/>
    <w:rsid w:val="00BA1F0E"/>
    <w:rsid w:val="00BA47F3"/>
    <w:rsid w:val="00BA4CD0"/>
    <w:rsid w:val="00BA6FF5"/>
    <w:rsid w:val="00BA78B3"/>
    <w:rsid w:val="00BB3804"/>
    <w:rsid w:val="00BB6EFF"/>
    <w:rsid w:val="00BC31A8"/>
    <w:rsid w:val="00BC4673"/>
    <w:rsid w:val="00BC46FC"/>
    <w:rsid w:val="00BD633C"/>
    <w:rsid w:val="00BD6CC4"/>
    <w:rsid w:val="00BD7AD5"/>
    <w:rsid w:val="00BE134C"/>
    <w:rsid w:val="00BE2101"/>
    <w:rsid w:val="00BE2B45"/>
    <w:rsid w:val="00BF036E"/>
    <w:rsid w:val="00BF07FD"/>
    <w:rsid w:val="00BF0A6B"/>
    <w:rsid w:val="00BF105C"/>
    <w:rsid w:val="00BF12B3"/>
    <w:rsid w:val="00BF4F17"/>
    <w:rsid w:val="00C00521"/>
    <w:rsid w:val="00C009B1"/>
    <w:rsid w:val="00C03FE3"/>
    <w:rsid w:val="00C07F0B"/>
    <w:rsid w:val="00C13309"/>
    <w:rsid w:val="00C16FE6"/>
    <w:rsid w:val="00C2000B"/>
    <w:rsid w:val="00C2351A"/>
    <w:rsid w:val="00C23AE7"/>
    <w:rsid w:val="00C262F5"/>
    <w:rsid w:val="00C278F4"/>
    <w:rsid w:val="00C307B6"/>
    <w:rsid w:val="00C323D6"/>
    <w:rsid w:val="00C3243D"/>
    <w:rsid w:val="00C34BF9"/>
    <w:rsid w:val="00C34C02"/>
    <w:rsid w:val="00C36D21"/>
    <w:rsid w:val="00C37865"/>
    <w:rsid w:val="00C37F44"/>
    <w:rsid w:val="00C400B7"/>
    <w:rsid w:val="00C404C5"/>
    <w:rsid w:val="00C41BE7"/>
    <w:rsid w:val="00C4494C"/>
    <w:rsid w:val="00C52DA5"/>
    <w:rsid w:val="00C52F25"/>
    <w:rsid w:val="00C548B8"/>
    <w:rsid w:val="00C603B5"/>
    <w:rsid w:val="00C61A44"/>
    <w:rsid w:val="00C61B70"/>
    <w:rsid w:val="00C66178"/>
    <w:rsid w:val="00C740D1"/>
    <w:rsid w:val="00C745ED"/>
    <w:rsid w:val="00C759E5"/>
    <w:rsid w:val="00C77D6C"/>
    <w:rsid w:val="00C80135"/>
    <w:rsid w:val="00C80B60"/>
    <w:rsid w:val="00C825CA"/>
    <w:rsid w:val="00C82E0B"/>
    <w:rsid w:val="00C82F4A"/>
    <w:rsid w:val="00C83418"/>
    <w:rsid w:val="00C87821"/>
    <w:rsid w:val="00C9263D"/>
    <w:rsid w:val="00C963E3"/>
    <w:rsid w:val="00C96AFC"/>
    <w:rsid w:val="00CA4D0F"/>
    <w:rsid w:val="00CB0AF3"/>
    <w:rsid w:val="00CB0ED4"/>
    <w:rsid w:val="00CB2E0D"/>
    <w:rsid w:val="00CB3231"/>
    <w:rsid w:val="00CB4B71"/>
    <w:rsid w:val="00CB6C75"/>
    <w:rsid w:val="00CC26C7"/>
    <w:rsid w:val="00CC2998"/>
    <w:rsid w:val="00CC6818"/>
    <w:rsid w:val="00CD1A11"/>
    <w:rsid w:val="00CE2818"/>
    <w:rsid w:val="00CF120A"/>
    <w:rsid w:val="00CF7A24"/>
    <w:rsid w:val="00D010F5"/>
    <w:rsid w:val="00D01D0A"/>
    <w:rsid w:val="00D14147"/>
    <w:rsid w:val="00D17085"/>
    <w:rsid w:val="00D178CB"/>
    <w:rsid w:val="00D21B8D"/>
    <w:rsid w:val="00D22EF3"/>
    <w:rsid w:val="00D24B84"/>
    <w:rsid w:val="00D359BD"/>
    <w:rsid w:val="00D35B2F"/>
    <w:rsid w:val="00D46BB2"/>
    <w:rsid w:val="00D5399F"/>
    <w:rsid w:val="00D539FF"/>
    <w:rsid w:val="00D5513D"/>
    <w:rsid w:val="00D61925"/>
    <w:rsid w:val="00D66554"/>
    <w:rsid w:val="00D717D5"/>
    <w:rsid w:val="00D726C5"/>
    <w:rsid w:val="00D77E2C"/>
    <w:rsid w:val="00D82EAB"/>
    <w:rsid w:val="00D87866"/>
    <w:rsid w:val="00D90CB9"/>
    <w:rsid w:val="00D934D3"/>
    <w:rsid w:val="00D969BF"/>
    <w:rsid w:val="00DA12F0"/>
    <w:rsid w:val="00DA144E"/>
    <w:rsid w:val="00DA74B8"/>
    <w:rsid w:val="00DB04E8"/>
    <w:rsid w:val="00DB320E"/>
    <w:rsid w:val="00DB616A"/>
    <w:rsid w:val="00DB732A"/>
    <w:rsid w:val="00DC11C3"/>
    <w:rsid w:val="00DC4403"/>
    <w:rsid w:val="00DC6070"/>
    <w:rsid w:val="00DC65EC"/>
    <w:rsid w:val="00DD24A1"/>
    <w:rsid w:val="00DD79D8"/>
    <w:rsid w:val="00DE14D8"/>
    <w:rsid w:val="00DE2092"/>
    <w:rsid w:val="00DE3C4D"/>
    <w:rsid w:val="00DE5323"/>
    <w:rsid w:val="00DF2B11"/>
    <w:rsid w:val="00DF42C7"/>
    <w:rsid w:val="00DF53A5"/>
    <w:rsid w:val="00DF6854"/>
    <w:rsid w:val="00DF753D"/>
    <w:rsid w:val="00DF7872"/>
    <w:rsid w:val="00E114B2"/>
    <w:rsid w:val="00E12683"/>
    <w:rsid w:val="00E12FE4"/>
    <w:rsid w:val="00E13C74"/>
    <w:rsid w:val="00E21DCD"/>
    <w:rsid w:val="00E22347"/>
    <w:rsid w:val="00E254E3"/>
    <w:rsid w:val="00E26634"/>
    <w:rsid w:val="00E35EF8"/>
    <w:rsid w:val="00E402E7"/>
    <w:rsid w:val="00E421E8"/>
    <w:rsid w:val="00E5589A"/>
    <w:rsid w:val="00E600E8"/>
    <w:rsid w:val="00E60347"/>
    <w:rsid w:val="00E60E56"/>
    <w:rsid w:val="00E60FDB"/>
    <w:rsid w:val="00E619EC"/>
    <w:rsid w:val="00E65D98"/>
    <w:rsid w:val="00E66298"/>
    <w:rsid w:val="00E66D70"/>
    <w:rsid w:val="00E72E5C"/>
    <w:rsid w:val="00E74861"/>
    <w:rsid w:val="00E76D5E"/>
    <w:rsid w:val="00E77E01"/>
    <w:rsid w:val="00E8098D"/>
    <w:rsid w:val="00E86399"/>
    <w:rsid w:val="00E86E7D"/>
    <w:rsid w:val="00E873EC"/>
    <w:rsid w:val="00E9074C"/>
    <w:rsid w:val="00EA0F9D"/>
    <w:rsid w:val="00EA1657"/>
    <w:rsid w:val="00EA27FA"/>
    <w:rsid w:val="00EA3007"/>
    <w:rsid w:val="00EA45D9"/>
    <w:rsid w:val="00EA62D0"/>
    <w:rsid w:val="00EB2B5F"/>
    <w:rsid w:val="00EB62BE"/>
    <w:rsid w:val="00EC1D89"/>
    <w:rsid w:val="00EC39EA"/>
    <w:rsid w:val="00ED7D48"/>
    <w:rsid w:val="00EE12CC"/>
    <w:rsid w:val="00EE54A6"/>
    <w:rsid w:val="00EE6113"/>
    <w:rsid w:val="00EE662C"/>
    <w:rsid w:val="00EF0A0A"/>
    <w:rsid w:val="00EF3DBE"/>
    <w:rsid w:val="00EF716A"/>
    <w:rsid w:val="00F02DB5"/>
    <w:rsid w:val="00F04527"/>
    <w:rsid w:val="00F048D2"/>
    <w:rsid w:val="00F05B93"/>
    <w:rsid w:val="00F06B51"/>
    <w:rsid w:val="00F06FBB"/>
    <w:rsid w:val="00F07B21"/>
    <w:rsid w:val="00F16F03"/>
    <w:rsid w:val="00F17F8D"/>
    <w:rsid w:val="00F234AD"/>
    <w:rsid w:val="00F2622C"/>
    <w:rsid w:val="00F30F1E"/>
    <w:rsid w:val="00F31439"/>
    <w:rsid w:val="00F35160"/>
    <w:rsid w:val="00F36114"/>
    <w:rsid w:val="00F429D2"/>
    <w:rsid w:val="00F43021"/>
    <w:rsid w:val="00F436CC"/>
    <w:rsid w:val="00F44073"/>
    <w:rsid w:val="00F46B54"/>
    <w:rsid w:val="00F51D78"/>
    <w:rsid w:val="00F5598E"/>
    <w:rsid w:val="00F62319"/>
    <w:rsid w:val="00F62368"/>
    <w:rsid w:val="00F6297D"/>
    <w:rsid w:val="00F63A57"/>
    <w:rsid w:val="00F645C1"/>
    <w:rsid w:val="00F66772"/>
    <w:rsid w:val="00F67905"/>
    <w:rsid w:val="00F67A72"/>
    <w:rsid w:val="00F73191"/>
    <w:rsid w:val="00F7322E"/>
    <w:rsid w:val="00F75F81"/>
    <w:rsid w:val="00F84911"/>
    <w:rsid w:val="00F85FC6"/>
    <w:rsid w:val="00F87B78"/>
    <w:rsid w:val="00F90F15"/>
    <w:rsid w:val="00F917F3"/>
    <w:rsid w:val="00F91E8A"/>
    <w:rsid w:val="00F936A9"/>
    <w:rsid w:val="00FA0996"/>
    <w:rsid w:val="00FA4007"/>
    <w:rsid w:val="00FA4E96"/>
    <w:rsid w:val="00FA6175"/>
    <w:rsid w:val="00FB0B59"/>
    <w:rsid w:val="00FB355B"/>
    <w:rsid w:val="00FC1295"/>
    <w:rsid w:val="00FC2161"/>
    <w:rsid w:val="00FC5D1E"/>
    <w:rsid w:val="00FD1704"/>
    <w:rsid w:val="00FD5560"/>
    <w:rsid w:val="00FE21EC"/>
    <w:rsid w:val="00FE3797"/>
    <w:rsid w:val="00FE5EA1"/>
    <w:rsid w:val="00FF05B6"/>
    <w:rsid w:val="00FF642E"/>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uiPriority w:val="99"/>
    <w:qFormat/>
    <w:rsid w:val="00BF12B3"/>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uiPriority w:val="99"/>
    <w:rsid w:val="00BF12B3"/>
    <w:rPr>
      <w:rFonts w:cs="Times New Roman"/>
      <w:vertAlign w:val="superscript"/>
    </w:rPr>
  </w:style>
  <w:style w:type="paragraph" w:styleId="Header">
    <w:name w:val="header"/>
    <w:basedOn w:val="Normal"/>
    <w:link w:val="HeaderChar"/>
    <w:uiPriority w:val="99"/>
    <w:rsid w:val="00BF12B3"/>
    <w:pPr>
      <w:tabs>
        <w:tab w:val="center" w:pos="4320"/>
        <w:tab w:val="right" w:pos="8640"/>
      </w:tabs>
    </w:pPr>
  </w:style>
  <w:style w:type="character" w:customStyle="1" w:styleId="HeaderChar">
    <w:name w:val="Header Char"/>
    <w:basedOn w:val="DefaultParagraphFont"/>
    <w:link w:val="Header"/>
    <w:uiPriority w:val="99"/>
    <w:semiHidden/>
    <w:locked/>
    <w:rsid w:val="00CF7A24"/>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semiHidden/>
    <w:locked/>
    <w:rsid w:val="00CF7A24"/>
    <w:rPr>
      <w:rFonts w:cs="Times New Roman"/>
      <w:sz w:val="24"/>
      <w:szCs w:val="24"/>
    </w:rPr>
  </w:style>
  <w:style w:type="character" w:styleId="PageNumber">
    <w:name w:val="page number"/>
    <w:basedOn w:val="DefaultParagraphFont"/>
    <w:uiPriority w:val="99"/>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uiPriority w:val="99"/>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uiPriority w:val="99"/>
    <w:rsid w:val="00BF12B3"/>
    <w:pPr>
      <w:numPr>
        <w:numId w:val="2"/>
      </w:numPr>
    </w:pPr>
    <w:rPr>
      <w:sz w:val="22"/>
      <w:szCs w:val="20"/>
    </w:rPr>
  </w:style>
  <w:style w:type="paragraph" w:customStyle="1" w:styleId="Heading1A">
    <w:name w:val="Heading 1 A"/>
    <w:next w:val="Normal"/>
    <w:uiPriority w:val="99"/>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uiPriority w:val="99"/>
    <w:locked/>
    <w:rsid w:val="00BF12B3"/>
    <w:rPr>
      <w:szCs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99"/>
    <w:qFormat/>
    <w:rsid w:val="001F77C4"/>
    <w:pPr>
      <w:ind w:left="720"/>
    </w:pPr>
  </w:style>
  <w:style w:type="paragraph" w:customStyle="1" w:styleId="ParaNum">
    <w:name w:val="ParaNum"/>
    <w:basedOn w:val="Normal"/>
    <w:link w:val="ParaNumChar1"/>
    <w:uiPriority w:val="99"/>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921D0C"/>
    <w:rPr>
      <w:sz w:val="24"/>
      <w:lang w:val="en-US" w:eastAsia="en-US"/>
    </w:rPr>
  </w:style>
  <w:style w:type="character" w:customStyle="1" w:styleId="ParaNumChar1">
    <w:name w:val="ParaNum Char1"/>
    <w:link w:val="ParaNum"/>
    <w:uiPriority w:val="99"/>
    <w:locked/>
    <w:rsid w:val="00921D0C"/>
    <w:rPr>
      <w:kern w:val="28"/>
      <w:sz w:val="22"/>
    </w:rPr>
  </w:style>
  <w:style w:type="character" w:customStyle="1" w:styleId="ALTSFOOTNOTECharChar">
    <w:name w:val="ALTS FOOTNOTE Char Char"/>
    <w:aliases w:val="fn Char Char,rrfootnote Char1 Char,rrfootnote Char Char Char Char Char,ALTS FOOTNOTE Char1"/>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uiPriority w:val="99"/>
    <w:unhideWhenUsed/>
    <w:rsid w:val="00DF753D"/>
    <w:rPr>
      <w:color w:val="0000FF" w:themeColor="hyperlink"/>
      <w:u w:val="single"/>
    </w:rPr>
  </w:style>
  <w:style w:type="paragraph" w:styleId="Revision">
    <w:name w:val="Revision"/>
    <w:hidden/>
    <w:uiPriority w:val="99"/>
    <w:semiHidden/>
    <w:rsid w:val="002D3E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B3"/>
    <w:rPr>
      <w:sz w:val="24"/>
      <w:szCs w:val="24"/>
    </w:rPr>
  </w:style>
  <w:style w:type="paragraph" w:styleId="Heading1">
    <w:name w:val="heading 1"/>
    <w:basedOn w:val="Normal"/>
    <w:next w:val="Normal"/>
    <w:link w:val="Heading1Char"/>
    <w:uiPriority w:val="99"/>
    <w:qFormat/>
    <w:rsid w:val="00BF12B3"/>
    <w:pPr>
      <w:keepNext/>
      <w:tabs>
        <w:tab w:val="left" w:pos="-720"/>
      </w:tabs>
      <w:suppressAutoHyphens/>
      <w:spacing w:line="227" w:lineRule="auto"/>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C73"/>
    <w:rPr>
      <w:rFonts w:cs="Times New Roman"/>
      <w:b/>
      <w:sz w:val="24"/>
      <w:lang w:val="en-US" w:eastAsia="en-US"/>
    </w:rPr>
  </w:style>
  <w:style w:type="paragraph" w:styleId="BalloonText">
    <w:name w:val="Balloon Text"/>
    <w:basedOn w:val="Normal"/>
    <w:link w:val="BalloonTextChar"/>
    <w:uiPriority w:val="99"/>
    <w:rsid w:val="00B926FE"/>
    <w:rPr>
      <w:rFonts w:ascii="Tahoma" w:hAnsi="Tahoma"/>
      <w:sz w:val="16"/>
      <w:szCs w:val="16"/>
    </w:rPr>
  </w:style>
  <w:style w:type="character" w:customStyle="1" w:styleId="BalloonTextChar">
    <w:name w:val="Balloon Text Char"/>
    <w:basedOn w:val="DefaultParagraphFont"/>
    <w:link w:val="BalloonText"/>
    <w:uiPriority w:val="99"/>
    <w:locked/>
    <w:rsid w:val="00B926FE"/>
    <w:rPr>
      <w:rFonts w:ascii="Tahoma" w:hAnsi="Tahoma" w:cs="Times New Roman"/>
      <w:sz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uiPriority w:val="99"/>
    <w:rsid w:val="00BF12B3"/>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BF12B3"/>
    <w:rPr>
      <w:rFonts w:cs="Times New Roman"/>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uiPriority w:val="99"/>
    <w:rsid w:val="00BF12B3"/>
    <w:rPr>
      <w:rFonts w:cs="Times New Roman"/>
      <w:vertAlign w:val="superscript"/>
    </w:rPr>
  </w:style>
  <w:style w:type="paragraph" w:styleId="Header">
    <w:name w:val="header"/>
    <w:basedOn w:val="Normal"/>
    <w:link w:val="HeaderChar"/>
    <w:uiPriority w:val="99"/>
    <w:rsid w:val="00BF12B3"/>
    <w:pPr>
      <w:tabs>
        <w:tab w:val="center" w:pos="4320"/>
        <w:tab w:val="right" w:pos="8640"/>
      </w:tabs>
    </w:pPr>
  </w:style>
  <w:style w:type="character" w:customStyle="1" w:styleId="HeaderChar">
    <w:name w:val="Header Char"/>
    <w:basedOn w:val="DefaultParagraphFont"/>
    <w:link w:val="Header"/>
    <w:uiPriority w:val="99"/>
    <w:semiHidden/>
    <w:locked/>
    <w:rsid w:val="00CF7A24"/>
    <w:rPr>
      <w:rFonts w:cs="Times New Roman"/>
      <w:sz w:val="24"/>
      <w:szCs w:val="24"/>
    </w:rPr>
  </w:style>
  <w:style w:type="paragraph" w:styleId="Footer">
    <w:name w:val="footer"/>
    <w:basedOn w:val="Normal"/>
    <w:link w:val="FooterChar"/>
    <w:uiPriority w:val="99"/>
    <w:rsid w:val="00BF12B3"/>
    <w:pPr>
      <w:tabs>
        <w:tab w:val="center" w:pos="4320"/>
        <w:tab w:val="right" w:pos="8640"/>
      </w:tabs>
    </w:pPr>
  </w:style>
  <w:style w:type="character" w:customStyle="1" w:styleId="FooterChar">
    <w:name w:val="Footer Char"/>
    <w:basedOn w:val="DefaultParagraphFont"/>
    <w:link w:val="Footer"/>
    <w:uiPriority w:val="99"/>
    <w:semiHidden/>
    <w:locked/>
    <w:rsid w:val="00CF7A24"/>
    <w:rPr>
      <w:rFonts w:cs="Times New Roman"/>
      <w:sz w:val="24"/>
      <w:szCs w:val="24"/>
    </w:rPr>
  </w:style>
  <w:style w:type="character" w:styleId="PageNumber">
    <w:name w:val="page number"/>
    <w:basedOn w:val="DefaultParagraphFont"/>
    <w:uiPriority w:val="99"/>
    <w:rsid w:val="00BF12B3"/>
    <w:rPr>
      <w:rFonts w:cs="Times New Roman"/>
    </w:rPr>
  </w:style>
  <w:style w:type="paragraph" w:customStyle="1" w:styleId="Paranum0">
    <w:name w:val="Paranum"/>
    <w:uiPriority w:val="99"/>
    <w:rsid w:val="00BF12B3"/>
    <w:pPr>
      <w:numPr>
        <w:numId w:val="1"/>
      </w:numPr>
      <w:tabs>
        <w:tab w:val="left" w:pos="1440"/>
      </w:tabs>
      <w:spacing w:after="240"/>
      <w:jc w:val="both"/>
    </w:pPr>
    <w:rPr>
      <w:szCs w:val="20"/>
    </w:rPr>
  </w:style>
  <w:style w:type="paragraph" w:customStyle="1" w:styleId="BodyText1">
    <w:name w:val="Body Text1"/>
    <w:uiPriority w:val="99"/>
    <w:rsid w:val="00BF12B3"/>
    <w:rPr>
      <w:rFonts w:ascii="Times New Roman Bold" w:eastAsia="ヒラギノ角ゴ Pro W3" w:hAnsi="Times New Roman Bold"/>
      <w:color w:val="000000"/>
      <w:sz w:val="24"/>
      <w:szCs w:val="20"/>
      <w:u w:val="single"/>
    </w:rPr>
  </w:style>
  <w:style w:type="paragraph" w:customStyle="1" w:styleId="par1">
    <w:name w:val="par1"/>
    <w:basedOn w:val="Normal"/>
    <w:link w:val="par1Char"/>
    <w:uiPriority w:val="99"/>
    <w:rsid w:val="00BF12B3"/>
    <w:pPr>
      <w:numPr>
        <w:numId w:val="2"/>
      </w:numPr>
    </w:pPr>
    <w:rPr>
      <w:sz w:val="22"/>
      <w:szCs w:val="20"/>
    </w:rPr>
  </w:style>
  <w:style w:type="paragraph" w:customStyle="1" w:styleId="Heading1A">
    <w:name w:val="Heading 1 A"/>
    <w:next w:val="Normal"/>
    <w:uiPriority w:val="99"/>
    <w:rsid w:val="00BF12B3"/>
    <w:pPr>
      <w:keepNext/>
      <w:suppressAutoHyphens/>
      <w:spacing w:after="120"/>
      <w:outlineLvl w:val="0"/>
    </w:pPr>
    <w:rPr>
      <w:rFonts w:ascii="Times New Roman Bold" w:eastAsia="ヒラギノ角ゴ Pro W3" w:hAnsi="Times New Roman Bold"/>
      <w:caps/>
      <w:color w:val="000000"/>
      <w:sz w:val="24"/>
      <w:szCs w:val="20"/>
    </w:rPr>
  </w:style>
  <w:style w:type="character" w:customStyle="1" w:styleId="par1Char">
    <w:name w:val="par1 Char"/>
    <w:link w:val="par1"/>
    <w:uiPriority w:val="99"/>
    <w:locked/>
    <w:rsid w:val="00BF12B3"/>
    <w:rPr>
      <w:szCs w:val="20"/>
    </w:rPr>
  </w:style>
  <w:style w:type="character" w:styleId="Strong">
    <w:name w:val="Strong"/>
    <w:basedOn w:val="DefaultParagraphFont"/>
    <w:uiPriority w:val="99"/>
    <w:qFormat/>
    <w:rsid w:val="00BF12B3"/>
    <w:rPr>
      <w:rFonts w:cs="Times New Roman"/>
      <w:b/>
    </w:rPr>
  </w:style>
  <w:style w:type="paragraph" w:styleId="ListParagraph">
    <w:name w:val="List Paragraph"/>
    <w:basedOn w:val="Normal"/>
    <w:uiPriority w:val="99"/>
    <w:qFormat/>
    <w:rsid w:val="001F77C4"/>
    <w:pPr>
      <w:ind w:left="720"/>
    </w:pPr>
  </w:style>
  <w:style w:type="paragraph" w:customStyle="1" w:styleId="ParaNum">
    <w:name w:val="ParaNum"/>
    <w:basedOn w:val="Normal"/>
    <w:link w:val="ParaNumChar1"/>
    <w:uiPriority w:val="99"/>
    <w:rsid w:val="00921D0C"/>
    <w:pPr>
      <w:widowControl w:val="0"/>
      <w:numPr>
        <w:numId w:val="8"/>
      </w:numPr>
      <w:spacing w:after="120"/>
    </w:pPr>
    <w:rPr>
      <w:kern w:val="28"/>
      <w:sz w:val="22"/>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921D0C"/>
    <w:rPr>
      <w:sz w:val="24"/>
      <w:lang w:val="en-US" w:eastAsia="en-US"/>
    </w:rPr>
  </w:style>
  <w:style w:type="character" w:customStyle="1" w:styleId="ParaNumChar1">
    <w:name w:val="ParaNum Char1"/>
    <w:link w:val="ParaNum"/>
    <w:uiPriority w:val="99"/>
    <w:locked/>
    <w:rsid w:val="00921D0C"/>
    <w:rPr>
      <w:kern w:val="28"/>
      <w:sz w:val="22"/>
    </w:rPr>
  </w:style>
  <w:style w:type="character" w:customStyle="1" w:styleId="ALTSFOOTNOTECharChar">
    <w:name w:val="ALTS FOOTNOTE Char Char"/>
    <w:aliases w:val="fn Char Char,rrfootnote Char1 Char,rrfootnote Char Char Char Char Char,ALTS FOOTNOTE Char1"/>
    <w:locked/>
    <w:rsid w:val="00963731"/>
    <w:rPr>
      <w:lang w:val="en-US" w:eastAsia="en-US"/>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D24F8"/>
    <w:rPr>
      <w:lang w:val="en-US" w:eastAsia="en-US"/>
    </w:rPr>
  </w:style>
  <w:style w:type="character" w:styleId="CommentReference">
    <w:name w:val="annotation reference"/>
    <w:basedOn w:val="DefaultParagraphFont"/>
    <w:uiPriority w:val="99"/>
    <w:rsid w:val="008472A7"/>
    <w:rPr>
      <w:rFonts w:cs="Times New Roman"/>
      <w:sz w:val="16"/>
    </w:rPr>
  </w:style>
  <w:style w:type="paragraph" w:styleId="CommentText">
    <w:name w:val="annotation text"/>
    <w:basedOn w:val="Normal"/>
    <w:link w:val="CommentTextChar"/>
    <w:uiPriority w:val="99"/>
    <w:rsid w:val="008472A7"/>
    <w:rPr>
      <w:sz w:val="20"/>
      <w:szCs w:val="20"/>
    </w:rPr>
  </w:style>
  <w:style w:type="character" w:customStyle="1" w:styleId="CommentTextChar">
    <w:name w:val="Comment Text Char"/>
    <w:basedOn w:val="DefaultParagraphFont"/>
    <w:link w:val="CommentText"/>
    <w:uiPriority w:val="99"/>
    <w:locked/>
    <w:rsid w:val="008472A7"/>
    <w:rPr>
      <w:rFonts w:cs="Times New Roman"/>
    </w:rPr>
  </w:style>
  <w:style w:type="paragraph" w:styleId="CommentSubject">
    <w:name w:val="annotation subject"/>
    <w:basedOn w:val="CommentText"/>
    <w:next w:val="CommentText"/>
    <w:link w:val="CommentSubjectChar"/>
    <w:uiPriority w:val="99"/>
    <w:rsid w:val="008472A7"/>
    <w:rPr>
      <w:b/>
      <w:bCs/>
    </w:rPr>
  </w:style>
  <w:style w:type="character" w:customStyle="1" w:styleId="CommentSubjectChar">
    <w:name w:val="Comment Subject Char"/>
    <w:basedOn w:val="CommentTextChar"/>
    <w:link w:val="CommentSubject"/>
    <w:uiPriority w:val="99"/>
    <w:locked/>
    <w:rsid w:val="008472A7"/>
    <w:rPr>
      <w:rFonts w:cs="Times New Roman"/>
      <w:b/>
    </w:rPr>
  </w:style>
  <w:style w:type="character" w:styleId="Emphasis">
    <w:name w:val="Emphasis"/>
    <w:basedOn w:val="DefaultParagraphFont"/>
    <w:uiPriority w:val="99"/>
    <w:qFormat/>
    <w:rsid w:val="000D5AE3"/>
    <w:rPr>
      <w:rFonts w:cs="Times New Roman"/>
      <w:i/>
    </w:rPr>
  </w:style>
  <w:style w:type="character" w:customStyle="1" w:styleId="ParaNumChar">
    <w:name w:val="ParaNum Char"/>
    <w:uiPriority w:val="99"/>
    <w:rsid w:val="006A34B9"/>
    <w:rPr>
      <w:kern w:val="28"/>
      <w:sz w:val="22"/>
    </w:rPr>
  </w:style>
  <w:style w:type="character" w:styleId="Hyperlink">
    <w:name w:val="Hyperlink"/>
    <w:basedOn w:val="DefaultParagraphFont"/>
    <w:uiPriority w:val="99"/>
    <w:unhideWhenUsed/>
    <w:rsid w:val="00DF753D"/>
    <w:rPr>
      <w:color w:val="0000FF" w:themeColor="hyperlink"/>
      <w:u w:val="single"/>
    </w:rPr>
  </w:style>
  <w:style w:type="paragraph" w:styleId="Revision">
    <w:name w:val="Revision"/>
    <w:hidden/>
    <w:uiPriority w:val="99"/>
    <w:semiHidden/>
    <w:rsid w:val="002D3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5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INQUIRIES@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5380</Words>
  <Characters>29218</Characters>
  <Application>Microsoft Office Word</Application>
  <DocSecurity>0</DocSecurity>
  <Lines>584</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2013-05-07T17:36:00Z</dcterms:created>
  <dcterms:modified xsi:type="dcterms:W3CDTF">2013-05-07T17:36:00Z</dcterms:modified>
  <cp:category> </cp:category>
  <cp:contentStatus> </cp:contentStatus>
</cp:coreProperties>
</file>