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0D4205">
        <w:rPr>
          <w:rFonts w:eastAsia="Calibri"/>
          <w:b/>
          <w:szCs w:val="22"/>
        </w:rPr>
        <w:t>612</w:t>
      </w:r>
    </w:p>
    <w:p w:rsidR="00B24E27" w:rsidRPr="005510DF" w:rsidRDefault="00B24E27" w:rsidP="00B24E27">
      <w:pPr>
        <w:contextualSpacing/>
        <w:jc w:val="right"/>
        <w:rPr>
          <w:rFonts w:eastAsia="Calibri"/>
          <w:b/>
          <w:szCs w:val="22"/>
        </w:rPr>
      </w:pPr>
      <w:r w:rsidRPr="005510DF">
        <w:rPr>
          <w:rFonts w:eastAsia="Calibri"/>
          <w:b/>
          <w:szCs w:val="22"/>
        </w:rPr>
        <w:t xml:space="preserve">Release Date: </w:t>
      </w:r>
      <w:r w:rsidR="00C70142" w:rsidRPr="005510DF">
        <w:rPr>
          <w:rFonts w:eastAsia="Calibri"/>
          <w:b/>
          <w:szCs w:val="22"/>
        </w:rPr>
        <w:t xml:space="preserve">April </w:t>
      </w:r>
      <w:r w:rsidR="00633AA8" w:rsidRPr="005510DF">
        <w:rPr>
          <w:rFonts w:eastAsia="Calibri"/>
          <w:b/>
          <w:szCs w:val="22"/>
        </w:rPr>
        <w:t>4</w:t>
      </w:r>
      <w:r w:rsidRPr="005510DF">
        <w:rPr>
          <w:rFonts w:eastAsia="Calibri"/>
          <w:b/>
          <w:szCs w:val="22"/>
        </w:rPr>
        <w:t>, 2013</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C70142" w:rsidRPr="005510DF">
        <w:rPr>
          <w:rFonts w:eastAsia="Calibri"/>
          <w:b/>
          <w:szCs w:val="22"/>
        </w:rPr>
        <w:t>SMART CITY TELECOM</w:t>
      </w:r>
      <w:r w:rsidRPr="005510DF">
        <w:rPr>
          <w:rFonts w:eastAsia="Calibri"/>
          <w:b/>
          <w:szCs w:val="22"/>
        </w:rPr>
        <w:t xml:space="preserve"> 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CC Docket Nos. 01-92, 96-45; GN Docket No. 09-51;</w:t>
      </w:r>
    </w:p>
    <w:p w:rsidR="00B24E27" w:rsidRPr="005510DF" w:rsidRDefault="00B24E27" w:rsidP="00B24E27">
      <w:pPr>
        <w:contextualSpacing/>
        <w:jc w:val="center"/>
        <w:rPr>
          <w:rFonts w:eastAsia="Calibri"/>
          <w:b/>
          <w:szCs w:val="22"/>
        </w:rPr>
      </w:pPr>
      <w:r w:rsidRPr="005510DF">
        <w:rPr>
          <w:rFonts w:eastAsia="Calibri"/>
          <w:b/>
          <w:szCs w:val="22"/>
        </w:rPr>
        <w:t>WC Docket Nos. 03-109, 05-337, 07-135, 10-90; WT Docket No. 10-208</w:t>
      </w:r>
    </w:p>
    <w:p w:rsidR="00B24E27" w:rsidRPr="005510DF" w:rsidRDefault="00B24E27" w:rsidP="00B24E27">
      <w:pPr>
        <w:contextualSpacing/>
        <w:jc w:val="center"/>
        <w:rPr>
          <w:rFonts w:eastAsia="Calibri"/>
          <w:b/>
          <w:szCs w:val="22"/>
        </w:rPr>
      </w:pPr>
    </w:p>
    <w:p w:rsidR="00B24E27" w:rsidRPr="005510DF" w:rsidRDefault="00B24E27" w:rsidP="00B24E27">
      <w:pPr>
        <w:contextualSpacing/>
        <w:rPr>
          <w:rFonts w:eastAsia="Calibri"/>
          <w:b/>
          <w:szCs w:val="22"/>
        </w:rPr>
      </w:pPr>
      <w:r w:rsidRPr="005510DF">
        <w:rPr>
          <w:rFonts w:eastAsia="Calibri"/>
          <w:b/>
          <w:szCs w:val="22"/>
        </w:rPr>
        <w:t xml:space="preserve">Comment Date: </w:t>
      </w:r>
      <w:r w:rsidR="00C70142" w:rsidRPr="005510DF">
        <w:rPr>
          <w:rFonts w:eastAsia="Calibri"/>
          <w:b/>
          <w:szCs w:val="22"/>
        </w:rPr>
        <w:t xml:space="preserve">April </w:t>
      </w:r>
      <w:r w:rsidR="00633AA8" w:rsidRPr="005510DF">
        <w:rPr>
          <w:rFonts w:eastAsia="Calibri"/>
          <w:b/>
          <w:szCs w:val="22"/>
        </w:rPr>
        <w:t>1</w:t>
      </w:r>
      <w:r w:rsidR="005C705E">
        <w:rPr>
          <w:rFonts w:eastAsia="Calibri"/>
          <w:b/>
          <w:szCs w:val="22"/>
        </w:rPr>
        <w:t>5</w:t>
      </w:r>
      <w:r w:rsidRPr="005510DF">
        <w:rPr>
          <w:rFonts w:eastAsia="Calibri"/>
          <w:b/>
          <w:szCs w:val="22"/>
        </w:rPr>
        <w:t>, 2013</w:t>
      </w:r>
    </w:p>
    <w:p w:rsidR="00B24E27" w:rsidRPr="005510DF" w:rsidRDefault="00B24E27" w:rsidP="00B24E27">
      <w:pPr>
        <w:contextualSpacing/>
        <w:rPr>
          <w:rFonts w:eastAsia="Calibri"/>
          <w:szCs w:val="22"/>
        </w:rPr>
      </w:pPr>
    </w:p>
    <w:p w:rsidR="00B24E27" w:rsidRPr="005510DF" w:rsidRDefault="00B24E27" w:rsidP="00942296">
      <w:pPr>
        <w:spacing w:after="220"/>
        <w:ind w:firstLine="720"/>
        <w:contextualSpacing/>
        <w:rPr>
          <w:rFonts w:eastAsia="Calibri"/>
          <w:szCs w:val="22"/>
        </w:rPr>
      </w:pPr>
      <w:r w:rsidRPr="005510DF">
        <w:rPr>
          <w:rFonts w:eastAsia="Calibri"/>
          <w:szCs w:val="22"/>
        </w:rPr>
        <w:t xml:space="preserve">The Wireline Competition Bureau (Bureau) seeks comment on </w:t>
      </w:r>
      <w:r w:rsidR="00C70142" w:rsidRPr="005510DF">
        <w:rPr>
          <w:rFonts w:eastAsia="Calibri"/>
          <w:szCs w:val="22"/>
        </w:rPr>
        <w:t xml:space="preserve">a </w:t>
      </w:r>
      <w:r w:rsidRPr="005510DF">
        <w:rPr>
          <w:rFonts w:eastAsia="Calibri"/>
          <w:szCs w:val="22"/>
        </w:rPr>
        <w:t xml:space="preserve">petition </w:t>
      </w:r>
      <w:r w:rsidR="005421B8" w:rsidRPr="005510DF">
        <w:rPr>
          <w:rFonts w:eastAsia="Calibri"/>
          <w:szCs w:val="22"/>
        </w:rPr>
        <w:t xml:space="preserve">for </w:t>
      </w:r>
      <w:r w:rsidR="008718B4" w:rsidRPr="005510DF">
        <w:rPr>
          <w:rFonts w:eastAsia="Calibri"/>
          <w:szCs w:val="22"/>
        </w:rPr>
        <w:t xml:space="preserve">waiver of 47 C.F.R. </w:t>
      </w:r>
      <w:r w:rsidR="005421B8" w:rsidRPr="005510DF">
        <w:rPr>
          <w:rFonts w:eastAsia="Calibri"/>
          <w:szCs w:val="22"/>
        </w:rPr>
        <w:t xml:space="preserve">section </w:t>
      </w:r>
      <w:r w:rsidR="008718B4" w:rsidRPr="005510DF">
        <w:rPr>
          <w:rFonts w:eastAsia="Calibri"/>
          <w:szCs w:val="22"/>
        </w:rPr>
        <w:t>51.917(b)(7)(ii)</w:t>
      </w:r>
      <w:r w:rsidR="00094772" w:rsidRPr="005510DF">
        <w:rPr>
          <w:rFonts w:eastAsia="Calibri"/>
          <w:szCs w:val="22"/>
        </w:rPr>
        <w:t xml:space="preserve"> </w:t>
      </w:r>
      <w:r w:rsidRPr="005510DF">
        <w:rPr>
          <w:rFonts w:eastAsia="Calibri"/>
          <w:szCs w:val="22"/>
        </w:rPr>
        <w:t xml:space="preserve">filed by </w:t>
      </w:r>
      <w:r w:rsidR="00C70142" w:rsidRPr="005510DF">
        <w:rPr>
          <w:rFonts w:eastAsia="Calibri"/>
          <w:szCs w:val="22"/>
        </w:rPr>
        <w:t>Smart City Telecommunications LLC</w:t>
      </w:r>
      <w:r w:rsidRPr="005510DF">
        <w:rPr>
          <w:rFonts w:eastAsia="Calibri"/>
          <w:szCs w:val="22"/>
        </w:rPr>
        <w:t xml:space="preserve"> </w:t>
      </w:r>
      <w:r w:rsidR="00EB25CE" w:rsidRPr="005510DF">
        <w:rPr>
          <w:rFonts w:eastAsia="Calibri"/>
          <w:szCs w:val="22"/>
        </w:rPr>
        <w:t xml:space="preserve">d/b/a Smart City Telecom </w:t>
      </w:r>
      <w:r w:rsidRPr="005510DF">
        <w:rPr>
          <w:rFonts w:eastAsia="Calibri"/>
          <w:szCs w:val="22"/>
        </w:rPr>
        <w:t>(</w:t>
      </w:r>
      <w:r w:rsidR="00C70142" w:rsidRPr="005510DF">
        <w:rPr>
          <w:rFonts w:eastAsia="Calibri"/>
          <w:szCs w:val="22"/>
        </w:rPr>
        <w:t>Smart City</w:t>
      </w:r>
      <w:r w:rsidR="00EB25CE" w:rsidRPr="005510DF">
        <w:rPr>
          <w:rFonts w:eastAsia="Calibri"/>
          <w:szCs w:val="22"/>
        </w:rPr>
        <w:t>)</w:t>
      </w:r>
      <w:r w:rsidR="008718B4" w:rsidRPr="005510DF">
        <w:rPr>
          <w:rFonts w:eastAsia="Calibri"/>
          <w:szCs w:val="22"/>
        </w:rPr>
        <w:t xml:space="preserve"> on </w:t>
      </w:r>
      <w:r w:rsidR="00C70142" w:rsidRPr="005510DF">
        <w:rPr>
          <w:rFonts w:eastAsia="Calibri"/>
          <w:szCs w:val="22"/>
        </w:rPr>
        <w:t>March 27</w:t>
      </w:r>
      <w:r w:rsidR="008718B4" w:rsidRPr="005510DF">
        <w:rPr>
          <w:rFonts w:eastAsia="Calibri"/>
          <w:szCs w:val="22"/>
        </w:rPr>
        <w:t>, 201</w:t>
      </w:r>
      <w:r w:rsidR="00C70142" w:rsidRPr="005510DF">
        <w:rPr>
          <w:rFonts w:eastAsia="Calibri"/>
          <w:szCs w:val="22"/>
        </w:rPr>
        <w:t>3.</w:t>
      </w:r>
      <w:r w:rsidRPr="005510DF">
        <w:rPr>
          <w:rFonts w:eastAsia="Calibri"/>
          <w:szCs w:val="22"/>
          <w:vertAlign w:val="superscript"/>
        </w:rPr>
        <w:footnoteReference w:id="1"/>
      </w:r>
    </w:p>
    <w:p w:rsidR="00B24E27" w:rsidRPr="005510DF" w:rsidRDefault="00B24E27" w:rsidP="00942296">
      <w:pPr>
        <w:spacing w:after="220"/>
        <w:contextualSpacing/>
        <w:rPr>
          <w:rFonts w:eastAsia="Calibri"/>
          <w:szCs w:val="22"/>
        </w:rPr>
      </w:pPr>
    </w:p>
    <w:p w:rsidR="009531D2" w:rsidRPr="005510DF" w:rsidRDefault="00B24E27" w:rsidP="00942296">
      <w:pPr>
        <w:spacing w:after="220"/>
        <w:ind w:firstLine="720"/>
        <w:contextualSpacing/>
        <w:rPr>
          <w:rFonts w:eastAsia="Calibri"/>
          <w:szCs w:val="22"/>
        </w:rPr>
      </w:pPr>
      <w:r w:rsidRPr="005510DF">
        <w:rPr>
          <w:rFonts w:eastAsia="Calibri"/>
          <w:szCs w:val="22"/>
        </w:rPr>
        <w:t xml:space="preserve">In its Petition, </w:t>
      </w:r>
      <w:r w:rsidR="00D0154E" w:rsidRPr="005510DF">
        <w:rPr>
          <w:rFonts w:eastAsia="Calibri"/>
          <w:szCs w:val="22"/>
        </w:rPr>
        <w:t>S</w:t>
      </w:r>
      <w:r w:rsidR="00BB20C8" w:rsidRPr="005510DF">
        <w:rPr>
          <w:rFonts w:eastAsia="Calibri"/>
          <w:szCs w:val="22"/>
        </w:rPr>
        <w:t xml:space="preserve">mart City </w:t>
      </w:r>
      <w:r w:rsidRPr="005510DF">
        <w:rPr>
          <w:rFonts w:eastAsia="Calibri"/>
          <w:szCs w:val="22"/>
        </w:rPr>
        <w:t xml:space="preserve">seeks “a limited waiver of 47 C.F.R. Section 51.917(b)(7)(ii)…[to] allow </w:t>
      </w:r>
      <w:r w:rsidR="00BB20C8" w:rsidRPr="005510DF">
        <w:rPr>
          <w:rFonts w:eastAsia="Calibri"/>
          <w:szCs w:val="22"/>
        </w:rPr>
        <w:t>Smart City Telecom t</w:t>
      </w:r>
      <w:r w:rsidRPr="005510DF">
        <w:rPr>
          <w:rFonts w:eastAsia="Calibri"/>
          <w:szCs w:val="22"/>
        </w:rPr>
        <w:t>o include in its FY 2011 Base Period Revenues amounts…that should have been billed and collected by March 31, 2012</w:t>
      </w:r>
      <w:r w:rsidR="00EB25CE" w:rsidRPr="005510DF">
        <w:rPr>
          <w:rFonts w:eastAsia="Calibri"/>
          <w:szCs w:val="22"/>
        </w:rPr>
        <w:t xml:space="preserve"> but were not due to a billing dispute that occurred during</w:t>
      </w:r>
      <w:r w:rsidRPr="005510DF">
        <w:rPr>
          <w:rFonts w:eastAsia="Calibri"/>
          <w:szCs w:val="22"/>
        </w:rPr>
        <w:t>”</w:t>
      </w:r>
      <w:r w:rsidR="005421B8" w:rsidRPr="005510DF">
        <w:rPr>
          <w:rFonts w:eastAsia="Calibri"/>
          <w:szCs w:val="22"/>
        </w:rPr>
        <w:t xml:space="preserve"> FY 2011.</w:t>
      </w:r>
      <w:r w:rsidR="00567579" w:rsidRPr="005510DF">
        <w:rPr>
          <w:rFonts w:eastAsia="Calibri"/>
          <w:szCs w:val="22"/>
          <w:vertAlign w:val="superscript"/>
        </w:rPr>
        <w:footnoteReference w:id="2"/>
      </w:r>
      <w:r w:rsidRPr="005510DF">
        <w:rPr>
          <w:rFonts w:eastAsia="Calibri"/>
          <w:szCs w:val="22"/>
        </w:rPr>
        <w:t xml:space="preserve">  </w:t>
      </w:r>
      <w:r w:rsidR="00D0154E" w:rsidRPr="005510DF">
        <w:rPr>
          <w:rFonts w:eastAsia="Calibri"/>
          <w:szCs w:val="22"/>
        </w:rPr>
        <w:t>S</w:t>
      </w:r>
      <w:r w:rsidR="00EB25CE" w:rsidRPr="005510DF">
        <w:rPr>
          <w:rFonts w:eastAsia="Calibri"/>
          <w:szCs w:val="22"/>
        </w:rPr>
        <w:t xml:space="preserve">mart City </w:t>
      </w:r>
      <w:r w:rsidRPr="005510DF">
        <w:rPr>
          <w:rFonts w:eastAsia="Calibri"/>
          <w:szCs w:val="22"/>
        </w:rPr>
        <w:t>states that</w:t>
      </w:r>
      <w:r w:rsidR="00EB25CE" w:rsidRPr="005510DF">
        <w:rPr>
          <w:rFonts w:eastAsia="Calibri"/>
          <w:szCs w:val="22"/>
        </w:rPr>
        <w:t xml:space="preserve"> the company excluded disputed amounts when it calculated the</w:t>
      </w:r>
      <w:r w:rsidR="00EB25CE" w:rsidRPr="005510DF">
        <w:rPr>
          <w:szCs w:val="22"/>
        </w:rPr>
        <w:t xml:space="preserve"> </w:t>
      </w:r>
      <w:r w:rsidR="00EB25CE" w:rsidRPr="005510DF">
        <w:rPr>
          <w:rFonts w:eastAsia="Calibri"/>
          <w:szCs w:val="22"/>
        </w:rPr>
        <w:t>FY 2011 Base Period Revenue.</w:t>
      </w:r>
      <w:r w:rsidRPr="005510DF">
        <w:rPr>
          <w:rFonts w:eastAsia="Calibri"/>
          <w:szCs w:val="22"/>
          <w:vertAlign w:val="superscript"/>
        </w:rPr>
        <w:footnoteReference w:id="3"/>
      </w:r>
      <w:r w:rsidRPr="005510DF">
        <w:rPr>
          <w:rFonts w:eastAsia="Calibri"/>
          <w:szCs w:val="22"/>
        </w:rPr>
        <w:t xml:space="preserve"> </w:t>
      </w:r>
      <w:r w:rsidR="00EB25CE" w:rsidRPr="005510DF">
        <w:rPr>
          <w:rFonts w:eastAsia="Calibri"/>
          <w:szCs w:val="22"/>
        </w:rPr>
        <w:t xml:space="preserve"> Subsequently, the company </w:t>
      </w:r>
      <w:r w:rsidR="004F6D09" w:rsidRPr="005510DF">
        <w:rPr>
          <w:rFonts w:eastAsia="Calibri"/>
          <w:szCs w:val="22"/>
        </w:rPr>
        <w:t>settled the</w:t>
      </w:r>
      <w:r w:rsidR="00EB25CE" w:rsidRPr="005510DF">
        <w:rPr>
          <w:rFonts w:eastAsia="Calibri"/>
          <w:szCs w:val="22"/>
        </w:rPr>
        <w:t xml:space="preserve"> dispute</w:t>
      </w:r>
      <w:r w:rsidR="009531D2" w:rsidRPr="005510DF">
        <w:rPr>
          <w:rFonts w:eastAsia="Calibri"/>
          <w:szCs w:val="22"/>
        </w:rPr>
        <w:t xml:space="preserve"> </w:t>
      </w:r>
      <w:r w:rsidR="00EB25CE" w:rsidRPr="005510DF">
        <w:rPr>
          <w:rFonts w:eastAsia="Calibri"/>
          <w:szCs w:val="22"/>
        </w:rPr>
        <w:t>and</w:t>
      </w:r>
      <w:r w:rsidR="009531D2" w:rsidRPr="005510DF">
        <w:rPr>
          <w:rFonts w:eastAsia="Calibri"/>
          <w:szCs w:val="22"/>
        </w:rPr>
        <w:t xml:space="preserve"> </w:t>
      </w:r>
      <w:r w:rsidR="00EB25CE" w:rsidRPr="005510DF">
        <w:rPr>
          <w:rFonts w:eastAsia="Calibri"/>
          <w:szCs w:val="22"/>
        </w:rPr>
        <w:t xml:space="preserve">received payment after </w:t>
      </w:r>
      <w:r w:rsidR="009531D2" w:rsidRPr="005510DF">
        <w:rPr>
          <w:rFonts w:eastAsia="Calibri"/>
          <w:szCs w:val="22"/>
        </w:rPr>
        <w:t xml:space="preserve">the </w:t>
      </w:r>
      <w:r w:rsidR="00EB25CE" w:rsidRPr="005510DF">
        <w:rPr>
          <w:rFonts w:eastAsia="Calibri"/>
          <w:szCs w:val="22"/>
        </w:rPr>
        <w:t>March 31, 2012</w:t>
      </w:r>
      <w:r w:rsidR="009531D2" w:rsidRPr="005510DF">
        <w:rPr>
          <w:rFonts w:eastAsia="Calibri"/>
          <w:szCs w:val="22"/>
        </w:rPr>
        <w:t xml:space="preserve"> collection deadline</w:t>
      </w:r>
      <w:r w:rsidR="00EB25CE" w:rsidRPr="005510DF">
        <w:rPr>
          <w:rFonts w:eastAsia="Calibri"/>
          <w:szCs w:val="22"/>
        </w:rPr>
        <w:t>.</w:t>
      </w:r>
      <w:r w:rsidRPr="005510DF">
        <w:rPr>
          <w:rFonts w:eastAsia="Calibri"/>
          <w:szCs w:val="22"/>
          <w:vertAlign w:val="superscript"/>
        </w:rPr>
        <w:footnoteReference w:id="4"/>
      </w:r>
    </w:p>
    <w:p w:rsidR="009531D2" w:rsidRPr="005510DF" w:rsidRDefault="009531D2" w:rsidP="00942296">
      <w:pPr>
        <w:spacing w:after="220"/>
        <w:ind w:firstLine="720"/>
        <w:contextualSpacing/>
        <w:rPr>
          <w:rFonts w:eastAsia="Calibri"/>
          <w:szCs w:val="22"/>
        </w:rPr>
      </w:pPr>
    </w:p>
    <w:p w:rsidR="00094772" w:rsidRPr="005510DF" w:rsidRDefault="00D0154E" w:rsidP="00942296">
      <w:pPr>
        <w:spacing w:after="220"/>
        <w:ind w:firstLine="720"/>
        <w:contextualSpacing/>
        <w:rPr>
          <w:rFonts w:eastAsia="Calibri"/>
          <w:szCs w:val="22"/>
        </w:rPr>
      </w:pPr>
      <w:r w:rsidRPr="005510DF">
        <w:rPr>
          <w:rFonts w:eastAsia="Calibri"/>
          <w:szCs w:val="22"/>
        </w:rPr>
        <w:t>S</w:t>
      </w:r>
      <w:r w:rsidR="009531D2" w:rsidRPr="005510DF">
        <w:rPr>
          <w:rFonts w:eastAsia="Calibri"/>
          <w:szCs w:val="22"/>
        </w:rPr>
        <w:t xml:space="preserve">mart City </w:t>
      </w:r>
      <w:r w:rsidR="00B24E27" w:rsidRPr="005510DF">
        <w:rPr>
          <w:rFonts w:eastAsia="Calibri"/>
          <w:szCs w:val="22"/>
        </w:rPr>
        <w:t xml:space="preserve">argues that the requested waiver </w:t>
      </w:r>
      <w:r w:rsidR="005421B8" w:rsidRPr="005510DF">
        <w:rPr>
          <w:rFonts w:eastAsia="Calibri"/>
          <w:szCs w:val="22"/>
        </w:rPr>
        <w:t xml:space="preserve">is </w:t>
      </w:r>
      <w:r w:rsidR="00B24E27" w:rsidRPr="005510DF">
        <w:rPr>
          <w:rFonts w:eastAsia="Calibri"/>
          <w:szCs w:val="22"/>
        </w:rPr>
        <w:t xml:space="preserve">justified because the overall purpose of the waiver </w:t>
      </w:r>
      <w:r w:rsidR="009F113F" w:rsidRPr="005510DF">
        <w:rPr>
          <w:rFonts w:eastAsia="Calibri"/>
          <w:szCs w:val="22"/>
        </w:rPr>
        <w:t xml:space="preserve">process described </w:t>
      </w:r>
      <w:r w:rsidR="00B24E27" w:rsidRPr="005510DF">
        <w:rPr>
          <w:rFonts w:eastAsia="Calibri"/>
          <w:szCs w:val="22"/>
        </w:rPr>
        <w:t xml:space="preserve">in footnote 1745 </w:t>
      </w:r>
      <w:r w:rsidR="009F113F" w:rsidRPr="005510DF">
        <w:rPr>
          <w:rFonts w:eastAsia="Calibri"/>
          <w:szCs w:val="22"/>
        </w:rPr>
        <w:t xml:space="preserve">of the </w:t>
      </w:r>
      <w:r w:rsidR="009F113F" w:rsidRPr="005510DF">
        <w:rPr>
          <w:rFonts w:eastAsia="Calibri"/>
          <w:i/>
          <w:szCs w:val="22"/>
        </w:rPr>
        <w:t>USF/ICC Transformation Order</w:t>
      </w:r>
      <w:r w:rsidR="009F113F" w:rsidRPr="005510DF">
        <w:rPr>
          <w:rStyle w:val="FootnoteReference"/>
          <w:rFonts w:eastAsia="Calibri"/>
          <w:szCs w:val="22"/>
        </w:rPr>
        <w:footnoteReference w:id="5"/>
      </w:r>
      <w:r w:rsidR="009F113F" w:rsidRPr="005510DF">
        <w:rPr>
          <w:rFonts w:eastAsia="Calibri"/>
          <w:szCs w:val="22"/>
        </w:rPr>
        <w:t xml:space="preserve"> </w:t>
      </w:r>
      <w:r w:rsidR="00B24E27" w:rsidRPr="005510DF">
        <w:rPr>
          <w:rFonts w:eastAsia="Calibri"/>
          <w:szCs w:val="22"/>
        </w:rPr>
        <w:t>is “</w:t>
      </w:r>
      <w:r w:rsidR="009531D2" w:rsidRPr="005510DF">
        <w:rPr>
          <w:rFonts w:eastAsia="Calibri"/>
          <w:szCs w:val="22"/>
        </w:rPr>
        <w:t xml:space="preserve">… to </w:t>
      </w:r>
      <w:r w:rsidR="00B24E27" w:rsidRPr="005510DF">
        <w:rPr>
          <w:rFonts w:eastAsia="Calibri"/>
          <w:szCs w:val="22"/>
        </w:rPr>
        <w:t>allow a company to include revenues associated with FY 2011 that were billed and collected to be included in the Baseline when those revenues were collected after March 31, 2012</w:t>
      </w:r>
      <w:r w:rsidR="009531D2" w:rsidRPr="005510DF">
        <w:rPr>
          <w:rFonts w:eastAsia="Calibri"/>
          <w:szCs w:val="22"/>
        </w:rPr>
        <w:t>.</w:t>
      </w:r>
      <w:r w:rsidR="00B24E27" w:rsidRPr="005510DF">
        <w:rPr>
          <w:rFonts w:eastAsia="Calibri"/>
          <w:szCs w:val="22"/>
        </w:rPr>
        <w:t>”</w:t>
      </w:r>
      <w:r w:rsidR="00B24E27" w:rsidRPr="005510DF">
        <w:rPr>
          <w:rFonts w:eastAsia="Calibri"/>
          <w:szCs w:val="22"/>
          <w:vertAlign w:val="superscript"/>
        </w:rPr>
        <w:footnoteReference w:id="6"/>
      </w:r>
    </w:p>
    <w:p w:rsidR="009531D2" w:rsidRPr="005510DF" w:rsidRDefault="009531D2" w:rsidP="00094772">
      <w:pPr>
        <w:ind w:firstLine="720"/>
        <w:contextualSpacing/>
        <w:rPr>
          <w:rFonts w:eastAsia="Calibri"/>
          <w:szCs w:val="22"/>
        </w:rPr>
      </w:pPr>
    </w:p>
    <w:p w:rsidR="00EB25CE" w:rsidRPr="005510DF" w:rsidRDefault="00EB25CE" w:rsidP="00EB25CE">
      <w:pPr>
        <w:contextualSpacing/>
        <w:rPr>
          <w:rFonts w:eastAsia="Calibri"/>
          <w:szCs w:val="22"/>
        </w:rPr>
      </w:pPr>
    </w:p>
    <w:p w:rsidR="00B24E27" w:rsidRPr="005510DF" w:rsidRDefault="00B24E27" w:rsidP="00094772">
      <w:pPr>
        <w:ind w:firstLine="720"/>
        <w:contextualSpacing/>
        <w:rPr>
          <w:rFonts w:eastAsia="Calibri"/>
          <w:szCs w:val="22"/>
        </w:rPr>
      </w:pPr>
      <w:r w:rsidRPr="005510DF">
        <w:rPr>
          <w:rFonts w:eastAsia="Calibri"/>
          <w:szCs w:val="22"/>
        </w:rPr>
        <w:lastRenderedPageBreak/>
        <w:t xml:space="preserve">Pursuant to sections 1.415 and 1.419 of the Commission’s rules, </w:t>
      </w:r>
      <w:r w:rsidR="00611D83" w:rsidRPr="005510DF">
        <w:rPr>
          <w:rFonts w:eastAsia="Calibri"/>
          <w:szCs w:val="22"/>
        </w:rPr>
        <w:t xml:space="preserve">47 C.F.R. §§ 1.415, 1.419, </w:t>
      </w:r>
      <w:r w:rsidRPr="005510DF">
        <w:rPr>
          <w:rFonts w:eastAsia="Calibri"/>
          <w:szCs w:val="22"/>
        </w:rPr>
        <w:t>interested parties may file comments on or before the date indicated on the first page of this document.</w:t>
      </w:r>
      <w:r w:rsidR="00611D83" w:rsidRPr="005510DF">
        <w:rPr>
          <w:rFonts w:eastAsia="Calibri"/>
          <w:szCs w:val="22"/>
        </w:rPr>
        <w:t xml:space="preserve">  </w:t>
      </w:r>
      <w:r w:rsidRPr="005510DF">
        <w:rPr>
          <w:rFonts w:eastAsia="Calibri"/>
          <w:szCs w:val="22"/>
        </w:rPr>
        <w:t xml:space="preserve"> </w:t>
      </w:r>
      <w:r w:rsidR="00611D83" w:rsidRPr="005510DF">
        <w:rPr>
          <w:rFonts w:eastAsia="Calibri"/>
          <w:szCs w:val="22"/>
        </w:rPr>
        <w:t xml:space="preserve"> </w:t>
      </w:r>
      <w:r w:rsidRPr="005510DF">
        <w:rPr>
          <w:rFonts w:eastAsia="Calibri"/>
          <w:szCs w:val="22"/>
        </w:rPr>
        <w:t>Comments may be filed using the Commission’s Electronic Comment Filing System (ECFS).</w:t>
      </w:r>
      <w:r w:rsidR="00611D83" w:rsidRPr="005510DF">
        <w:rPr>
          <w:rFonts w:eastAsia="Calibri"/>
          <w:szCs w:val="22"/>
        </w:rPr>
        <w:t xml:space="preserve">  </w:t>
      </w:r>
      <w:r w:rsidR="00611D83" w:rsidRPr="005510DF">
        <w:rPr>
          <w:rFonts w:eastAsia="Calibri"/>
          <w:i/>
          <w:szCs w:val="22"/>
        </w:rPr>
        <w:t>See</w:t>
      </w:r>
      <w:r w:rsidR="00611D83" w:rsidRPr="005510DF">
        <w:rPr>
          <w:rFonts w:eastAsia="Calibri"/>
          <w:szCs w:val="22"/>
        </w:rPr>
        <w:t xml:space="preserve"> </w:t>
      </w:r>
      <w:r w:rsidR="00611D83" w:rsidRPr="005510DF">
        <w:rPr>
          <w:rFonts w:eastAsia="Calibri"/>
          <w:i/>
          <w:szCs w:val="22"/>
        </w:rPr>
        <w:t>Electronic Filing of Documents in Rulemaking Proceedings</w:t>
      </w:r>
      <w:r w:rsidR="00611D83" w:rsidRPr="00482435">
        <w:rPr>
          <w:rFonts w:eastAsia="Calibri"/>
          <w:szCs w:val="22"/>
        </w:rPr>
        <w:t>,</w:t>
      </w:r>
      <w:r w:rsidR="00611D83" w:rsidRPr="005510DF">
        <w:rPr>
          <w:rFonts w:eastAsia="Calibri"/>
          <w:szCs w:val="22"/>
        </w:rPr>
        <w:t xml:space="preserve"> 63 FR 24121 (1998).  </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4F6D09"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Pr="005510DF">
        <w:rPr>
          <w:rFonts w:eastAsia="Calibri"/>
          <w:szCs w:val="22"/>
          <w:u w:val="single"/>
        </w:rPr>
        <w:t>fcc504@fcc.gov</w:t>
      </w:r>
      <w:r w:rsidRPr="005510DF">
        <w:rPr>
          <w:rFonts w:eastAsia="Calibri"/>
          <w:szCs w:val="22"/>
        </w:rPr>
        <w:t xml:space="preserve"> 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In addition, one copy of each pleading must be sent to Gregory Haledjian, Federal</w:t>
      </w:r>
    </w:p>
    <w:p w:rsidR="00B24E27" w:rsidRPr="005510DF" w:rsidRDefault="00B24E27" w:rsidP="00B24E27">
      <w:pPr>
        <w:contextualSpacing/>
        <w:rPr>
          <w:rFonts w:eastAsia="Calibri"/>
          <w:szCs w:val="22"/>
        </w:rPr>
      </w:pPr>
      <w:r w:rsidRPr="005510DF">
        <w:rPr>
          <w:rFonts w:eastAsia="Calibri"/>
          <w:szCs w:val="22"/>
        </w:rPr>
        <w:t>Communications Commission, Wireline Competition Bureau, Pricing Policy Division, 445 12th Street, SW, Room</w:t>
      </w:r>
      <w:r w:rsidR="005510DF" w:rsidRPr="005510DF">
        <w:rPr>
          <w:rFonts w:eastAsia="Calibri"/>
          <w:szCs w:val="22"/>
        </w:rPr>
        <w:t xml:space="preserve"> 5A-104</w:t>
      </w:r>
      <w:r w:rsidRPr="005510DF">
        <w:rPr>
          <w:rFonts w:eastAsia="Calibri"/>
          <w:szCs w:val="22"/>
        </w:rPr>
        <w:t>, Washington, D.C. 20554, or via e</w:t>
      </w:r>
      <w:r w:rsidR="00715A6F" w:rsidRPr="005510DF">
        <w:rPr>
          <w:rFonts w:eastAsia="Calibri"/>
          <w:szCs w:val="22"/>
        </w:rPr>
        <w:t>-</w:t>
      </w:r>
      <w:r w:rsidRPr="005510DF">
        <w:rPr>
          <w:rFonts w:eastAsia="Calibri"/>
          <w:szCs w:val="22"/>
        </w:rPr>
        <w:t xml:space="preserve">mail at </w:t>
      </w:r>
      <w:r w:rsidRPr="005510DF">
        <w:rPr>
          <w:rFonts w:eastAsia="Calibri"/>
          <w:szCs w:val="22"/>
          <w:u w:val="single"/>
        </w:rPr>
        <w:t>Gregory.Haledjian@fcc.gov</w:t>
      </w:r>
      <w:r w:rsidRPr="005510DF">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The proceeding this Notice initiates shall be treated as a “permit-but-disclose” proceeding in accordance with the Commission’s </w:t>
      </w:r>
      <w:r w:rsidRPr="005510DF">
        <w:rPr>
          <w:rFonts w:eastAsia="Calibri"/>
          <w:i/>
          <w:szCs w:val="22"/>
        </w:rPr>
        <w:t>ex parte</w:t>
      </w:r>
      <w:r w:rsidRPr="005510DF">
        <w:rPr>
          <w:rFonts w:eastAsia="Calibri"/>
          <w:szCs w:val="22"/>
        </w:rPr>
        <w:t xml:space="preserve"> rules.</w:t>
      </w:r>
      <w:r w:rsidRPr="005510DF">
        <w:rPr>
          <w:rFonts w:eastAsia="Calibri"/>
          <w:szCs w:val="22"/>
          <w:vertAlign w:val="superscript"/>
        </w:rPr>
        <w:footnoteReference w:id="7"/>
      </w:r>
      <w:r w:rsidRPr="005510DF">
        <w:rPr>
          <w:rFonts w:eastAsia="Calibri"/>
          <w:szCs w:val="22"/>
        </w:rPr>
        <w:t xml:space="preserve"> </w:t>
      </w:r>
      <w:r w:rsidR="00C65EA8" w:rsidRPr="005510DF">
        <w:rPr>
          <w:rFonts w:eastAsia="Calibri"/>
          <w:szCs w:val="22"/>
        </w:rPr>
        <w:t xml:space="preserve"> </w:t>
      </w:r>
      <w:r w:rsidRPr="005510DF">
        <w:rPr>
          <w:rFonts w:eastAsia="Calibri"/>
          <w:szCs w:val="22"/>
        </w:rPr>
        <w:t xml:space="preserve">Persons making </w:t>
      </w:r>
      <w:r w:rsidRPr="005510DF">
        <w:rPr>
          <w:rFonts w:eastAsia="Calibri"/>
          <w:i/>
          <w:szCs w:val="22"/>
        </w:rPr>
        <w:t>ex parte</w:t>
      </w:r>
      <w:r w:rsidRPr="005510DF">
        <w:rPr>
          <w:rFonts w:eastAsia="Calibri"/>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5510DF">
        <w:rPr>
          <w:rFonts w:eastAsia="Calibri"/>
          <w:i/>
          <w:szCs w:val="22"/>
        </w:rPr>
        <w:t>ex parte</w:t>
      </w:r>
      <w:r w:rsidRPr="005510DF">
        <w:rPr>
          <w:rFonts w:eastAsia="Calibri"/>
          <w:szCs w:val="22"/>
        </w:rPr>
        <w:t xml:space="preserve"> presentations are reminded that memoranda summarizing the presentation must: (1) list all persons attending or otherwise participating in the meeting at which the </w:t>
      </w:r>
      <w:r w:rsidRPr="005510DF">
        <w:rPr>
          <w:rFonts w:eastAsia="Calibri"/>
          <w:i/>
          <w:szCs w:val="22"/>
        </w:rPr>
        <w:t>ex parte</w:t>
      </w:r>
      <w:r w:rsidRPr="005510DF">
        <w:rPr>
          <w:rFonts w:eastAsia="Calibri"/>
          <w:szCs w:val="22"/>
        </w:rPr>
        <w:t xml:space="preserve"> presentation was made, and (2) summarize all data presented and arguments made during the presentation. </w:t>
      </w:r>
      <w:r w:rsidR="00C65EA8" w:rsidRPr="005510DF">
        <w:rPr>
          <w:rFonts w:eastAsia="Calibri"/>
          <w:szCs w:val="22"/>
        </w:rPr>
        <w:t xml:space="preserve"> </w:t>
      </w:r>
      <w:r w:rsidRPr="005510DF">
        <w:rPr>
          <w:rFonts w:eastAsia="Calibri"/>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00C65EA8" w:rsidRPr="005510DF">
        <w:rPr>
          <w:rFonts w:eastAsia="Calibri"/>
          <w:szCs w:val="22"/>
        </w:rPr>
        <w:t xml:space="preserve"> </w:t>
      </w:r>
      <w:r w:rsidRPr="005510DF">
        <w:rPr>
          <w:rFonts w:eastAsia="Calibri"/>
          <w:szCs w:val="22"/>
        </w:rPr>
        <w:t xml:space="preserve">Documents shown or given to Commission </w:t>
      </w:r>
      <w:r w:rsidRPr="005510DF">
        <w:rPr>
          <w:rFonts w:eastAsia="Calibri"/>
          <w:szCs w:val="22"/>
        </w:rPr>
        <w:lastRenderedPageBreak/>
        <w:t xml:space="preserve">staff during </w:t>
      </w:r>
      <w:r w:rsidRPr="005510DF">
        <w:rPr>
          <w:rFonts w:eastAsia="Calibri"/>
          <w:i/>
          <w:szCs w:val="22"/>
        </w:rPr>
        <w:t>ex parte</w:t>
      </w:r>
      <w:r w:rsidRPr="005510DF">
        <w:rPr>
          <w:rFonts w:eastAsia="Calibri"/>
          <w:szCs w:val="22"/>
        </w:rPr>
        <w:t xml:space="preserve"> meetings are deemed to be written ex parte presentations and must be filed consistent with rule 1.1206(b). </w:t>
      </w:r>
      <w:r w:rsidR="00C65EA8" w:rsidRPr="005510DF">
        <w:rPr>
          <w:rFonts w:eastAsia="Calibri"/>
          <w:szCs w:val="22"/>
        </w:rPr>
        <w:t xml:space="preserve"> </w:t>
      </w:r>
      <w:r w:rsidRPr="005510DF">
        <w:rPr>
          <w:rFonts w:eastAsia="Calibri"/>
          <w:szCs w:val="22"/>
        </w:rPr>
        <w:t xml:space="preserve">In proceedings governed by rule 1.49(f) or for which the Commission has made available a method of electronic filing, written </w:t>
      </w:r>
      <w:r w:rsidRPr="005510DF">
        <w:rPr>
          <w:rFonts w:eastAsia="Calibri"/>
          <w:i/>
          <w:szCs w:val="22"/>
        </w:rPr>
        <w:t>ex parte</w:t>
      </w:r>
      <w:r w:rsidRPr="005510DF">
        <w:rPr>
          <w:rFonts w:eastAsia="Calibri"/>
          <w:szCs w:val="22"/>
        </w:rPr>
        <w:t xml:space="preserve"> presentations and memoranda summarizing oral </w:t>
      </w:r>
      <w:r w:rsidRPr="005510DF">
        <w:rPr>
          <w:rFonts w:eastAsia="Calibri"/>
          <w:i/>
          <w:szCs w:val="22"/>
        </w:rPr>
        <w:t>ex parte</w:t>
      </w:r>
      <w:r w:rsidRPr="005510DF">
        <w:rPr>
          <w:rFonts w:eastAsia="Calibri"/>
          <w:szCs w:val="22"/>
        </w:rPr>
        <w:t xml:space="preserve"> presentations, and all attachments thereto, must be filed through the electronic comment filing system available for that proceeding, and must be filed in their native format (</w:t>
      </w:r>
      <w:r w:rsidRPr="005510DF">
        <w:rPr>
          <w:rFonts w:eastAsia="Calibri"/>
          <w:i/>
          <w:szCs w:val="22"/>
        </w:rPr>
        <w:t>e.g</w:t>
      </w:r>
      <w:r w:rsidRPr="005510DF">
        <w:rPr>
          <w:rFonts w:eastAsia="Calibri"/>
          <w:szCs w:val="22"/>
        </w:rPr>
        <w:t xml:space="preserve">., .doc, .xml, .ppt, searchable .pdf). Participants in this proceeding should familiarize themselves with the Commission’s </w:t>
      </w:r>
      <w:r w:rsidRPr="005510DF">
        <w:rPr>
          <w:rFonts w:eastAsia="Calibri"/>
          <w:i/>
          <w:szCs w:val="22"/>
        </w:rPr>
        <w:t>ex parte</w:t>
      </w:r>
      <w:r w:rsidRPr="005510DF">
        <w:rPr>
          <w:rFonts w:eastAsia="Calibri"/>
          <w:szCs w:val="22"/>
        </w:rPr>
        <w:t xml:space="preserve"> 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For further information, please contact Gregory Haledjian, Wireline Competition Bureau, Pricing Policy Division, at (202) 418-1520 or via e</w:t>
      </w:r>
      <w:r w:rsidR="00715A6F" w:rsidRPr="005510DF">
        <w:rPr>
          <w:rFonts w:eastAsia="Calibri"/>
          <w:szCs w:val="22"/>
        </w:rPr>
        <w:t>-</w:t>
      </w:r>
      <w:r w:rsidRPr="005510DF">
        <w:rPr>
          <w:rFonts w:eastAsia="Calibri"/>
          <w:szCs w:val="22"/>
        </w:rPr>
        <w:t xml:space="preserve">mail at </w:t>
      </w:r>
      <w:r w:rsidRPr="005510DF">
        <w:rPr>
          <w:rFonts w:eastAsia="Calibri"/>
          <w:szCs w:val="22"/>
          <w:u w:val="single"/>
        </w:rPr>
        <w:t>Gregory.Haledjian@fcc.gov</w:t>
      </w:r>
      <w:r w:rsidRPr="005510DF">
        <w:rPr>
          <w:rFonts w:eastAsia="Calibri"/>
          <w:szCs w:val="22"/>
        </w:rPr>
        <w:t>.</w:t>
      </w:r>
    </w:p>
    <w:p w:rsidR="00B24E27" w:rsidRPr="005510DF" w:rsidRDefault="00B24E27" w:rsidP="00B24E27">
      <w:pPr>
        <w:contextualSpacing/>
        <w:jc w:val="center"/>
        <w:rPr>
          <w:rFonts w:eastAsia="Calibri"/>
          <w:szCs w:val="22"/>
        </w:rPr>
      </w:pPr>
    </w:p>
    <w:p w:rsidR="00B24E27" w:rsidRPr="005510DF" w:rsidRDefault="00B24E27" w:rsidP="00B24E27">
      <w:pPr>
        <w:contextualSpacing/>
        <w:jc w:val="center"/>
        <w:rPr>
          <w:rFonts w:eastAsia="Calibri"/>
          <w:szCs w:val="22"/>
        </w:rPr>
      </w:pPr>
      <w:r w:rsidRPr="005510DF">
        <w:rPr>
          <w:rFonts w:eastAsia="Calibri"/>
          <w:szCs w:val="22"/>
        </w:rPr>
        <w:t>- FCC -</w:t>
      </w:r>
    </w:p>
    <w:p w:rsidR="00B24E27" w:rsidRDefault="00B24E27" w:rsidP="00B24E27">
      <w:pPr>
        <w:contextualSpacing/>
        <w:jc w:val="right"/>
      </w:pPr>
    </w:p>
    <w:sectPr w:rsidR="00B24E27"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63" w:rsidRDefault="00D55663">
      <w:r>
        <w:separator/>
      </w:r>
    </w:p>
  </w:endnote>
  <w:endnote w:type="continuationSeparator" w:id="0">
    <w:p w:rsidR="00D55663" w:rsidRDefault="00D5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tabs>
        <w:tab w:val="clear" w:pos="8640"/>
        <w:tab w:val="right" w:pos="9360"/>
      </w:tabs>
      <w:rPr>
        <w:b/>
        <w:i/>
        <w:sz w:val="20"/>
      </w:rPr>
    </w:pPr>
    <w:r>
      <w:rPr>
        <w:b/>
        <w:sz w:val="20"/>
      </w:rPr>
      <w:tab/>
    </w:r>
    <w:r>
      <w:rPr>
        <w:b/>
        <w:sz w:val="20"/>
      </w:rPr>
      <w:tab/>
    </w:r>
    <w:r>
      <w:rPr>
        <w:sz w:val="20"/>
      </w:rPr>
      <w:tab/>
    </w:r>
    <w:r>
      <w:rPr>
        <w:sz w:val="20"/>
      </w:rPr>
      <w:tab/>
    </w:r>
    <w:r>
      <w:rPr>
        <w:sz w:val="20"/>
      </w:rPr>
      <w:tab/>
    </w:r>
    <w:r>
      <w:rPr>
        <w:sz w:val="20"/>
      </w:rPr>
      <w:tab/>
    </w:r>
    <w:r>
      <w:rPr>
        <w:sz w:val="20"/>
      </w:rPr>
      <w:tab/>
    </w:r>
    <w:r>
      <w:rPr>
        <w:b/>
        <w:i/>
        <w:sz w:val="20"/>
      </w:rPr>
      <w:t xml:space="preserve"> </w:t>
    </w:r>
    <w:r>
      <w:rPr>
        <w:b/>
        <w:i/>
        <w:sz w:val="20"/>
      </w:rPr>
      <w:tab/>
    </w:r>
    <w:r>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F43964">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63" w:rsidRDefault="00D55663">
      <w:r>
        <w:separator/>
      </w:r>
    </w:p>
  </w:footnote>
  <w:footnote w:type="continuationSeparator" w:id="0">
    <w:p w:rsidR="00D55663" w:rsidRDefault="00D55663">
      <w:r>
        <w:continuationSeparator/>
      </w:r>
    </w:p>
  </w:footnote>
  <w:footnote w:id="1">
    <w:p w:rsidR="005510DF" w:rsidRDefault="00B24E27" w:rsidP="00942296">
      <w:pPr>
        <w:keepLines/>
        <w:spacing w:after="120"/>
        <w:contextualSpacing/>
        <w:rPr>
          <w:color w:val="000000"/>
          <w:sz w:val="20"/>
        </w:rPr>
      </w:pPr>
      <w:r w:rsidRPr="005510DF">
        <w:rPr>
          <w:rStyle w:val="FootnoteReference"/>
          <w:color w:val="000000"/>
          <w:sz w:val="20"/>
        </w:rPr>
        <w:footnoteRef/>
      </w:r>
      <w:r w:rsidRPr="005510DF">
        <w:rPr>
          <w:color w:val="000000"/>
          <w:sz w:val="20"/>
        </w:rPr>
        <w:t xml:space="preserve"> Petition </w:t>
      </w:r>
      <w:r w:rsidR="005421B8" w:rsidRPr="005510DF">
        <w:rPr>
          <w:color w:val="000000"/>
          <w:sz w:val="20"/>
        </w:rPr>
        <w:t xml:space="preserve">of Smart City Telecommunications LLC d/b/a Smart City Telecom </w:t>
      </w:r>
      <w:r w:rsidRPr="005510DF">
        <w:rPr>
          <w:color w:val="000000"/>
          <w:sz w:val="20"/>
        </w:rPr>
        <w:t>for Limited Waiver of</w:t>
      </w:r>
    </w:p>
    <w:p w:rsidR="00942296" w:rsidRPr="005510DF" w:rsidRDefault="00B24E27" w:rsidP="00942296">
      <w:pPr>
        <w:keepLines/>
        <w:spacing w:after="120"/>
        <w:rPr>
          <w:color w:val="000000"/>
          <w:sz w:val="20"/>
        </w:rPr>
      </w:pPr>
      <w:r w:rsidRPr="005510DF">
        <w:rPr>
          <w:color w:val="000000"/>
          <w:sz w:val="20"/>
        </w:rPr>
        <w:t xml:space="preserve">47 C.F.R. </w:t>
      </w:r>
      <w:r w:rsidR="005421B8" w:rsidRPr="005510DF">
        <w:rPr>
          <w:color w:val="000000"/>
          <w:sz w:val="20"/>
        </w:rPr>
        <w:t xml:space="preserve">§ </w:t>
      </w:r>
      <w:r w:rsidRPr="005510DF">
        <w:rPr>
          <w:color w:val="000000"/>
          <w:sz w:val="20"/>
        </w:rPr>
        <w:t>51.917(b), CC Docket Nos. 01-92, 96-45, GN Docket No. 09-51, WC Docket Nos. 03-</w:t>
      </w:r>
      <w:r w:rsidR="005421B8" w:rsidRPr="005510DF">
        <w:rPr>
          <w:color w:val="000000"/>
          <w:sz w:val="20"/>
        </w:rPr>
        <w:t>1</w:t>
      </w:r>
      <w:r w:rsidRPr="005510DF">
        <w:rPr>
          <w:color w:val="000000"/>
          <w:sz w:val="20"/>
        </w:rPr>
        <w:t xml:space="preserve">09, 05-337, 07-135, 10-90, WT Docket No. 10-208 (filed </w:t>
      </w:r>
      <w:r w:rsidR="00BB20C8" w:rsidRPr="005510DF">
        <w:rPr>
          <w:color w:val="000000"/>
          <w:sz w:val="20"/>
        </w:rPr>
        <w:t>March</w:t>
      </w:r>
      <w:r w:rsidRPr="005510DF">
        <w:rPr>
          <w:color w:val="000000"/>
          <w:sz w:val="20"/>
        </w:rPr>
        <w:t xml:space="preserve"> </w:t>
      </w:r>
      <w:r w:rsidR="00BB20C8" w:rsidRPr="005510DF">
        <w:rPr>
          <w:color w:val="000000"/>
          <w:sz w:val="20"/>
        </w:rPr>
        <w:t>27</w:t>
      </w:r>
      <w:r w:rsidRPr="005510DF">
        <w:rPr>
          <w:color w:val="000000"/>
          <w:sz w:val="20"/>
        </w:rPr>
        <w:t>, 201</w:t>
      </w:r>
      <w:r w:rsidR="00BB20C8" w:rsidRPr="005510DF">
        <w:rPr>
          <w:color w:val="000000"/>
          <w:sz w:val="20"/>
        </w:rPr>
        <w:t>3</w:t>
      </w:r>
      <w:r w:rsidRPr="005510DF">
        <w:rPr>
          <w:color w:val="000000"/>
          <w:sz w:val="20"/>
        </w:rPr>
        <w:t>) (</w:t>
      </w:r>
      <w:r w:rsidR="00BB20C8" w:rsidRPr="005510DF">
        <w:rPr>
          <w:color w:val="000000"/>
          <w:sz w:val="20"/>
        </w:rPr>
        <w:t xml:space="preserve">Smart City </w:t>
      </w:r>
      <w:r w:rsidRPr="005510DF">
        <w:rPr>
          <w:color w:val="000000"/>
          <w:sz w:val="20"/>
        </w:rPr>
        <w:t>Petition).</w:t>
      </w:r>
    </w:p>
  </w:footnote>
  <w:footnote w:id="2">
    <w:p w:rsidR="00567579" w:rsidRPr="005510DF" w:rsidRDefault="00567579" w:rsidP="00567579">
      <w:pPr>
        <w:keepLines/>
        <w:spacing w:after="120"/>
        <w:contextualSpacing/>
        <w:rPr>
          <w:color w:val="000000"/>
          <w:sz w:val="20"/>
        </w:rPr>
      </w:pPr>
      <w:r w:rsidRPr="005510DF">
        <w:rPr>
          <w:rStyle w:val="FootnoteReference"/>
          <w:color w:val="000000"/>
          <w:sz w:val="20"/>
        </w:rPr>
        <w:footnoteRef/>
      </w:r>
      <w:r w:rsidRPr="005510DF">
        <w:rPr>
          <w:color w:val="000000"/>
          <w:sz w:val="20"/>
        </w:rPr>
        <w:t xml:space="preserve"> </w:t>
      </w:r>
      <w:r w:rsidRPr="00942296">
        <w:rPr>
          <w:i/>
          <w:color w:val="000000"/>
          <w:sz w:val="20"/>
        </w:rPr>
        <w:t>Id</w:t>
      </w:r>
      <w:r w:rsidRPr="005510DF">
        <w:rPr>
          <w:color w:val="000000"/>
          <w:sz w:val="20"/>
        </w:rPr>
        <w:t>. at 1-2.</w:t>
      </w:r>
    </w:p>
  </w:footnote>
  <w:footnote w:id="3">
    <w:p w:rsidR="00942296" w:rsidRPr="005510DF" w:rsidRDefault="00B24E27" w:rsidP="00942296">
      <w:pPr>
        <w:pStyle w:val="FootnoteText"/>
        <w:keepLines/>
        <w:spacing w:after="120"/>
        <w:rPr>
          <w:color w:val="000000"/>
        </w:rPr>
      </w:pPr>
      <w:r w:rsidRPr="005510DF">
        <w:rPr>
          <w:rStyle w:val="FootnoteReference"/>
          <w:color w:val="000000"/>
        </w:rPr>
        <w:footnoteRef/>
      </w:r>
      <w:r w:rsidRPr="005510DF">
        <w:rPr>
          <w:color w:val="000000"/>
        </w:rPr>
        <w:t xml:space="preserve"> </w:t>
      </w:r>
      <w:r w:rsidRPr="005510DF">
        <w:rPr>
          <w:i/>
          <w:color w:val="000000"/>
        </w:rPr>
        <w:t>Id</w:t>
      </w:r>
      <w:r w:rsidRPr="005510DF">
        <w:rPr>
          <w:color w:val="000000"/>
        </w:rPr>
        <w:t>.</w:t>
      </w:r>
    </w:p>
  </w:footnote>
  <w:footnote w:id="4">
    <w:p w:rsidR="00942296" w:rsidRPr="005510DF" w:rsidRDefault="00B24E27" w:rsidP="00942296">
      <w:pPr>
        <w:pStyle w:val="FootnoteText"/>
        <w:keepLines/>
        <w:spacing w:after="120"/>
        <w:rPr>
          <w:color w:val="000000"/>
        </w:rPr>
      </w:pPr>
      <w:r w:rsidRPr="005510DF">
        <w:rPr>
          <w:rStyle w:val="FootnoteReference"/>
          <w:color w:val="000000"/>
        </w:rPr>
        <w:footnoteRef/>
      </w:r>
      <w:r w:rsidRPr="005510DF">
        <w:rPr>
          <w:color w:val="000000"/>
        </w:rPr>
        <w:t xml:space="preserve"> </w:t>
      </w:r>
      <w:r w:rsidRPr="005510DF">
        <w:rPr>
          <w:i/>
          <w:color w:val="000000"/>
        </w:rPr>
        <w:t>Id</w:t>
      </w:r>
      <w:r w:rsidRPr="005510DF">
        <w:rPr>
          <w:color w:val="000000"/>
        </w:rPr>
        <w:t>. at 3</w:t>
      </w:r>
      <w:r w:rsidR="004F6D09" w:rsidRPr="005510DF">
        <w:rPr>
          <w:color w:val="000000"/>
        </w:rPr>
        <w:t>-4</w:t>
      </w:r>
      <w:r w:rsidRPr="005510DF">
        <w:rPr>
          <w:color w:val="000000"/>
        </w:rPr>
        <w:t>.</w:t>
      </w:r>
    </w:p>
  </w:footnote>
  <w:footnote w:id="5">
    <w:p w:rsidR="005C3895" w:rsidRPr="005510DF" w:rsidRDefault="009F113F" w:rsidP="00942296">
      <w:pPr>
        <w:pStyle w:val="FootnoteText"/>
        <w:spacing w:after="120"/>
      </w:pPr>
      <w:r w:rsidRPr="005510DF">
        <w:rPr>
          <w:rStyle w:val="FootnoteReference"/>
        </w:rPr>
        <w:footnoteRef/>
      </w:r>
      <w:r w:rsidRPr="005510DF">
        <w:t xml:space="preserve"> </w:t>
      </w:r>
      <w:r w:rsidRPr="005510DF">
        <w:rPr>
          <w:i/>
        </w:rPr>
        <w:t>See Connect America Fund et al</w:t>
      </w:r>
      <w:r w:rsidRPr="005510DF">
        <w:t>., WC Docket No. 10-90 et al., Report and Order and Further Notice of Proposed Rulemaking, 26 FCC Rcd at 17982 (2011</w:t>
      </w:r>
      <w:r w:rsidRPr="005510DF">
        <w:rPr>
          <w:i/>
        </w:rPr>
        <w:t xml:space="preserve">) </w:t>
      </w:r>
      <w:r w:rsidR="005421B8" w:rsidRPr="005510DF">
        <w:t>(</w:t>
      </w:r>
      <w:r w:rsidR="005421B8" w:rsidRPr="005510DF">
        <w:rPr>
          <w:i/>
        </w:rPr>
        <w:t>USF/ICC Transformation Order</w:t>
      </w:r>
      <w:r w:rsidR="005421B8" w:rsidRPr="005510DF">
        <w:t>)</w:t>
      </w:r>
      <w:r w:rsidR="005C3895">
        <w:t>,</w:t>
      </w:r>
      <w:r w:rsidR="00942296">
        <w:t xml:space="preserve"> </w:t>
      </w:r>
      <w:r w:rsidRPr="005510DF">
        <w:rPr>
          <w:i/>
        </w:rPr>
        <w:t>pets. for review pending</w:t>
      </w:r>
      <w:r w:rsidR="005421B8" w:rsidRPr="005510DF">
        <w:rPr>
          <w:i/>
        </w:rPr>
        <w:t xml:space="preserve"> sub nom. In re: FCC 11-161</w:t>
      </w:r>
      <w:r w:rsidRPr="005510DF">
        <w:t>, No. 11-9</w:t>
      </w:r>
      <w:r w:rsidR="005421B8" w:rsidRPr="005510DF">
        <w:t>900</w:t>
      </w:r>
      <w:r w:rsidRPr="005510DF">
        <w:t xml:space="preserve"> (10th Cir. filed Dec. 8, 2011).</w:t>
      </w:r>
    </w:p>
  </w:footnote>
  <w:footnote w:id="6">
    <w:p w:rsidR="00B24E27" w:rsidRPr="005510DF" w:rsidRDefault="00B24E27" w:rsidP="00942296">
      <w:pPr>
        <w:keepLines/>
        <w:spacing w:after="120"/>
        <w:rPr>
          <w:color w:val="000000"/>
          <w:sz w:val="20"/>
        </w:rPr>
      </w:pPr>
      <w:r w:rsidRPr="005510DF">
        <w:rPr>
          <w:rStyle w:val="FootnoteReference"/>
          <w:color w:val="000000"/>
          <w:sz w:val="20"/>
        </w:rPr>
        <w:footnoteRef/>
      </w:r>
      <w:r w:rsidRPr="005510DF">
        <w:rPr>
          <w:color w:val="000000"/>
          <w:sz w:val="20"/>
        </w:rPr>
        <w:t xml:space="preserve"> </w:t>
      </w:r>
      <w:r w:rsidR="00D0154E" w:rsidRPr="005510DF">
        <w:rPr>
          <w:color w:val="000000"/>
          <w:sz w:val="20"/>
        </w:rPr>
        <w:t>S</w:t>
      </w:r>
      <w:r w:rsidR="00EB25CE" w:rsidRPr="005510DF">
        <w:rPr>
          <w:color w:val="000000"/>
          <w:sz w:val="20"/>
        </w:rPr>
        <w:t xml:space="preserve">mart City </w:t>
      </w:r>
      <w:r w:rsidR="009F113F" w:rsidRPr="005510DF">
        <w:rPr>
          <w:color w:val="000000"/>
          <w:sz w:val="20"/>
        </w:rPr>
        <w:t>Petition</w:t>
      </w:r>
      <w:r w:rsidRPr="005510DF">
        <w:rPr>
          <w:color w:val="000000"/>
          <w:sz w:val="20"/>
        </w:rPr>
        <w:t xml:space="preserve"> at 5.</w:t>
      </w:r>
    </w:p>
  </w:footnote>
  <w:footnote w:id="7">
    <w:p w:rsidR="00B24E27" w:rsidRPr="00606BA5" w:rsidRDefault="00B24E27" w:rsidP="00A76D31">
      <w:pPr>
        <w:keepLines/>
        <w:spacing w:after="120"/>
        <w:rPr>
          <w:color w:val="000000"/>
          <w:sz w:val="20"/>
        </w:rPr>
      </w:pPr>
      <w:r w:rsidRPr="005510DF">
        <w:rPr>
          <w:rStyle w:val="FootnoteReference"/>
          <w:color w:val="000000"/>
          <w:sz w:val="20"/>
        </w:rPr>
        <w:footnoteRef/>
      </w:r>
      <w:r w:rsidRPr="005510DF">
        <w:rPr>
          <w:color w:val="000000"/>
          <w:sz w:val="20"/>
        </w:rPr>
        <w:t xml:space="preserve"> 47 C.F.R. §§ 1.1200 </w:t>
      </w:r>
      <w:r w:rsidRPr="005510DF">
        <w:rPr>
          <w:i/>
          <w:color w:val="000000"/>
          <w:sz w:val="20"/>
        </w:rPr>
        <w:t>et seq</w:t>
      </w:r>
      <w:r w:rsidRPr="005510DF">
        <w:rPr>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E4" w:rsidRDefault="00515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E4" w:rsidRDefault="00515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3"/>
  </w:num>
  <w:num w:numId="13">
    <w:abstractNumId w:val="10"/>
  </w:num>
  <w:num w:numId="14">
    <w:abstractNumId w:val="4"/>
  </w:num>
  <w:num w:numId="15">
    <w:abstractNumId w:val="5"/>
  </w:num>
  <w:num w:numId="16">
    <w:abstractNumId w:val="0"/>
  </w:num>
  <w:num w:numId="17">
    <w:abstractNumId w:val="13"/>
  </w:num>
  <w:num w:numId="18">
    <w:abstractNumId w:val="1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9364C"/>
    <w:rsid w:val="00094772"/>
    <w:rsid w:val="000D4205"/>
    <w:rsid w:val="000F2CAE"/>
    <w:rsid w:val="0011342E"/>
    <w:rsid w:val="00143B8C"/>
    <w:rsid w:val="00182161"/>
    <w:rsid w:val="001A29CE"/>
    <w:rsid w:val="00205224"/>
    <w:rsid w:val="002456B8"/>
    <w:rsid w:val="00275254"/>
    <w:rsid w:val="00281983"/>
    <w:rsid w:val="0028458C"/>
    <w:rsid w:val="002A14CF"/>
    <w:rsid w:val="002D1DAA"/>
    <w:rsid w:val="002D397F"/>
    <w:rsid w:val="002E27E8"/>
    <w:rsid w:val="002E5225"/>
    <w:rsid w:val="002F13DE"/>
    <w:rsid w:val="00305F16"/>
    <w:rsid w:val="00327171"/>
    <w:rsid w:val="003331B8"/>
    <w:rsid w:val="003C3BB8"/>
    <w:rsid w:val="00463F8D"/>
    <w:rsid w:val="00466412"/>
    <w:rsid w:val="00482435"/>
    <w:rsid w:val="004F6D09"/>
    <w:rsid w:val="00515CE4"/>
    <w:rsid w:val="00525F29"/>
    <w:rsid w:val="005421B8"/>
    <w:rsid w:val="00545632"/>
    <w:rsid w:val="00550C13"/>
    <w:rsid w:val="005510DF"/>
    <w:rsid w:val="00567579"/>
    <w:rsid w:val="005C3895"/>
    <w:rsid w:val="005C705E"/>
    <w:rsid w:val="00611D83"/>
    <w:rsid w:val="00633AA8"/>
    <w:rsid w:val="006406F1"/>
    <w:rsid w:val="00687FF6"/>
    <w:rsid w:val="006A240A"/>
    <w:rsid w:val="006A2E87"/>
    <w:rsid w:val="006A3949"/>
    <w:rsid w:val="006B06C4"/>
    <w:rsid w:val="006F0D27"/>
    <w:rsid w:val="00704B03"/>
    <w:rsid w:val="00715A6F"/>
    <w:rsid w:val="00822BA7"/>
    <w:rsid w:val="008417F9"/>
    <w:rsid w:val="00864C0B"/>
    <w:rsid w:val="008718B4"/>
    <w:rsid w:val="008E2B06"/>
    <w:rsid w:val="0091166A"/>
    <w:rsid w:val="0092286C"/>
    <w:rsid w:val="00924172"/>
    <w:rsid w:val="0093402F"/>
    <w:rsid w:val="00942296"/>
    <w:rsid w:val="009531D2"/>
    <w:rsid w:val="00984BA4"/>
    <w:rsid w:val="00993D50"/>
    <w:rsid w:val="009F113F"/>
    <w:rsid w:val="00A76D31"/>
    <w:rsid w:val="00AA6D8B"/>
    <w:rsid w:val="00B1414B"/>
    <w:rsid w:val="00B24E27"/>
    <w:rsid w:val="00B352B9"/>
    <w:rsid w:val="00B97C9B"/>
    <w:rsid w:val="00BB20C8"/>
    <w:rsid w:val="00C01C1E"/>
    <w:rsid w:val="00C16076"/>
    <w:rsid w:val="00C3234C"/>
    <w:rsid w:val="00C65EA8"/>
    <w:rsid w:val="00C70142"/>
    <w:rsid w:val="00CC5E52"/>
    <w:rsid w:val="00D0154E"/>
    <w:rsid w:val="00D2023C"/>
    <w:rsid w:val="00D55663"/>
    <w:rsid w:val="00DC23A9"/>
    <w:rsid w:val="00DF4DC7"/>
    <w:rsid w:val="00E03E20"/>
    <w:rsid w:val="00E72309"/>
    <w:rsid w:val="00EA3F55"/>
    <w:rsid w:val="00EB25CE"/>
    <w:rsid w:val="00ED6D8A"/>
    <w:rsid w:val="00EE26A1"/>
    <w:rsid w:val="00EE356F"/>
    <w:rsid w:val="00EF27DD"/>
    <w:rsid w:val="00F22B55"/>
    <w:rsid w:val="00F43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uiPriority w:val="99"/>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uiPriority w:val="99"/>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4891</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2013-04-04T16:15:00Z</dcterms:created>
  <dcterms:modified xsi:type="dcterms:W3CDTF">2013-04-04T16:15:00Z</dcterms:modified>
  <cp:category> </cp:category>
  <cp:contentStatus> </cp:contentStatus>
</cp:coreProperties>
</file>