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096E5F" w:rsidP="00342DE9">
            <w:r>
              <w:rPr>
                <w:noProof/>
              </w:rPr>
              <w:t>J</w:t>
            </w:r>
            <w:r w:rsidR="00DA7E86" w:rsidRPr="00DA7E86">
              <w:rPr>
                <w:noProof/>
                <w:highlight w:val="black"/>
              </w:rPr>
              <w:t>XXX</w:t>
            </w:r>
            <w:r w:rsidR="00EB07FA">
              <w:t xml:space="preserve"> </w:t>
            </w:r>
            <w:r>
              <w:rPr>
                <w:noProof/>
              </w:rPr>
              <w:t>Everson</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B083B">
              <w:rPr>
                <w:szCs w:val="22"/>
              </w:rPr>
              <w:t>EB-</w:t>
            </w:r>
            <w:r w:rsidR="00096E5F">
              <w:rPr>
                <w:noProof/>
                <w:szCs w:val="22"/>
              </w:rPr>
              <w:t>13</w:t>
            </w:r>
            <w:r w:rsidR="009B083B">
              <w:rPr>
                <w:szCs w:val="22"/>
              </w:rPr>
              <w:t>-IH-</w:t>
            </w:r>
            <w:r w:rsidR="00A2129F">
              <w:rPr>
                <w:szCs w:val="22"/>
              </w:rPr>
              <w:t>0</w:t>
            </w:r>
            <w:r w:rsidR="00096E5F" w:rsidRPr="005D4F2A">
              <w:rPr>
                <w:noProof/>
                <w:szCs w:val="22"/>
              </w:rPr>
              <w:t>537</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096E5F">
        <w:rPr>
          <w:b/>
          <w:noProof/>
          <w:szCs w:val="22"/>
        </w:rPr>
        <w:t>April 18, 2013</w:t>
      </w:r>
      <w:r w:rsidRPr="00434644">
        <w:rPr>
          <w:b/>
          <w:szCs w:val="22"/>
        </w:rPr>
        <w:tab/>
        <w:t xml:space="preserve">Released:  </w:t>
      </w:r>
      <w:r w:rsidR="00096E5F">
        <w:rPr>
          <w:b/>
          <w:noProof/>
          <w:szCs w:val="22"/>
        </w:rPr>
        <w:t>April 18,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096E5F" w:rsidRPr="005D4F2A">
        <w:rPr>
          <w:noProof/>
        </w:rPr>
        <w:t>J</w:t>
      </w:r>
      <w:r w:rsidR="00DA7E86" w:rsidRPr="00DA7E86">
        <w:rPr>
          <w:noProof/>
          <w:highlight w:val="black"/>
        </w:rPr>
        <w:t>XXX</w:t>
      </w:r>
      <w:r w:rsidR="00EB07FA">
        <w:t xml:space="preserve"> </w:t>
      </w:r>
      <w:r w:rsidR="00096E5F" w:rsidRPr="005D4F2A">
        <w:rPr>
          <w:noProof/>
        </w:rPr>
        <w:t>Everson</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096E5F">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096E5F" w:rsidRPr="005D4F2A">
        <w:rPr>
          <w:noProof/>
          <w:szCs w:val="22"/>
        </w:rPr>
        <w:t>Cinthex LLC d/b/a i-wireless, LLC</w:t>
      </w:r>
      <w:r w:rsidR="00096E5F">
        <w:rPr>
          <w:noProof/>
          <w:szCs w:val="22"/>
        </w:rPr>
        <w:t xml:space="preserve">; </w:t>
      </w:r>
      <w:r w:rsidR="00096E5F" w:rsidRPr="005D4F2A">
        <w:rPr>
          <w:noProof/>
          <w:szCs w:val="22"/>
        </w:rPr>
        <w:t>Virgin Mobile USA, LLC d/b/a Assurance Wireless</w:t>
      </w:r>
      <w:r w:rsidR="006E0EE3">
        <w:rPr>
          <w:szCs w:val="22"/>
        </w:rPr>
        <w:t xml:space="preserve">; and </w:t>
      </w:r>
      <w:r w:rsidR="00096E5F" w:rsidRPr="005D4F2A">
        <w:rPr>
          <w:noProof/>
          <w:szCs w:val="22"/>
        </w:rPr>
        <w:t>TracFone Wireless, Inc. d/b/a SafeLink Wireless</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5B70A5">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 xml:space="preserve">Therefore, we ORDER you to cease and desist from </w:t>
      </w:r>
      <w:r w:rsidRPr="005B70A5">
        <w:rPr>
          <w:b/>
          <w:szCs w:val="22"/>
        </w:rPr>
        <w:lastRenderedPageBreak/>
        <w:t>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096E5F">
        <w:rPr>
          <w:noProof/>
          <w:szCs w:val="22"/>
        </w:rPr>
        <w:t>January 29,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B083B">
        <w:rPr>
          <w:b/>
          <w:bCs/>
          <w:szCs w:val="22"/>
        </w:rPr>
        <w:t>EB-</w:t>
      </w:r>
      <w:r w:rsidR="00096E5F">
        <w:rPr>
          <w:b/>
          <w:noProof/>
          <w:szCs w:val="22"/>
        </w:rPr>
        <w:t>13</w:t>
      </w:r>
      <w:r w:rsidR="009B083B">
        <w:rPr>
          <w:b/>
          <w:szCs w:val="22"/>
        </w:rPr>
        <w:t>-IH-</w:t>
      </w:r>
      <w:r w:rsidR="001274E0">
        <w:rPr>
          <w:b/>
          <w:szCs w:val="22"/>
        </w:rPr>
        <w:t>0</w:t>
      </w:r>
      <w:r w:rsidR="00096E5F" w:rsidRPr="005D4F2A">
        <w:rPr>
          <w:b/>
          <w:noProof/>
          <w:szCs w:val="22"/>
        </w:rPr>
        <w:t>537</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684" w:rsidRDefault="00153684">
      <w:r>
        <w:separator/>
      </w:r>
    </w:p>
  </w:endnote>
  <w:endnote w:type="continuationSeparator" w:id="0">
    <w:p w:rsidR="00153684" w:rsidRDefault="00153684">
      <w:r>
        <w:continuationSeparator/>
      </w:r>
    </w:p>
  </w:endnote>
  <w:endnote w:type="continuationNotice" w:id="1">
    <w:p w:rsidR="00153684" w:rsidRDefault="001536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72" w:rsidRDefault="008E71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3F" w:rsidRDefault="005E4C3F">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DA7E86">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72" w:rsidRDefault="008E7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684" w:rsidRDefault="00153684">
      <w:r>
        <w:separator/>
      </w:r>
    </w:p>
  </w:footnote>
  <w:footnote w:type="continuationSeparator" w:id="0">
    <w:p w:rsidR="00153684" w:rsidRDefault="00153684">
      <w:r>
        <w:continuationSeparator/>
      </w:r>
    </w:p>
  </w:footnote>
  <w:footnote w:type="continuationNotice" w:id="1">
    <w:p w:rsidR="00153684" w:rsidRDefault="00153684"/>
  </w:footnote>
  <w:footnote w:id="2">
    <w:p w:rsidR="005E4C3F" w:rsidRPr="00860C23" w:rsidRDefault="005E4C3F">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5E4C3F" w:rsidRDefault="005E4C3F" w:rsidP="005B70A5">
      <w:pPr>
        <w:pStyle w:val="FootnoteText"/>
      </w:pPr>
      <w:r>
        <w:rPr>
          <w:rStyle w:val="FootnoteReference"/>
        </w:rPr>
        <w:footnoteRef/>
      </w:r>
      <w:r>
        <w:t xml:space="preserve"> 47 U.S.C. § 503(b)(5).</w:t>
      </w:r>
    </w:p>
  </w:footnote>
  <w:footnote w:id="4">
    <w:p w:rsidR="005E4C3F" w:rsidRPr="00B7397B" w:rsidRDefault="005E4C3F"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5E4C3F" w:rsidRDefault="005E4C3F"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5E4C3F" w:rsidRDefault="005E4C3F"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5E4C3F" w:rsidRDefault="005E4C3F"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5E4C3F" w:rsidRDefault="005E4C3F" w:rsidP="005B70A5">
      <w:pPr>
        <w:pStyle w:val="FootnoteText"/>
      </w:pPr>
      <w:r>
        <w:rPr>
          <w:rStyle w:val="FootnoteReference"/>
        </w:rPr>
        <w:footnoteRef/>
      </w:r>
      <w:r>
        <w:t xml:space="preserve"> </w:t>
      </w:r>
      <w:r>
        <w:rPr>
          <w:i/>
        </w:rPr>
        <w:t xml:space="preserve">See </w:t>
      </w:r>
      <w:r>
        <w:t>47 C.F.R. § 1.80(b)(3).</w:t>
      </w:r>
    </w:p>
  </w:footnote>
  <w:footnote w:id="9">
    <w:p w:rsidR="005E4C3F" w:rsidRDefault="005E4C3F" w:rsidP="003803C2">
      <w:pPr>
        <w:pStyle w:val="FootnoteText"/>
      </w:pPr>
      <w:r>
        <w:rPr>
          <w:rStyle w:val="FootnoteReference"/>
        </w:rPr>
        <w:footnoteRef/>
      </w:r>
      <w:r>
        <w:rPr>
          <w:i/>
          <w:iCs/>
        </w:rPr>
        <w:t xml:space="preserve"> See </w:t>
      </w:r>
      <w:r>
        <w:t>Privacy Act of 1974, 5 U.S.C. § 552a(e)(3).</w:t>
      </w:r>
    </w:p>
  </w:footnote>
  <w:footnote w:id="10">
    <w:p w:rsidR="005E4C3F" w:rsidRDefault="005E4C3F" w:rsidP="00C65BA5">
      <w:pPr>
        <w:pStyle w:val="FootnoteText"/>
      </w:pPr>
      <w:r>
        <w:rPr>
          <w:rStyle w:val="FootnoteReference"/>
        </w:rPr>
        <w:footnoteRef/>
      </w:r>
      <w:r>
        <w:t xml:space="preserve"> </w:t>
      </w:r>
      <w:r>
        <w:rPr>
          <w:i/>
        </w:rPr>
        <w:t xml:space="preserve">See </w:t>
      </w:r>
      <w:r>
        <w:t>47 C.F.R. § 1.17.</w:t>
      </w:r>
    </w:p>
  </w:footnote>
  <w:footnote w:id="11">
    <w:p w:rsidR="005E4C3F" w:rsidRDefault="005E4C3F"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172" w:rsidRDefault="008E71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3F" w:rsidRDefault="005E4C3F" w:rsidP="00896A7A">
    <w:pPr>
      <w:pStyle w:val="Header"/>
      <w:tabs>
        <w:tab w:val="clear" w:pos="4320"/>
        <w:tab w:val="clear" w:pos="8640"/>
        <w:tab w:val="center" w:pos="4680"/>
        <w:tab w:val="right" w:pos="9360"/>
      </w:tabs>
      <w:jc w:val="right"/>
      <w:rPr>
        <w:b/>
      </w:rPr>
    </w:pPr>
    <w:r>
      <w:rPr>
        <w:b/>
      </w:rPr>
      <w:t>Redacted</w:t>
    </w:r>
  </w:p>
  <w:p w:rsidR="005E4C3F" w:rsidRDefault="005E4C3F">
    <w:pPr>
      <w:pStyle w:val="Header"/>
      <w:tabs>
        <w:tab w:val="clear" w:pos="4320"/>
        <w:tab w:val="clear" w:pos="8640"/>
        <w:tab w:val="center" w:pos="4680"/>
        <w:tab w:val="right" w:pos="9360"/>
      </w:tabs>
      <w:rPr>
        <w:b/>
      </w:rPr>
    </w:pPr>
    <w:r>
      <w:rPr>
        <w:b/>
      </w:rPr>
      <w:tab/>
      <w:t>Federal Communications Commission</w:t>
    </w:r>
    <w:r>
      <w:rPr>
        <w:b/>
      </w:rPr>
      <w:tab/>
    </w:r>
    <w:r w:rsidR="00DA7E86">
      <w:rPr>
        <w:b/>
      </w:rPr>
      <w:t>DA 13-757</w:t>
    </w:r>
    <w:r>
      <w:rPr>
        <w:b/>
      </w:rPr>
      <w:t xml:space="preserve"> </w:t>
    </w:r>
  </w:p>
  <w:p w:rsidR="005E4C3F" w:rsidRDefault="005E4C3F">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1E97786" wp14:editId="749B0B8B">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5E4C3F" w:rsidRDefault="005E4C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3F" w:rsidRDefault="005E4C3F" w:rsidP="00896A7A">
    <w:pPr>
      <w:pStyle w:val="Header"/>
      <w:tabs>
        <w:tab w:val="clear" w:pos="4320"/>
        <w:tab w:val="clear" w:pos="8640"/>
        <w:tab w:val="center" w:pos="4680"/>
        <w:tab w:val="right" w:pos="9360"/>
      </w:tabs>
      <w:jc w:val="right"/>
      <w:rPr>
        <w:b/>
      </w:rPr>
    </w:pPr>
    <w:r>
      <w:rPr>
        <w:b/>
      </w:rPr>
      <w:t>Redacted</w:t>
    </w:r>
  </w:p>
  <w:p w:rsidR="005E4C3F" w:rsidRDefault="005E4C3F" w:rsidP="00896A7A">
    <w:pPr>
      <w:pStyle w:val="Header"/>
      <w:tabs>
        <w:tab w:val="clear" w:pos="4320"/>
        <w:tab w:val="clear" w:pos="8640"/>
        <w:tab w:val="center" w:pos="4680"/>
        <w:tab w:val="right" w:pos="9360"/>
      </w:tabs>
      <w:jc w:val="right"/>
      <w:rPr>
        <w:b/>
      </w:rPr>
    </w:pPr>
    <w:r>
      <w:rPr>
        <w:b/>
      </w:rPr>
      <w:tab/>
      <w:t>Federal Communications Commission</w:t>
    </w:r>
    <w:r>
      <w:rPr>
        <w:b/>
      </w:rPr>
      <w:tab/>
    </w:r>
    <w:r w:rsidR="00DA7E86">
      <w:rPr>
        <w:b/>
      </w:rPr>
      <w:t>DA 13-757</w:t>
    </w:r>
  </w:p>
  <w:p w:rsidR="005E4C3F" w:rsidRDefault="005E4C3F">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96E5F"/>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4373B"/>
    <w:rsid w:val="00153684"/>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A0020"/>
    <w:rsid w:val="002A1544"/>
    <w:rsid w:val="002B129B"/>
    <w:rsid w:val="002C0B06"/>
    <w:rsid w:val="002D1542"/>
    <w:rsid w:val="002F1382"/>
    <w:rsid w:val="002F21E3"/>
    <w:rsid w:val="002F2C4E"/>
    <w:rsid w:val="002F3B74"/>
    <w:rsid w:val="002F4229"/>
    <w:rsid w:val="00304266"/>
    <w:rsid w:val="003067BC"/>
    <w:rsid w:val="00324538"/>
    <w:rsid w:val="00325FFA"/>
    <w:rsid w:val="00333A2B"/>
    <w:rsid w:val="00335769"/>
    <w:rsid w:val="00342DE9"/>
    <w:rsid w:val="00345BE3"/>
    <w:rsid w:val="00347EC6"/>
    <w:rsid w:val="003510E3"/>
    <w:rsid w:val="00353BD6"/>
    <w:rsid w:val="00353DB4"/>
    <w:rsid w:val="00362BD6"/>
    <w:rsid w:val="00371821"/>
    <w:rsid w:val="00371FC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06BB"/>
    <w:rsid w:val="003C1059"/>
    <w:rsid w:val="003C4A57"/>
    <w:rsid w:val="003C648A"/>
    <w:rsid w:val="003D093E"/>
    <w:rsid w:val="003E0F78"/>
    <w:rsid w:val="003E2CE1"/>
    <w:rsid w:val="003E32C1"/>
    <w:rsid w:val="003E35CF"/>
    <w:rsid w:val="003E6422"/>
    <w:rsid w:val="003F02B5"/>
    <w:rsid w:val="003F7C76"/>
    <w:rsid w:val="00422057"/>
    <w:rsid w:val="004342C8"/>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415C"/>
    <w:rsid w:val="004A72E5"/>
    <w:rsid w:val="004B255B"/>
    <w:rsid w:val="004C7BFE"/>
    <w:rsid w:val="004D2520"/>
    <w:rsid w:val="004D6582"/>
    <w:rsid w:val="004D6F7B"/>
    <w:rsid w:val="004E3C18"/>
    <w:rsid w:val="004E4230"/>
    <w:rsid w:val="004E4FFD"/>
    <w:rsid w:val="004F0F9A"/>
    <w:rsid w:val="00501288"/>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4C3F"/>
    <w:rsid w:val="005E5D0B"/>
    <w:rsid w:val="005E70E2"/>
    <w:rsid w:val="005F36E4"/>
    <w:rsid w:val="005F3A50"/>
    <w:rsid w:val="00606D04"/>
    <w:rsid w:val="0061016D"/>
    <w:rsid w:val="006106A4"/>
    <w:rsid w:val="00616C0C"/>
    <w:rsid w:val="0062088B"/>
    <w:rsid w:val="00621BE4"/>
    <w:rsid w:val="0062615B"/>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B3159"/>
    <w:rsid w:val="006D0169"/>
    <w:rsid w:val="006D08A2"/>
    <w:rsid w:val="006E0EE3"/>
    <w:rsid w:val="006F0EF7"/>
    <w:rsid w:val="006F6552"/>
    <w:rsid w:val="00700631"/>
    <w:rsid w:val="00701C2A"/>
    <w:rsid w:val="00713A8F"/>
    <w:rsid w:val="007174CB"/>
    <w:rsid w:val="007209A5"/>
    <w:rsid w:val="00732877"/>
    <w:rsid w:val="007401B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603"/>
    <w:rsid w:val="007B3484"/>
    <w:rsid w:val="007C4310"/>
    <w:rsid w:val="007C5AAC"/>
    <w:rsid w:val="007D7B0A"/>
    <w:rsid w:val="007E0F6E"/>
    <w:rsid w:val="007E5956"/>
    <w:rsid w:val="007E5D1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6C04"/>
    <w:rsid w:val="008B1BEB"/>
    <w:rsid w:val="008B55BE"/>
    <w:rsid w:val="008C49C1"/>
    <w:rsid w:val="008D4312"/>
    <w:rsid w:val="008D5480"/>
    <w:rsid w:val="008E665A"/>
    <w:rsid w:val="008E7172"/>
    <w:rsid w:val="008E73D6"/>
    <w:rsid w:val="008F71BF"/>
    <w:rsid w:val="00902A9E"/>
    <w:rsid w:val="00906609"/>
    <w:rsid w:val="009220A1"/>
    <w:rsid w:val="00922725"/>
    <w:rsid w:val="00923853"/>
    <w:rsid w:val="0094136B"/>
    <w:rsid w:val="00944F24"/>
    <w:rsid w:val="009532B9"/>
    <w:rsid w:val="00954696"/>
    <w:rsid w:val="009618C1"/>
    <w:rsid w:val="00974D77"/>
    <w:rsid w:val="0098209F"/>
    <w:rsid w:val="009828CB"/>
    <w:rsid w:val="00984900"/>
    <w:rsid w:val="00990B04"/>
    <w:rsid w:val="00992EE3"/>
    <w:rsid w:val="009938E6"/>
    <w:rsid w:val="00995A81"/>
    <w:rsid w:val="009B083B"/>
    <w:rsid w:val="009B3432"/>
    <w:rsid w:val="009B6F53"/>
    <w:rsid w:val="009C1B9E"/>
    <w:rsid w:val="009C4FC4"/>
    <w:rsid w:val="009C5E2C"/>
    <w:rsid w:val="009C7B9B"/>
    <w:rsid w:val="009D1842"/>
    <w:rsid w:val="009D3B4C"/>
    <w:rsid w:val="009D7038"/>
    <w:rsid w:val="009E2C71"/>
    <w:rsid w:val="009E53F7"/>
    <w:rsid w:val="009E6486"/>
    <w:rsid w:val="009F365B"/>
    <w:rsid w:val="00A0190E"/>
    <w:rsid w:val="00A029FE"/>
    <w:rsid w:val="00A039AC"/>
    <w:rsid w:val="00A05F89"/>
    <w:rsid w:val="00A2129F"/>
    <w:rsid w:val="00A300CA"/>
    <w:rsid w:val="00A3320E"/>
    <w:rsid w:val="00A3495E"/>
    <w:rsid w:val="00A35FF3"/>
    <w:rsid w:val="00A37F0C"/>
    <w:rsid w:val="00A52D60"/>
    <w:rsid w:val="00A64438"/>
    <w:rsid w:val="00A65193"/>
    <w:rsid w:val="00A678E2"/>
    <w:rsid w:val="00A74ED3"/>
    <w:rsid w:val="00A775E4"/>
    <w:rsid w:val="00A77CBB"/>
    <w:rsid w:val="00A9095B"/>
    <w:rsid w:val="00A90D46"/>
    <w:rsid w:val="00A95302"/>
    <w:rsid w:val="00A97E45"/>
    <w:rsid w:val="00AA24C5"/>
    <w:rsid w:val="00AB7DDD"/>
    <w:rsid w:val="00AC32C4"/>
    <w:rsid w:val="00AC5D56"/>
    <w:rsid w:val="00AD2DFB"/>
    <w:rsid w:val="00AD7064"/>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54FBE"/>
    <w:rsid w:val="00B646AD"/>
    <w:rsid w:val="00B70C33"/>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E064F"/>
    <w:rsid w:val="00BE255D"/>
    <w:rsid w:val="00BE2699"/>
    <w:rsid w:val="00BE5955"/>
    <w:rsid w:val="00BF4B75"/>
    <w:rsid w:val="00C16F18"/>
    <w:rsid w:val="00C17A15"/>
    <w:rsid w:val="00C17AEC"/>
    <w:rsid w:val="00C24A88"/>
    <w:rsid w:val="00C35282"/>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F3ADB"/>
    <w:rsid w:val="00D00B1D"/>
    <w:rsid w:val="00D116FB"/>
    <w:rsid w:val="00D16BB3"/>
    <w:rsid w:val="00D2180B"/>
    <w:rsid w:val="00D27275"/>
    <w:rsid w:val="00D2775B"/>
    <w:rsid w:val="00D35875"/>
    <w:rsid w:val="00D358A0"/>
    <w:rsid w:val="00D35D13"/>
    <w:rsid w:val="00D44561"/>
    <w:rsid w:val="00D45EA5"/>
    <w:rsid w:val="00D5023B"/>
    <w:rsid w:val="00D663A4"/>
    <w:rsid w:val="00D67542"/>
    <w:rsid w:val="00D77686"/>
    <w:rsid w:val="00D806DB"/>
    <w:rsid w:val="00D84A5A"/>
    <w:rsid w:val="00D860A7"/>
    <w:rsid w:val="00D86C59"/>
    <w:rsid w:val="00DA7E86"/>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4B00"/>
    <w:rsid w:val="00EB656E"/>
    <w:rsid w:val="00EC3CCE"/>
    <w:rsid w:val="00EC49EF"/>
    <w:rsid w:val="00EC5D49"/>
    <w:rsid w:val="00EC7B29"/>
    <w:rsid w:val="00EC7CB5"/>
    <w:rsid w:val="00ED44FE"/>
    <w:rsid w:val="00EE2BAF"/>
    <w:rsid w:val="00EE4898"/>
    <w:rsid w:val="00F044B8"/>
    <w:rsid w:val="00F07E76"/>
    <w:rsid w:val="00F1007A"/>
    <w:rsid w:val="00F10C96"/>
    <w:rsid w:val="00F144A0"/>
    <w:rsid w:val="00F201C5"/>
    <w:rsid w:val="00F23473"/>
    <w:rsid w:val="00F2533F"/>
    <w:rsid w:val="00F2794E"/>
    <w:rsid w:val="00F429D6"/>
    <w:rsid w:val="00F4302F"/>
    <w:rsid w:val="00F44035"/>
    <w:rsid w:val="00F46EC8"/>
    <w:rsid w:val="00F71DC6"/>
    <w:rsid w:val="00F7502F"/>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2</Pages>
  <Words>879</Words>
  <Characters>4800</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2013-04-17T19:46:00Z</dcterms:created>
  <dcterms:modified xsi:type="dcterms:W3CDTF">2013-04-17T19:46:00Z</dcterms:modified>
  <cp:category> </cp:category>
  <cp:contentStatus> </cp:contentStatus>
</cp:coreProperties>
</file>