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E2" w:rsidRPr="009B4E30" w:rsidRDefault="00552DE2">
      <w:pPr>
        <w:pStyle w:val="Heading1"/>
        <w:rPr>
          <w:szCs w:val="22"/>
        </w:rPr>
      </w:pPr>
      <w:bookmarkStart w:id="0" w:name="OLE_LINK1"/>
      <w:bookmarkStart w:id="1" w:name="OLE_LINK2"/>
      <w:bookmarkStart w:id="2" w:name="_GoBack"/>
      <w:bookmarkEnd w:id="2"/>
      <w:r w:rsidRPr="009B4E30">
        <w:rPr>
          <w:szCs w:val="22"/>
        </w:rPr>
        <w:t>Before the</w:t>
      </w:r>
    </w:p>
    <w:p w:rsidR="00552DE2" w:rsidRPr="009B4E30" w:rsidRDefault="00552DE2">
      <w:pPr>
        <w:pStyle w:val="Heading1"/>
        <w:rPr>
          <w:szCs w:val="22"/>
        </w:rPr>
      </w:pPr>
      <w:r w:rsidRPr="009B4E30">
        <w:rPr>
          <w:szCs w:val="22"/>
        </w:rPr>
        <w:t>Federal Communications Commission</w:t>
      </w:r>
    </w:p>
    <w:p w:rsidR="00552DE2" w:rsidRPr="009B4E30" w:rsidRDefault="00552DE2">
      <w:pPr>
        <w:pStyle w:val="Heading1"/>
        <w:rPr>
          <w:szCs w:val="22"/>
        </w:rPr>
      </w:pPr>
      <w:r w:rsidRPr="009B4E30">
        <w:rPr>
          <w:szCs w:val="22"/>
        </w:rPr>
        <w:t>Washington, D.C. 20554</w:t>
      </w:r>
    </w:p>
    <w:p w:rsidR="00552DE2" w:rsidRPr="009B4E30" w:rsidRDefault="00552DE2">
      <w:pPr>
        <w:tabs>
          <w:tab w:val="left" w:pos="-720"/>
        </w:tabs>
        <w:suppressAutoHyphens/>
        <w:spacing w:line="227" w:lineRule="auto"/>
        <w:jc w:val="both"/>
        <w:rPr>
          <w:spacing w:val="-2"/>
          <w:sz w:val="22"/>
          <w:szCs w:val="22"/>
        </w:rPr>
      </w:pPr>
    </w:p>
    <w:tbl>
      <w:tblPr>
        <w:tblW w:w="0" w:type="auto"/>
        <w:tblLook w:val="0000" w:firstRow="0" w:lastRow="0" w:firstColumn="0" w:lastColumn="0" w:noHBand="0" w:noVBand="0"/>
      </w:tblPr>
      <w:tblGrid>
        <w:gridCol w:w="4608"/>
        <w:gridCol w:w="900"/>
        <w:gridCol w:w="4068"/>
      </w:tblGrid>
      <w:tr w:rsidR="00552DE2" w:rsidRPr="009B4E30" w:rsidTr="00625AA1">
        <w:trPr>
          <w:trHeight w:val="1836"/>
        </w:trPr>
        <w:tc>
          <w:tcPr>
            <w:tcW w:w="4608" w:type="dxa"/>
          </w:tcPr>
          <w:p w:rsidR="00552DE2" w:rsidRPr="009B4E30" w:rsidRDefault="00552DE2">
            <w:pPr>
              <w:keepNext/>
              <w:rPr>
                <w:sz w:val="22"/>
                <w:szCs w:val="22"/>
              </w:rPr>
            </w:pPr>
          </w:p>
          <w:p w:rsidR="00552DE2" w:rsidRPr="009B4E30" w:rsidRDefault="00552DE2">
            <w:pPr>
              <w:keepNext/>
              <w:rPr>
                <w:sz w:val="22"/>
                <w:szCs w:val="22"/>
              </w:rPr>
            </w:pPr>
            <w:r w:rsidRPr="009B4E30">
              <w:rPr>
                <w:sz w:val="22"/>
                <w:szCs w:val="22"/>
              </w:rPr>
              <w:t>In the Matter of</w:t>
            </w:r>
          </w:p>
          <w:p w:rsidR="00552DE2" w:rsidRPr="009B4E30" w:rsidRDefault="00552DE2">
            <w:pPr>
              <w:keepNext/>
              <w:rPr>
                <w:sz w:val="22"/>
                <w:szCs w:val="22"/>
              </w:rPr>
            </w:pPr>
          </w:p>
          <w:p w:rsidR="00552DE2" w:rsidRPr="009B4E30" w:rsidRDefault="00552DE2">
            <w:pPr>
              <w:keepNext/>
              <w:rPr>
                <w:sz w:val="22"/>
                <w:szCs w:val="22"/>
              </w:rPr>
            </w:pPr>
            <w:r w:rsidRPr="009B4E30">
              <w:rPr>
                <w:sz w:val="22"/>
                <w:szCs w:val="22"/>
              </w:rPr>
              <w:t>Teleplus, LLC</w:t>
            </w:r>
          </w:p>
          <w:p w:rsidR="00552DE2" w:rsidRPr="009B4E30" w:rsidRDefault="00552DE2">
            <w:pPr>
              <w:keepNext/>
              <w:rPr>
                <w:sz w:val="22"/>
                <w:szCs w:val="22"/>
              </w:rPr>
            </w:pPr>
          </w:p>
        </w:tc>
        <w:tc>
          <w:tcPr>
            <w:tcW w:w="900" w:type="dxa"/>
          </w:tcPr>
          <w:p w:rsidR="00552DE2" w:rsidRPr="009B4E30" w:rsidRDefault="00552DE2">
            <w:pPr>
              <w:keepNext/>
              <w:rPr>
                <w:sz w:val="22"/>
                <w:szCs w:val="22"/>
              </w:rPr>
            </w:pPr>
            <w:r w:rsidRPr="009B4E30">
              <w:rPr>
                <w:sz w:val="22"/>
                <w:szCs w:val="22"/>
              </w:rPr>
              <w:t>)</w:t>
            </w:r>
          </w:p>
          <w:p w:rsidR="00552DE2" w:rsidRPr="009B4E30" w:rsidRDefault="00552DE2">
            <w:pPr>
              <w:keepNext/>
              <w:rPr>
                <w:sz w:val="22"/>
                <w:szCs w:val="22"/>
              </w:rPr>
            </w:pPr>
            <w:r w:rsidRPr="009B4E30">
              <w:rPr>
                <w:sz w:val="22"/>
                <w:szCs w:val="22"/>
              </w:rPr>
              <w:t>)</w:t>
            </w:r>
          </w:p>
          <w:p w:rsidR="00552DE2" w:rsidRPr="009B4E30" w:rsidRDefault="00552DE2">
            <w:pPr>
              <w:keepNext/>
              <w:rPr>
                <w:sz w:val="22"/>
                <w:szCs w:val="22"/>
              </w:rPr>
            </w:pPr>
            <w:r w:rsidRPr="009B4E30">
              <w:rPr>
                <w:sz w:val="22"/>
                <w:szCs w:val="22"/>
              </w:rPr>
              <w:t>)</w:t>
            </w:r>
          </w:p>
          <w:p w:rsidR="00552DE2" w:rsidRPr="009B4E30" w:rsidRDefault="00552DE2">
            <w:pPr>
              <w:keepNext/>
              <w:rPr>
                <w:sz w:val="22"/>
                <w:szCs w:val="22"/>
              </w:rPr>
            </w:pPr>
            <w:r w:rsidRPr="009B4E30">
              <w:rPr>
                <w:sz w:val="22"/>
                <w:szCs w:val="22"/>
              </w:rPr>
              <w:t>)</w:t>
            </w:r>
          </w:p>
          <w:p w:rsidR="00552DE2" w:rsidRPr="009B4E30" w:rsidRDefault="00552DE2">
            <w:pPr>
              <w:keepNext/>
              <w:rPr>
                <w:sz w:val="22"/>
                <w:szCs w:val="22"/>
              </w:rPr>
            </w:pPr>
            <w:r w:rsidRPr="009B4E30">
              <w:rPr>
                <w:sz w:val="22"/>
                <w:szCs w:val="22"/>
              </w:rPr>
              <w:t>)</w:t>
            </w:r>
          </w:p>
          <w:p w:rsidR="00552DE2" w:rsidRPr="009B4E30" w:rsidRDefault="00552DE2">
            <w:pPr>
              <w:keepNext/>
              <w:rPr>
                <w:sz w:val="22"/>
                <w:szCs w:val="22"/>
              </w:rPr>
            </w:pPr>
            <w:r w:rsidRPr="009B4E30">
              <w:rPr>
                <w:sz w:val="22"/>
                <w:szCs w:val="22"/>
              </w:rPr>
              <w:t>)</w:t>
            </w:r>
          </w:p>
        </w:tc>
        <w:tc>
          <w:tcPr>
            <w:tcW w:w="4068" w:type="dxa"/>
          </w:tcPr>
          <w:p w:rsidR="00552DE2" w:rsidRPr="009B4E30" w:rsidRDefault="00552DE2">
            <w:pPr>
              <w:ind w:left="-108" w:firstLine="108"/>
              <w:rPr>
                <w:spacing w:val="-2"/>
                <w:sz w:val="22"/>
                <w:szCs w:val="22"/>
              </w:rPr>
            </w:pPr>
          </w:p>
          <w:p w:rsidR="00552DE2" w:rsidRPr="009B4E30" w:rsidRDefault="00552DE2" w:rsidP="000B2EED">
            <w:pPr>
              <w:spacing w:after="100" w:afterAutospacing="1"/>
              <w:ind w:hanging="18"/>
              <w:rPr>
                <w:spacing w:val="-2"/>
                <w:sz w:val="22"/>
                <w:szCs w:val="22"/>
              </w:rPr>
            </w:pPr>
            <w:r w:rsidRPr="009B4E30">
              <w:rPr>
                <w:spacing w:val="-2"/>
                <w:sz w:val="22"/>
                <w:szCs w:val="22"/>
              </w:rPr>
              <w:t xml:space="preserve">File No.:  </w:t>
            </w:r>
            <w:r w:rsidR="00702541">
              <w:rPr>
                <w:sz w:val="22"/>
                <w:szCs w:val="22"/>
              </w:rPr>
              <w:t>EB-08-IH-5</w:t>
            </w:r>
            <w:r w:rsidR="005B3D19">
              <w:rPr>
                <w:sz w:val="22"/>
                <w:szCs w:val="22"/>
              </w:rPr>
              <w:t>2</w:t>
            </w:r>
            <w:r w:rsidR="00702541">
              <w:rPr>
                <w:sz w:val="22"/>
                <w:szCs w:val="22"/>
              </w:rPr>
              <w:t>1</w:t>
            </w:r>
            <w:r w:rsidRPr="009B4E30">
              <w:rPr>
                <w:sz w:val="22"/>
                <w:szCs w:val="22"/>
              </w:rPr>
              <w:t>7</w:t>
            </w:r>
          </w:p>
          <w:p w:rsidR="00552DE2" w:rsidRPr="009B4E30" w:rsidRDefault="00552DE2" w:rsidP="000B2EED">
            <w:pPr>
              <w:spacing w:after="100" w:afterAutospacing="1"/>
              <w:rPr>
                <w:spacing w:val="-2"/>
                <w:sz w:val="22"/>
                <w:szCs w:val="22"/>
              </w:rPr>
            </w:pPr>
            <w:r w:rsidRPr="009B4E30">
              <w:rPr>
                <w:spacing w:val="-2"/>
                <w:sz w:val="22"/>
                <w:szCs w:val="22"/>
              </w:rPr>
              <w:t>Acct. No.:  200932080046</w:t>
            </w:r>
          </w:p>
          <w:p w:rsidR="00552DE2" w:rsidRPr="009B4E30" w:rsidRDefault="00552DE2" w:rsidP="00280CCE">
            <w:pPr>
              <w:keepNext/>
              <w:rPr>
                <w:sz w:val="22"/>
                <w:szCs w:val="22"/>
              </w:rPr>
            </w:pPr>
            <w:r w:rsidRPr="009B4E30">
              <w:rPr>
                <w:sz w:val="22"/>
                <w:szCs w:val="22"/>
              </w:rPr>
              <w:t>FRN:  001</w:t>
            </w:r>
            <w:r w:rsidR="00280CCE">
              <w:rPr>
                <w:sz w:val="22"/>
                <w:szCs w:val="22"/>
              </w:rPr>
              <w:t>4157283</w:t>
            </w:r>
          </w:p>
        </w:tc>
      </w:tr>
    </w:tbl>
    <w:p w:rsidR="00552DE2" w:rsidRPr="009B4E30" w:rsidRDefault="00552DE2">
      <w:pPr>
        <w:pStyle w:val="Heading1"/>
        <w:rPr>
          <w:szCs w:val="22"/>
        </w:rPr>
      </w:pPr>
      <w:r w:rsidRPr="009B4E30">
        <w:rPr>
          <w:szCs w:val="22"/>
        </w:rPr>
        <w:fldChar w:fldCharType="begin"/>
      </w:r>
      <w:r w:rsidRPr="009B4E30">
        <w:rPr>
          <w:szCs w:val="22"/>
        </w:rPr>
        <w:instrText xml:space="preserve"> AUTOTEXTLIST  \* MERGEFORMAT </w:instrText>
      </w:r>
      <w:r w:rsidRPr="009B4E30">
        <w:rPr>
          <w:szCs w:val="22"/>
        </w:rPr>
        <w:fldChar w:fldCharType="separate"/>
      </w:r>
      <w:r w:rsidRPr="009B4E30">
        <w:rPr>
          <w:szCs w:val="22"/>
        </w:rPr>
        <w:t>ORDER</w:t>
      </w:r>
      <w:r w:rsidRPr="009B4E30">
        <w:rPr>
          <w:szCs w:val="22"/>
        </w:rPr>
        <w:fldChar w:fldCharType="end"/>
      </w:r>
    </w:p>
    <w:p w:rsidR="00552DE2" w:rsidRPr="009B4E30" w:rsidRDefault="00552DE2" w:rsidP="002A18DC">
      <w:pPr>
        <w:tabs>
          <w:tab w:val="left" w:pos="-720"/>
        </w:tabs>
        <w:suppressAutoHyphens/>
        <w:spacing w:line="227" w:lineRule="auto"/>
        <w:jc w:val="center"/>
        <w:rPr>
          <w:spacing w:val="-2"/>
          <w:sz w:val="22"/>
          <w:szCs w:val="22"/>
        </w:rPr>
      </w:pPr>
    </w:p>
    <w:p w:rsidR="00552DE2" w:rsidRPr="009B4E30" w:rsidRDefault="00552DE2">
      <w:pPr>
        <w:tabs>
          <w:tab w:val="left" w:pos="720"/>
          <w:tab w:val="left" w:pos="5400"/>
        </w:tabs>
        <w:suppressAutoHyphens/>
        <w:spacing w:line="227" w:lineRule="auto"/>
        <w:jc w:val="both"/>
        <w:rPr>
          <w:spacing w:val="-2"/>
          <w:sz w:val="22"/>
          <w:szCs w:val="22"/>
        </w:rPr>
      </w:pPr>
      <w:r w:rsidRPr="009B4E30">
        <w:rPr>
          <w:b/>
          <w:spacing w:val="-2"/>
          <w:sz w:val="22"/>
          <w:szCs w:val="22"/>
        </w:rPr>
        <w:t xml:space="preserve">Adopted:  </w:t>
      </w:r>
      <w:r w:rsidR="00A42248">
        <w:rPr>
          <w:b/>
          <w:spacing w:val="-2"/>
          <w:sz w:val="22"/>
          <w:szCs w:val="22"/>
        </w:rPr>
        <w:t xml:space="preserve">May </w:t>
      </w:r>
      <w:r w:rsidR="00710A4D">
        <w:rPr>
          <w:b/>
          <w:spacing w:val="-2"/>
          <w:sz w:val="22"/>
          <w:szCs w:val="22"/>
        </w:rPr>
        <w:t>6</w:t>
      </w:r>
      <w:r w:rsidRPr="009B4E30">
        <w:rPr>
          <w:b/>
          <w:spacing w:val="-2"/>
          <w:sz w:val="22"/>
          <w:szCs w:val="22"/>
        </w:rPr>
        <w:t>, 2013</w:t>
      </w:r>
      <w:r w:rsidRPr="009B4E30">
        <w:rPr>
          <w:b/>
          <w:spacing w:val="-2"/>
          <w:sz w:val="22"/>
          <w:szCs w:val="22"/>
        </w:rPr>
        <w:tab/>
        <w:t xml:space="preserve">                     Released:  </w:t>
      </w:r>
      <w:r w:rsidR="00A42248">
        <w:rPr>
          <w:b/>
          <w:spacing w:val="-2"/>
          <w:sz w:val="22"/>
          <w:szCs w:val="22"/>
        </w:rPr>
        <w:t>May</w:t>
      </w:r>
      <w:r w:rsidRPr="009B4E30">
        <w:rPr>
          <w:b/>
          <w:spacing w:val="-2"/>
          <w:sz w:val="22"/>
          <w:szCs w:val="22"/>
        </w:rPr>
        <w:t xml:space="preserve"> </w:t>
      </w:r>
      <w:r w:rsidR="00FC5A64">
        <w:rPr>
          <w:b/>
          <w:spacing w:val="-2"/>
          <w:sz w:val="22"/>
          <w:szCs w:val="22"/>
        </w:rPr>
        <w:t>6</w:t>
      </w:r>
      <w:r w:rsidRPr="009B4E30">
        <w:rPr>
          <w:b/>
          <w:spacing w:val="-2"/>
          <w:sz w:val="22"/>
          <w:szCs w:val="22"/>
        </w:rPr>
        <w:t>, 2013</w:t>
      </w:r>
    </w:p>
    <w:p w:rsidR="00552DE2" w:rsidRPr="009B4E30" w:rsidRDefault="00552DE2">
      <w:pPr>
        <w:jc w:val="both"/>
        <w:rPr>
          <w:sz w:val="22"/>
          <w:szCs w:val="22"/>
        </w:rPr>
      </w:pPr>
    </w:p>
    <w:p w:rsidR="00552DE2" w:rsidRPr="009B4E30" w:rsidRDefault="00552DE2">
      <w:pPr>
        <w:jc w:val="both"/>
        <w:rPr>
          <w:sz w:val="22"/>
          <w:szCs w:val="22"/>
        </w:rPr>
      </w:pPr>
      <w:r w:rsidRPr="009B4E30">
        <w:rPr>
          <w:sz w:val="22"/>
          <w:szCs w:val="22"/>
        </w:rPr>
        <w:t xml:space="preserve">By the Chief, Enforcement Bureau: </w:t>
      </w:r>
    </w:p>
    <w:p w:rsidR="00552DE2" w:rsidRPr="009B4E30" w:rsidRDefault="00552DE2">
      <w:pPr>
        <w:keepNext/>
        <w:rPr>
          <w:sz w:val="22"/>
          <w:szCs w:val="22"/>
        </w:rPr>
      </w:pPr>
    </w:p>
    <w:p w:rsidR="00552DE2" w:rsidRPr="009B4E30" w:rsidRDefault="00552DE2" w:rsidP="003C2599">
      <w:pPr>
        <w:pStyle w:val="Paranum0"/>
        <w:jc w:val="left"/>
        <w:rPr>
          <w:szCs w:val="22"/>
        </w:rPr>
      </w:pPr>
      <w:r w:rsidRPr="009B4E30">
        <w:rPr>
          <w:szCs w:val="22"/>
        </w:rPr>
        <w:tab/>
        <w:t xml:space="preserve">In this Order, we adopt the attached Consent Decree entered into between the Enforcement Bureau (Bureau) of the Federal Communications Commission and Teleplus, LLC (Teleplus).  The Consent Decree terminates and resolves an investigation by the Bureau </w:t>
      </w:r>
      <w:r w:rsidR="00C1262B">
        <w:rPr>
          <w:szCs w:val="22"/>
        </w:rPr>
        <w:t xml:space="preserve">into whether </w:t>
      </w:r>
      <w:r w:rsidRPr="009B4E30">
        <w:rPr>
          <w:szCs w:val="22"/>
        </w:rPr>
        <w:t>Teleplus violat</w:t>
      </w:r>
      <w:r w:rsidR="00C1262B">
        <w:rPr>
          <w:szCs w:val="22"/>
        </w:rPr>
        <w:t>ed</w:t>
      </w:r>
      <w:r w:rsidRPr="009B4E30">
        <w:rPr>
          <w:color w:val="000000"/>
          <w:szCs w:val="22"/>
        </w:rPr>
        <w:t xml:space="preserve"> Section 214 of the Communications Act of 1934, as amended (Act), and Section 63.18 </w:t>
      </w:r>
      <w:r w:rsidRPr="009B4E30">
        <w:rPr>
          <w:szCs w:val="22"/>
        </w:rPr>
        <w:t xml:space="preserve">of the Commission’s rules (Rules) </w:t>
      </w:r>
      <w:r w:rsidR="00C1262B">
        <w:rPr>
          <w:szCs w:val="22"/>
        </w:rPr>
        <w:t>by</w:t>
      </w:r>
      <w:r w:rsidRPr="009B4E30">
        <w:rPr>
          <w:szCs w:val="22"/>
        </w:rPr>
        <w:t xml:space="preserve"> fail</w:t>
      </w:r>
      <w:r w:rsidR="00C1262B">
        <w:rPr>
          <w:szCs w:val="22"/>
        </w:rPr>
        <w:t>ing</w:t>
      </w:r>
      <w:r w:rsidRPr="009B4E30">
        <w:rPr>
          <w:szCs w:val="22"/>
        </w:rPr>
        <w:t xml:space="preserve"> to apply for and obtain an international Section 214 authorization before providing international telecommunications service.</w:t>
      </w:r>
      <w:r w:rsidRPr="009B4E30">
        <w:rPr>
          <w:rStyle w:val="FootnoteReference"/>
          <w:sz w:val="22"/>
          <w:szCs w:val="22"/>
        </w:rPr>
        <w:footnoteReference w:id="2"/>
      </w:r>
    </w:p>
    <w:p w:rsidR="00552DE2" w:rsidRPr="009B4E30" w:rsidRDefault="00552DE2" w:rsidP="003C2599">
      <w:pPr>
        <w:pStyle w:val="Paranum0"/>
        <w:jc w:val="left"/>
        <w:rPr>
          <w:szCs w:val="22"/>
        </w:rPr>
      </w:pPr>
      <w:r w:rsidRPr="009B4E30">
        <w:rPr>
          <w:szCs w:val="22"/>
        </w:rPr>
        <w:tab/>
        <w:t xml:space="preserve">A </w:t>
      </w:r>
      <w:r w:rsidR="007A14D5" w:rsidRPr="009B4E30">
        <w:rPr>
          <w:szCs w:val="22"/>
        </w:rPr>
        <w:t xml:space="preserve">copy of the </w:t>
      </w:r>
      <w:r w:rsidRPr="009B4E30">
        <w:rPr>
          <w:szCs w:val="22"/>
        </w:rPr>
        <w:t xml:space="preserve">Consent Decree </w:t>
      </w:r>
      <w:r w:rsidR="00C1262B">
        <w:rPr>
          <w:szCs w:val="22"/>
        </w:rPr>
        <w:t xml:space="preserve">negotiated by the Bureau and Teleplus, which includes a three-year compliance plan requirement, </w:t>
      </w:r>
      <w:r w:rsidRPr="009B4E30">
        <w:rPr>
          <w:szCs w:val="22"/>
        </w:rPr>
        <w:t>is attached hereto and incorporated herein by reference.</w:t>
      </w:r>
    </w:p>
    <w:p w:rsidR="00552DE2" w:rsidRPr="009B4E30" w:rsidRDefault="00552DE2">
      <w:pPr>
        <w:pStyle w:val="Paranum0"/>
        <w:tabs>
          <w:tab w:val="clear" w:pos="1080"/>
          <w:tab w:val="num" w:pos="1440"/>
        </w:tabs>
        <w:jc w:val="left"/>
        <w:rPr>
          <w:szCs w:val="22"/>
        </w:rPr>
      </w:pPr>
      <w:r w:rsidRPr="009B4E30">
        <w:rPr>
          <w:szCs w:val="22"/>
        </w:rPr>
        <w:t>After reviewing the terms of the Consent Decree and evaluating the facts before us, we find the public interest would be served by adopting the Consent Decree and terminating the investigation.</w:t>
      </w:r>
    </w:p>
    <w:p w:rsidR="00552DE2" w:rsidRPr="009B4E30" w:rsidRDefault="00552DE2">
      <w:pPr>
        <w:pStyle w:val="Paranum0"/>
        <w:tabs>
          <w:tab w:val="clear" w:pos="1080"/>
          <w:tab w:val="num" w:pos="1440"/>
        </w:tabs>
        <w:jc w:val="left"/>
        <w:rPr>
          <w:szCs w:val="22"/>
        </w:rPr>
      </w:pPr>
      <w:r w:rsidRPr="009B4E30">
        <w:rPr>
          <w:szCs w:val="22"/>
        </w:rPr>
        <w:t>In the absence of material new evidence relating to this matter, we conclude the investigation raises no substantial or material questions of fact as to whether Teleplus possesses the basic qualifications, including those related to character, to hold or obtain any Commission license or authorization.</w:t>
      </w:r>
    </w:p>
    <w:p w:rsidR="00552DE2" w:rsidRPr="009B4E30" w:rsidRDefault="00552DE2">
      <w:pPr>
        <w:pStyle w:val="Paranum0"/>
        <w:tabs>
          <w:tab w:val="clear" w:pos="1080"/>
          <w:tab w:val="num" w:pos="1440"/>
        </w:tabs>
        <w:jc w:val="left"/>
        <w:rPr>
          <w:szCs w:val="22"/>
        </w:rPr>
      </w:pPr>
      <w:r w:rsidRPr="009B4E30">
        <w:rPr>
          <w:szCs w:val="22"/>
        </w:rPr>
        <w:t xml:space="preserve">Accordingly, </w:t>
      </w:r>
      <w:r w:rsidRPr="009B4E30">
        <w:rPr>
          <w:b/>
          <w:szCs w:val="22"/>
        </w:rPr>
        <w:t>IT IS ORDERED</w:t>
      </w:r>
      <w:r w:rsidRPr="009B4E30">
        <w:rPr>
          <w:szCs w:val="22"/>
        </w:rPr>
        <w:t xml:space="preserve"> that, pursuant to Sections 4(i), 4(j), and 503(b) of the Act,</w:t>
      </w:r>
      <w:r w:rsidRPr="009B4E30">
        <w:rPr>
          <w:rStyle w:val="FootnoteReference"/>
          <w:sz w:val="22"/>
          <w:szCs w:val="22"/>
        </w:rPr>
        <w:footnoteReference w:id="3"/>
      </w:r>
      <w:r w:rsidRPr="009B4E30">
        <w:rPr>
          <w:szCs w:val="22"/>
        </w:rPr>
        <w:t xml:space="preserve"> and Sections 0.111 and 0.311 of the Rules,</w:t>
      </w:r>
      <w:r w:rsidRPr="009B4E30">
        <w:rPr>
          <w:rStyle w:val="FootnoteReference"/>
          <w:sz w:val="22"/>
          <w:szCs w:val="22"/>
        </w:rPr>
        <w:footnoteReference w:id="4"/>
      </w:r>
      <w:r w:rsidRPr="009B4E30">
        <w:rPr>
          <w:szCs w:val="22"/>
        </w:rPr>
        <w:t xml:space="preserve"> the Consent Decree attached to this Order </w:t>
      </w:r>
      <w:r w:rsidRPr="009B4E30">
        <w:rPr>
          <w:b/>
          <w:szCs w:val="22"/>
        </w:rPr>
        <w:t>IS ADOPTED</w:t>
      </w:r>
      <w:r w:rsidRPr="009B4E30">
        <w:rPr>
          <w:szCs w:val="22"/>
        </w:rPr>
        <w:t>.</w:t>
      </w:r>
    </w:p>
    <w:p w:rsidR="00552DE2" w:rsidRPr="009B4E30" w:rsidRDefault="00552DE2">
      <w:pPr>
        <w:pStyle w:val="Paranum0"/>
        <w:tabs>
          <w:tab w:val="clear" w:pos="1080"/>
          <w:tab w:val="num" w:pos="1440"/>
        </w:tabs>
        <w:jc w:val="left"/>
        <w:rPr>
          <w:szCs w:val="22"/>
        </w:rPr>
      </w:pPr>
      <w:r w:rsidRPr="009B4E30">
        <w:rPr>
          <w:b/>
          <w:szCs w:val="22"/>
        </w:rPr>
        <w:t xml:space="preserve">IT IS FURTHER ORDERED </w:t>
      </w:r>
      <w:r w:rsidRPr="009B4E30">
        <w:rPr>
          <w:szCs w:val="22"/>
        </w:rPr>
        <w:t>that the above-captioned investigation</w:t>
      </w:r>
      <w:r w:rsidRPr="009B4E30">
        <w:rPr>
          <w:b/>
          <w:szCs w:val="22"/>
        </w:rPr>
        <w:t xml:space="preserve"> IS TERMINATED</w:t>
      </w:r>
      <w:r w:rsidRPr="009B4E30">
        <w:rPr>
          <w:szCs w:val="22"/>
        </w:rPr>
        <w:t>.</w:t>
      </w:r>
    </w:p>
    <w:p w:rsidR="00552DE2" w:rsidRPr="009B4E30" w:rsidRDefault="00552DE2" w:rsidP="00D43707">
      <w:pPr>
        <w:pStyle w:val="Paranum0"/>
        <w:keepNext/>
        <w:tabs>
          <w:tab w:val="clear" w:pos="1080"/>
          <w:tab w:val="num" w:pos="1440"/>
        </w:tabs>
        <w:jc w:val="left"/>
        <w:rPr>
          <w:szCs w:val="22"/>
        </w:rPr>
      </w:pPr>
      <w:r w:rsidRPr="009B4E30">
        <w:rPr>
          <w:b/>
          <w:szCs w:val="22"/>
        </w:rPr>
        <w:lastRenderedPageBreak/>
        <w:t xml:space="preserve">IT IS FURTHER ORDERED </w:t>
      </w:r>
      <w:r w:rsidRPr="009B4E30">
        <w:rPr>
          <w:szCs w:val="22"/>
        </w:rPr>
        <w:t xml:space="preserve">that a copy of this Order and Consent Decree shall be sent by first-class mail and certified mail, return receipt requested to Glenn B. Manishin, </w:t>
      </w:r>
      <w:r w:rsidRPr="009B4E30">
        <w:rPr>
          <w:bCs/>
          <w:color w:val="000000"/>
          <w:szCs w:val="22"/>
        </w:rPr>
        <w:t xml:space="preserve">Counsel for Teleplus, LLC, Troutman Sanders, LLP, </w:t>
      </w:r>
      <w:r w:rsidRPr="009B4E30">
        <w:rPr>
          <w:color w:val="000000"/>
          <w:szCs w:val="22"/>
        </w:rPr>
        <w:t>401 9th Street, N.W., Suite 1000, Washington, D.C. 20004-2134.</w:t>
      </w:r>
    </w:p>
    <w:p w:rsidR="00552DE2" w:rsidRPr="009B4E30" w:rsidRDefault="00552DE2" w:rsidP="00D43707">
      <w:pPr>
        <w:keepNext/>
        <w:tabs>
          <w:tab w:val="left" w:pos="0"/>
        </w:tabs>
        <w:suppressAutoHyphens/>
        <w:spacing w:line="240" w:lineRule="atLeast"/>
        <w:jc w:val="both"/>
        <w:rPr>
          <w:sz w:val="22"/>
          <w:szCs w:val="22"/>
        </w:rPr>
      </w:pPr>
      <w:r w:rsidRPr="009B4E30">
        <w:rPr>
          <w:sz w:val="22"/>
          <w:szCs w:val="22"/>
        </w:rPr>
        <w:tab/>
      </w:r>
      <w:r w:rsidRPr="009B4E30">
        <w:rPr>
          <w:sz w:val="22"/>
          <w:szCs w:val="22"/>
        </w:rPr>
        <w:tab/>
      </w:r>
      <w:r w:rsidRPr="009B4E30">
        <w:rPr>
          <w:sz w:val="22"/>
          <w:szCs w:val="22"/>
        </w:rPr>
        <w:tab/>
      </w:r>
      <w:r w:rsidRPr="009B4E30">
        <w:rPr>
          <w:sz w:val="22"/>
          <w:szCs w:val="22"/>
        </w:rPr>
        <w:tab/>
      </w:r>
      <w:r w:rsidRPr="009B4E30">
        <w:rPr>
          <w:sz w:val="22"/>
          <w:szCs w:val="22"/>
        </w:rPr>
        <w:tab/>
      </w:r>
      <w:r w:rsidRPr="009B4E30">
        <w:rPr>
          <w:sz w:val="22"/>
          <w:szCs w:val="22"/>
        </w:rPr>
        <w:tab/>
      </w:r>
    </w:p>
    <w:p w:rsidR="00552DE2" w:rsidRPr="009B4E30" w:rsidRDefault="00552DE2" w:rsidP="00D43707">
      <w:pPr>
        <w:keepNext/>
        <w:tabs>
          <w:tab w:val="left" w:pos="0"/>
        </w:tabs>
        <w:suppressAutoHyphens/>
        <w:spacing w:line="240" w:lineRule="atLeast"/>
        <w:jc w:val="both"/>
        <w:rPr>
          <w:sz w:val="22"/>
          <w:szCs w:val="22"/>
        </w:rPr>
      </w:pPr>
    </w:p>
    <w:p w:rsidR="00552DE2" w:rsidRPr="009B4E30" w:rsidRDefault="00552DE2" w:rsidP="00D43707">
      <w:pPr>
        <w:keepNext/>
        <w:tabs>
          <w:tab w:val="left" w:pos="0"/>
        </w:tabs>
        <w:suppressAutoHyphens/>
        <w:spacing w:line="240" w:lineRule="atLeast"/>
        <w:jc w:val="both"/>
        <w:rPr>
          <w:spacing w:val="-2"/>
          <w:sz w:val="22"/>
          <w:szCs w:val="22"/>
        </w:rPr>
      </w:pPr>
      <w:r w:rsidRPr="009B4E30">
        <w:rPr>
          <w:sz w:val="22"/>
          <w:szCs w:val="22"/>
        </w:rPr>
        <w:tab/>
      </w:r>
      <w:r w:rsidRPr="009B4E30">
        <w:rPr>
          <w:sz w:val="22"/>
          <w:szCs w:val="22"/>
        </w:rPr>
        <w:tab/>
      </w:r>
      <w:r w:rsidRPr="009B4E30">
        <w:rPr>
          <w:sz w:val="22"/>
          <w:szCs w:val="22"/>
        </w:rPr>
        <w:tab/>
      </w:r>
      <w:r w:rsidRPr="009B4E30">
        <w:rPr>
          <w:sz w:val="22"/>
          <w:szCs w:val="22"/>
        </w:rPr>
        <w:tab/>
      </w:r>
      <w:r w:rsidRPr="009B4E30">
        <w:rPr>
          <w:sz w:val="22"/>
          <w:szCs w:val="22"/>
        </w:rPr>
        <w:tab/>
      </w:r>
      <w:r w:rsidRPr="009B4E30">
        <w:rPr>
          <w:sz w:val="22"/>
          <w:szCs w:val="22"/>
        </w:rPr>
        <w:tab/>
      </w:r>
      <w:r w:rsidRPr="009B4E30">
        <w:rPr>
          <w:spacing w:val="-2"/>
          <w:sz w:val="22"/>
          <w:szCs w:val="22"/>
        </w:rPr>
        <w:t>FEDERAL COMMUNICATIONS COMMISSION</w:t>
      </w:r>
    </w:p>
    <w:p w:rsidR="00552DE2" w:rsidRPr="009B4E30" w:rsidRDefault="00552DE2" w:rsidP="00D43707">
      <w:pPr>
        <w:keepNext/>
        <w:tabs>
          <w:tab w:val="left" w:pos="0"/>
        </w:tabs>
        <w:suppressAutoHyphens/>
        <w:spacing w:line="240" w:lineRule="atLeast"/>
        <w:jc w:val="both"/>
        <w:rPr>
          <w:spacing w:val="-2"/>
          <w:sz w:val="22"/>
          <w:szCs w:val="22"/>
        </w:rPr>
      </w:pPr>
      <w:r w:rsidRPr="009B4E30">
        <w:rPr>
          <w:spacing w:val="-2"/>
          <w:sz w:val="22"/>
          <w:szCs w:val="22"/>
        </w:rPr>
        <w:tab/>
      </w:r>
      <w:r w:rsidRPr="009B4E30">
        <w:rPr>
          <w:spacing w:val="-2"/>
          <w:sz w:val="22"/>
          <w:szCs w:val="22"/>
        </w:rPr>
        <w:tab/>
      </w:r>
      <w:r w:rsidRPr="009B4E30">
        <w:rPr>
          <w:spacing w:val="-2"/>
          <w:sz w:val="22"/>
          <w:szCs w:val="22"/>
        </w:rPr>
        <w:tab/>
      </w:r>
      <w:r w:rsidRPr="009B4E30">
        <w:rPr>
          <w:spacing w:val="-2"/>
          <w:sz w:val="22"/>
          <w:szCs w:val="22"/>
        </w:rPr>
        <w:tab/>
      </w:r>
      <w:r w:rsidRPr="009B4E30">
        <w:rPr>
          <w:spacing w:val="-2"/>
          <w:sz w:val="22"/>
          <w:szCs w:val="22"/>
        </w:rPr>
        <w:tab/>
      </w:r>
    </w:p>
    <w:p w:rsidR="00552DE2" w:rsidRPr="009B4E30" w:rsidRDefault="00552DE2" w:rsidP="00D43707">
      <w:pPr>
        <w:keepNext/>
        <w:tabs>
          <w:tab w:val="left" w:pos="0"/>
        </w:tabs>
        <w:suppressAutoHyphens/>
        <w:spacing w:line="240" w:lineRule="atLeast"/>
        <w:jc w:val="both"/>
        <w:rPr>
          <w:spacing w:val="-2"/>
          <w:sz w:val="22"/>
          <w:szCs w:val="22"/>
        </w:rPr>
      </w:pPr>
    </w:p>
    <w:p w:rsidR="00552DE2" w:rsidRPr="009B4E30" w:rsidRDefault="00552DE2" w:rsidP="00D43707">
      <w:pPr>
        <w:keepNext/>
        <w:tabs>
          <w:tab w:val="left" w:pos="0"/>
        </w:tabs>
        <w:suppressAutoHyphens/>
        <w:spacing w:line="240" w:lineRule="atLeast"/>
        <w:jc w:val="both"/>
        <w:rPr>
          <w:spacing w:val="-2"/>
          <w:sz w:val="22"/>
          <w:szCs w:val="22"/>
        </w:rPr>
      </w:pPr>
    </w:p>
    <w:p w:rsidR="00552DE2" w:rsidRPr="009B4E30" w:rsidRDefault="00552DE2" w:rsidP="00D43707">
      <w:pPr>
        <w:keepNext/>
        <w:tabs>
          <w:tab w:val="left" w:pos="0"/>
        </w:tabs>
        <w:suppressAutoHyphens/>
        <w:spacing w:line="240" w:lineRule="atLeast"/>
        <w:jc w:val="both"/>
        <w:rPr>
          <w:spacing w:val="-2"/>
          <w:sz w:val="22"/>
          <w:szCs w:val="22"/>
        </w:rPr>
      </w:pPr>
      <w:r w:rsidRPr="009B4E30">
        <w:rPr>
          <w:spacing w:val="-2"/>
          <w:sz w:val="22"/>
          <w:szCs w:val="22"/>
        </w:rPr>
        <w:tab/>
      </w:r>
      <w:r w:rsidRPr="009B4E30">
        <w:rPr>
          <w:spacing w:val="-2"/>
          <w:sz w:val="22"/>
          <w:szCs w:val="22"/>
        </w:rPr>
        <w:tab/>
      </w:r>
      <w:r w:rsidRPr="009B4E30">
        <w:rPr>
          <w:spacing w:val="-2"/>
          <w:sz w:val="22"/>
          <w:szCs w:val="22"/>
        </w:rPr>
        <w:tab/>
      </w:r>
      <w:r w:rsidRPr="009B4E30">
        <w:rPr>
          <w:spacing w:val="-2"/>
          <w:sz w:val="22"/>
          <w:szCs w:val="22"/>
        </w:rPr>
        <w:tab/>
      </w:r>
      <w:r w:rsidRPr="009B4E30">
        <w:rPr>
          <w:spacing w:val="-2"/>
          <w:sz w:val="22"/>
          <w:szCs w:val="22"/>
        </w:rPr>
        <w:tab/>
      </w:r>
    </w:p>
    <w:p w:rsidR="00552DE2" w:rsidRPr="009B4E30" w:rsidRDefault="00552DE2" w:rsidP="00D43707">
      <w:pPr>
        <w:keepNext/>
        <w:rPr>
          <w:sz w:val="22"/>
          <w:szCs w:val="22"/>
        </w:rPr>
      </w:pPr>
      <w:r w:rsidRPr="009B4E30">
        <w:rPr>
          <w:spacing w:val="-2"/>
          <w:sz w:val="22"/>
          <w:szCs w:val="22"/>
        </w:rPr>
        <w:tab/>
      </w:r>
      <w:r w:rsidRPr="009B4E30">
        <w:rPr>
          <w:spacing w:val="-2"/>
          <w:sz w:val="22"/>
          <w:szCs w:val="22"/>
        </w:rPr>
        <w:tab/>
      </w:r>
      <w:r w:rsidRPr="009B4E30">
        <w:rPr>
          <w:spacing w:val="-2"/>
          <w:sz w:val="22"/>
          <w:szCs w:val="22"/>
        </w:rPr>
        <w:tab/>
      </w:r>
      <w:r w:rsidRPr="009B4E30">
        <w:rPr>
          <w:spacing w:val="-2"/>
          <w:sz w:val="22"/>
          <w:szCs w:val="22"/>
        </w:rPr>
        <w:tab/>
      </w:r>
      <w:r w:rsidRPr="009B4E30">
        <w:rPr>
          <w:spacing w:val="-2"/>
          <w:sz w:val="22"/>
          <w:szCs w:val="22"/>
        </w:rPr>
        <w:tab/>
      </w:r>
      <w:r w:rsidRPr="009B4E30">
        <w:rPr>
          <w:spacing w:val="-2"/>
          <w:sz w:val="22"/>
          <w:szCs w:val="22"/>
        </w:rPr>
        <w:tab/>
      </w:r>
      <w:r w:rsidRPr="009B4E30">
        <w:rPr>
          <w:sz w:val="22"/>
          <w:szCs w:val="22"/>
        </w:rPr>
        <w:t>P. Michele Ellison</w:t>
      </w:r>
    </w:p>
    <w:p w:rsidR="00552DE2" w:rsidRPr="009B4E30" w:rsidRDefault="00552DE2" w:rsidP="00D43707">
      <w:pPr>
        <w:keepNext/>
        <w:ind w:left="4320"/>
        <w:rPr>
          <w:sz w:val="22"/>
          <w:szCs w:val="22"/>
        </w:rPr>
      </w:pPr>
      <w:r w:rsidRPr="009B4E30">
        <w:rPr>
          <w:sz w:val="22"/>
          <w:szCs w:val="22"/>
        </w:rPr>
        <w:t xml:space="preserve">Chief, Enforcement Bureau </w:t>
      </w:r>
    </w:p>
    <w:p w:rsidR="00552DE2" w:rsidRPr="009B4E30" w:rsidRDefault="00552DE2" w:rsidP="00D43707">
      <w:pPr>
        <w:keepNext/>
        <w:tabs>
          <w:tab w:val="left" w:pos="0"/>
        </w:tabs>
        <w:suppressAutoHyphens/>
        <w:spacing w:line="240" w:lineRule="atLeast"/>
        <w:ind w:left="4320"/>
        <w:jc w:val="both"/>
        <w:rPr>
          <w:spacing w:val="-2"/>
          <w:sz w:val="22"/>
          <w:szCs w:val="22"/>
        </w:rPr>
      </w:pPr>
    </w:p>
    <w:p w:rsidR="00552DE2" w:rsidRPr="009B4E30" w:rsidRDefault="00552DE2">
      <w:pPr>
        <w:pStyle w:val="Heading1"/>
        <w:rPr>
          <w:szCs w:val="22"/>
        </w:rPr>
        <w:sectPr w:rsidR="00552DE2" w:rsidRPr="009B4E3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sectPr>
      </w:pPr>
    </w:p>
    <w:p w:rsidR="00552DE2" w:rsidRPr="009B4E30" w:rsidRDefault="00552DE2">
      <w:pPr>
        <w:pStyle w:val="Heading1"/>
        <w:rPr>
          <w:szCs w:val="22"/>
        </w:rPr>
      </w:pPr>
      <w:r w:rsidRPr="009B4E30">
        <w:rPr>
          <w:szCs w:val="22"/>
        </w:rPr>
        <w:lastRenderedPageBreak/>
        <w:t>Before the</w:t>
      </w:r>
    </w:p>
    <w:p w:rsidR="00552DE2" w:rsidRPr="009B4E30" w:rsidRDefault="00552DE2">
      <w:pPr>
        <w:pStyle w:val="Heading1"/>
        <w:rPr>
          <w:szCs w:val="22"/>
        </w:rPr>
      </w:pPr>
      <w:r w:rsidRPr="009B4E30">
        <w:rPr>
          <w:szCs w:val="22"/>
        </w:rPr>
        <w:t>Federal Communications Commission</w:t>
      </w:r>
    </w:p>
    <w:p w:rsidR="00552DE2" w:rsidRPr="009B4E30" w:rsidRDefault="00552DE2">
      <w:pPr>
        <w:pStyle w:val="Heading1"/>
        <w:rPr>
          <w:szCs w:val="22"/>
        </w:rPr>
      </w:pPr>
      <w:r w:rsidRPr="009B4E30">
        <w:rPr>
          <w:szCs w:val="22"/>
        </w:rPr>
        <w:t>Washington, D.C. 20554</w:t>
      </w:r>
    </w:p>
    <w:p w:rsidR="00552DE2" w:rsidRPr="009B4E30" w:rsidRDefault="00552DE2">
      <w:pPr>
        <w:tabs>
          <w:tab w:val="left" w:pos="-720"/>
        </w:tabs>
        <w:suppressAutoHyphens/>
        <w:spacing w:line="227" w:lineRule="auto"/>
        <w:jc w:val="both"/>
        <w:rPr>
          <w:spacing w:val="-2"/>
          <w:sz w:val="22"/>
          <w:szCs w:val="22"/>
        </w:rPr>
      </w:pPr>
    </w:p>
    <w:tbl>
      <w:tblPr>
        <w:tblW w:w="0" w:type="auto"/>
        <w:tblLook w:val="0000" w:firstRow="0" w:lastRow="0" w:firstColumn="0" w:lastColumn="0" w:noHBand="0" w:noVBand="0"/>
      </w:tblPr>
      <w:tblGrid>
        <w:gridCol w:w="4428"/>
        <w:gridCol w:w="1080"/>
        <w:gridCol w:w="4068"/>
      </w:tblGrid>
      <w:tr w:rsidR="00552DE2" w:rsidRPr="009B4E30" w:rsidTr="003C2599">
        <w:trPr>
          <w:trHeight w:val="1566"/>
        </w:trPr>
        <w:tc>
          <w:tcPr>
            <w:tcW w:w="4428" w:type="dxa"/>
          </w:tcPr>
          <w:p w:rsidR="00552DE2" w:rsidRPr="009B4E30" w:rsidRDefault="00552DE2">
            <w:pPr>
              <w:keepNext/>
              <w:rPr>
                <w:sz w:val="22"/>
                <w:szCs w:val="22"/>
              </w:rPr>
            </w:pPr>
            <w:r w:rsidRPr="009B4E30">
              <w:rPr>
                <w:sz w:val="22"/>
                <w:szCs w:val="22"/>
              </w:rPr>
              <w:t>In the Matter of</w:t>
            </w:r>
          </w:p>
          <w:p w:rsidR="00552DE2" w:rsidRPr="009B4E30" w:rsidRDefault="00552DE2">
            <w:pPr>
              <w:keepNext/>
              <w:rPr>
                <w:sz w:val="22"/>
                <w:szCs w:val="22"/>
              </w:rPr>
            </w:pPr>
          </w:p>
          <w:p w:rsidR="00552DE2" w:rsidRPr="009B4E30" w:rsidRDefault="00552DE2" w:rsidP="00250E3C">
            <w:pPr>
              <w:keepNext/>
              <w:rPr>
                <w:sz w:val="22"/>
                <w:szCs w:val="22"/>
              </w:rPr>
            </w:pPr>
            <w:r w:rsidRPr="009B4E30">
              <w:rPr>
                <w:sz w:val="22"/>
                <w:szCs w:val="22"/>
              </w:rPr>
              <w:t>Teleplus, LLC</w:t>
            </w:r>
          </w:p>
        </w:tc>
        <w:tc>
          <w:tcPr>
            <w:tcW w:w="1080" w:type="dxa"/>
          </w:tcPr>
          <w:p w:rsidR="00552DE2" w:rsidRPr="009B4E30" w:rsidRDefault="00552DE2">
            <w:pPr>
              <w:keepNext/>
              <w:rPr>
                <w:sz w:val="22"/>
                <w:szCs w:val="22"/>
              </w:rPr>
            </w:pPr>
            <w:r w:rsidRPr="009B4E30">
              <w:rPr>
                <w:sz w:val="22"/>
                <w:szCs w:val="22"/>
              </w:rPr>
              <w:t>)</w:t>
            </w:r>
          </w:p>
          <w:p w:rsidR="00552DE2" w:rsidRPr="009B4E30" w:rsidRDefault="00552DE2">
            <w:pPr>
              <w:keepNext/>
              <w:rPr>
                <w:sz w:val="22"/>
                <w:szCs w:val="22"/>
              </w:rPr>
            </w:pPr>
            <w:r w:rsidRPr="009B4E30">
              <w:rPr>
                <w:sz w:val="22"/>
                <w:szCs w:val="22"/>
              </w:rPr>
              <w:t>)</w:t>
            </w:r>
          </w:p>
          <w:p w:rsidR="00552DE2" w:rsidRPr="009B4E30" w:rsidRDefault="00552DE2">
            <w:pPr>
              <w:keepNext/>
              <w:rPr>
                <w:sz w:val="22"/>
                <w:szCs w:val="22"/>
              </w:rPr>
            </w:pPr>
            <w:r w:rsidRPr="009B4E30">
              <w:rPr>
                <w:sz w:val="22"/>
                <w:szCs w:val="22"/>
              </w:rPr>
              <w:t>)</w:t>
            </w:r>
          </w:p>
          <w:p w:rsidR="00552DE2" w:rsidRPr="009B4E30" w:rsidRDefault="00552DE2">
            <w:pPr>
              <w:keepNext/>
              <w:rPr>
                <w:sz w:val="22"/>
                <w:szCs w:val="22"/>
              </w:rPr>
            </w:pPr>
            <w:r w:rsidRPr="009B4E30">
              <w:rPr>
                <w:sz w:val="22"/>
                <w:szCs w:val="22"/>
              </w:rPr>
              <w:t>)</w:t>
            </w:r>
          </w:p>
          <w:p w:rsidR="00552DE2" w:rsidRPr="009B4E30" w:rsidRDefault="00552DE2">
            <w:pPr>
              <w:keepNext/>
              <w:rPr>
                <w:sz w:val="22"/>
                <w:szCs w:val="22"/>
              </w:rPr>
            </w:pPr>
            <w:r w:rsidRPr="009B4E30">
              <w:rPr>
                <w:sz w:val="22"/>
                <w:szCs w:val="22"/>
              </w:rPr>
              <w:t>)</w:t>
            </w:r>
          </w:p>
        </w:tc>
        <w:tc>
          <w:tcPr>
            <w:tcW w:w="4068" w:type="dxa"/>
          </w:tcPr>
          <w:p w:rsidR="00552DE2" w:rsidRPr="009B4E30" w:rsidRDefault="00552DE2">
            <w:pPr>
              <w:ind w:left="-108" w:firstLine="108"/>
              <w:rPr>
                <w:spacing w:val="-2"/>
                <w:sz w:val="22"/>
                <w:szCs w:val="22"/>
              </w:rPr>
            </w:pPr>
            <w:r w:rsidRPr="009B4E30">
              <w:rPr>
                <w:spacing w:val="-2"/>
                <w:sz w:val="22"/>
                <w:szCs w:val="22"/>
              </w:rPr>
              <w:t xml:space="preserve">File No.:  </w:t>
            </w:r>
            <w:r w:rsidRPr="009B4E30">
              <w:rPr>
                <w:sz w:val="22"/>
                <w:szCs w:val="22"/>
              </w:rPr>
              <w:t>EB-08-IH-52</w:t>
            </w:r>
            <w:r w:rsidR="005B3D19">
              <w:rPr>
                <w:sz w:val="22"/>
                <w:szCs w:val="22"/>
              </w:rPr>
              <w:t>1</w:t>
            </w:r>
            <w:r w:rsidRPr="009B4E30">
              <w:rPr>
                <w:sz w:val="22"/>
                <w:szCs w:val="22"/>
              </w:rPr>
              <w:t>7</w:t>
            </w:r>
          </w:p>
          <w:p w:rsidR="00552DE2" w:rsidRPr="009B4E30" w:rsidRDefault="00552DE2">
            <w:pPr>
              <w:ind w:left="-108" w:firstLine="108"/>
              <w:rPr>
                <w:sz w:val="22"/>
                <w:szCs w:val="22"/>
              </w:rPr>
            </w:pPr>
          </w:p>
          <w:p w:rsidR="00552DE2" w:rsidRPr="009B4E30" w:rsidRDefault="00552DE2">
            <w:pPr>
              <w:rPr>
                <w:bCs/>
                <w:sz w:val="22"/>
                <w:szCs w:val="22"/>
              </w:rPr>
            </w:pPr>
            <w:r w:rsidRPr="009B4E30">
              <w:rPr>
                <w:spacing w:val="-2"/>
                <w:sz w:val="22"/>
                <w:szCs w:val="22"/>
              </w:rPr>
              <w:t>Acct. No.:  200932080046</w:t>
            </w:r>
          </w:p>
          <w:p w:rsidR="00552DE2" w:rsidRPr="009B4E30" w:rsidRDefault="00552DE2">
            <w:pPr>
              <w:rPr>
                <w:spacing w:val="-2"/>
                <w:sz w:val="22"/>
                <w:szCs w:val="22"/>
              </w:rPr>
            </w:pPr>
          </w:p>
          <w:p w:rsidR="00552DE2" w:rsidRPr="009B4E30" w:rsidRDefault="00552DE2" w:rsidP="005B3D19">
            <w:pPr>
              <w:keepNext/>
              <w:rPr>
                <w:sz w:val="22"/>
                <w:szCs w:val="22"/>
              </w:rPr>
            </w:pPr>
            <w:r w:rsidRPr="009B4E30">
              <w:rPr>
                <w:sz w:val="22"/>
                <w:szCs w:val="22"/>
              </w:rPr>
              <w:t>FRN:  001</w:t>
            </w:r>
            <w:r w:rsidR="005B3D19">
              <w:rPr>
                <w:sz w:val="22"/>
                <w:szCs w:val="22"/>
              </w:rPr>
              <w:t>4157283</w:t>
            </w:r>
          </w:p>
        </w:tc>
      </w:tr>
    </w:tbl>
    <w:bookmarkEnd w:id="0"/>
    <w:bookmarkEnd w:id="1"/>
    <w:p w:rsidR="00552DE2" w:rsidRPr="009B4E30" w:rsidRDefault="00552DE2">
      <w:pPr>
        <w:keepNext/>
        <w:jc w:val="center"/>
        <w:rPr>
          <w:b/>
          <w:sz w:val="22"/>
          <w:szCs w:val="22"/>
        </w:rPr>
      </w:pPr>
      <w:r w:rsidRPr="009B4E30">
        <w:rPr>
          <w:b/>
          <w:sz w:val="22"/>
          <w:szCs w:val="22"/>
        </w:rPr>
        <w:t>CONSENT DECREE</w:t>
      </w:r>
    </w:p>
    <w:p w:rsidR="00552DE2" w:rsidRPr="009B4E30" w:rsidRDefault="00552DE2">
      <w:pPr>
        <w:keepNext/>
        <w:rPr>
          <w:sz w:val="22"/>
          <w:szCs w:val="22"/>
        </w:rPr>
      </w:pPr>
    </w:p>
    <w:p w:rsidR="00552DE2" w:rsidRPr="009B4E30" w:rsidRDefault="00552DE2" w:rsidP="00A16CAA">
      <w:pPr>
        <w:pStyle w:val="par1"/>
        <w:rPr>
          <w:szCs w:val="22"/>
        </w:rPr>
      </w:pPr>
      <w:r w:rsidRPr="009B4E30">
        <w:rPr>
          <w:szCs w:val="22"/>
        </w:rPr>
        <w:tab/>
        <w:t xml:space="preserve">The Enforcement Bureau of the Federal Communications Commission and Teleplus, LLC, by their authorized representatives, hereby enter into this Consent Decree for the purpose of terminating the Enforcement Bureau’s investigation into </w:t>
      </w:r>
      <w:r w:rsidR="00E030C2">
        <w:rPr>
          <w:szCs w:val="22"/>
        </w:rPr>
        <w:t xml:space="preserve">whether Teleplus </w:t>
      </w:r>
      <w:r w:rsidR="007A14D5" w:rsidRPr="009B4E30">
        <w:rPr>
          <w:szCs w:val="22"/>
        </w:rPr>
        <w:t>violat</w:t>
      </w:r>
      <w:r w:rsidR="00E030C2">
        <w:rPr>
          <w:szCs w:val="22"/>
        </w:rPr>
        <w:t>ed</w:t>
      </w:r>
      <w:r w:rsidR="007A14D5" w:rsidRPr="009B4E30">
        <w:rPr>
          <w:szCs w:val="22"/>
        </w:rPr>
        <w:t xml:space="preserve"> </w:t>
      </w:r>
      <w:r w:rsidRPr="009B4E30">
        <w:rPr>
          <w:szCs w:val="22"/>
        </w:rPr>
        <w:t>Section 214 of the Communications Act of 1934, as amended,</w:t>
      </w:r>
      <w:r w:rsidR="007A14D5" w:rsidRPr="009B4E30">
        <w:rPr>
          <w:rStyle w:val="FootnoteReference"/>
          <w:sz w:val="22"/>
          <w:szCs w:val="22"/>
        </w:rPr>
        <w:footnoteReference w:id="5"/>
      </w:r>
      <w:r w:rsidRPr="009B4E30">
        <w:rPr>
          <w:szCs w:val="22"/>
        </w:rPr>
        <w:t xml:space="preserve"> </w:t>
      </w:r>
      <w:r w:rsidRPr="009B4E30">
        <w:rPr>
          <w:color w:val="000000"/>
          <w:szCs w:val="22"/>
        </w:rPr>
        <w:t xml:space="preserve">and Section 63.18 </w:t>
      </w:r>
      <w:r w:rsidRPr="009B4E30">
        <w:rPr>
          <w:szCs w:val="22"/>
        </w:rPr>
        <w:t>of the Commission’s rules,</w:t>
      </w:r>
      <w:r w:rsidR="007A14D5" w:rsidRPr="009B4E30">
        <w:rPr>
          <w:rStyle w:val="FootnoteReference"/>
          <w:sz w:val="22"/>
          <w:szCs w:val="22"/>
        </w:rPr>
        <w:footnoteReference w:id="6"/>
      </w:r>
      <w:r w:rsidRPr="009B4E30">
        <w:rPr>
          <w:szCs w:val="22"/>
        </w:rPr>
        <w:t xml:space="preserve"> by </w:t>
      </w:r>
      <w:r w:rsidRPr="009B4E30">
        <w:rPr>
          <w:color w:val="000000"/>
          <w:szCs w:val="22"/>
        </w:rPr>
        <w:t xml:space="preserve">willfully or repeatedly </w:t>
      </w:r>
      <w:r w:rsidRPr="009B4E30">
        <w:rPr>
          <w:szCs w:val="22"/>
        </w:rPr>
        <w:t>failing to apply for and obtain international Section 214 authorization before providing international telecommunications service.</w:t>
      </w:r>
    </w:p>
    <w:p w:rsidR="00552DE2" w:rsidRPr="009B4E30" w:rsidRDefault="00552DE2">
      <w:pPr>
        <w:pStyle w:val="par1"/>
        <w:numPr>
          <w:ilvl w:val="0"/>
          <w:numId w:val="0"/>
        </w:numPr>
        <w:rPr>
          <w:szCs w:val="22"/>
        </w:rPr>
      </w:pPr>
    </w:p>
    <w:p w:rsidR="00552DE2" w:rsidRPr="009B4E30" w:rsidRDefault="00552DE2">
      <w:pPr>
        <w:pStyle w:val="par1"/>
        <w:numPr>
          <w:ilvl w:val="0"/>
          <w:numId w:val="0"/>
        </w:numPr>
        <w:tabs>
          <w:tab w:val="left" w:pos="720"/>
          <w:tab w:val="num" w:pos="1440"/>
        </w:tabs>
        <w:rPr>
          <w:b/>
          <w:szCs w:val="22"/>
        </w:rPr>
      </w:pPr>
      <w:r w:rsidRPr="009B4E30">
        <w:rPr>
          <w:b/>
          <w:szCs w:val="22"/>
        </w:rPr>
        <w:t>I.</w:t>
      </w:r>
      <w:r w:rsidRPr="009B4E30">
        <w:rPr>
          <w:b/>
          <w:szCs w:val="22"/>
        </w:rPr>
        <w:tab/>
        <w:t>DEFINITIONS</w:t>
      </w:r>
    </w:p>
    <w:p w:rsidR="00552DE2" w:rsidRPr="009B4E30" w:rsidRDefault="00552DE2">
      <w:pPr>
        <w:pStyle w:val="par1"/>
        <w:numPr>
          <w:ilvl w:val="0"/>
          <w:numId w:val="0"/>
        </w:numPr>
        <w:tabs>
          <w:tab w:val="num" w:pos="1440"/>
        </w:tabs>
        <w:rPr>
          <w:b/>
          <w:szCs w:val="22"/>
        </w:rPr>
      </w:pPr>
    </w:p>
    <w:p w:rsidR="00552DE2" w:rsidRPr="009B4E30" w:rsidRDefault="00552DE2">
      <w:pPr>
        <w:pStyle w:val="par1"/>
        <w:tabs>
          <w:tab w:val="clear" w:pos="1080"/>
          <w:tab w:val="num" w:pos="1440"/>
        </w:tabs>
        <w:rPr>
          <w:szCs w:val="22"/>
        </w:rPr>
      </w:pPr>
      <w:r w:rsidRPr="009B4E30">
        <w:rPr>
          <w:szCs w:val="22"/>
        </w:rPr>
        <w:t>For the purposes of this Consent Decree, the following definitions shall apply:</w:t>
      </w:r>
    </w:p>
    <w:p w:rsidR="00552DE2" w:rsidRPr="009B4E30" w:rsidRDefault="00552DE2">
      <w:pPr>
        <w:pStyle w:val="par1"/>
        <w:numPr>
          <w:ilvl w:val="0"/>
          <w:numId w:val="0"/>
        </w:numPr>
        <w:rPr>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“Act”</w:t>
      </w:r>
      <w:r w:rsidRPr="009B4E30">
        <w:rPr>
          <w:rStyle w:val="ParanumChar0"/>
          <w:szCs w:val="22"/>
        </w:rPr>
        <w:t xml:space="preserve"> </w:t>
      </w:r>
      <w:r w:rsidRPr="009B4E30">
        <w:rPr>
          <w:sz w:val="22"/>
          <w:szCs w:val="22"/>
        </w:rPr>
        <w:t xml:space="preserve">means the Communications Act of 1934, as amended, 47 U.S.C. § 151 </w:t>
      </w:r>
      <w:r w:rsidRPr="009B4E30">
        <w:rPr>
          <w:i/>
          <w:sz w:val="22"/>
          <w:szCs w:val="22"/>
        </w:rPr>
        <w:t>et seq.</w:t>
      </w:r>
    </w:p>
    <w:p w:rsidR="00552DE2" w:rsidRPr="009B4E30" w:rsidRDefault="00552DE2">
      <w:pPr>
        <w:tabs>
          <w:tab w:val="left" w:pos="2160"/>
        </w:tabs>
        <w:ind w:left="1440"/>
        <w:rPr>
          <w:sz w:val="22"/>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“Adopting Order” means an Order of the Bureau adopting the terms of this Consent Decree without change, addition, deletion, or modification.</w:t>
      </w:r>
    </w:p>
    <w:p w:rsidR="00552DE2" w:rsidRPr="009B4E30" w:rsidRDefault="00552DE2">
      <w:pPr>
        <w:tabs>
          <w:tab w:val="left" w:pos="1440"/>
          <w:tab w:val="left" w:pos="1800"/>
        </w:tabs>
        <w:ind w:left="1440"/>
        <w:rPr>
          <w:sz w:val="22"/>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“Bureau” means the Enforcement Bureau of the Federal Communications Commission.</w:t>
      </w:r>
    </w:p>
    <w:p w:rsidR="00552DE2" w:rsidRPr="009B4E30" w:rsidRDefault="00552DE2">
      <w:pPr>
        <w:tabs>
          <w:tab w:val="left" w:pos="1440"/>
          <w:tab w:val="left" w:pos="1800"/>
        </w:tabs>
        <w:rPr>
          <w:sz w:val="22"/>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“Commission” and “FCC” mean the Federal Communications Commission and all of its bureaus and offices.</w:t>
      </w:r>
    </w:p>
    <w:p w:rsidR="00552DE2" w:rsidRPr="009B4E30" w:rsidRDefault="00552DE2">
      <w:pPr>
        <w:tabs>
          <w:tab w:val="left" w:pos="1440"/>
          <w:tab w:val="left" w:pos="1800"/>
        </w:tabs>
        <w:ind w:left="1440"/>
        <w:rPr>
          <w:sz w:val="22"/>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“Communications Laws” means collectively, the Act, the Rules, and the published and promulgated orders and decisions of the Commission to which Teleplus is subject by virtue of its business activities</w:t>
      </w:r>
      <w:r w:rsidR="007A14D5" w:rsidRPr="009B4E30">
        <w:rPr>
          <w:sz w:val="22"/>
          <w:szCs w:val="22"/>
        </w:rPr>
        <w:t>, including but not limited to the Section 214 Rules</w:t>
      </w:r>
      <w:r w:rsidRPr="009B4E30">
        <w:rPr>
          <w:sz w:val="22"/>
          <w:szCs w:val="22"/>
        </w:rPr>
        <w:t>.</w:t>
      </w:r>
    </w:p>
    <w:p w:rsidR="00552DE2" w:rsidRPr="009B4E30" w:rsidRDefault="00552DE2">
      <w:pPr>
        <w:pStyle w:val="ListParagraph"/>
        <w:rPr>
          <w:sz w:val="22"/>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 xml:space="preserve">“Compliance Plan” means the compliance obligations, programs, and procedures described in this Consent Decree at paragraph </w:t>
      </w:r>
      <w:r w:rsidR="00A13A37" w:rsidRPr="009B4E30">
        <w:rPr>
          <w:sz w:val="22"/>
          <w:szCs w:val="22"/>
        </w:rPr>
        <w:t>13</w:t>
      </w:r>
      <w:r w:rsidRPr="009B4E30">
        <w:rPr>
          <w:sz w:val="22"/>
          <w:szCs w:val="22"/>
        </w:rPr>
        <w:t>.</w:t>
      </w:r>
    </w:p>
    <w:p w:rsidR="00552DE2" w:rsidRPr="009B4E30" w:rsidRDefault="00552DE2">
      <w:pPr>
        <w:tabs>
          <w:tab w:val="left" w:pos="1440"/>
          <w:tab w:val="left" w:pos="1800"/>
        </w:tabs>
        <w:rPr>
          <w:sz w:val="22"/>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“Covered Employees” means all employees and agents of Teleplus who perform, or supervise, oversee, or manage the performance of, duties that relate to Teleplus’s responsibilities under the Section 214 Rules.</w:t>
      </w:r>
    </w:p>
    <w:p w:rsidR="00552DE2" w:rsidRPr="009B4E30" w:rsidRDefault="00552DE2">
      <w:pPr>
        <w:pStyle w:val="ListParagraph"/>
        <w:rPr>
          <w:sz w:val="22"/>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“Effective Date” means the date on which the Bureau releases the Adopting Order.</w:t>
      </w:r>
    </w:p>
    <w:p w:rsidR="00552DE2" w:rsidRPr="009B4E30" w:rsidRDefault="00552DE2">
      <w:pPr>
        <w:pStyle w:val="ListParagraph"/>
        <w:rPr>
          <w:sz w:val="22"/>
          <w:szCs w:val="22"/>
        </w:rPr>
      </w:pPr>
    </w:p>
    <w:p w:rsidR="00552DE2" w:rsidRPr="009B4E30" w:rsidRDefault="00552DE2" w:rsidP="00747735">
      <w:pPr>
        <w:numPr>
          <w:ilvl w:val="0"/>
          <w:numId w:val="4"/>
        </w:numPr>
        <w:tabs>
          <w:tab w:val="clear" w:pos="1224"/>
          <w:tab w:val="left" w:pos="1440"/>
          <w:tab w:val="left" w:pos="1800"/>
        </w:tabs>
        <w:ind w:left="1800" w:hanging="360"/>
        <w:rPr>
          <w:sz w:val="22"/>
          <w:szCs w:val="22"/>
        </w:rPr>
      </w:pPr>
      <w:r w:rsidRPr="009B4E30">
        <w:rPr>
          <w:sz w:val="22"/>
          <w:szCs w:val="22"/>
        </w:rPr>
        <w:t>“Investigation” means the investigation initiated by the Bureau in File No.</w:t>
      </w:r>
    </w:p>
    <w:p w:rsidR="00552DE2" w:rsidRPr="009B4E30" w:rsidRDefault="00552DE2" w:rsidP="00747735">
      <w:pPr>
        <w:tabs>
          <w:tab w:val="left" w:pos="1440"/>
          <w:tab w:val="left" w:pos="1800"/>
        </w:tabs>
        <w:ind w:left="1800" w:hanging="1152"/>
        <w:rPr>
          <w:sz w:val="22"/>
          <w:szCs w:val="22"/>
        </w:rPr>
      </w:pPr>
      <w:r w:rsidRPr="009B4E30">
        <w:rPr>
          <w:sz w:val="22"/>
          <w:szCs w:val="22"/>
        </w:rPr>
        <w:tab/>
      </w:r>
      <w:r w:rsidRPr="009B4E30">
        <w:rPr>
          <w:sz w:val="22"/>
          <w:szCs w:val="22"/>
        </w:rPr>
        <w:tab/>
        <w:t>EB-08-IH-5</w:t>
      </w:r>
      <w:r w:rsidR="005B3D19">
        <w:rPr>
          <w:sz w:val="22"/>
          <w:szCs w:val="22"/>
        </w:rPr>
        <w:t>21</w:t>
      </w:r>
      <w:r w:rsidRPr="009B4E30">
        <w:rPr>
          <w:sz w:val="22"/>
          <w:szCs w:val="22"/>
        </w:rPr>
        <w:t>7 regarding possible violations of the Section 214 Rules.</w:t>
      </w:r>
    </w:p>
    <w:p w:rsidR="00552DE2" w:rsidRPr="009B4E30" w:rsidRDefault="00552DE2">
      <w:pPr>
        <w:tabs>
          <w:tab w:val="left" w:pos="1440"/>
          <w:tab w:val="left" w:pos="1800"/>
        </w:tabs>
        <w:rPr>
          <w:sz w:val="22"/>
          <w:szCs w:val="22"/>
        </w:rPr>
      </w:pPr>
    </w:p>
    <w:p w:rsidR="00552DE2" w:rsidRPr="009B4E30" w:rsidRDefault="00552DE2">
      <w:pPr>
        <w:numPr>
          <w:ilvl w:val="0"/>
          <w:numId w:val="4"/>
        </w:numPr>
        <w:tabs>
          <w:tab w:val="clear" w:pos="1224"/>
          <w:tab w:val="left" w:pos="1440"/>
          <w:tab w:val="num" w:pos="1800"/>
        </w:tabs>
        <w:ind w:left="1800" w:hanging="360"/>
        <w:rPr>
          <w:sz w:val="22"/>
          <w:szCs w:val="22"/>
        </w:rPr>
      </w:pPr>
      <w:r w:rsidRPr="009B4E30">
        <w:rPr>
          <w:sz w:val="22"/>
          <w:szCs w:val="22"/>
        </w:rPr>
        <w:t>“Operating Procedures” means the standard, internal operating procedures and compliance policies established by Teleplus to implement the Compliance Plan.</w:t>
      </w:r>
    </w:p>
    <w:p w:rsidR="00552DE2" w:rsidRPr="009B4E30" w:rsidRDefault="00552DE2">
      <w:pPr>
        <w:pStyle w:val="ListParagraph"/>
        <w:rPr>
          <w:sz w:val="22"/>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“Parties” means Teleplus, LLC and the Bureau, each of which is a “Party.”</w:t>
      </w:r>
    </w:p>
    <w:p w:rsidR="00552DE2" w:rsidRPr="009B4E30" w:rsidRDefault="00552DE2">
      <w:pPr>
        <w:tabs>
          <w:tab w:val="left" w:pos="1440"/>
          <w:tab w:val="left" w:pos="1800"/>
        </w:tabs>
        <w:rPr>
          <w:sz w:val="22"/>
          <w:szCs w:val="22"/>
        </w:rPr>
      </w:pPr>
    </w:p>
    <w:p w:rsidR="00552DE2" w:rsidRPr="009B4E30" w:rsidRDefault="00552DE2" w:rsidP="00935C87">
      <w:pPr>
        <w:numPr>
          <w:ilvl w:val="0"/>
          <w:numId w:val="4"/>
        </w:numPr>
        <w:tabs>
          <w:tab w:val="clear" w:pos="1224"/>
          <w:tab w:val="left" w:pos="1440"/>
          <w:tab w:val="left" w:pos="1800"/>
        </w:tabs>
        <w:ind w:left="1800" w:hanging="360"/>
        <w:rPr>
          <w:sz w:val="22"/>
          <w:szCs w:val="22"/>
        </w:rPr>
      </w:pPr>
      <w:r w:rsidRPr="009B4E30">
        <w:rPr>
          <w:sz w:val="22"/>
          <w:szCs w:val="22"/>
        </w:rPr>
        <w:t>“Rules” means the Commission’s regulations found in Title 47 of the Code of Federal Regulations.</w:t>
      </w:r>
    </w:p>
    <w:p w:rsidR="00552DE2" w:rsidRPr="009B4E30" w:rsidRDefault="00552DE2" w:rsidP="006C53A0">
      <w:pPr>
        <w:pStyle w:val="ListParagraph"/>
        <w:rPr>
          <w:sz w:val="22"/>
          <w:szCs w:val="22"/>
        </w:rPr>
      </w:pPr>
    </w:p>
    <w:p w:rsidR="00552DE2" w:rsidRPr="009B4E30" w:rsidRDefault="00552DE2" w:rsidP="006C53A0">
      <w:pPr>
        <w:numPr>
          <w:ilvl w:val="0"/>
          <w:numId w:val="4"/>
        </w:numPr>
        <w:tabs>
          <w:tab w:val="clear" w:pos="1224"/>
          <w:tab w:val="left" w:pos="1440"/>
          <w:tab w:val="left" w:pos="1800"/>
        </w:tabs>
        <w:ind w:left="1800" w:hanging="360"/>
        <w:rPr>
          <w:sz w:val="22"/>
          <w:szCs w:val="22"/>
        </w:rPr>
      </w:pPr>
      <w:r w:rsidRPr="009B4E30">
        <w:rPr>
          <w:sz w:val="22"/>
          <w:szCs w:val="22"/>
        </w:rPr>
        <w:t>“Section 214 Rules” means Section 214 of the Act and other Communications Laws governing the construction, acquisition, operation, or transmission of lines of communication, including any Rules implementing Section 214 and any related Commission orders.</w:t>
      </w:r>
    </w:p>
    <w:p w:rsidR="00552DE2" w:rsidRPr="009B4E30" w:rsidRDefault="00552DE2" w:rsidP="00747735">
      <w:pPr>
        <w:pStyle w:val="ListParagraph"/>
        <w:rPr>
          <w:sz w:val="22"/>
          <w:szCs w:val="22"/>
        </w:rPr>
      </w:pPr>
    </w:p>
    <w:p w:rsidR="00552DE2" w:rsidRPr="009B4E30" w:rsidRDefault="00552DE2" w:rsidP="00935C87">
      <w:pPr>
        <w:numPr>
          <w:ilvl w:val="0"/>
          <w:numId w:val="4"/>
        </w:numPr>
        <w:tabs>
          <w:tab w:val="clear" w:pos="1224"/>
          <w:tab w:val="left" w:pos="1440"/>
          <w:tab w:val="left" w:pos="1800"/>
        </w:tabs>
        <w:ind w:left="1800" w:hanging="360"/>
        <w:rPr>
          <w:sz w:val="22"/>
          <w:szCs w:val="22"/>
        </w:rPr>
      </w:pPr>
      <w:r w:rsidRPr="009B4E30">
        <w:rPr>
          <w:sz w:val="22"/>
          <w:szCs w:val="22"/>
        </w:rPr>
        <w:t>“Teleplus” or “Company” means Teleplus, LLC and its affiliates, subsidiaries, predecessors-in-interest, and successors-in-interest.</w:t>
      </w:r>
    </w:p>
    <w:p w:rsidR="00552DE2" w:rsidRPr="009B4E30" w:rsidRDefault="00552DE2" w:rsidP="00A03F53">
      <w:pPr>
        <w:pStyle w:val="ListParagraph"/>
        <w:rPr>
          <w:sz w:val="22"/>
          <w:szCs w:val="22"/>
        </w:rPr>
      </w:pPr>
    </w:p>
    <w:p w:rsidR="00552DE2" w:rsidRPr="009B4E30" w:rsidRDefault="00552DE2">
      <w:pPr>
        <w:keepNext/>
        <w:numPr>
          <w:ilvl w:val="0"/>
          <w:numId w:val="6"/>
        </w:numPr>
        <w:tabs>
          <w:tab w:val="left" w:pos="720"/>
        </w:tabs>
        <w:ind w:hanging="1080"/>
        <w:rPr>
          <w:sz w:val="22"/>
          <w:szCs w:val="22"/>
        </w:rPr>
      </w:pPr>
      <w:r w:rsidRPr="009B4E30">
        <w:rPr>
          <w:b/>
          <w:sz w:val="22"/>
          <w:szCs w:val="22"/>
        </w:rPr>
        <w:t>BACKGROUND</w:t>
      </w:r>
    </w:p>
    <w:p w:rsidR="00552DE2" w:rsidRPr="009B4E30" w:rsidRDefault="00552DE2">
      <w:pPr>
        <w:pStyle w:val="par1"/>
        <w:numPr>
          <w:ilvl w:val="0"/>
          <w:numId w:val="0"/>
        </w:numPr>
        <w:tabs>
          <w:tab w:val="left" w:pos="720"/>
        </w:tabs>
        <w:rPr>
          <w:szCs w:val="22"/>
        </w:rPr>
      </w:pPr>
    </w:p>
    <w:p w:rsidR="00D32EB0" w:rsidRPr="009B4E30" w:rsidRDefault="00552DE2" w:rsidP="00C15833">
      <w:pPr>
        <w:pStyle w:val="par1"/>
        <w:tabs>
          <w:tab w:val="clear" w:pos="1080"/>
          <w:tab w:val="num" w:pos="1440"/>
        </w:tabs>
        <w:rPr>
          <w:szCs w:val="22"/>
        </w:rPr>
      </w:pPr>
      <w:bookmarkStart w:id="3" w:name="_Ref132103165"/>
      <w:r w:rsidRPr="009B4E30">
        <w:rPr>
          <w:szCs w:val="22"/>
        </w:rPr>
        <w:t xml:space="preserve">Section 214(a) of the Act </w:t>
      </w:r>
      <w:r w:rsidR="007A14D5" w:rsidRPr="009B4E30">
        <w:rPr>
          <w:szCs w:val="22"/>
        </w:rPr>
        <w:t xml:space="preserve">prohibits any carrier from </w:t>
      </w:r>
      <w:r w:rsidRPr="009B4E30">
        <w:rPr>
          <w:szCs w:val="22"/>
        </w:rPr>
        <w:t>constructing,</w:t>
      </w:r>
      <w:r w:rsidR="007A14D5" w:rsidRPr="009B4E30">
        <w:rPr>
          <w:szCs w:val="22"/>
        </w:rPr>
        <w:t xml:space="preserve"> extending,</w:t>
      </w:r>
      <w:r w:rsidRPr="009B4E30">
        <w:rPr>
          <w:szCs w:val="22"/>
        </w:rPr>
        <w:t xml:space="preserve"> acquiring, </w:t>
      </w:r>
      <w:r w:rsidR="007A14D5" w:rsidRPr="009B4E30">
        <w:rPr>
          <w:szCs w:val="22"/>
        </w:rPr>
        <w:t xml:space="preserve">or </w:t>
      </w:r>
      <w:r w:rsidRPr="009B4E30">
        <w:rPr>
          <w:szCs w:val="22"/>
        </w:rPr>
        <w:t>operating</w:t>
      </w:r>
      <w:r w:rsidR="007A14D5" w:rsidRPr="009B4E30">
        <w:rPr>
          <w:szCs w:val="22"/>
        </w:rPr>
        <w:t xml:space="preserve"> any line</w:t>
      </w:r>
      <w:r w:rsidRPr="009B4E30">
        <w:rPr>
          <w:szCs w:val="22"/>
        </w:rPr>
        <w:t xml:space="preserve">, or engaging in transmission </w:t>
      </w:r>
      <w:r w:rsidR="007A14D5" w:rsidRPr="009B4E30">
        <w:rPr>
          <w:szCs w:val="22"/>
        </w:rPr>
        <w:t>through any such line, without first obtaining a certificate of authorization from the Commission</w:t>
      </w:r>
      <w:r w:rsidRPr="009B4E30">
        <w:rPr>
          <w:szCs w:val="22"/>
        </w:rPr>
        <w:t>.</w:t>
      </w:r>
      <w:r w:rsidRPr="009B4E30">
        <w:rPr>
          <w:rStyle w:val="FootnoteReference"/>
          <w:sz w:val="22"/>
          <w:szCs w:val="22"/>
        </w:rPr>
        <w:footnoteReference w:id="7"/>
      </w:r>
      <w:r w:rsidRPr="009B4E30">
        <w:rPr>
          <w:szCs w:val="22"/>
        </w:rPr>
        <w:t xml:space="preserve">  While the Commission has granted “blanket” Section 214 authority to </w:t>
      </w:r>
      <w:r w:rsidR="007A14D5" w:rsidRPr="009B4E30">
        <w:rPr>
          <w:szCs w:val="22"/>
        </w:rPr>
        <w:t>carriers providing domestic service,</w:t>
      </w:r>
      <w:r w:rsidR="007A14D5" w:rsidRPr="009B4E30">
        <w:rPr>
          <w:rStyle w:val="FootnoteReference"/>
          <w:sz w:val="22"/>
          <w:szCs w:val="22"/>
        </w:rPr>
        <w:footnoteReference w:id="8"/>
      </w:r>
      <w:r w:rsidR="007A14D5" w:rsidRPr="009B4E30">
        <w:rPr>
          <w:szCs w:val="22"/>
        </w:rPr>
        <w:t xml:space="preserve"> meaning that such carriers need not apply to the Commission before providing domestic service, the Commission has not done the same for providers of international telecommunications services</w:t>
      </w:r>
      <w:r w:rsidRPr="009B4E30">
        <w:rPr>
          <w:szCs w:val="22"/>
        </w:rPr>
        <w:t>.</w:t>
      </w:r>
      <w:r w:rsidRPr="009B4E30">
        <w:rPr>
          <w:rStyle w:val="FootnoteReference"/>
          <w:sz w:val="22"/>
          <w:szCs w:val="22"/>
        </w:rPr>
        <w:footnoteReference w:id="9"/>
      </w:r>
    </w:p>
    <w:p w:rsidR="00552DE2" w:rsidRPr="009B4E30" w:rsidRDefault="00552DE2" w:rsidP="00671AC4">
      <w:pPr>
        <w:pStyle w:val="par1"/>
        <w:tabs>
          <w:tab w:val="clear" w:pos="1080"/>
          <w:tab w:val="num" w:pos="1440"/>
        </w:tabs>
        <w:spacing w:before="240"/>
        <w:rPr>
          <w:szCs w:val="22"/>
        </w:rPr>
      </w:pPr>
      <w:r w:rsidRPr="009B4E30">
        <w:rPr>
          <w:szCs w:val="22"/>
        </w:rPr>
        <w:t>Section 63.18 of the Rules requires any carrier that seeks Section 214 authority “for provision of common carrier communication services between the United States, its territories or possessions, and a foreign point” to request such authority by application.</w:t>
      </w:r>
      <w:r w:rsidRPr="009B4E30">
        <w:rPr>
          <w:rStyle w:val="FootnoteReference"/>
          <w:sz w:val="22"/>
          <w:szCs w:val="22"/>
        </w:rPr>
        <w:footnoteReference w:id="10"/>
      </w:r>
      <w:r w:rsidRPr="009B4E30">
        <w:rPr>
          <w:szCs w:val="22"/>
        </w:rPr>
        <w:t xml:space="preserve">  Th</w:t>
      </w:r>
      <w:r w:rsidR="00197FED" w:rsidRPr="009B4E30">
        <w:rPr>
          <w:szCs w:val="22"/>
        </w:rPr>
        <w:t>is</w:t>
      </w:r>
      <w:r w:rsidRPr="009B4E30">
        <w:rPr>
          <w:szCs w:val="22"/>
        </w:rPr>
        <w:t xml:space="preserve"> application requirement applies to carriers that </w:t>
      </w:r>
      <w:r w:rsidR="00197FED" w:rsidRPr="009B4E30">
        <w:rPr>
          <w:szCs w:val="22"/>
        </w:rPr>
        <w:t xml:space="preserve">resell the international services of another authorized carrier, as well as to </w:t>
      </w:r>
      <w:r w:rsidRPr="009B4E30">
        <w:rPr>
          <w:szCs w:val="22"/>
        </w:rPr>
        <w:t xml:space="preserve">facilities-based </w:t>
      </w:r>
      <w:r w:rsidR="00197FED" w:rsidRPr="009B4E30">
        <w:rPr>
          <w:szCs w:val="22"/>
        </w:rPr>
        <w:t xml:space="preserve">international </w:t>
      </w:r>
      <w:r w:rsidRPr="009B4E30">
        <w:rPr>
          <w:szCs w:val="22"/>
        </w:rPr>
        <w:t xml:space="preserve">service </w:t>
      </w:r>
      <w:r w:rsidR="00197FED" w:rsidRPr="009B4E30">
        <w:rPr>
          <w:szCs w:val="22"/>
        </w:rPr>
        <w:t>providers.</w:t>
      </w:r>
      <w:bookmarkEnd w:id="3"/>
      <w:r w:rsidRPr="009B4E30">
        <w:rPr>
          <w:rStyle w:val="FootnoteReference"/>
          <w:sz w:val="22"/>
          <w:szCs w:val="22"/>
        </w:rPr>
        <w:footnoteReference w:id="11"/>
      </w:r>
      <w:r w:rsidR="00197FED" w:rsidRPr="009B4E30">
        <w:rPr>
          <w:szCs w:val="22"/>
        </w:rPr>
        <w:t xml:space="preserve">  The applicant must provide the Commission with, among other items, contact information, ownership information, information on any affiliations the applicant may have with foreign carriers, certification that it will comply with the Rules, and certification that the applicant is not subject to denial of Federal benefits pursuant to the Anti-Drug Abuse Act of 1988.</w:t>
      </w:r>
      <w:r w:rsidR="00197FED" w:rsidRPr="009B4E30">
        <w:rPr>
          <w:rStyle w:val="FootnoteReference"/>
          <w:sz w:val="22"/>
          <w:szCs w:val="22"/>
        </w:rPr>
        <w:footnoteReference w:id="12"/>
      </w:r>
      <w:r w:rsidR="00197FED" w:rsidRPr="009B4E30">
        <w:rPr>
          <w:szCs w:val="22"/>
        </w:rPr>
        <w:t xml:space="preserve">  Section 63.18(e)(2) establishes specific requirements for parties “applying for authority to resell the international services of authorized common carriers,” and Section 63.23 of the Rules, in turn, identifies the conditions that apply to “carriers authorized to resell the international services of other authorized carriers.”</w:t>
      </w:r>
      <w:r w:rsidR="00197FED" w:rsidRPr="009B4E30">
        <w:rPr>
          <w:rStyle w:val="FootnoteReference"/>
          <w:sz w:val="22"/>
          <w:szCs w:val="22"/>
        </w:rPr>
        <w:footnoteReference w:id="13"/>
      </w:r>
    </w:p>
    <w:p w:rsidR="00552DE2" w:rsidRPr="009B4E30" w:rsidRDefault="00552DE2" w:rsidP="006C53A0">
      <w:pPr>
        <w:pStyle w:val="par1"/>
        <w:numPr>
          <w:ilvl w:val="0"/>
          <w:numId w:val="0"/>
        </w:numPr>
        <w:rPr>
          <w:szCs w:val="22"/>
        </w:rPr>
      </w:pPr>
    </w:p>
    <w:p w:rsidR="00552DE2" w:rsidRPr="009B4E30" w:rsidRDefault="00552DE2" w:rsidP="00680597">
      <w:pPr>
        <w:pStyle w:val="par1"/>
        <w:tabs>
          <w:tab w:val="clear" w:pos="1080"/>
          <w:tab w:val="num" w:pos="1440"/>
        </w:tabs>
        <w:rPr>
          <w:szCs w:val="22"/>
        </w:rPr>
      </w:pPr>
      <w:r w:rsidRPr="009B4E30">
        <w:rPr>
          <w:szCs w:val="22"/>
        </w:rPr>
        <w:t>Teleplus is a Florida-based company that has provided international telecommunications services since May 2005.</w:t>
      </w:r>
      <w:r w:rsidRPr="009B4E30">
        <w:rPr>
          <w:rStyle w:val="FootnoteReference"/>
          <w:sz w:val="22"/>
          <w:szCs w:val="22"/>
        </w:rPr>
        <w:footnoteReference w:id="14"/>
      </w:r>
      <w:r w:rsidRPr="009B4E30">
        <w:rPr>
          <w:szCs w:val="22"/>
        </w:rPr>
        <w:t xml:space="preserve">  Teleplus provides prepaid calling cards that are mainly used by consumers to make U.S. interstate, intrastate, and international telephone calls.</w:t>
      </w:r>
      <w:r w:rsidRPr="009B4E30">
        <w:rPr>
          <w:rStyle w:val="FootnoteReference"/>
          <w:sz w:val="22"/>
          <w:szCs w:val="22"/>
        </w:rPr>
        <w:footnoteReference w:id="15"/>
      </w:r>
      <w:r w:rsidRPr="009B4E30">
        <w:rPr>
          <w:szCs w:val="22"/>
        </w:rPr>
        <w:t xml:space="preserve">  Teleplus sells its prepaid calling cards directly to consumers through the www.callingcardplus.com web site, as well as through distributors and resellers.</w:t>
      </w:r>
      <w:r w:rsidRPr="009B4E30">
        <w:rPr>
          <w:rStyle w:val="FootnoteReference"/>
          <w:sz w:val="22"/>
          <w:szCs w:val="22"/>
        </w:rPr>
        <w:footnoteReference w:id="16"/>
      </w:r>
    </w:p>
    <w:p w:rsidR="00552DE2" w:rsidRPr="009B4E30" w:rsidRDefault="00552DE2" w:rsidP="00DF4049">
      <w:pPr>
        <w:pStyle w:val="par1"/>
        <w:numPr>
          <w:ilvl w:val="0"/>
          <w:numId w:val="0"/>
        </w:numPr>
        <w:rPr>
          <w:szCs w:val="22"/>
        </w:rPr>
      </w:pPr>
    </w:p>
    <w:p w:rsidR="00552DE2" w:rsidRPr="009B4E30" w:rsidRDefault="00552DE2" w:rsidP="00DF4049">
      <w:pPr>
        <w:pStyle w:val="par1"/>
        <w:tabs>
          <w:tab w:val="clear" w:pos="1080"/>
          <w:tab w:val="num" w:pos="1440"/>
        </w:tabs>
        <w:rPr>
          <w:szCs w:val="22"/>
        </w:rPr>
      </w:pPr>
      <w:r w:rsidRPr="009B4E30">
        <w:rPr>
          <w:szCs w:val="22"/>
        </w:rPr>
        <w:t>On February 17, 2006, Teleplus submitted an application for international Section 214 authority</w:t>
      </w:r>
      <w:r w:rsidR="000C6C51" w:rsidRPr="009B4E30">
        <w:rPr>
          <w:szCs w:val="22"/>
        </w:rPr>
        <w:t xml:space="preserve"> in which it stated that it had not previously received authority under </w:t>
      </w:r>
      <w:r w:rsidR="000159D5" w:rsidRPr="009B4E30">
        <w:rPr>
          <w:szCs w:val="22"/>
        </w:rPr>
        <w:t>S</w:t>
      </w:r>
      <w:r w:rsidR="000C6C51" w:rsidRPr="009B4E30">
        <w:rPr>
          <w:szCs w:val="22"/>
        </w:rPr>
        <w:t>ection 214 of the Act</w:t>
      </w:r>
      <w:r w:rsidRPr="009B4E30">
        <w:rPr>
          <w:szCs w:val="22"/>
        </w:rPr>
        <w:t>.</w:t>
      </w:r>
      <w:r w:rsidRPr="009B4E30">
        <w:rPr>
          <w:rStyle w:val="FootnoteReference"/>
          <w:sz w:val="22"/>
          <w:szCs w:val="22"/>
        </w:rPr>
        <w:footnoteReference w:id="17"/>
      </w:r>
      <w:r w:rsidRPr="009B4E30">
        <w:rPr>
          <w:szCs w:val="22"/>
        </w:rPr>
        <w:t xml:space="preserve">  Because Teleplus was owned by foreign nationals, the application was referred to the Executive Branch for review for national security, law enforcement, foreign policy, and trade concerns.</w:t>
      </w:r>
      <w:r w:rsidRPr="009B4E30">
        <w:rPr>
          <w:rStyle w:val="FootnoteReference"/>
          <w:sz w:val="22"/>
          <w:szCs w:val="22"/>
        </w:rPr>
        <w:footnoteReference w:id="18"/>
      </w:r>
      <w:r w:rsidRPr="009B4E30">
        <w:rPr>
          <w:szCs w:val="22"/>
        </w:rPr>
        <w:t xml:space="preserve">  On June 19, 2008, </w:t>
      </w:r>
      <w:r w:rsidR="000C6C51" w:rsidRPr="009B4E30">
        <w:rPr>
          <w:szCs w:val="22"/>
        </w:rPr>
        <w:t xml:space="preserve">after the conclusion of </w:t>
      </w:r>
      <w:r w:rsidR="009B4E30" w:rsidRPr="009B4E30">
        <w:rPr>
          <w:szCs w:val="22"/>
        </w:rPr>
        <w:t xml:space="preserve">the </w:t>
      </w:r>
      <w:r w:rsidR="000C6C51" w:rsidRPr="009B4E30">
        <w:rPr>
          <w:szCs w:val="22"/>
        </w:rPr>
        <w:t xml:space="preserve">Executive Branch review, the International Bureau granted Teleplus’s </w:t>
      </w:r>
      <w:r w:rsidR="006915A0">
        <w:rPr>
          <w:szCs w:val="22"/>
        </w:rPr>
        <w:t>S</w:t>
      </w:r>
      <w:r w:rsidR="006915A0" w:rsidRPr="009B4E30">
        <w:rPr>
          <w:szCs w:val="22"/>
        </w:rPr>
        <w:t xml:space="preserve">ection </w:t>
      </w:r>
      <w:r w:rsidR="000C6C51" w:rsidRPr="009B4E30">
        <w:rPr>
          <w:szCs w:val="22"/>
        </w:rPr>
        <w:t xml:space="preserve">214 application without prejudice to subsequent enforcement action by the Commission for non-compliance with the Act or the </w:t>
      </w:r>
      <w:r w:rsidR="009B4E30" w:rsidRPr="009B4E30">
        <w:rPr>
          <w:szCs w:val="22"/>
        </w:rPr>
        <w:t>R</w:t>
      </w:r>
      <w:r w:rsidR="000C6C51" w:rsidRPr="009B4E30">
        <w:rPr>
          <w:szCs w:val="22"/>
        </w:rPr>
        <w:t>ules</w:t>
      </w:r>
      <w:r w:rsidRPr="009B4E30">
        <w:rPr>
          <w:szCs w:val="22"/>
        </w:rPr>
        <w:t>.</w:t>
      </w:r>
      <w:r w:rsidRPr="009B4E30">
        <w:rPr>
          <w:rStyle w:val="FootnoteReference"/>
          <w:sz w:val="22"/>
          <w:szCs w:val="22"/>
        </w:rPr>
        <w:footnoteReference w:id="19"/>
      </w:r>
      <w:r w:rsidR="000C6C51" w:rsidRPr="009B4E30">
        <w:rPr>
          <w:szCs w:val="22"/>
        </w:rPr>
        <w:t xml:space="preserve"> </w:t>
      </w:r>
      <w:r w:rsidR="009B4E30" w:rsidRPr="009B4E30">
        <w:rPr>
          <w:szCs w:val="22"/>
        </w:rPr>
        <w:t xml:space="preserve"> </w:t>
      </w:r>
      <w:r w:rsidR="000C6C51" w:rsidRPr="009B4E30">
        <w:rPr>
          <w:rStyle w:val="documentbody"/>
          <w:szCs w:val="22"/>
        </w:rPr>
        <w:t xml:space="preserve">Thereafter, the matter was </w:t>
      </w:r>
      <w:bookmarkStart w:id="4" w:name="SR;1783"/>
      <w:bookmarkStart w:id="5" w:name="SearchTerm"/>
      <w:bookmarkEnd w:id="4"/>
      <w:r w:rsidR="000C6C51" w:rsidRPr="009B4E30">
        <w:rPr>
          <w:rStyle w:val="searchterm"/>
          <w:szCs w:val="22"/>
        </w:rPr>
        <w:t>referred</w:t>
      </w:r>
      <w:r w:rsidR="000C6C51" w:rsidRPr="009B4E30">
        <w:rPr>
          <w:rStyle w:val="documentbody"/>
          <w:szCs w:val="22"/>
        </w:rPr>
        <w:t xml:space="preserve"> to the </w:t>
      </w:r>
      <w:bookmarkStart w:id="6" w:name="SR;1786"/>
      <w:bookmarkEnd w:id="5"/>
      <w:bookmarkEnd w:id="6"/>
      <w:r w:rsidR="000C6C51" w:rsidRPr="009B4E30">
        <w:rPr>
          <w:rStyle w:val="searchterm"/>
          <w:szCs w:val="22"/>
        </w:rPr>
        <w:t>Bureau,</w:t>
      </w:r>
      <w:r w:rsidR="000C6C51" w:rsidRPr="009B4E30">
        <w:rPr>
          <w:rStyle w:val="documentbody"/>
          <w:szCs w:val="22"/>
        </w:rPr>
        <w:t xml:space="preserve"> which commenced its investigation.</w:t>
      </w:r>
    </w:p>
    <w:p w:rsidR="00552DE2" w:rsidRPr="009B4E30" w:rsidRDefault="00552DE2" w:rsidP="0080258F">
      <w:pPr>
        <w:pStyle w:val="par1"/>
        <w:numPr>
          <w:ilvl w:val="0"/>
          <w:numId w:val="0"/>
        </w:numPr>
        <w:ind w:left="-90"/>
        <w:rPr>
          <w:szCs w:val="22"/>
        </w:rPr>
      </w:pPr>
    </w:p>
    <w:p w:rsidR="00552DE2" w:rsidRPr="009B4E30" w:rsidRDefault="00552DE2" w:rsidP="000C6C51">
      <w:pPr>
        <w:pStyle w:val="par1"/>
        <w:tabs>
          <w:tab w:val="clear" w:pos="1080"/>
          <w:tab w:val="num" w:pos="1440"/>
        </w:tabs>
        <w:rPr>
          <w:szCs w:val="22"/>
        </w:rPr>
      </w:pPr>
      <w:r w:rsidRPr="009B4E30">
        <w:rPr>
          <w:szCs w:val="22"/>
        </w:rPr>
        <w:t>On March 30, 2009, the Bureau issued a Letter of Inquiry (LOI</w:t>
      </w:r>
      <w:r w:rsidR="000C6C51" w:rsidRPr="009B4E30">
        <w:rPr>
          <w:szCs w:val="22"/>
        </w:rPr>
        <w:t xml:space="preserve">) </w:t>
      </w:r>
      <w:r w:rsidR="000C6C51" w:rsidRPr="009B4E30">
        <w:rPr>
          <w:rStyle w:val="documentbody"/>
          <w:szCs w:val="22"/>
        </w:rPr>
        <w:t>regarding the matters recited above.</w:t>
      </w:r>
      <w:r w:rsidRPr="009B4E30">
        <w:rPr>
          <w:rStyle w:val="FootnoteReference"/>
          <w:sz w:val="22"/>
          <w:szCs w:val="22"/>
        </w:rPr>
        <w:footnoteReference w:id="20"/>
      </w:r>
      <w:r w:rsidRPr="009B4E30">
        <w:rPr>
          <w:szCs w:val="22"/>
        </w:rPr>
        <w:t xml:space="preserve">  Teleplus responded to the LOI on April 10, 2009.</w:t>
      </w:r>
      <w:r w:rsidRPr="009B4E30">
        <w:rPr>
          <w:rStyle w:val="FootnoteReference"/>
          <w:sz w:val="22"/>
          <w:szCs w:val="22"/>
        </w:rPr>
        <w:footnoteReference w:id="21"/>
      </w:r>
      <w:r w:rsidRPr="009B4E30">
        <w:rPr>
          <w:szCs w:val="22"/>
        </w:rPr>
        <w:t xml:space="preserve">  On June 4, 2009, the Bureau issued a Notice of Apparent Liability (NAL)</w:t>
      </w:r>
      <w:r w:rsidR="000C6C51" w:rsidRPr="009B4E30">
        <w:rPr>
          <w:szCs w:val="22"/>
        </w:rPr>
        <w:t xml:space="preserve"> to Teleplus for failing to obtain an international Section 214 authorization before providing international telecommunications service</w:t>
      </w:r>
      <w:r w:rsidRPr="009B4E30">
        <w:rPr>
          <w:szCs w:val="22"/>
        </w:rPr>
        <w:t>.</w:t>
      </w:r>
      <w:r w:rsidRPr="009B4E30">
        <w:rPr>
          <w:rStyle w:val="FootnoteReference"/>
          <w:sz w:val="22"/>
          <w:szCs w:val="22"/>
        </w:rPr>
        <w:footnoteReference w:id="22"/>
      </w:r>
      <w:r w:rsidRPr="009B4E30">
        <w:rPr>
          <w:szCs w:val="22"/>
        </w:rPr>
        <w:t xml:space="preserve">  Teleplus responded to the NAL on January 11, 2010,</w:t>
      </w:r>
      <w:r w:rsidRPr="009B4E30">
        <w:rPr>
          <w:rStyle w:val="FootnoteReference"/>
          <w:sz w:val="22"/>
          <w:szCs w:val="22"/>
        </w:rPr>
        <w:footnoteReference w:id="23"/>
      </w:r>
      <w:r w:rsidRPr="009B4E30">
        <w:rPr>
          <w:szCs w:val="22"/>
        </w:rPr>
        <w:t xml:space="preserve"> and supplemented its response on March 8, 2013.</w:t>
      </w:r>
      <w:r w:rsidRPr="009B4E30">
        <w:rPr>
          <w:rStyle w:val="FootnoteReference"/>
          <w:sz w:val="22"/>
          <w:szCs w:val="22"/>
        </w:rPr>
        <w:footnoteReference w:id="24"/>
      </w:r>
      <w:r w:rsidRPr="009B4E30">
        <w:rPr>
          <w:szCs w:val="22"/>
        </w:rPr>
        <w:t xml:space="preserve">  The Parties thereafter entered into settlement discussions.</w:t>
      </w:r>
    </w:p>
    <w:p w:rsidR="00552DE2" w:rsidRPr="009B4E30" w:rsidRDefault="00552DE2" w:rsidP="00E23B76">
      <w:pPr>
        <w:pStyle w:val="par1"/>
        <w:numPr>
          <w:ilvl w:val="0"/>
          <w:numId w:val="0"/>
        </w:numPr>
        <w:rPr>
          <w:szCs w:val="22"/>
        </w:rPr>
      </w:pPr>
    </w:p>
    <w:p w:rsidR="00552DE2" w:rsidRPr="009B4E30" w:rsidRDefault="00552DE2" w:rsidP="007E500B">
      <w:pPr>
        <w:keepNext/>
        <w:rPr>
          <w:b/>
          <w:sz w:val="22"/>
          <w:szCs w:val="22"/>
        </w:rPr>
      </w:pPr>
      <w:bookmarkStart w:id="7" w:name="FN[FN18]"/>
      <w:bookmarkEnd w:id="7"/>
      <w:r w:rsidRPr="009B4E30">
        <w:rPr>
          <w:b/>
          <w:sz w:val="22"/>
          <w:szCs w:val="22"/>
        </w:rPr>
        <w:t>III.</w:t>
      </w:r>
      <w:r w:rsidRPr="009B4E30">
        <w:rPr>
          <w:b/>
          <w:sz w:val="22"/>
          <w:szCs w:val="22"/>
        </w:rPr>
        <w:tab/>
        <w:t>TERMS OF AGREEMENT</w:t>
      </w:r>
    </w:p>
    <w:p w:rsidR="00552DE2" w:rsidRPr="009B4E30" w:rsidRDefault="00552DE2" w:rsidP="007E500B">
      <w:pPr>
        <w:pStyle w:val="par1"/>
        <w:keepNext/>
        <w:numPr>
          <w:ilvl w:val="0"/>
          <w:numId w:val="0"/>
        </w:numPr>
        <w:rPr>
          <w:b/>
          <w:szCs w:val="22"/>
          <w:u w:val="single"/>
        </w:rPr>
      </w:pPr>
    </w:p>
    <w:p w:rsidR="00552DE2" w:rsidRPr="009B4E30" w:rsidRDefault="00552DE2" w:rsidP="007E500B">
      <w:pPr>
        <w:pStyle w:val="par1"/>
        <w:keepNext/>
        <w:tabs>
          <w:tab w:val="clear" w:pos="1080"/>
          <w:tab w:val="num" w:pos="1440"/>
        </w:tabs>
        <w:rPr>
          <w:szCs w:val="22"/>
        </w:rPr>
      </w:pPr>
      <w:r w:rsidRPr="009B4E30">
        <w:rPr>
          <w:b/>
          <w:szCs w:val="22"/>
          <w:u w:val="single"/>
        </w:rPr>
        <w:t>Adopting Order</w:t>
      </w:r>
      <w:r w:rsidRPr="009B4E30">
        <w:rPr>
          <w:b/>
          <w:szCs w:val="22"/>
        </w:rPr>
        <w:t>.</w:t>
      </w:r>
      <w:r w:rsidRPr="009B4E30">
        <w:rPr>
          <w:szCs w:val="22"/>
        </w:rPr>
        <w:t xml:space="preserve">  The Parties agree that the provisions of this Consent Decree shall be subject to final approval by the Bureau by incorporation of such provisions by reference in the Adopting Order.</w:t>
      </w:r>
      <w:r w:rsidRPr="009B4E30">
        <w:rPr>
          <w:b/>
          <w:szCs w:val="22"/>
          <w:u w:val="single"/>
        </w:rPr>
        <w:t xml:space="preserve"> </w:t>
      </w:r>
    </w:p>
    <w:p w:rsidR="00552DE2" w:rsidRPr="009B4E30" w:rsidRDefault="00552DE2">
      <w:pPr>
        <w:pStyle w:val="par1"/>
        <w:numPr>
          <w:ilvl w:val="0"/>
          <w:numId w:val="0"/>
        </w:numPr>
        <w:rPr>
          <w:szCs w:val="22"/>
        </w:rPr>
      </w:pPr>
    </w:p>
    <w:p w:rsidR="00552DE2" w:rsidRPr="009B4E30" w:rsidRDefault="00552DE2">
      <w:pPr>
        <w:pStyle w:val="par1"/>
        <w:tabs>
          <w:tab w:val="clear" w:pos="1080"/>
          <w:tab w:val="num" w:pos="1440"/>
        </w:tabs>
        <w:rPr>
          <w:szCs w:val="22"/>
        </w:rPr>
      </w:pPr>
      <w:r w:rsidRPr="009B4E30">
        <w:rPr>
          <w:b/>
          <w:szCs w:val="22"/>
          <w:u w:val="single"/>
        </w:rPr>
        <w:t>Jurisdiction</w:t>
      </w:r>
      <w:r w:rsidRPr="009B4E30">
        <w:rPr>
          <w:b/>
          <w:szCs w:val="22"/>
        </w:rPr>
        <w:t>.</w:t>
      </w:r>
      <w:r w:rsidRPr="009B4E30">
        <w:rPr>
          <w:szCs w:val="22"/>
        </w:rPr>
        <w:t xml:space="preserve">  Teleplus agrees that the Bureau has jurisdiction over it and the matters contained in this Consent Decree and that the Bureau has the authority to enter into and adopt this Consent Decree.</w:t>
      </w:r>
    </w:p>
    <w:p w:rsidR="00552DE2" w:rsidRPr="009B4E30" w:rsidRDefault="00552DE2">
      <w:pPr>
        <w:pStyle w:val="par1"/>
        <w:numPr>
          <w:ilvl w:val="0"/>
          <w:numId w:val="0"/>
        </w:numPr>
        <w:rPr>
          <w:szCs w:val="22"/>
        </w:rPr>
      </w:pPr>
    </w:p>
    <w:p w:rsidR="00552DE2" w:rsidRPr="009B4E30" w:rsidRDefault="00552DE2">
      <w:pPr>
        <w:pStyle w:val="par1"/>
        <w:tabs>
          <w:tab w:val="clear" w:pos="1080"/>
          <w:tab w:val="num" w:pos="1440"/>
        </w:tabs>
        <w:rPr>
          <w:szCs w:val="22"/>
        </w:rPr>
      </w:pPr>
      <w:r w:rsidRPr="009B4E30">
        <w:rPr>
          <w:b/>
          <w:szCs w:val="22"/>
          <w:u w:val="single"/>
        </w:rPr>
        <w:t>Effective Date; Violations</w:t>
      </w:r>
      <w:r w:rsidRPr="009B4E30">
        <w:rPr>
          <w:b/>
          <w:szCs w:val="22"/>
        </w:rPr>
        <w:t>.</w:t>
      </w:r>
      <w:r w:rsidRPr="009B4E30">
        <w:rPr>
          <w:szCs w:val="22"/>
        </w:rPr>
        <w:t xml:space="preserve">  The Parties agree that this Consent Decree shall become effective on the Effective Date</w:t>
      </w:r>
      <w:r w:rsidR="000C6C51" w:rsidRPr="009B4E30">
        <w:rPr>
          <w:szCs w:val="22"/>
        </w:rPr>
        <w:t xml:space="preserve"> as defined herein</w:t>
      </w:r>
      <w:r w:rsidRPr="009B4E30">
        <w:rPr>
          <w:szCs w:val="22"/>
        </w:rPr>
        <w:t>.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552DE2" w:rsidRPr="009B4E30" w:rsidRDefault="00552DE2">
      <w:pPr>
        <w:pStyle w:val="par1"/>
        <w:numPr>
          <w:ilvl w:val="0"/>
          <w:numId w:val="0"/>
        </w:numPr>
        <w:rPr>
          <w:szCs w:val="22"/>
        </w:rPr>
      </w:pPr>
    </w:p>
    <w:p w:rsidR="00552DE2" w:rsidRPr="009B4E30" w:rsidRDefault="00552DE2" w:rsidP="006C198D">
      <w:pPr>
        <w:pStyle w:val="par1"/>
        <w:tabs>
          <w:tab w:val="clear" w:pos="1080"/>
          <w:tab w:val="num" w:pos="1440"/>
        </w:tabs>
        <w:rPr>
          <w:szCs w:val="22"/>
        </w:rPr>
      </w:pPr>
      <w:r w:rsidRPr="009B4E30">
        <w:rPr>
          <w:b/>
          <w:szCs w:val="22"/>
          <w:u w:val="single"/>
        </w:rPr>
        <w:t>Termination of Investigation</w:t>
      </w:r>
      <w:r w:rsidRPr="009B4E30">
        <w:rPr>
          <w:b/>
          <w:szCs w:val="22"/>
        </w:rPr>
        <w:t>.</w:t>
      </w:r>
      <w:r w:rsidRPr="009B4E30">
        <w:rPr>
          <w:szCs w:val="22"/>
        </w:rPr>
        <w:t xml:space="preserve">  In express reliance on the covenants and representations in this Consent Decree and to avoid further expenditure of public resources, the Bureau agrees to terminate </w:t>
      </w:r>
      <w:r w:rsidR="000C6C51" w:rsidRPr="009B4E30">
        <w:rPr>
          <w:szCs w:val="22"/>
        </w:rPr>
        <w:t xml:space="preserve">the </w:t>
      </w:r>
      <w:r w:rsidRPr="009B4E30">
        <w:rPr>
          <w:szCs w:val="22"/>
        </w:rPr>
        <w:t xml:space="preserve">Investigation.  </w:t>
      </w:r>
      <w:r w:rsidR="000C6C51" w:rsidRPr="009B4E30">
        <w:rPr>
          <w:szCs w:val="22"/>
        </w:rPr>
        <w:t xml:space="preserve">In consideration for termination of the investigation, </w:t>
      </w:r>
      <w:r w:rsidRPr="009B4E30">
        <w:rPr>
          <w:szCs w:val="22"/>
        </w:rPr>
        <w:t xml:space="preserve">Teleplus agrees to the terms, conditions, and procedures contained herein.  The Bureau further agrees that, in the absence of new material evidence, the Bureau will not use the facts developed in this Investigation through the Effective Date, or the existence of this Consent Decree, to institute, on its own motion, any new proceeding, formal or informal, or take any action on its own motion against Teleplus concerning the matters that were the subject of the Investigation.  The Bureau also agrees that in the absence of new material evidence it will not use the facts developed in this Investigation through the Effective Date, or the existence of this Consent Decree, to institute on its own motion any proceeding, formal or informal, or take any action on its own motion against Teleplus with respect to Teleplus’s basic qualifications, including its character qualifications, to be a Commission licensee or hold Commission </w:t>
      </w:r>
      <w:r w:rsidR="000C6C51" w:rsidRPr="009B4E30">
        <w:rPr>
          <w:szCs w:val="22"/>
        </w:rPr>
        <w:t xml:space="preserve">licenses or </w:t>
      </w:r>
      <w:r w:rsidRPr="009B4E30">
        <w:rPr>
          <w:szCs w:val="22"/>
        </w:rPr>
        <w:t>authorizations.</w:t>
      </w:r>
    </w:p>
    <w:p w:rsidR="00552DE2" w:rsidRPr="009B4E30" w:rsidRDefault="00552DE2">
      <w:pPr>
        <w:pStyle w:val="par1"/>
        <w:numPr>
          <w:ilvl w:val="0"/>
          <w:numId w:val="0"/>
        </w:numPr>
        <w:ind w:left="720"/>
        <w:rPr>
          <w:szCs w:val="22"/>
        </w:rPr>
      </w:pPr>
    </w:p>
    <w:p w:rsidR="00552DE2" w:rsidRPr="009B4E30" w:rsidRDefault="00552DE2" w:rsidP="006C198D">
      <w:pPr>
        <w:pStyle w:val="par1"/>
        <w:tabs>
          <w:tab w:val="clear" w:pos="1080"/>
          <w:tab w:val="num" w:pos="1440"/>
        </w:tabs>
        <w:rPr>
          <w:szCs w:val="22"/>
        </w:rPr>
      </w:pPr>
      <w:r w:rsidRPr="009B4E30">
        <w:rPr>
          <w:b/>
          <w:szCs w:val="22"/>
          <w:u w:val="single"/>
        </w:rPr>
        <w:t>Compliance Officer</w:t>
      </w:r>
      <w:r w:rsidRPr="009B4E30">
        <w:rPr>
          <w:b/>
          <w:szCs w:val="22"/>
        </w:rPr>
        <w:t>.</w:t>
      </w:r>
      <w:r w:rsidRPr="009B4E30">
        <w:rPr>
          <w:szCs w:val="22"/>
        </w:rPr>
        <w:t xml:space="preserve">  Within thirty (30) calendar days after the Effective Date, Teleplus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Teleplus complies with the terms and conditions of the Compliance Plan and this Consent Decree.  In addition to the general knowledge of the Communications Laws necessary to discharge his/her duties under this Consent Decree, the Compliance Officer shall have specific knowledge of the Section 214 Rules prior to assuming his/her duties.</w:t>
      </w:r>
    </w:p>
    <w:p w:rsidR="00552DE2" w:rsidRPr="009B4E30" w:rsidRDefault="00552DE2">
      <w:pPr>
        <w:pStyle w:val="par1"/>
        <w:numPr>
          <w:ilvl w:val="0"/>
          <w:numId w:val="0"/>
        </w:numPr>
        <w:rPr>
          <w:szCs w:val="22"/>
        </w:rPr>
      </w:pPr>
    </w:p>
    <w:p w:rsidR="00552DE2" w:rsidRPr="009B4E30" w:rsidRDefault="00552DE2">
      <w:pPr>
        <w:pStyle w:val="par1"/>
        <w:tabs>
          <w:tab w:val="clear" w:pos="1080"/>
          <w:tab w:val="num" w:pos="1440"/>
        </w:tabs>
        <w:rPr>
          <w:szCs w:val="22"/>
        </w:rPr>
      </w:pPr>
      <w:r w:rsidRPr="009B4E30">
        <w:rPr>
          <w:b/>
          <w:szCs w:val="22"/>
          <w:u w:val="single"/>
        </w:rPr>
        <w:t>Compliance Plan</w:t>
      </w:r>
      <w:r w:rsidRPr="009B4E30">
        <w:rPr>
          <w:b/>
          <w:szCs w:val="22"/>
        </w:rPr>
        <w:t>.</w:t>
      </w:r>
      <w:r w:rsidRPr="009B4E30">
        <w:rPr>
          <w:szCs w:val="22"/>
        </w:rPr>
        <w:t xml:space="preserve">  For purposes of settling the matters set forth herein,</w:t>
      </w:r>
      <w:r w:rsidRPr="009B4E30">
        <w:rPr>
          <w:b/>
          <w:szCs w:val="22"/>
        </w:rPr>
        <w:t xml:space="preserve"> </w:t>
      </w:r>
      <w:r w:rsidRPr="009B4E30">
        <w:rPr>
          <w:szCs w:val="22"/>
        </w:rPr>
        <w:t xml:space="preserve">Teleplus agrees that it shall, within sixty (60) calendar days after the Effective Date, develop and implement a Compliance Plan designed to ensure future compliance with the Communications Laws, and with the terms and conditions of this Consent Decree.  With respect to the Section 214 Rules, Teleplus shall implement the following </w:t>
      </w:r>
      <w:r w:rsidR="00A13A37" w:rsidRPr="009B4E30">
        <w:rPr>
          <w:szCs w:val="22"/>
        </w:rPr>
        <w:t>procedures</w:t>
      </w:r>
      <w:r w:rsidRPr="009B4E30">
        <w:rPr>
          <w:szCs w:val="22"/>
        </w:rPr>
        <w:t>:</w:t>
      </w:r>
    </w:p>
    <w:p w:rsidR="00552DE2" w:rsidRPr="009B4E30" w:rsidRDefault="00552DE2">
      <w:pPr>
        <w:pStyle w:val="par1"/>
        <w:numPr>
          <w:ilvl w:val="0"/>
          <w:numId w:val="0"/>
        </w:numPr>
        <w:rPr>
          <w:szCs w:val="22"/>
        </w:rPr>
      </w:pPr>
    </w:p>
    <w:p w:rsidR="00552DE2" w:rsidRPr="009B4E30" w:rsidRDefault="00552DE2" w:rsidP="004577C0">
      <w:pPr>
        <w:numPr>
          <w:ilvl w:val="0"/>
          <w:numId w:val="5"/>
        </w:numPr>
        <w:tabs>
          <w:tab w:val="left" w:pos="1440"/>
          <w:tab w:val="left" w:pos="1800"/>
        </w:tabs>
        <w:rPr>
          <w:sz w:val="22"/>
          <w:szCs w:val="22"/>
        </w:rPr>
      </w:pPr>
      <w:r w:rsidRPr="009B4E30">
        <w:rPr>
          <w:b/>
          <w:sz w:val="22"/>
          <w:szCs w:val="22"/>
          <w:u w:val="single"/>
        </w:rPr>
        <w:t>Operating Procedures</w:t>
      </w:r>
      <w:r w:rsidRPr="009B4E30">
        <w:rPr>
          <w:sz w:val="22"/>
          <w:szCs w:val="22"/>
        </w:rPr>
        <w:t xml:space="preserve">.  Within sixty (60) calendar days after the Effective Date, Teleplus shall establish Operating Procedures that all Covered Employees </w:t>
      </w:r>
      <w:r w:rsidR="00A13A37" w:rsidRPr="009B4E30">
        <w:rPr>
          <w:sz w:val="22"/>
          <w:szCs w:val="22"/>
        </w:rPr>
        <w:t xml:space="preserve">must </w:t>
      </w:r>
      <w:r w:rsidRPr="009B4E30">
        <w:rPr>
          <w:sz w:val="22"/>
          <w:szCs w:val="22"/>
        </w:rPr>
        <w:t>follow to help ensure Teleplus’s compliance with the Section 214 Rules.  In addition to implementing the required policies and procedures in Section 63.18 of the Rules, Teleplus’s Operating Procedures shall include internal procedures and policies specifically designed to ensure that Teleplus complies with the Section 214 Rules.  Teleplus shall also develop a Compliance Checklist that describes the steps a Covered Employee must follow to ensure compliance with the Section 214 Rules.</w:t>
      </w:r>
    </w:p>
    <w:p w:rsidR="00552DE2" w:rsidRPr="009B4E30" w:rsidRDefault="00552DE2">
      <w:pPr>
        <w:numPr>
          <w:ilvl w:val="0"/>
          <w:numId w:val="5"/>
        </w:numPr>
        <w:tabs>
          <w:tab w:val="left" w:pos="1440"/>
          <w:tab w:val="left" w:pos="1800"/>
        </w:tabs>
        <w:spacing w:before="240"/>
        <w:rPr>
          <w:sz w:val="22"/>
          <w:szCs w:val="22"/>
        </w:rPr>
      </w:pPr>
      <w:r w:rsidRPr="009B4E30">
        <w:rPr>
          <w:b/>
          <w:sz w:val="22"/>
          <w:szCs w:val="22"/>
          <w:u w:val="single"/>
        </w:rPr>
        <w:t>Compliance Manual</w:t>
      </w:r>
      <w:r w:rsidRPr="009B4E30">
        <w:rPr>
          <w:b/>
          <w:sz w:val="22"/>
          <w:szCs w:val="22"/>
        </w:rPr>
        <w:t>.</w:t>
      </w:r>
      <w:r w:rsidRPr="009B4E30">
        <w:rPr>
          <w:sz w:val="22"/>
          <w:szCs w:val="22"/>
        </w:rPr>
        <w:t xml:space="preserve">  Within sixty (60) calendar days after the Effective Date, the Compliance Officer shall develop and distribute a Compliance Manual to all Covered Employees.  The Compliance Manual shall explain the Section 214 Rules, and set forth the Operating Procedures that Covered Employees shall follow to help ensure Teleplus’s compliance with the Section 214 Rules.  Teleplus shall periodically review and revise the Compliance Manual as necessary to ensure that the information set forth therein remains current and accurate.  Teleplus shall distribute any revisions to the Compliance Manual promptly to Covered Employees.  </w:t>
      </w:r>
    </w:p>
    <w:p w:rsidR="00552DE2" w:rsidRPr="009B4E30" w:rsidRDefault="00552DE2">
      <w:pPr>
        <w:tabs>
          <w:tab w:val="left" w:pos="1440"/>
          <w:tab w:val="left" w:pos="1800"/>
        </w:tabs>
        <w:rPr>
          <w:sz w:val="22"/>
          <w:szCs w:val="22"/>
        </w:rPr>
      </w:pPr>
    </w:p>
    <w:p w:rsidR="00552DE2" w:rsidRPr="009B4E30" w:rsidRDefault="00552DE2">
      <w:pPr>
        <w:numPr>
          <w:ilvl w:val="0"/>
          <w:numId w:val="5"/>
        </w:numPr>
        <w:tabs>
          <w:tab w:val="left" w:pos="1440"/>
          <w:tab w:val="left" w:pos="1800"/>
        </w:tabs>
        <w:rPr>
          <w:sz w:val="22"/>
          <w:szCs w:val="22"/>
        </w:rPr>
      </w:pPr>
      <w:r w:rsidRPr="009B4E30">
        <w:rPr>
          <w:b/>
          <w:sz w:val="22"/>
          <w:szCs w:val="22"/>
          <w:u w:val="single"/>
        </w:rPr>
        <w:t>Compliance Training Program</w:t>
      </w:r>
      <w:r w:rsidRPr="009B4E30">
        <w:rPr>
          <w:b/>
          <w:sz w:val="22"/>
          <w:szCs w:val="22"/>
        </w:rPr>
        <w:t>.</w:t>
      </w:r>
      <w:r w:rsidRPr="009B4E30">
        <w:rPr>
          <w:sz w:val="22"/>
          <w:szCs w:val="22"/>
        </w:rPr>
        <w:t xml:space="preserve">  Teleplus shall establish and implement a Compliance Training Program on compliance with the Section 214 Rules and the Operating Procedures.  As part of the Compliance Training Program, Covered Employees shall be advised of Teleplus’s obligation to report any noncompliance with the Section 214 Rules under paragraph </w:t>
      </w:r>
      <w:r w:rsidR="00A13A37" w:rsidRPr="009B4E30">
        <w:rPr>
          <w:sz w:val="22"/>
          <w:szCs w:val="22"/>
        </w:rPr>
        <w:t xml:space="preserve">14 </w:t>
      </w:r>
      <w:r w:rsidRPr="009B4E30">
        <w:rPr>
          <w:sz w:val="22"/>
          <w:szCs w:val="22"/>
        </w:rPr>
        <w:t>of this Consent Decree and shall be instructed on how to disclose noncompliance to the Compliance Officer.  All Covered Employees shall be trained pursuant to the Compliance Training Program within sixty (60) calendar days after the Effective Date.  Any person who becomes a Covered Employee at any time after the initial Compliance Training Program shall be trained within thirty (30) calendar days after the date such person becomes a Covered Employee.  Teleplus shall repeat the compliance training on an annual basis, and shall periodically review and revise the Compliance Training Program as necessary to ensure that it remains current and complete and to enhance its effectiveness.</w:t>
      </w:r>
    </w:p>
    <w:p w:rsidR="00552DE2" w:rsidRPr="009B4E30" w:rsidRDefault="00552DE2">
      <w:pPr>
        <w:pStyle w:val="par1"/>
        <w:numPr>
          <w:ilvl w:val="0"/>
          <w:numId w:val="0"/>
        </w:numPr>
        <w:tabs>
          <w:tab w:val="num" w:pos="1440"/>
        </w:tabs>
        <w:ind w:left="720"/>
        <w:rPr>
          <w:szCs w:val="22"/>
        </w:rPr>
      </w:pPr>
    </w:p>
    <w:p w:rsidR="00552DE2" w:rsidRPr="009B4E30" w:rsidRDefault="00552DE2">
      <w:pPr>
        <w:pStyle w:val="par1"/>
        <w:tabs>
          <w:tab w:val="clear" w:pos="1080"/>
          <w:tab w:val="num" w:pos="1440"/>
        </w:tabs>
        <w:rPr>
          <w:szCs w:val="22"/>
        </w:rPr>
      </w:pPr>
      <w:bookmarkStart w:id="8" w:name="_Ref321323028"/>
      <w:r w:rsidRPr="009B4E30">
        <w:rPr>
          <w:b/>
          <w:szCs w:val="22"/>
          <w:u w:val="single"/>
        </w:rPr>
        <w:t>Reporting Noncompliance</w:t>
      </w:r>
      <w:r w:rsidRPr="009B4E30">
        <w:rPr>
          <w:szCs w:val="22"/>
        </w:rPr>
        <w:t>.  Teleplus shall report any noncompliance with the Section 214 Rules and with the terms and conditions of this Consent Decree within fifteen (15) calendar days after discovery of such noncompliance.  Such reports shall include a detailed explanation of (i) each instance of noncompliance; (ii) the steps that Teleplus has taken or will take to remedy such noncompliance; (iii) the schedule on which such remedial actions will be taken; and (iv) the steps that Teleplus has taken or will take to prevent the recurrence of any such noncompliance.  All reports of noncompliance shall be submitted to the Chief, Investigations and Hearings Division, Enforcement Bureau, Federal Communications Commission, Room 3-C330, 445 12th Street, S.W. Washington, D.C. 20554, with a copy submitted electronically to Theresa Z. Cavanaugh at Terry.Cavanaugh@fcc.gov, William A. Kehoe at William.Kehoe@fcc.gov, and Joy M. Ragsdale at Joy.Ragsdale@fcc.gov.</w:t>
      </w:r>
      <w:bookmarkEnd w:id="8"/>
    </w:p>
    <w:p w:rsidR="00552DE2" w:rsidRPr="009B4E30" w:rsidRDefault="00552DE2">
      <w:pPr>
        <w:pStyle w:val="Heading1A"/>
        <w:keepNext w:val="0"/>
        <w:numPr>
          <w:ilvl w:val="0"/>
          <w:numId w:val="2"/>
        </w:numPr>
        <w:tabs>
          <w:tab w:val="clear" w:pos="1080"/>
          <w:tab w:val="num" w:pos="1440"/>
        </w:tabs>
        <w:suppressAutoHyphens w:val="0"/>
        <w:spacing w:before="240" w:after="0"/>
        <w:outlineLvl w:val="9"/>
        <w:rPr>
          <w:rFonts w:ascii="Times New Roman" w:hAnsi="Times New Roman"/>
          <w:caps w:val="0"/>
          <w:color w:val="auto"/>
          <w:sz w:val="22"/>
          <w:szCs w:val="22"/>
        </w:rPr>
      </w:pPr>
      <w:r w:rsidRPr="009B4E30">
        <w:rPr>
          <w:rFonts w:ascii="Times New Roman" w:hAnsi="Times New Roman"/>
          <w:b/>
          <w:caps w:val="0"/>
          <w:sz w:val="22"/>
          <w:szCs w:val="22"/>
          <w:u w:val="single"/>
        </w:rPr>
        <w:t>Compliance Reports</w:t>
      </w:r>
      <w:r w:rsidRPr="009B4E30">
        <w:rPr>
          <w:rFonts w:ascii="Times New Roman" w:hAnsi="Times New Roman"/>
          <w:sz w:val="22"/>
          <w:szCs w:val="22"/>
        </w:rPr>
        <w:t xml:space="preserve">.  </w:t>
      </w:r>
      <w:r w:rsidRPr="009B4E30">
        <w:rPr>
          <w:rFonts w:ascii="Times New Roman" w:hAnsi="Times New Roman"/>
          <w:caps w:val="0"/>
          <w:sz w:val="22"/>
          <w:szCs w:val="22"/>
        </w:rPr>
        <w:t xml:space="preserve">Teleplus shall file </w:t>
      </w:r>
      <w:r w:rsidR="00A13A37" w:rsidRPr="009B4E30">
        <w:rPr>
          <w:rFonts w:ascii="Times New Roman" w:hAnsi="Times New Roman"/>
          <w:caps w:val="0"/>
          <w:sz w:val="22"/>
          <w:szCs w:val="22"/>
        </w:rPr>
        <w:t>c</w:t>
      </w:r>
      <w:r w:rsidRPr="009B4E30">
        <w:rPr>
          <w:rFonts w:ascii="Times New Roman" w:hAnsi="Times New Roman"/>
          <w:caps w:val="0"/>
          <w:sz w:val="22"/>
          <w:szCs w:val="22"/>
        </w:rPr>
        <w:t xml:space="preserve">ompliance </w:t>
      </w:r>
      <w:r w:rsidR="00A13A37" w:rsidRPr="009B4E30">
        <w:rPr>
          <w:rFonts w:ascii="Times New Roman" w:hAnsi="Times New Roman"/>
          <w:caps w:val="0"/>
          <w:sz w:val="22"/>
          <w:szCs w:val="22"/>
        </w:rPr>
        <w:t>r</w:t>
      </w:r>
      <w:r w:rsidRPr="009B4E30">
        <w:rPr>
          <w:rFonts w:ascii="Times New Roman" w:hAnsi="Times New Roman"/>
          <w:caps w:val="0"/>
          <w:sz w:val="22"/>
          <w:szCs w:val="22"/>
        </w:rPr>
        <w:t>eports with the Commission ninety (90) calendar days after the Effective Date, twelve (12) months after the Effective Date, twenty-four (24) months after the Effective Date, and thirty-six (36) months after the Effective Date.</w:t>
      </w:r>
    </w:p>
    <w:p w:rsidR="00552DE2" w:rsidRPr="009B4E30" w:rsidRDefault="00552DE2" w:rsidP="00011A51">
      <w:pPr>
        <w:widowControl w:val="0"/>
        <w:numPr>
          <w:ilvl w:val="0"/>
          <w:numId w:val="7"/>
        </w:numPr>
        <w:tabs>
          <w:tab w:val="left" w:pos="720"/>
          <w:tab w:val="left" w:pos="1440"/>
        </w:tabs>
        <w:spacing w:before="240" w:after="240"/>
        <w:rPr>
          <w:sz w:val="22"/>
          <w:szCs w:val="22"/>
        </w:rPr>
      </w:pPr>
      <w:r w:rsidRPr="009B4E30">
        <w:rPr>
          <w:sz w:val="22"/>
          <w:szCs w:val="22"/>
        </w:rPr>
        <w:t xml:space="preserve">Each Compliance Report shall include a detailed description of Teleplus’s efforts during the relevant period to comply with the terms and conditions of this Consent Decree and the </w:t>
      </w:r>
      <w:r w:rsidR="00A13A37" w:rsidRPr="009B4E30">
        <w:rPr>
          <w:sz w:val="22"/>
          <w:szCs w:val="22"/>
        </w:rPr>
        <w:t xml:space="preserve">Section 214 </w:t>
      </w:r>
      <w:r w:rsidRPr="009B4E30">
        <w:rPr>
          <w:sz w:val="22"/>
          <w:szCs w:val="22"/>
        </w:rPr>
        <w:t xml:space="preserve">Rules.  In addition, each Compliance Report shall include a certification by the Compliance Officer, as an agent of and on behalf of Teleplus, stating that the Compliance Officer has personal knowledge that Teleplus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A13A37" w:rsidRPr="009B4E30">
        <w:rPr>
          <w:sz w:val="22"/>
          <w:szCs w:val="22"/>
        </w:rPr>
        <w:t>14</w:t>
      </w:r>
      <w:r w:rsidR="00A13A37" w:rsidRPr="009B4E30">
        <w:rPr>
          <w:b/>
          <w:sz w:val="22"/>
          <w:szCs w:val="22"/>
        </w:rPr>
        <w:t xml:space="preserve"> </w:t>
      </w:r>
      <w:r w:rsidRPr="009B4E30">
        <w:rPr>
          <w:sz w:val="22"/>
          <w:szCs w:val="22"/>
        </w:rPr>
        <w:t>of this Consent Decree.</w:t>
      </w:r>
    </w:p>
    <w:p w:rsidR="00552DE2" w:rsidRPr="009B4E30" w:rsidRDefault="00552DE2" w:rsidP="00F71212">
      <w:pPr>
        <w:numPr>
          <w:ilvl w:val="0"/>
          <w:numId w:val="7"/>
        </w:numPr>
        <w:tabs>
          <w:tab w:val="left" w:pos="720"/>
          <w:tab w:val="left" w:pos="1440"/>
        </w:tabs>
        <w:spacing w:after="240"/>
        <w:rPr>
          <w:sz w:val="22"/>
          <w:szCs w:val="22"/>
        </w:rPr>
      </w:pPr>
      <w:r w:rsidRPr="009B4E30">
        <w:rPr>
          <w:sz w:val="22"/>
          <w:szCs w:val="22"/>
        </w:rPr>
        <w:t xml:space="preserve">The Compliance Officer’s certification shall be accompanied by a statement explaining the basis for such certification and shall comply with Section 1.16 of the Rules and be subscribed to as true under penalty of perjury in substantially the form set forth </w:t>
      </w:r>
      <w:r w:rsidR="00A13A37" w:rsidRPr="009B4E30">
        <w:rPr>
          <w:sz w:val="22"/>
          <w:szCs w:val="22"/>
        </w:rPr>
        <w:t>therein</w:t>
      </w:r>
      <w:r w:rsidRPr="009B4E30">
        <w:rPr>
          <w:sz w:val="22"/>
          <w:szCs w:val="22"/>
        </w:rPr>
        <w:t>.</w:t>
      </w:r>
      <w:r w:rsidRPr="009B4E30">
        <w:rPr>
          <w:rStyle w:val="FootnoteReference"/>
          <w:sz w:val="22"/>
          <w:szCs w:val="22"/>
        </w:rPr>
        <w:footnoteReference w:id="25"/>
      </w:r>
    </w:p>
    <w:p w:rsidR="00552DE2" w:rsidRPr="009B4E30" w:rsidRDefault="00552DE2">
      <w:pPr>
        <w:numPr>
          <w:ilvl w:val="0"/>
          <w:numId w:val="7"/>
        </w:numPr>
        <w:tabs>
          <w:tab w:val="left" w:pos="720"/>
          <w:tab w:val="left" w:pos="1440"/>
        </w:tabs>
        <w:spacing w:after="240"/>
        <w:rPr>
          <w:sz w:val="22"/>
          <w:szCs w:val="22"/>
        </w:rPr>
      </w:pPr>
      <w:r w:rsidRPr="009B4E30">
        <w:rPr>
          <w:sz w:val="22"/>
          <w:szCs w:val="22"/>
        </w:rPr>
        <w:t>If the Compliance Officer cannot provide the requisite certification, the Compliance Officer, as an agent of and on behalf of Teleplus, shall provide the Commission with a detailed explanation of the reason(s) why and describe fully (i) each instance of noncompliance; (ii) the steps that Teleplus has taken or will take to remedy such noncompliance, including the schedule on which proposed remedial actions will be taken; and (iii) the steps that Teleplus has taken or will take to prevent the recurrence of any such noncompliance, including the schedule on which such preventive action will be taken.</w:t>
      </w:r>
    </w:p>
    <w:p w:rsidR="00552DE2" w:rsidRPr="009B4E30" w:rsidRDefault="00552DE2" w:rsidP="00EB2D92">
      <w:pPr>
        <w:numPr>
          <w:ilvl w:val="0"/>
          <w:numId w:val="7"/>
        </w:numPr>
        <w:tabs>
          <w:tab w:val="left" w:pos="720"/>
          <w:tab w:val="left" w:pos="1440"/>
        </w:tabs>
        <w:ind w:left="1800" w:hanging="450"/>
        <w:rPr>
          <w:sz w:val="22"/>
          <w:szCs w:val="22"/>
        </w:rPr>
      </w:pPr>
      <w:r w:rsidRPr="009B4E30">
        <w:rPr>
          <w:sz w:val="22"/>
          <w:szCs w:val="22"/>
        </w:rPr>
        <w:t>All Compliance Reports shall be submitted to the Chief, Investigations &amp; Hearings Division, Enforcement Bureau, Federal Communications Commission, Room</w:t>
      </w:r>
    </w:p>
    <w:p w:rsidR="00552DE2" w:rsidRPr="009B4E30" w:rsidRDefault="00552DE2" w:rsidP="00EB2D92">
      <w:pPr>
        <w:tabs>
          <w:tab w:val="left" w:pos="720"/>
          <w:tab w:val="left" w:pos="1440"/>
        </w:tabs>
        <w:ind w:left="1800"/>
        <w:rPr>
          <w:sz w:val="22"/>
          <w:szCs w:val="22"/>
        </w:rPr>
      </w:pPr>
      <w:r w:rsidRPr="009B4E30">
        <w:rPr>
          <w:sz w:val="22"/>
          <w:szCs w:val="22"/>
        </w:rPr>
        <w:t>4-C330, 445 12th Street, S.W., Washington, D.C. 20554, with a copy submitted electronically to Theresa Z. Cavanaugh at Terry.Cavanaugh@fcc.gov, William A.</w:t>
      </w:r>
      <w:r w:rsidR="009B4E30" w:rsidRPr="009B4E30">
        <w:rPr>
          <w:sz w:val="22"/>
          <w:szCs w:val="22"/>
        </w:rPr>
        <w:t xml:space="preserve"> </w:t>
      </w:r>
      <w:r w:rsidRPr="009B4E30">
        <w:rPr>
          <w:sz w:val="22"/>
          <w:szCs w:val="22"/>
        </w:rPr>
        <w:t>Kehoe at William.Kehoe@fcc.gov, and Joy M. Ragsdale at Joy.Ragsdale@fcc.gov.</w:t>
      </w:r>
    </w:p>
    <w:p w:rsidR="00552DE2" w:rsidRPr="009B4E30" w:rsidRDefault="00552DE2" w:rsidP="00EB2D92">
      <w:pPr>
        <w:rPr>
          <w:sz w:val="22"/>
          <w:szCs w:val="22"/>
        </w:rPr>
      </w:pPr>
    </w:p>
    <w:p w:rsidR="00552DE2" w:rsidRPr="009B4E30" w:rsidRDefault="00552DE2">
      <w:pPr>
        <w:pStyle w:val="par1"/>
        <w:tabs>
          <w:tab w:val="clear" w:pos="1080"/>
          <w:tab w:val="num" w:pos="1440"/>
        </w:tabs>
        <w:rPr>
          <w:szCs w:val="22"/>
        </w:rPr>
      </w:pPr>
      <w:r w:rsidRPr="009B4E30">
        <w:rPr>
          <w:b/>
          <w:szCs w:val="22"/>
          <w:u w:val="single"/>
        </w:rPr>
        <w:t>Termination Date</w:t>
      </w:r>
      <w:r w:rsidRPr="009B4E30">
        <w:rPr>
          <w:b/>
          <w:szCs w:val="22"/>
        </w:rPr>
        <w:t xml:space="preserve">.  </w:t>
      </w:r>
      <w:r w:rsidRPr="009B4E30">
        <w:rPr>
          <w:szCs w:val="22"/>
        </w:rPr>
        <w:t xml:space="preserve">Unless stated otherwise, the obligations set forth in paragraphs </w:t>
      </w:r>
      <w:r w:rsidR="00A13A37" w:rsidRPr="009B4E30">
        <w:rPr>
          <w:szCs w:val="22"/>
        </w:rPr>
        <w:t xml:space="preserve">12 </w:t>
      </w:r>
      <w:r w:rsidRPr="009B4E30">
        <w:rPr>
          <w:szCs w:val="22"/>
        </w:rPr>
        <w:t xml:space="preserve">through </w:t>
      </w:r>
      <w:r w:rsidR="00A13A37" w:rsidRPr="009B4E30">
        <w:rPr>
          <w:szCs w:val="22"/>
        </w:rPr>
        <w:t xml:space="preserve">15 </w:t>
      </w:r>
      <w:r w:rsidRPr="009B4E30">
        <w:rPr>
          <w:szCs w:val="22"/>
        </w:rPr>
        <w:t>of this Consent Decree shall expire thirty-six (36) months after the Effective Date.</w:t>
      </w:r>
    </w:p>
    <w:p w:rsidR="00552DE2" w:rsidRPr="009B4E30" w:rsidRDefault="00552DE2" w:rsidP="00032932">
      <w:pPr>
        <w:pStyle w:val="par1"/>
        <w:numPr>
          <w:ilvl w:val="0"/>
          <w:numId w:val="0"/>
        </w:numPr>
        <w:rPr>
          <w:szCs w:val="22"/>
        </w:rPr>
      </w:pPr>
    </w:p>
    <w:p w:rsidR="00552DE2" w:rsidRPr="009B4E30" w:rsidRDefault="00552DE2" w:rsidP="00FF0AD5">
      <w:pPr>
        <w:pStyle w:val="par1"/>
        <w:tabs>
          <w:tab w:val="clear" w:pos="1080"/>
          <w:tab w:val="num" w:pos="1440"/>
        </w:tabs>
        <w:rPr>
          <w:szCs w:val="22"/>
        </w:rPr>
      </w:pPr>
      <w:r w:rsidRPr="009B4E30">
        <w:rPr>
          <w:b/>
          <w:szCs w:val="22"/>
          <w:u w:val="single"/>
        </w:rPr>
        <w:t>Section 208 Complaints; Subsequent Investigations</w:t>
      </w:r>
      <w:r w:rsidRPr="009B4E30">
        <w:rPr>
          <w:b/>
          <w:szCs w:val="22"/>
        </w:rPr>
        <w:t>.</w:t>
      </w:r>
      <w:r w:rsidRPr="00DE22C3">
        <w:rPr>
          <w:szCs w:val="22"/>
        </w:rPr>
        <w:t xml:space="preserve">  </w:t>
      </w:r>
      <w:r w:rsidRPr="009B4E30">
        <w:rPr>
          <w:szCs w:val="22"/>
        </w:rPr>
        <w:t>Nothing in this Consent Decree shall prevent the Commission or its delegated authority from adjudicating complaints filed pursuant to Section 208 of the Act</w:t>
      </w:r>
      <w:r w:rsidRPr="009B4E30">
        <w:rPr>
          <w:rStyle w:val="FootnoteReference"/>
          <w:sz w:val="22"/>
          <w:szCs w:val="22"/>
        </w:rPr>
        <w:footnoteReference w:id="26"/>
      </w:r>
      <w:r w:rsidRPr="009B4E30">
        <w:rPr>
          <w:szCs w:val="22"/>
        </w:rPr>
        <w:t xml:space="preserve"> against Teleplus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Teleplus with the Communications Laws.</w:t>
      </w:r>
    </w:p>
    <w:p w:rsidR="00552DE2" w:rsidRPr="009B4E30" w:rsidRDefault="00552DE2" w:rsidP="00FF0AD5">
      <w:pPr>
        <w:pStyle w:val="par1"/>
        <w:numPr>
          <w:ilvl w:val="0"/>
          <w:numId w:val="0"/>
        </w:numPr>
        <w:rPr>
          <w:szCs w:val="22"/>
        </w:rPr>
      </w:pPr>
    </w:p>
    <w:p w:rsidR="006915A0" w:rsidRDefault="00552DE2" w:rsidP="00AE45DB">
      <w:pPr>
        <w:pStyle w:val="par1"/>
        <w:tabs>
          <w:tab w:val="clear" w:pos="1080"/>
          <w:tab w:val="num" w:pos="1440"/>
        </w:tabs>
        <w:rPr>
          <w:szCs w:val="22"/>
        </w:rPr>
      </w:pPr>
      <w:r w:rsidRPr="009B4E30">
        <w:rPr>
          <w:b/>
          <w:szCs w:val="22"/>
          <w:u w:val="single"/>
        </w:rPr>
        <w:t>Voluntary Contribution</w:t>
      </w:r>
      <w:r w:rsidRPr="009B4E30">
        <w:rPr>
          <w:b/>
          <w:szCs w:val="22"/>
        </w:rPr>
        <w:t>.</w:t>
      </w:r>
      <w:r w:rsidRPr="009B4E30">
        <w:rPr>
          <w:szCs w:val="22"/>
        </w:rPr>
        <w:t xml:space="preserve">  Teleplus agrees that it will make a voluntary contribution to the United States Treasury in the aggregate amount of Eighty Thousand dollars ($80,000) (Voluntary Contribution).</w:t>
      </w:r>
    </w:p>
    <w:p w:rsidR="006915A0" w:rsidRDefault="006915A0" w:rsidP="000B2EED">
      <w:pPr>
        <w:pStyle w:val="ListParagraph"/>
        <w:rPr>
          <w:szCs w:val="22"/>
        </w:rPr>
      </w:pPr>
    </w:p>
    <w:p w:rsidR="00A13A37" w:rsidRDefault="00552DE2" w:rsidP="000B2EED">
      <w:pPr>
        <w:pStyle w:val="par1"/>
        <w:numPr>
          <w:ilvl w:val="0"/>
          <w:numId w:val="42"/>
        </w:numPr>
        <w:ind w:left="1800" w:hanging="450"/>
        <w:rPr>
          <w:szCs w:val="22"/>
        </w:rPr>
      </w:pPr>
      <w:r w:rsidRPr="009B4E30">
        <w:rPr>
          <w:szCs w:val="22"/>
        </w:rPr>
        <w:t xml:space="preserve">Such Voluntary Contribution shall be made in installments (each an Installment Payment).  The first Installment Payment in the amount of Ten Thousand dollars ($10,000) is due within thirty (30) calendar days after the Effective Date.  The balance of the Voluntary Contribution will be made in eight payments of Eight Thousand, Seven Hundred Fifty dollars ($8,750), payable on August 30, 2013, November 30, 2013, February 28, 2014, May 30, 2014, August 30, 2014, November 30, 2014, February 28, 2015, with the final payment due on April </w:t>
      </w:r>
      <w:r w:rsidR="00E804E1">
        <w:rPr>
          <w:szCs w:val="22"/>
        </w:rPr>
        <w:t>30</w:t>
      </w:r>
      <w:r w:rsidRPr="009B4E30">
        <w:rPr>
          <w:szCs w:val="22"/>
        </w:rPr>
        <w:t>, 2015 (Maturity Date).  Teleplus acknowledges and agrees that upon execution of this Consent Decree, the Voluntary Contribution and each Installment Payment shall become a “Claim” or “Debt” as defined in 31 U.S.C. § 3701(b)(1).</w:t>
      </w:r>
      <w:r w:rsidR="00502559" w:rsidRPr="00DE22C3">
        <w:rPr>
          <w:rStyle w:val="FootnoteReference"/>
          <w:sz w:val="22"/>
          <w:szCs w:val="22"/>
        </w:rPr>
        <w:footnoteReference w:id="27"/>
      </w:r>
      <w:r w:rsidRPr="009B4E30">
        <w:rPr>
          <w:szCs w:val="22"/>
        </w:rPr>
        <w:t xml:space="preserve">  Upon an Event of Default (as defined below), all procedures for collection as permitted by law may, at the Commission’s discretion, be initiated.  In addition, Teleplus agrees that it will make the first and all subsequent Installment Payments in United States Dollars without further demand or notice by the dates specified above.  Teleplus shall also send electronic notification of payment to Theresa Z. Cavanaugh at Terry.Cavanaugh@fcc.gov, William A. Kehoe at William.Kehoe@fcc.gov, and Joy M. Ragsdale at Joy.Ragsdale@fcc.gov on the date said Installment Payment is made.  </w:t>
      </w:r>
    </w:p>
    <w:p w:rsidR="000973C2" w:rsidRPr="009B4E30" w:rsidRDefault="000973C2" w:rsidP="000973C2">
      <w:pPr>
        <w:pStyle w:val="par1"/>
        <w:numPr>
          <w:ilvl w:val="0"/>
          <w:numId w:val="0"/>
        </w:numPr>
        <w:ind w:left="1800"/>
        <w:rPr>
          <w:szCs w:val="22"/>
        </w:rPr>
      </w:pPr>
    </w:p>
    <w:p w:rsidR="00552DE2" w:rsidRPr="009B4E30" w:rsidRDefault="00552DE2" w:rsidP="000973C2">
      <w:pPr>
        <w:pStyle w:val="par1"/>
        <w:tabs>
          <w:tab w:val="clear" w:pos="1080"/>
          <w:tab w:val="num" w:pos="1440"/>
        </w:tabs>
        <w:rPr>
          <w:szCs w:val="22"/>
        </w:rPr>
      </w:pPr>
      <w:r w:rsidRPr="009B4E30">
        <w:rPr>
          <w:szCs w:val="22"/>
        </w:rPr>
        <w:t>Installment Payment</w:t>
      </w:r>
      <w:r w:rsidR="00A13A37" w:rsidRPr="009B4E30">
        <w:rPr>
          <w:szCs w:val="22"/>
        </w:rPr>
        <w:t>s</w:t>
      </w:r>
      <w:r w:rsidRPr="009B4E30">
        <w:rPr>
          <w:szCs w:val="22"/>
        </w:rPr>
        <w:t xml:space="preserve"> must be made by check or similar instrument, wire transfer, or credit card, and must include the Account Number and FRN referenced above.  Regardless of the form of payment, a completed FCC Form 159 (Remittance Advice) must be submitted.</w:t>
      </w:r>
      <w:r w:rsidRPr="009B4E30">
        <w:rPr>
          <w:rStyle w:val="FootnoteReference"/>
          <w:sz w:val="22"/>
          <w:szCs w:val="22"/>
        </w:rPr>
        <w:footnoteReference w:id="28"/>
      </w:r>
      <w:r w:rsidRPr="009B4E30">
        <w:rPr>
          <w:szCs w:val="22"/>
        </w:rPr>
        <w:t xml:space="preserve">  When completing the FCC Form 159, enter the Account Number in block number 23A (call sign/other ID) and enter the letters “FORF” in block number 24A (payment type code).  Below are additional instructions you should follow based on the form of payment you select:</w:t>
      </w:r>
    </w:p>
    <w:p w:rsidR="00552DE2" w:rsidRPr="009B4E30" w:rsidRDefault="00552DE2" w:rsidP="00A036E2">
      <w:pPr>
        <w:pStyle w:val="par1"/>
        <w:numPr>
          <w:ilvl w:val="0"/>
          <w:numId w:val="0"/>
        </w:numPr>
        <w:rPr>
          <w:szCs w:val="22"/>
        </w:rPr>
      </w:pPr>
    </w:p>
    <w:p w:rsidR="00552DE2" w:rsidRPr="009B4E30" w:rsidRDefault="00552DE2" w:rsidP="009D3B32">
      <w:pPr>
        <w:pStyle w:val="ParaNum"/>
        <w:numPr>
          <w:ilvl w:val="0"/>
          <w:numId w:val="9"/>
        </w:numPr>
        <w:tabs>
          <w:tab w:val="clear" w:pos="720"/>
          <w:tab w:val="num" w:pos="1800"/>
        </w:tabs>
        <w:ind w:left="1800" w:hanging="450"/>
        <w:rPr>
          <w:rFonts w:eastAsia="MS Mincho"/>
          <w:szCs w:val="22"/>
        </w:rPr>
      </w:pPr>
      <w:r w:rsidRPr="009B4E30">
        <w:rPr>
          <w:rFonts w:eastAsia="MS Mincho"/>
          <w:szCs w:val="22"/>
        </w:rPr>
        <w:t>Payment by check or money order must be made payable to the order of the Federal Communications Commission.  Such payments (along with the completed Form 159) must be mailed to Federal Communications Commission, P.O. Box 979088, St.</w:t>
      </w:r>
      <w:r w:rsidR="009D3B32">
        <w:rPr>
          <w:rFonts w:eastAsia="MS Mincho"/>
          <w:szCs w:val="22"/>
        </w:rPr>
        <w:t> </w:t>
      </w:r>
      <w:r w:rsidRPr="009B4E30">
        <w:rPr>
          <w:rFonts w:eastAsia="MS Mincho"/>
          <w:szCs w:val="22"/>
        </w:rPr>
        <w:t>Louis, MO 63197-9000, or sent via overnight mail to U.S. Bank – Government Lockbox #979088, SL</w:t>
      </w:r>
      <w:r w:rsidRPr="009B4E30">
        <w:rPr>
          <w:rFonts w:eastAsia="MS Mincho"/>
          <w:szCs w:val="22"/>
        </w:rPr>
        <w:noBreakHyphen/>
        <w:t>MO</w:t>
      </w:r>
      <w:r w:rsidRPr="009B4E30">
        <w:rPr>
          <w:rFonts w:eastAsia="MS Mincho"/>
          <w:szCs w:val="22"/>
        </w:rPr>
        <w:noBreakHyphen/>
        <w:t>C2</w:t>
      </w:r>
      <w:r w:rsidRPr="009B4E30">
        <w:rPr>
          <w:rFonts w:eastAsia="MS Mincho"/>
          <w:szCs w:val="22"/>
        </w:rPr>
        <w:noBreakHyphen/>
        <w:t>GL, 1005 Convention Plaza, St. Louis, MO 63101.</w:t>
      </w:r>
    </w:p>
    <w:p w:rsidR="00552DE2" w:rsidRPr="009B4E30" w:rsidRDefault="00552DE2" w:rsidP="009D3B32">
      <w:pPr>
        <w:pStyle w:val="ParaNum"/>
        <w:numPr>
          <w:ilvl w:val="0"/>
          <w:numId w:val="9"/>
        </w:numPr>
        <w:tabs>
          <w:tab w:val="clear" w:pos="720"/>
          <w:tab w:val="num" w:pos="1800"/>
        </w:tabs>
        <w:ind w:left="1800" w:hanging="450"/>
        <w:rPr>
          <w:rFonts w:eastAsia="MS Mincho"/>
          <w:szCs w:val="22"/>
        </w:rPr>
      </w:pPr>
      <w:r w:rsidRPr="009B4E30">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552DE2" w:rsidRPr="009B4E30" w:rsidRDefault="00552DE2" w:rsidP="009D3B32">
      <w:pPr>
        <w:pStyle w:val="ParaNum"/>
        <w:numPr>
          <w:ilvl w:val="0"/>
          <w:numId w:val="9"/>
        </w:numPr>
        <w:tabs>
          <w:tab w:val="clear" w:pos="720"/>
          <w:tab w:val="num" w:pos="1800"/>
        </w:tabs>
        <w:ind w:left="1800" w:hanging="450"/>
        <w:rPr>
          <w:rFonts w:eastAsia="MS Mincho"/>
          <w:szCs w:val="22"/>
        </w:rPr>
      </w:pPr>
      <w:r w:rsidRPr="009B4E30">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552DE2" w:rsidRPr="009B4E30" w:rsidRDefault="00552DE2" w:rsidP="00502559">
      <w:pPr>
        <w:pStyle w:val="ParaNum"/>
        <w:numPr>
          <w:ilvl w:val="0"/>
          <w:numId w:val="0"/>
        </w:numPr>
        <w:spacing w:after="0"/>
        <w:rPr>
          <w:rFonts w:eastAsia="MS Mincho"/>
          <w:szCs w:val="22"/>
        </w:rPr>
      </w:pPr>
      <w:r w:rsidRPr="009B4E30">
        <w:rPr>
          <w:rFonts w:eastAsia="MS Mincho"/>
          <w:szCs w:val="22"/>
        </w:rPr>
        <w:t>If you have questions regarding payment procedures, please contact the Financial Operations Group Help Desk by phone, 1-877-480-3201, or by e</w:t>
      </w:r>
      <w:r w:rsidRPr="009B4E30">
        <w:rPr>
          <w:rFonts w:eastAsia="MS Mincho"/>
          <w:szCs w:val="22"/>
        </w:rPr>
        <w:noBreakHyphen/>
        <w:t>mail, ARINQUIRIES@fcc.gov. </w:t>
      </w:r>
    </w:p>
    <w:p w:rsidR="00552DE2" w:rsidRPr="009B4E30" w:rsidRDefault="00552DE2" w:rsidP="00C12103">
      <w:pPr>
        <w:pStyle w:val="ParaNum"/>
        <w:numPr>
          <w:ilvl w:val="0"/>
          <w:numId w:val="0"/>
        </w:numPr>
        <w:spacing w:after="0"/>
        <w:rPr>
          <w:rFonts w:eastAsia="MS Mincho"/>
          <w:color w:val="000000"/>
          <w:szCs w:val="22"/>
          <w:lang w:eastAsia="ja-JP"/>
        </w:rPr>
      </w:pPr>
    </w:p>
    <w:p w:rsidR="00552DE2" w:rsidRPr="009B4E30" w:rsidRDefault="00552DE2" w:rsidP="00C12103">
      <w:pPr>
        <w:pStyle w:val="par1"/>
        <w:tabs>
          <w:tab w:val="clear" w:pos="1080"/>
          <w:tab w:val="num" w:pos="720"/>
          <w:tab w:val="num" w:pos="1440"/>
        </w:tabs>
        <w:ind w:firstLine="648"/>
        <w:rPr>
          <w:szCs w:val="22"/>
        </w:rPr>
      </w:pPr>
      <w:r w:rsidRPr="009B4E30">
        <w:rPr>
          <w:b/>
          <w:szCs w:val="22"/>
          <w:u w:val="single"/>
        </w:rPr>
        <w:t>Event of Default</w:t>
      </w:r>
      <w:r w:rsidRPr="009B4E30">
        <w:rPr>
          <w:szCs w:val="22"/>
        </w:rPr>
        <w:t>.  Teleplus agrees that an Event of Default shall occur upon the failure by Teleplus to pay the full amount of any Installment Payment on or before the due date specified in this Consent Decree.</w:t>
      </w:r>
    </w:p>
    <w:p w:rsidR="00552DE2" w:rsidRPr="009B4E30" w:rsidRDefault="00552DE2">
      <w:pPr>
        <w:pStyle w:val="par1"/>
        <w:numPr>
          <w:ilvl w:val="0"/>
          <w:numId w:val="0"/>
        </w:numPr>
        <w:tabs>
          <w:tab w:val="num" w:pos="1440"/>
        </w:tabs>
        <w:rPr>
          <w:b/>
          <w:szCs w:val="22"/>
          <w:u w:val="single"/>
        </w:rPr>
      </w:pPr>
    </w:p>
    <w:p w:rsidR="00552DE2" w:rsidRPr="009B4E30" w:rsidRDefault="00552DE2">
      <w:pPr>
        <w:pStyle w:val="par1"/>
        <w:tabs>
          <w:tab w:val="clear" w:pos="1080"/>
          <w:tab w:val="num" w:pos="720"/>
          <w:tab w:val="num" w:pos="1440"/>
        </w:tabs>
        <w:ind w:left="72" w:firstLine="648"/>
        <w:rPr>
          <w:szCs w:val="22"/>
        </w:rPr>
      </w:pPr>
      <w:r w:rsidRPr="009B4E30">
        <w:rPr>
          <w:b/>
          <w:szCs w:val="22"/>
          <w:u w:val="single"/>
        </w:rPr>
        <w:t>Interest, Charges for Collection, and Acceleration of Maturity Date</w:t>
      </w:r>
      <w:r w:rsidRPr="009B4E30">
        <w:rPr>
          <w:szCs w:val="22"/>
        </w:rPr>
        <w:t>.  After an Event of Default has occurred under this Consent Decree, the then unpaid amount of the Voluntary Contribution shall accrue interest, computed using the U.S. Prime Rate in effect on the date of the Event of Default plus 4.75 percent, from the date of the Event of Default until payment in full.  Upon an Event of Default, the then unpaid amount of the Voluntary Contribution, together with interest, as aforesaid,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Teleplus.</w:t>
      </w:r>
    </w:p>
    <w:p w:rsidR="00552DE2" w:rsidRPr="009B4E30" w:rsidRDefault="00552DE2">
      <w:pPr>
        <w:pStyle w:val="par1"/>
        <w:numPr>
          <w:ilvl w:val="0"/>
          <w:numId w:val="0"/>
        </w:numPr>
        <w:tabs>
          <w:tab w:val="num" w:pos="1440"/>
        </w:tabs>
        <w:ind w:left="720"/>
        <w:rPr>
          <w:szCs w:val="22"/>
        </w:rPr>
      </w:pPr>
    </w:p>
    <w:p w:rsidR="00552DE2" w:rsidRPr="009B4E30" w:rsidRDefault="00552DE2">
      <w:pPr>
        <w:pStyle w:val="par1"/>
        <w:tabs>
          <w:tab w:val="clear" w:pos="1080"/>
          <w:tab w:val="num" w:pos="720"/>
          <w:tab w:val="num" w:pos="1440"/>
        </w:tabs>
        <w:ind w:left="72" w:firstLine="648"/>
        <w:rPr>
          <w:szCs w:val="22"/>
        </w:rPr>
      </w:pPr>
      <w:r w:rsidRPr="009B4E30">
        <w:rPr>
          <w:b/>
          <w:szCs w:val="22"/>
          <w:u w:val="single"/>
        </w:rPr>
        <w:t>Waivers</w:t>
      </w:r>
      <w:r w:rsidRPr="009B4E30">
        <w:rPr>
          <w:b/>
          <w:szCs w:val="22"/>
        </w:rPr>
        <w:t>.</w:t>
      </w:r>
      <w:r w:rsidRPr="00DE22C3">
        <w:rPr>
          <w:szCs w:val="22"/>
        </w:rPr>
        <w:t xml:space="preserve">  </w:t>
      </w:r>
      <w:r w:rsidRPr="009B4E30">
        <w:rPr>
          <w:szCs w:val="22"/>
        </w:rPr>
        <w:t xml:space="preserve">Teleplus waives any and all rights it may have to seek administrative or judicial reconsideration, review, appeal or stay, or to otherwise challenge or contest the validity of this Consent Decree and the Adopting Order, provided the Bureau issues the Adopting Order as defined herein.  Teleplus shall retain the right to challenge Commission interpretation of the Consent Decree or any terms contained herein.  If either Party (or the United States on behalf of the Commission) brings a judicial action to enforce the terms of the Adopting Order, neither Teleplus nor the Commission shall contest the validity of the Consent Decree or the Adopting Order, and Teleplus shall waive any statutory right to a trial </w:t>
      </w:r>
      <w:r w:rsidRPr="009B4E30">
        <w:rPr>
          <w:i/>
          <w:szCs w:val="22"/>
        </w:rPr>
        <w:t>de novo</w:t>
      </w:r>
      <w:r w:rsidRPr="009B4E30">
        <w:rPr>
          <w:szCs w:val="22"/>
        </w:rPr>
        <w:t>.  Teleplus hereby agrees to waive any claims it may otherwise have under the Equal Access to Justice Act,</w:t>
      </w:r>
      <w:r w:rsidRPr="009B4E30">
        <w:rPr>
          <w:rStyle w:val="FootnoteReference"/>
          <w:sz w:val="22"/>
          <w:szCs w:val="22"/>
        </w:rPr>
        <w:footnoteReference w:id="29"/>
      </w:r>
      <w:r w:rsidRPr="009B4E30">
        <w:rPr>
          <w:szCs w:val="22"/>
        </w:rPr>
        <w:t xml:space="preserve"> relating to the matters addressed in this Consent Decree.</w:t>
      </w:r>
    </w:p>
    <w:p w:rsidR="00552DE2" w:rsidRPr="009B4E30" w:rsidRDefault="00552DE2">
      <w:pPr>
        <w:pStyle w:val="par1"/>
        <w:numPr>
          <w:ilvl w:val="0"/>
          <w:numId w:val="0"/>
        </w:numPr>
        <w:rPr>
          <w:szCs w:val="22"/>
        </w:rPr>
      </w:pPr>
    </w:p>
    <w:p w:rsidR="00552DE2" w:rsidRPr="009B4E30" w:rsidRDefault="00552DE2">
      <w:pPr>
        <w:pStyle w:val="par1"/>
        <w:tabs>
          <w:tab w:val="clear" w:pos="1080"/>
          <w:tab w:val="num" w:pos="1440"/>
        </w:tabs>
        <w:rPr>
          <w:szCs w:val="22"/>
        </w:rPr>
      </w:pPr>
      <w:r w:rsidRPr="009B4E30">
        <w:rPr>
          <w:b/>
          <w:szCs w:val="22"/>
          <w:u w:val="single"/>
        </w:rPr>
        <w:t>Invalidity</w:t>
      </w:r>
      <w:r w:rsidRPr="009B4E30">
        <w:rPr>
          <w:b/>
          <w:szCs w:val="22"/>
        </w:rPr>
        <w:t>.</w:t>
      </w:r>
      <w:r w:rsidRPr="009B4E30">
        <w:rPr>
          <w:szCs w:val="22"/>
        </w:rPr>
        <w:t xml:space="preserve">  In the event that this Consent Decree in its entirety is rendered invalid by any court of competent jurisdiction, it shall become null and void and may not be used in any manner in any legal proceeding.</w:t>
      </w:r>
    </w:p>
    <w:p w:rsidR="00552DE2" w:rsidRPr="009B4E30" w:rsidRDefault="00552DE2" w:rsidP="00C12103">
      <w:pPr>
        <w:pStyle w:val="par1"/>
        <w:numPr>
          <w:ilvl w:val="0"/>
          <w:numId w:val="0"/>
        </w:numPr>
        <w:rPr>
          <w:szCs w:val="22"/>
        </w:rPr>
      </w:pPr>
    </w:p>
    <w:p w:rsidR="00552DE2" w:rsidRPr="009B4E30" w:rsidRDefault="00552DE2">
      <w:pPr>
        <w:pStyle w:val="par1"/>
        <w:tabs>
          <w:tab w:val="clear" w:pos="1080"/>
          <w:tab w:val="num" w:pos="1440"/>
        </w:tabs>
        <w:rPr>
          <w:szCs w:val="22"/>
        </w:rPr>
      </w:pPr>
      <w:r w:rsidRPr="009B4E30">
        <w:rPr>
          <w:b/>
          <w:szCs w:val="22"/>
          <w:u w:val="single"/>
        </w:rPr>
        <w:t>Subsequent Rule or Order</w:t>
      </w:r>
      <w:r w:rsidRPr="009B4E30">
        <w:rPr>
          <w:b/>
          <w:szCs w:val="22"/>
        </w:rPr>
        <w:t>.</w:t>
      </w:r>
      <w:r w:rsidRPr="009B4E30">
        <w:rPr>
          <w:szCs w:val="22"/>
        </w:rPr>
        <w:t xml:space="preserve">  The Parties agree that if any provision of the Consent Decree conflicts with any subsequent Rule or order adopted by the Commission (except an order specifically intended to revise the terms of this Consent Decree to which Teleplus does not expressly consent) that provision will be superseded by such Rule or Commission order.</w:t>
      </w:r>
    </w:p>
    <w:p w:rsidR="00552DE2" w:rsidRPr="009B4E30" w:rsidRDefault="00552DE2">
      <w:pPr>
        <w:pStyle w:val="par1"/>
        <w:numPr>
          <w:ilvl w:val="0"/>
          <w:numId w:val="0"/>
        </w:numPr>
        <w:rPr>
          <w:szCs w:val="22"/>
        </w:rPr>
      </w:pPr>
    </w:p>
    <w:p w:rsidR="00552DE2" w:rsidRPr="009B4E30" w:rsidRDefault="00552DE2">
      <w:pPr>
        <w:pStyle w:val="par1"/>
        <w:tabs>
          <w:tab w:val="clear" w:pos="1080"/>
          <w:tab w:val="num" w:pos="1440"/>
        </w:tabs>
        <w:rPr>
          <w:szCs w:val="22"/>
        </w:rPr>
      </w:pPr>
      <w:r w:rsidRPr="009B4E30">
        <w:rPr>
          <w:b/>
          <w:szCs w:val="22"/>
          <w:u w:val="single"/>
        </w:rPr>
        <w:t>Successors and Assigns</w:t>
      </w:r>
      <w:r w:rsidRPr="009B4E30">
        <w:rPr>
          <w:b/>
          <w:szCs w:val="22"/>
        </w:rPr>
        <w:t>.</w:t>
      </w:r>
      <w:r w:rsidRPr="009B4E30">
        <w:rPr>
          <w:szCs w:val="22"/>
        </w:rPr>
        <w:t xml:space="preserve">  Teleplus agrees that the provisions of this Consent Decree shall be binding on its successors, assigns, and transferees.</w:t>
      </w:r>
    </w:p>
    <w:p w:rsidR="00552DE2" w:rsidRPr="009B4E30" w:rsidRDefault="00552DE2">
      <w:pPr>
        <w:pStyle w:val="par1"/>
        <w:numPr>
          <w:ilvl w:val="0"/>
          <w:numId w:val="0"/>
        </w:numPr>
        <w:tabs>
          <w:tab w:val="num" w:pos="1440"/>
        </w:tabs>
        <w:rPr>
          <w:szCs w:val="22"/>
        </w:rPr>
      </w:pPr>
    </w:p>
    <w:p w:rsidR="00552DE2" w:rsidRPr="009B4E30" w:rsidRDefault="00552DE2">
      <w:pPr>
        <w:pStyle w:val="par1"/>
        <w:tabs>
          <w:tab w:val="clear" w:pos="1080"/>
        </w:tabs>
        <w:rPr>
          <w:color w:val="000000"/>
          <w:szCs w:val="22"/>
        </w:rPr>
      </w:pPr>
      <w:r w:rsidRPr="009B4E30">
        <w:rPr>
          <w:b/>
          <w:szCs w:val="22"/>
          <w:u w:val="single"/>
        </w:rPr>
        <w:t>Final Settlement</w:t>
      </w:r>
      <w:r w:rsidRPr="009B4E30">
        <w:rPr>
          <w:b/>
          <w:szCs w:val="22"/>
        </w:rPr>
        <w:t>.</w:t>
      </w:r>
      <w:r w:rsidRPr="001847CB">
        <w:rPr>
          <w:szCs w:val="22"/>
        </w:rPr>
        <w:t xml:space="preserve">  </w:t>
      </w:r>
      <w:r w:rsidRPr="009B4E30">
        <w:rPr>
          <w:szCs w:val="22"/>
        </w:rPr>
        <w:t>The Parties agree and acknowledge that this Consent Decree shall constitute a final settlement between the Parties with respect to the Investigation.  The Parties further agree that this Consent Decree does not constitute either an adjudication on the merits or a factual or legal finding or determination regarding any compliance or noncompliance with the Communications Laws.</w:t>
      </w:r>
    </w:p>
    <w:p w:rsidR="00552DE2" w:rsidRPr="009B4E30" w:rsidRDefault="00552DE2">
      <w:pPr>
        <w:pStyle w:val="par1"/>
        <w:numPr>
          <w:ilvl w:val="0"/>
          <w:numId w:val="0"/>
        </w:numPr>
        <w:rPr>
          <w:color w:val="000000"/>
          <w:szCs w:val="22"/>
        </w:rPr>
      </w:pPr>
    </w:p>
    <w:p w:rsidR="00552DE2" w:rsidRPr="009B4E30" w:rsidRDefault="00552DE2">
      <w:pPr>
        <w:pStyle w:val="par1"/>
        <w:tabs>
          <w:tab w:val="clear" w:pos="1080"/>
        </w:tabs>
        <w:rPr>
          <w:szCs w:val="22"/>
        </w:rPr>
      </w:pPr>
      <w:r w:rsidRPr="009B4E30">
        <w:rPr>
          <w:b/>
          <w:szCs w:val="22"/>
          <w:u w:val="single"/>
        </w:rPr>
        <w:t>Modifications</w:t>
      </w:r>
      <w:r w:rsidRPr="009B4E30">
        <w:rPr>
          <w:b/>
          <w:szCs w:val="22"/>
        </w:rPr>
        <w:t>.</w:t>
      </w:r>
      <w:r w:rsidRPr="009B4E30">
        <w:rPr>
          <w:szCs w:val="22"/>
        </w:rPr>
        <w:t xml:space="preserve">  This Consent Decree cannot be modified without the advance written consent of both Parties.</w:t>
      </w:r>
    </w:p>
    <w:p w:rsidR="00552DE2" w:rsidRPr="009B4E30" w:rsidRDefault="00552DE2">
      <w:pPr>
        <w:pStyle w:val="par1"/>
        <w:numPr>
          <w:ilvl w:val="0"/>
          <w:numId w:val="0"/>
        </w:numPr>
        <w:rPr>
          <w:szCs w:val="22"/>
        </w:rPr>
      </w:pPr>
    </w:p>
    <w:p w:rsidR="00552DE2" w:rsidRPr="009B4E30" w:rsidRDefault="00552DE2">
      <w:pPr>
        <w:pStyle w:val="par1"/>
        <w:tabs>
          <w:tab w:val="clear" w:pos="1080"/>
        </w:tabs>
        <w:rPr>
          <w:szCs w:val="22"/>
        </w:rPr>
      </w:pPr>
      <w:r w:rsidRPr="009B4E30">
        <w:rPr>
          <w:b/>
          <w:szCs w:val="22"/>
          <w:u w:val="single"/>
        </w:rPr>
        <w:t>Paragraph Headings</w:t>
      </w:r>
      <w:r w:rsidRPr="009B4E30">
        <w:rPr>
          <w:b/>
          <w:szCs w:val="22"/>
        </w:rPr>
        <w:t>.</w:t>
      </w:r>
      <w:r w:rsidRPr="009B4E30">
        <w:rPr>
          <w:szCs w:val="22"/>
        </w:rPr>
        <w:t xml:space="preserve">  The headings of the paragraphs in this Consent Decree are inserted for convenience only and are not intended to affect the meaning or interpretation of this Consent Decree.</w:t>
      </w:r>
    </w:p>
    <w:p w:rsidR="00552DE2" w:rsidRPr="009B4E30" w:rsidRDefault="00552DE2">
      <w:pPr>
        <w:pStyle w:val="par1"/>
        <w:numPr>
          <w:ilvl w:val="0"/>
          <w:numId w:val="0"/>
        </w:numPr>
        <w:rPr>
          <w:color w:val="000000"/>
          <w:szCs w:val="22"/>
        </w:rPr>
      </w:pPr>
    </w:p>
    <w:p w:rsidR="00552DE2" w:rsidRPr="009B4E30" w:rsidRDefault="00552DE2" w:rsidP="00AA2929">
      <w:pPr>
        <w:pStyle w:val="par1"/>
        <w:tabs>
          <w:tab w:val="clear" w:pos="1080"/>
        </w:tabs>
        <w:rPr>
          <w:szCs w:val="22"/>
        </w:rPr>
      </w:pPr>
      <w:r w:rsidRPr="009B4E30">
        <w:rPr>
          <w:b/>
          <w:szCs w:val="22"/>
          <w:u w:val="single"/>
        </w:rPr>
        <w:t>Authorized Representative</w:t>
      </w:r>
      <w:r w:rsidRPr="009B4E30">
        <w:rPr>
          <w:b/>
          <w:szCs w:val="22"/>
        </w:rPr>
        <w:t xml:space="preserve">.  </w:t>
      </w:r>
      <w:r w:rsidRPr="009B4E30">
        <w:rPr>
          <w:szCs w:val="22"/>
        </w:rPr>
        <w:t>The individual signing this Consent Decree on behalf of Teleplus represents and warrants that he is authorized by Teleplus to execute this Consent Decree and to bind Teleplus to the obligations set forth herein.  The FCC signatory represents that she is signing this Consent Decree in her official capacity and that she is authorized to execute this Consent Decree.</w:t>
      </w:r>
    </w:p>
    <w:p w:rsidR="00552DE2" w:rsidRPr="009B4E30" w:rsidRDefault="00552DE2">
      <w:pPr>
        <w:pStyle w:val="par1"/>
        <w:numPr>
          <w:ilvl w:val="0"/>
          <w:numId w:val="0"/>
        </w:numPr>
        <w:tabs>
          <w:tab w:val="num" w:pos="1800"/>
        </w:tabs>
        <w:rPr>
          <w:szCs w:val="22"/>
        </w:rPr>
      </w:pPr>
    </w:p>
    <w:p w:rsidR="00552DE2" w:rsidRPr="009B4E30" w:rsidRDefault="00552DE2" w:rsidP="00795785">
      <w:pPr>
        <w:pStyle w:val="par1"/>
        <w:keepNext/>
        <w:tabs>
          <w:tab w:val="clear" w:pos="1080"/>
        </w:tabs>
        <w:rPr>
          <w:szCs w:val="22"/>
        </w:rPr>
      </w:pPr>
      <w:r w:rsidRPr="009B4E30">
        <w:rPr>
          <w:b/>
          <w:szCs w:val="22"/>
          <w:u w:val="single"/>
        </w:rPr>
        <w:t>Counterparts</w:t>
      </w:r>
      <w:r w:rsidRPr="009B4E30">
        <w:rPr>
          <w:b/>
          <w:szCs w:val="22"/>
        </w:rPr>
        <w:t>.</w:t>
      </w:r>
      <w:r w:rsidRPr="009B4E30">
        <w:rPr>
          <w:szCs w:val="22"/>
        </w:rPr>
        <w:t xml:space="preserve">  This Consent Decree may be signed in any number of counterparts (including by facsimile), each of which, when executed and delivered, shall be an original, and all of which counterparts together shall constitute one and the same fully executed instrument.</w:t>
      </w:r>
    </w:p>
    <w:p w:rsidR="00552DE2" w:rsidRPr="009B4E30" w:rsidRDefault="00552DE2" w:rsidP="00795785">
      <w:pPr>
        <w:pStyle w:val="par1"/>
        <w:keepNext/>
        <w:numPr>
          <w:ilvl w:val="0"/>
          <w:numId w:val="0"/>
        </w:numPr>
        <w:ind w:firstLine="720"/>
        <w:rPr>
          <w:szCs w:val="22"/>
        </w:rPr>
      </w:pPr>
    </w:p>
    <w:tbl>
      <w:tblPr>
        <w:tblW w:w="0" w:type="auto"/>
        <w:tblLook w:val="0000" w:firstRow="0" w:lastRow="0" w:firstColumn="0" w:lastColumn="0" w:noHBand="0" w:noVBand="0"/>
      </w:tblPr>
      <w:tblGrid>
        <w:gridCol w:w="4788"/>
        <w:gridCol w:w="4788"/>
      </w:tblGrid>
      <w:tr w:rsidR="00552DE2" w:rsidRPr="009B4E30">
        <w:tc>
          <w:tcPr>
            <w:tcW w:w="4788" w:type="dxa"/>
          </w:tcPr>
          <w:p w:rsidR="00552DE2" w:rsidRPr="009B4E30" w:rsidRDefault="00552DE2" w:rsidP="00795785">
            <w:pPr>
              <w:keepNext/>
              <w:rPr>
                <w:sz w:val="22"/>
                <w:szCs w:val="22"/>
              </w:rPr>
            </w:pPr>
          </w:p>
          <w:p w:rsidR="00552DE2" w:rsidRPr="009B4E30" w:rsidRDefault="00552DE2" w:rsidP="00795785">
            <w:pPr>
              <w:keepNext/>
              <w:rPr>
                <w:sz w:val="22"/>
                <w:szCs w:val="22"/>
              </w:rPr>
            </w:pPr>
          </w:p>
          <w:p w:rsidR="00552DE2" w:rsidRPr="009B4E30" w:rsidRDefault="00552DE2" w:rsidP="00795785">
            <w:pPr>
              <w:keepNext/>
              <w:rPr>
                <w:sz w:val="22"/>
                <w:szCs w:val="22"/>
              </w:rPr>
            </w:pPr>
            <w:r w:rsidRPr="009B4E30">
              <w:rPr>
                <w:sz w:val="22"/>
                <w:szCs w:val="22"/>
              </w:rPr>
              <w:t>________________________________</w:t>
            </w:r>
          </w:p>
          <w:p w:rsidR="00552DE2" w:rsidRPr="009B4E30" w:rsidRDefault="00552DE2" w:rsidP="00795785">
            <w:pPr>
              <w:keepNext/>
              <w:rPr>
                <w:sz w:val="22"/>
                <w:szCs w:val="22"/>
              </w:rPr>
            </w:pPr>
            <w:r w:rsidRPr="009B4E30">
              <w:rPr>
                <w:sz w:val="22"/>
                <w:szCs w:val="22"/>
              </w:rPr>
              <w:t>P. Michele Ellison</w:t>
            </w:r>
          </w:p>
          <w:p w:rsidR="00552DE2" w:rsidRPr="009B4E30" w:rsidRDefault="00552DE2" w:rsidP="00795785">
            <w:pPr>
              <w:keepNext/>
              <w:rPr>
                <w:sz w:val="22"/>
                <w:szCs w:val="22"/>
              </w:rPr>
            </w:pPr>
            <w:r w:rsidRPr="009B4E30">
              <w:rPr>
                <w:sz w:val="22"/>
                <w:szCs w:val="22"/>
              </w:rPr>
              <w:t>Chief</w:t>
            </w:r>
          </w:p>
          <w:p w:rsidR="00552DE2" w:rsidRPr="009B4E30" w:rsidRDefault="00552DE2" w:rsidP="00795785">
            <w:pPr>
              <w:keepNext/>
              <w:rPr>
                <w:sz w:val="22"/>
                <w:szCs w:val="22"/>
              </w:rPr>
            </w:pPr>
            <w:r w:rsidRPr="009B4E30">
              <w:rPr>
                <w:sz w:val="22"/>
                <w:szCs w:val="22"/>
              </w:rPr>
              <w:t xml:space="preserve">Enforcement Bureau </w:t>
            </w:r>
          </w:p>
          <w:p w:rsidR="00552DE2" w:rsidRPr="009B4E30" w:rsidRDefault="00552DE2" w:rsidP="00795785">
            <w:pPr>
              <w:keepNext/>
              <w:rPr>
                <w:sz w:val="22"/>
                <w:szCs w:val="22"/>
              </w:rPr>
            </w:pPr>
          </w:p>
          <w:p w:rsidR="00552DE2" w:rsidRPr="009B4E30" w:rsidRDefault="00552DE2" w:rsidP="00795785">
            <w:pPr>
              <w:keepNext/>
              <w:rPr>
                <w:sz w:val="22"/>
                <w:szCs w:val="22"/>
              </w:rPr>
            </w:pPr>
          </w:p>
          <w:p w:rsidR="00552DE2" w:rsidRPr="009B4E30" w:rsidRDefault="00552DE2" w:rsidP="00795785">
            <w:pPr>
              <w:keepNext/>
              <w:rPr>
                <w:sz w:val="22"/>
                <w:szCs w:val="22"/>
              </w:rPr>
            </w:pPr>
            <w:r w:rsidRPr="009B4E30">
              <w:rPr>
                <w:sz w:val="22"/>
                <w:szCs w:val="22"/>
              </w:rPr>
              <w:t>________________________________</w:t>
            </w:r>
          </w:p>
          <w:p w:rsidR="00552DE2" w:rsidRPr="009B4E30" w:rsidRDefault="00552DE2" w:rsidP="00795785">
            <w:pPr>
              <w:keepNext/>
              <w:rPr>
                <w:sz w:val="22"/>
                <w:szCs w:val="22"/>
              </w:rPr>
            </w:pPr>
            <w:r w:rsidRPr="009B4E30">
              <w:rPr>
                <w:sz w:val="22"/>
                <w:szCs w:val="22"/>
              </w:rPr>
              <w:t>Date</w:t>
            </w:r>
          </w:p>
          <w:p w:rsidR="00552DE2" w:rsidRPr="009B4E30" w:rsidRDefault="00552DE2" w:rsidP="00795785">
            <w:pPr>
              <w:keepNext/>
              <w:rPr>
                <w:b/>
                <w:sz w:val="22"/>
                <w:szCs w:val="22"/>
              </w:rPr>
            </w:pPr>
          </w:p>
          <w:p w:rsidR="00552DE2" w:rsidRPr="009B4E30" w:rsidRDefault="00552DE2" w:rsidP="00795785">
            <w:pPr>
              <w:keepNext/>
              <w:rPr>
                <w:b/>
                <w:sz w:val="22"/>
                <w:szCs w:val="22"/>
              </w:rPr>
            </w:pPr>
          </w:p>
          <w:p w:rsidR="00552DE2" w:rsidRPr="009B4E30" w:rsidRDefault="00552DE2" w:rsidP="00795785">
            <w:pPr>
              <w:keepNext/>
              <w:rPr>
                <w:b/>
                <w:sz w:val="22"/>
                <w:szCs w:val="22"/>
              </w:rPr>
            </w:pPr>
          </w:p>
          <w:p w:rsidR="00552DE2" w:rsidRPr="009B4E30" w:rsidRDefault="00552DE2" w:rsidP="00795785">
            <w:pPr>
              <w:keepNext/>
              <w:rPr>
                <w:sz w:val="22"/>
                <w:szCs w:val="22"/>
              </w:rPr>
            </w:pPr>
            <w:r w:rsidRPr="009B4E30">
              <w:rPr>
                <w:b/>
                <w:sz w:val="22"/>
                <w:szCs w:val="22"/>
              </w:rPr>
              <w:t>________________________________</w:t>
            </w:r>
          </w:p>
          <w:p w:rsidR="00552DE2" w:rsidRPr="009B4E30" w:rsidRDefault="00552DE2" w:rsidP="00795785">
            <w:pPr>
              <w:pStyle w:val="BodyText"/>
              <w:keepNext/>
              <w:rPr>
                <w:b w:val="0"/>
                <w:sz w:val="22"/>
                <w:szCs w:val="22"/>
                <w:u w:val="none"/>
              </w:rPr>
            </w:pPr>
            <w:r w:rsidRPr="009B4E30">
              <w:rPr>
                <w:b w:val="0"/>
                <w:sz w:val="22"/>
                <w:szCs w:val="22"/>
                <w:u w:val="none"/>
              </w:rPr>
              <w:t>Mohamed Abdelmeguid</w:t>
            </w:r>
          </w:p>
          <w:p w:rsidR="00552DE2" w:rsidRPr="009B4E30" w:rsidRDefault="00552DE2" w:rsidP="00795785">
            <w:pPr>
              <w:pStyle w:val="BodyText"/>
              <w:keepNext/>
              <w:rPr>
                <w:b w:val="0"/>
                <w:sz w:val="22"/>
                <w:szCs w:val="22"/>
                <w:u w:val="none"/>
              </w:rPr>
            </w:pPr>
            <w:r w:rsidRPr="009B4E30">
              <w:rPr>
                <w:b w:val="0"/>
                <w:sz w:val="22"/>
                <w:szCs w:val="22"/>
                <w:u w:val="none"/>
              </w:rPr>
              <w:t>Managing Partner</w:t>
            </w:r>
          </w:p>
          <w:p w:rsidR="00552DE2" w:rsidRPr="009B4E30" w:rsidRDefault="00552DE2" w:rsidP="00795785">
            <w:pPr>
              <w:pStyle w:val="BodyText"/>
              <w:keepNext/>
              <w:rPr>
                <w:b w:val="0"/>
                <w:sz w:val="22"/>
                <w:szCs w:val="22"/>
                <w:u w:val="none"/>
              </w:rPr>
            </w:pPr>
            <w:r w:rsidRPr="009B4E30">
              <w:rPr>
                <w:b w:val="0"/>
                <w:sz w:val="22"/>
                <w:szCs w:val="22"/>
                <w:u w:val="none"/>
              </w:rPr>
              <w:t>Teleplus, LLC</w:t>
            </w:r>
          </w:p>
          <w:p w:rsidR="00552DE2" w:rsidRPr="009B4E30" w:rsidRDefault="00552DE2" w:rsidP="00795785">
            <w:pPr>
              <w:keepNext/>
              <w:rPr>
                <w:sz w:val="22"/>
                <w:szCs w:val="22"/>
              </w:rPr>
            </w:pPr>
          </w:p>
          <w:p w:rsidR="00552DE2" w:rsidRPr="009B4E30" w:rsidRDefault="00552DE2" w:rsidP="00795785">
            <w:pPr>
              <w:keepNext/>
              <w:rPr>
                <w:sz w:val="22"/>
                <w:szCs w:val="22"/>
              </w:rPr>
            </w:pPr>
          </w:p>
          <w:p w:rsidR="00552DE2" w:rsidRPr="009B4E30" w:rsidRDefault="00552DE2" w:rsidP="00795785">
            <w:pPr>
              <w:keepNext/>
              <w:rPr>
                <w:sz w:val="22"/>
                <w:szCs w:val="22"/>
              </w:rPr>
            </w:pPr>
            <w:r w:rsidRPr="009B4E30">
              <w:rPr>
                <w:sz w:val="22"/>
                <w:szCs w:val="22"/>
              </w:rPr>
              <w:t>________________________________</w:t>
            </w:r>
          </w:p>
          <w:p w:rsidR="00552DE2" w:rsidRPr="009B4E30" w:rsidRDefault="00552DE2" w:rsidP="00795785">
            <w:pPr>
              <w:keepNext/>
              <w:rPr>
                <w:sz w:val="22"/>
                <w:szCs w:val="22"/>
              </w:rPr>
            </w:pPr>
            <w:r w:rsidRPr="009B4E30">
              <w:rPr>
                <w:sz w:val="22"/>
                <w:szCs w:val="22"/>
              </w:rPr>
              <w:t>Date</w:t>
            </w:r>
          </w:p>
        </w:tc>
        <w:tc>
          <w:tcPr>
            <w:tcW w:w="4788" w:type="dxa"/>
          </w:tcPr>
          <w:p w:rsidR="00552DE2" w:rsidRPr="009B4E30" w:rsidRDefault="00552DE2" w:rsidP="00795785">
            <w:pPr>
              <w:keepNext/>
              <w:rPr>
                <w:sz w:val="22"/>
                <w:szCs w:val="22"/>
              </w:rPr>
            </w:pPr>
          </w:p>
          <w:p w:rsidR="00552DE2" w:rsidRPr="009B4E30" w:rsidRDefault="00552DE2" w:rsidP="00795785">
            <w:pPr>
              <w:keepNext/>
              <w:rPr>
                <w:b/>
                <w:sz w:val="22"/>
                <w:szCs w:val="22"/>
              </w:rPr>
            </w:pPr>
          </w:p>
        </w:tc>
      </w:tr>
    </w:tbl>
    <w:p w:rsidR="00552DE2" w:rsidRPr="009B4E30" w:rsidRDefault="00552DE2">
      <w:pPr>
        <w:keepNext/>
        <w:rPr>
          <w:sz w:val="22"/>
          <w:szCs w:val="22"/>
        </w:rPr>
      </w:pPr>
    </w:p>
    <w:p w:rsidR="00552DE2" w:rsidRPr="009B4E30" w:rsidRDefault="00552DE2">
      <w:pPr>
        <w:rPr>
          <w:sz w:val="22"/>
          <w:szCs w:val="22"/>
        </w:rPr>
      </w:pPr>
    </w:p>
    <w:sectPr w:rsidR="00552DE2" w:rsidRPr="009B4E30" w:rsidSect="006536BB">
      <w:footnotePr>
        <w:numRestart w:val="eachSect"/>
      </w:footnotePr>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B6" w:rsidRDefault="003921B6">
      <w:r>
        <w:separator/>
      </w:r>
    </w:p>
  </w:endnote>
  <w:endnote w:type="continuationSeparator" w:id="0">
    <w:p w:rsidR="003921B6" w:rsidRDefault="003921B6">
      <w:r>
        <w:continuationSeparator/>
      </w:r>
    </w:p>
  </w:endnote>
  <w:endnote w:type="continuationNotice" w:id="1">
    <w:p w:rsidR="003921B6" w:rsidRDefault="00392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E2" w:rsidRDefault="00552D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2DE2" w:rsidRDefault="00552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E2" w:rsidRDefault="00552D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4108">
      <w:rPr>
        <w:rStyle w:val="PageNumber"/>
        <w:noProof/>
      </w:rPr>
      <w:t>2</w:t>
    </w:r>
    <w:r>
      <w:rPr>
        <w:rStyle w:val="PageNumber"/>
      </w:rPr>
      <w:fldChar w:fldCharType="end"/>
    </w:r>
  </w:p>
  <w:p w:rsidR="00552DE2" w:rsidRDefault="00552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ED" w:rsidRDefault="00256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B6" w:rsidRDefault="003921B6">
      <w:r>
        <w:separator/>
      </w:r>
    </w:p>
  </w:footnote>
  <w:footnote w:type="continuationSeparator" w:id="0">
    <w:p w:rsidR="003921B6" w:rsidRDefault="003921B6">
      <w:r>
        <w:continuationSeparator/>
      </w:r>
    </w:p>
  </w:footnote>
  <w:footnote w:type="continuationNotice" w:id="1">
    <w:p w:rsidR="003921B6" w:rsidRDefault="003921B6"/>
  </w:footnote>
  <w:footnote w:id="2">
    <w:p w:rsidR="00552DE2" w:rsidRDefault="00552DE2" w:rsidP="00A2314E">
      <w:pPr>
        <w:pStyle w:val="FootnoteText"/>
        <w:tabs>
          <w:tab w:val="left" w:pos="810"/>
        </w:tabs>
        <w:spacing w:after="120"/>
        <w:ind w:firstLine="0"/>
        <w:jc w:val="left"/>
      </w:pPr>
      <w:r w:rsidRPr="00400ACE">
        <w:rPr>
          <w:rStyle w:val="FootnoteReference"/>
        </w:rPr>
        <w:footnoteRef/>
      </w:r>
      <w:r w:rsidRPr="00400ACE">
        <w:t xml:space="preserve"> </w:t>
      </w:r>
      <w:r w:rsidRPr="006C53A0">
        <w:rPr>
          <w:sz w:val="20"/>
        </w:rPr>
        <w:t xml:space="preserve">47 U.S.C. § 214; </w:t>
      </w:r>
      <w:r w:rsidRPr="00223699">
        <w:rPr>
          <w:sz w:val="20"/>
        </w:rPr>
        <w:t>47 C.F.R. §</w:t>
      </w:r>
      <w:r w:rsidRPr="006C53A0">
        <w:rPr>
          <w:sz w:val="20"/>
        </w:rPr>
        <w:t xml:space="preserve"> </w:t>
      </w:r>
      <w:r w:rsidRPr="00223699">
        <w:rPr>
          <w:sz w:val="20"/>
        </w:rPr>
        <w:t>63.</w:t>
      </w:r>
      <w:r>
        <w:rPr>
          <w:sz w:val="20"/>
        </w:rPr>
        <w:t>18</w:t>
      </w:r>
      <w:r w:rsidRPr="006C53A0">
        <w:rPr>
          <w:sz w:val="20"/>
        </w:rPr>
        <w:t>.</w:t>
      </w:r>
    </w:p>
  </w:footnote>
  <w:footnote w:id="3">
    <w:p w:rsidR="00552DE2" w:rsidRDefault="00552DE2">
      <w:pPr>
        <w:pStyle w:val="FootnoteText"/>
        <w:tabs>
          <w:tab w:val="left" w:pos="810"/>
        </w:tabs>
        <w:spacing w:after="120"/>
        <w:ind w:firstLine="0"/>
        <w:jc w:val="left"/>
      </w:pPr>
      <w:r>
        <w:rPr>
          <w:rStyle w:val="FootnoteReference"/>
        </w:rPr>
        <w:footnoteRef/>
      </w:r>
      <w:r>
        <w:rPr>
          <w:sz w:val="20"/>
        </w:rPr>
        <w:t xml:space="preserve"> 47 U.S.C. §§ 154(i), 154(j), 503(b).</w:t>
      </w:r>
    </w:p>
  </w:footnote>
  <w:footnote w:id="4">
    <w:p w:rsidR="00552DE2" w:rsidRDefault="00552DE2">
      <w:pPr>
        <w:pStyle w:val="FootnoteText"/>
        <w:tabs>
          <w:tab w:val="left" w:pos="810"/>
        </w:tabs>
        <w:spacing w:after="120"/>
        <w:ind w:firstLine="0"/>
        <w:jc w:val="left"/>
      </w:pPr>
      <w:r>
        <w:rPr>
          <w:rStyle w:val="FootnoteReference"/>
        </w:rPr>
        <w:footnoteRef/>
      </w:r>
      <w:r>
        <w:rPr>
          <w:sz w:val="20"/>
        </w:rPr>
        <w:t xml:space="preserve"> 47 C.F.R. §§ 0.111, 0.311.</w:t>
      </w:r>
    </w:p>
  </w:footnote>
  <w:footnote w:id="5">
    <w:p w:rsidR="007A14D5" w:rsidRPr="00671AC4" w:rsidRDefault="007A14D5" w:rsidP="00671AC4">
      <w:pPr>
        <w:pStyle w:val="FootnoteText"/>
        <w:ind w:firstLine="0"/>
        <w:rPr>
          <w:b/>
          <w:sz w:val="20"/>
        </w:rPr>
      </w:pPr>
      <w:r>
        <w:rPr>
          <w:rStyle w:val="FootnoteReference"/>
        </w:rPr>
        <w:footnoteRef/>
      </w:r>
      <w:r>
        <w:t xml:space="preserve"> </w:t>
      </w:r>
      <w:r w:rsidRPr="007A14D5">
        <w:rPr>
          <w:sz w:val="20"/>
        </w:rPr>
        <w:t>47 C.F.R. § 214</w:t>
      </w:r>
      <w:r w:rsidR="009B4E30">
        <w:rPr>
          <w:sz w:val="20"/>
        </w:rPr>
        <w:t>.</w:t>
      </w:r>
    </w:p>
  </w:footnote>
  <w:footnote w:id="6">
    <w:p w:rsidR="007A14D5" w:rsidRDefault="007A14D5" w:rsidP="007A14D5">
      <w:pPr>
        <w:pStyle w:val="FootnoteText"/>
        <w:tabs>
          <w:tab w:val="left" w:pos="810"/>
        </w:tabs>
        <w:spacing w:after="120"/>
        <w:ind w:firstLine="0"/>
        <w:jc w:val="left"/>
      </w:pPr>
      <w:r>
        <w:rPr>
          <w:rStyle w:val="FootnoteReference"/>
        </w:rPr>
        <w:footnoteRef/>
      </w:r>
      <w:r w:rsidRPr="00003D26">
        <w:rPr>
          <w:sz w:val="20"/>
        </w:rPr>
        <w:t xml:space="preserve"> </w:t>
      </w:r>
      <w:r>
        <w:rPr>
          <w:sz w:val="20"/>
        </w:rPr>
        <w:t xml:space="preserve">47 C.F.R. </w:t>
      </w:r>
      <w:r w:rsidRPr="00003D26">
        <w:rPr>
          <w:sz w:val="20"/>
        </w:rPr>
        <w:t>§</w:t>
      </w:r>
      <w:r>
        <w:rPr>
          <w:sz w:val="20"/>
        </w:rPr>
        <w:t xml:space="preserve"> 63.18</w:t>
      </w:r>
      <w:r w:rsidRPr="00003D26">
        <w:rPr>
          <w:sz w:val="20"/>
        </w:rPr>
        <w:t>.</w:t>
      </w:r>
    </w:p>
  </w:footnote>
  <w:footnote w:id="7">
    <w:p w:rsidR="00552DE2" w:rsidRPr="00AB5066" w:rsidRDefault="00552DE2" w:rsidP="003F6349">
      <w:pPr>
        <w:pStyle w:val="FootnoteText"/>
        <w:tabs>
          <w:tab w:val="clear" w:pos="720"/>
        </w:tabs>
        <w:suppressAutoHyphens w:val="0"/>
        <w:spacing w:after="120"/>
        <w:ind w:firstLine="0"/>
        <w:jc w:val="left"/>
        <w:rPr>
          <w:sz w:val="20"/>
        </w:rPr>
      </w:pPr>
      <w:r>
        <w:rPr>
          <w:rStyle w:val="FootnoteReference"/>
        </w:rPr>
        <w:footnoteRef/>
      </w:r>
      <w:r>
        <w:t xml:space="preserve"> </w:t>
      </w:r>
      <w:r w:rsidRPr="003F6349">
        <w:rPr>
          <w:sz w:val="20"/>
        </w:rPr>
        <w:t>47 U.S.C. § 214(a).</w:t>
      </w:r>
    </w:p>
  </w:footnote>
  <w:footnote w:id="8">
    <w:p w:rsidR="007A14D5" w:rsidRPr="00671AC4" w:rsidRDefault="007A14D5" w:rsidP="007A14D5">
      <w:pPr>
        <w:pStyle w:val="FootnoteText"/>
        <w:spacing w:after="120"/>
        <w:ind w:firstLine="0"/>
        <w:jc w:val="left"/>
        <w:rPr>
          <w:rStyle w:val="FootnoteTextChar1"/>
          <w:sz w:val="20"/>
        </w:rPr>
      </w:pPr>
      <w:r w:rsidRPr="007A14D5">
        <w:rPr>
          <w:rStyle w:val="FootnoteReference"/>
        </w:rPr>
        <w:footnoteRef/>
      </w:r>
      <w:r w:rsidRPr="00671AC4">
        <w:rPr>
          <w:rStyle w:val="FootnoteTextChar1"/>
          <w:sz w:val="20"/>
        </w:rPr>
        <w:t xml:space="preserve"> 47 C.F.R. § 63.01(a) (“Any party that would be a domestic interstate communications common carrier is authorized to provide domestic, interstate services to any domestic point and to construct or operate any domestic transmission line as long as it obtains all necessary authorizations from the Commission for use of radio frequencies.”).</w:t>
      </w:r>
    </w:p>
  </w:footnote>
  <w:footnote w:id="9">
    <w:p w:rsidR="00552DE2" w:rsidRPr="008B7143" w:rsidRDefault="00552DE2" w:rsidP="00A07FCB">
      <w:pPr>
        <w:pStyle w:val="FootnoteText"/>
        <w:tabs>
          <w:tab w:val="clear" w:pos="720"/>
        </w:tabs>
        <w:suppressAutoHyphens w:val="0"/>
        <w:spacing w:after="120"/>
        <w:ind w:firstLine="0"/>
        <w:jc w:val="left"/>
        <w:rPr>
          <w:sz w:val="20"/>
        </w:rPr>
      </w:pPr>
      <w:r w:rsidRPr="00A07FCB">
        <w:rPr>
          <w:rStyle w:val="FootnoteReference"/>
        </w:rPr>
        <w:footnoteRef/>
      </w:r>
      <w:r w:rsidRPr="00A07FCB">
        <w:rPr>
          <w:rStyle w:val="FootnoteReference"/>
        </w:rPr>
        <w:t xml:space="preserve"> </w:t>
      </w:r>
      <w:r w:rsidR="00AB5066" w:rsidRPr="00A07FCB">
        <w:rPr>
          <w:i/>
          <w:sz w:val="20"/>
        </w:rPr>
        <w:t>Implementation of Section 402(b)(2)(A) of the Telecomm. Act of 1996</w:t>
      </w:r>
      <w:r w:rsidR="00AB5066" w:rsidRPr="00A07FCB">
        <w:rPr>
          <w:sz w:val="20"/>
        </w:rPr>
        <w:t xml:space="preserve">, Report and Order in CC Docket No. 97-11, </w:t>
      </w:r>
      <w:r w:rsidR="00AB5066" w:rsidRPr="008B7143">
        <w:rPr>
          <w:sz w:val="20"/>
        </w:rPr>
        <w:t xml:space="preserve">Second Memorandum Opinion &amp; Order in AAD File No. 98-43, 14 FCC Rcd 11364, </w:t>
      </w:r>
      <w:r w:rsidR="008B7143" w:rsidRPr="008B7143">
        <w:rPr>
          <w:rStyle w:val="FootnoteTextChar1"/>
          <w:sz w:val="20"/>
        </w:rPr>
        <w:t>para. 2 &amp;</w:t>
      </w:r>
      <w:r w:rsidRPr="008B7143">
        <w:rPr>
          <w:sz w:val="20"/>
        </w:rPr>
        <w:t xml:space="preserve"> n.8 </w:t>
      </w:r>
      <w:r w:rsidR="00AB5066" w:rsidRPr="008B7143">
        <w:rPr>
          <w:sz w:val="20"/>
        </w:rPr>
        <w:t xml:space="preserve">(1999) </w:t>
      </w:r>
      <w:r w:rsidRPr="008B7143">
        <w:rPr>
          <w:sz w:val="20"/>
        </w:rPr>
        <w:t>(grant of blanket authority is only for domestic interstate services and does not extend to the provision of international services).</w:t>
      </w:r>
    </w:p>
  </w:footnote>
  <w:footnote w:id="10">
    <w:p w:rsidR="00552DE2" w:rsidRPr="00AB5066" w:rsidRDefault="00552DE2" w:rsidP="00197FED">
      <w:pPr>
        <w:pStyle w:val="FootnoteText"/>
        <w:ind w:firstLine="0"/>
        <w:jc w:val="left"/>
        <w:rPr>
          <w:sz w:val="20"/>
        </w:rPr>
      </w:pPr>
      <w:r w:rsidRPr="00A07FCB">
        <w:rPr>
          <w:rStyle w:val="FootnoteReference"/>
        </w:rPr>
        <w:footnoteRef/>
      </w:r>
      <w:r w:rsidRPr="00A07FCB">
        <w:rPr>
          <w:sz w:val="20"/>
        </w:rPr>
        <w:t xml:space="preserve"> </w:t>
      </w:r>
      <w:r w:rsidRPr="003F6349">
        <w:rPr>
          <w:sz w:val="20"/>
        </w:rPr>
        <w:t xml:space="preserve">47 C.F.R. </w:t>
      </w:r>
      <w:r w:rsidRPr="00A07FCB">
        <w:rPr>
          <w:sz w:val="20"/>
        </w:rPr>
        <w:t>§ 63.18.</w:t>
      </w:r>
    </w:p>
  </w:footnote>
  <w:footnote w:id="11">
    <w:p w:rsidR="00552DE2" w:rsidRPr="00AB5066" w:rsidRDefault="00552DE2" w:rsidP="00197FED">
      <w:pPr>
        <w:pStyle w:val="FootnoteText"/>
        <w:ind w:firstLine="0"/>
        <w:jc w:val="left"/>
        <w:rPr>
          <w:sz w:val="20"/>
        </w:rPr>
      </w:pPr>
      <w:r>
        <w:rPr>
          <w:rStyle w:val="FootnoteReference"/>
        </w:rPr>
        <w:footnoteRef/>
      </w:r>
      <w:r>
        <w:t xml:space="preserve"> </w:t>
      </w:r>
      <w:r w:rsidRPr="00E21056">
        <w:rPr>
          <w:i/>
          <w:sz w:val="20"/>
        </w:rPr>
        <w:t>Id</w:t>
      </w:r>
      <w:r w:rsidRPr="00E21056">
        <w:rPr>
          <w:sz w:val="20"/>
        </w:rPr>
        <w:t>.</w:t>
      </w:r>
      <w:r>
        <w:rPr>
          <w:sz w:val="20"/>
        </w:rPr>
        <w:t xml:space="preserve"> </w:t>
      </w:r>
      <w:r w:rsidRPr="00A07FCB">
        <w:rPr>
          <w:sz w:val="20"/>
        </w:rPr>
        <w:t>§ 63.18(e)</w:t>
      </w:r>
      <w:r w:rsidR="00197FED">
        <w:rPr>
          <w:sz w:val="20"/>
        </w:rPr>
        <w:t>(1)-</w:t>
      </w:r>
      <w:r w:rsidRPr="00A07FCB">
        <w:rPr>
          <w:sz w:val="20"/>
        </w:rPr>
        <w:t>(2)</w:t>
      </w:r>
      <w:r w:rsidR="00197FED">
        <w:rPr>
          <w:sz w:val="20"/>
        </w:rPr>
        <w:t xml:space="preserve">; </w:t>
      </w:r>
      <w:r w:rsidR="00197FED" w:rsidRPr="00671AC4">
        <w:rPr>
          <w:i/>
          <w:sz w:val="20"/>
        </w:rPr>
        <w:t xml:space="preserve">see </w:t>
      </w:r>
      <w:r w:rsidR="00197FED" w:rsidRPr="00AB5066">
        <w:rPr>
          <w:i/>
          <w:sz w:val="20"/>
        </w:rPr>
        <w:t>Start Wireless Group, Inc. d/b/a/ Page Plus Cellular</w:t>
      </w:r>
      <w:r w:rsidR="00197FED">
        <w:rPr>
          <w:sz w:val="20"/>
        </w:rPr>
        <w:t>, Notice of Apparent Liability for Forfeiture, 27 FCC Rcd 350 (Enf. Bur. 2012).</w:t>
      </w:r>
    </w:p>
  </w:footnote>
  <w:footnote w:id="12">
    <w:p w:rsidR="00197FED" w:rsidRPr="00671AC4" w:rsidRDefault="00197FED" w:rsidP="00671AC4">
      <w:pPr>
        <w:pStyle w:val="FootnoteText"/>
        <w:ind w:firstLine="0"/>
        <w:rPr>
          <w:sz w:val="20"/>
        </w:rPr>
      </w:pPr>
      <w:r w:rsidRPr="00197FED">
        <w:rPr>
          <w:rStyle w:val="FootnoteReference"/>
        </w:rPr>
        <w:footnoteRef/>
      </w:r>
      <w:r w:rsidRPr="00671AC4">
        <w:rPr>
          <w:sz w:val="20"/>
        </w:rPr>
        <w:t xml:space="preserve"> 47 C.F.R. § 63.18</w:t>
      </w:r>
      <w:r w:rsidRPr="00197FED">
        <w:rPr>
          <w:sz w:val="20"/>
        </w:rPr>
        <w:t>(e)(1)-(2).</w:t>
      </w:r>
    </w:p>
  </w:footnote>
  <w:footnote w:id="13">
    <w:p w:rsidR="00197FED" w:rsidRPr="00671AC4" w:rsidRDefault="00197FED" w:rsidP="00671AC4">
      <w:pPr>
        <w:pStyle w:val="FootnoteText"/>
        <w:ind w:firstLine="0"/>
        <w:rPr>
          <w:sz w:val="20"/>
        </w:rPr>
      </w:pPr>
      <w:r w:rsidRPr="000C6C51">
        <w:rPr>
          <w:rStyle w:val="FootnoteReference"/>
        </w:rPr>
        <w:footnoteRef/>
      </w:r>
      <w:r w:rsidRPr="00671AC4">
        <w:rPr>
          <w:sz w:val="20"/>
        </w:rPr>
        <w:t xml:space="preserve"> </w:t>
      </w:r>
      <w:r w:rsidR="008B7143" w:rsidRPr="00671AC4">
        <w:rPr>
          <w:sz w:val="20"/>
        </w:rPr>
        <w:t>47 C.F.R.</w:t>
      </w:r>
      <w:r w:rsidR="000C6C51" w:rsidRPr="00671AC4">
        <w:rPr>
          <w:sz w:val="20"/>
        </w:rPr>
        <w:t xml:space="preserve"> </w:t>
      </w:r>
      <w:r w:rsidR="000C6C51" w:rsidRPr="000C6C51">
        <w:rPr>
          <w:sz w:val="20"/>
        </w:rPr>
        <w:t>§§ 63.18(e)(2), 63.23.</w:t>
      </w:r>
    </w:p>
  </w:footnote>
  <w:footnote w:id="14">
    <w:p w:rsidR="00552DE2" w:rsidRPr="000B2EED" w:rsidRDefault="00552DE2" w:rsidP="00197FED">
      <w:pPr>
        <w:pStyle w:val="FootnoteText"/>
        <w:ind w:firstLine="0"/>
        <w:jc w:val="left"/>
        <w:rPr>
          <w:sz w:val="20"/>
        </w:rPr>
      </w:pPr>
      <w:r w:rsidRPr="00A07FCB">
        <w:rPr>
          <w:rStyle w:val="FootnoteReference"/>
        </w:rPr>
        <w:footnoteRef/>
      </w:r>
      <w:r w:rsidRPr="003F6349">
        <w:rPr>
          <w:sz w:val="20"/>
        </w:rPr>
        <w:t xml:space="preserve"> </w:t>
      </w:r>
      <w:r w:rsidR="008B7143" w:rsidRPr="008B7143">
        <w:rPr>
          <w:i/>
          <w:sz w:val="20"/>
        </w:rPr>
        <w:t>See</w:t>
      </w:r>
      <w:r w:rsidR="008B7143">
        <w:rPr>
          <w:sz w:val="20"/>
        </w:rPr>
        <w:t xml:space="preserve"> </w:t>
      </w:r>
      <w:r w:rsidRPr="00375A9B">
        <w:rPr>
          <w:i/>
          <w:sz w:val="20"/>
        </w:rPr>
        <w:t>Teleplus, LLC</w:t>
      </w:r>
      <w:r w:rsidRPr="00375A9B">
        <w:rPr>
          <w:sz w:val="20"/>
        </w:rPr>
        <w:t>, Notice of Apparent Liability for Forfeiture, 24 FCC Rcd 7666</w:t>
      </w:r>
      <w:r>
        <w:rPr>
          <w:sz w:val="20"/>
        </w:rPr>
        <w:t>, 7667, para. 3</w:t>
      </w:r>
      <w:r w:rsidRPr="00375A9B">
        <w:rPr>
          <w:b/>
          <w:sz w:val="20"/>
        </w:rPr>
        <w:t xml:space="preserve"> </w:t>
      </w:r>
      <w:r w:rsidRPr="00375A9B">
        <w:rPr>
          <w:sz w:val="20"/>
        </w:rPr>
        <w:t>(Enf. Bur. 2009) (</w:t>
      </w:r>
      <w:r w:rsidRPr="00375A9B">
        <w:rPr>
          <w:i/>
          <w:sz w:val="20"/>
        </w:rPr>
        <w:t>NAL</w:t>
      </w:r>
      <w:r w:rsidRPr="00375A9B">
        <w:rPr>
          <w:sz w:val="20"/>
        </w:rPr>
        <w:t>)</w:t>
      </w:r>
      <w:r>
        <w:rPr>
          <w:sz w:val="20"/>
        </w:rPr>
        <w:t xml:space="preserve"> (citing </w:t>
      </w:r>
      <w:r w:rsidRPr="003F6349">
        <w:rPr>
          <w:i/>
          <w:sz w:val="20"/>
        </w:rPr>
        <w:t>Response of Teleplus, LLC to the Enforcement Bureau’s March 30, 2009</w:t>
      </w:r>
      <w:r>
        <w:rPr>
          <w:i/>
          <w:sz w:val="20"/>
        </w:rPr>
        <w:t>,</w:t>
      </w:r>
      <w:r w:rsidRPr="003F6349">
        <w:rPr>
          <w:i/>
          <w:sz w:val="20"/>
        </w:rPr>
        <w:t xml:space="preserve"> Letter of Inquiry</w:t>
      </w:r>
      <w:r w:rsidRPr="007D0B01">
        <w:rPr>
          <w:sz w:val="20"/>
        </w:rPr>
        <w:t xml:space="preserve">, </w:t>
      </w:r>
      <w:r w:rsidRPr="003F6349">
        <w:rPr>
          <w:sz w:val="20"/>
        </w:rPr>
        <w:t>Response to Inquiry No. 6</w:t>
      </w:r>
      <w:r>
        <w:rPr>
          <w:sz w:val="20"/>
        </w:rPr>
        <w:t xml:space="preserve"> </w:t>
      </w:r>
      <w:r w:rsidRPr="003F6349">
        <w:rPr>
          <w:sz w:val="20"/>
        </w:rPr>
        <w:t>(Apr. 10, 2009)</w:t>
      </w:r>
      <w:r>
        <w:rPr>
          <w:sz w:val="20"/>
        </w:rPr>
        <w:t>)</w:t>
      </w:r>
      <w:r w:rsidRPr="003F6349">
        <w:rPr>
          <w:sz w:val="20"/>
        </w:rPr>
        <w:t>.</w:t>
      </w:r>
    </w:p>
  </w:footnote>
  <w:footnote w:id="15">
    <w:p w:rsidR="00552DE2" w:rsidRPr="000B2EED" w:rsidRDefault="00552DE2" w:rsidP="00197FED">
      <w:pPr>
        <w:pStyle w:val="FootnoteText"/>
        <w:ind w:firstLine="0"/>
        <w:jc w:val="left"/>
        <w:rPr>
          <w:sz w:val="20"/>
        </w:rPr>
      </w:pPr>
      <w:r>
        <w:rPr>
          <w:rStyle w:val="FootnoteReference"/>
        </w:rPr>
        <w:footnoteRef/>
      </w:r>
      <w:r>
        <w:rPr>
          <w:sz w:val="20"/>
        </w:rPr>
        <w:t xml:space="preserve"> </w:t>
      </w:r>
      <w:r w:rsidR="0022334D" w:rsidRPr="009D3B32">
        <w:rPr>
          <w:i/>
          <w:sz w:val="20"/>
        </w:rPr>
        <w:t>See</w:t>
      </w:r>
      <w:r w:rsidR="0022334D">
        <w:rPr>
          <w:sz w:val="20"/>
        </w:rPr>
        <w:t xml:space="preserve"> </w:t>
      </w:r>
      <w:r>
        <w:rPr>
          <w:i/>
          <w:sz w:val="20"/>
        </w:rPr>
        <w:t>NAL</w:t>
      </w:r>
      <w:r>
        <w:rPr>
          <w:sz w:val="20"/>
        </w:rPr>
        <w:t xml:space="preserve">, </w:t>
      </w:r>
      <w:r w:rsidRPr="00375A9B">
        <w:rPr>
          <w:sz w:val="20"/>
        </w:rPr>
        <w:t>24 FCC Rcd</w:t>
      </w:r>
      <w:r>
        <w:rPr>
          <w:sz w:val="20"/>
        </w:rPr>
        <w:t xml:space="preserve"> at 7667, para. 3.</w:t>
      </w:r>
    </w:p>
  </w:footnote>
  <w:footnote w:id="16">
    <w:p w:rsidR="00552DE2" w:rsidRPr="000B2EED" w:rsidRDefault="00552DE2" w:rsidP="00197FED">
      <w:pPr>
        <w:pStyle w:val="FootnoteText"/>
        <w:ind w:firstLine="0"/>
        <w:jc w:val="left"/>
        <w:rPr>
          <w:sz w:val="20"/>
        </w:rPr>
      </w:pPr>
      <w:r w:rsidRPr="00A07FCB">
        <w:rPr>
          <w:rStyle w:val="FootnoteReference"/>
        </w:rPr>
        <w:footnoteRef/>
      </w:r>
      <w:r w:rsidRPr="003F6349">
        <w:rPr>
          <w:sz w:val="20"/>
        </w:rPr>
        <w:t xml:space="preserve"> </w:t>
      </w:r>
      <w:r w:rsidRPr="003F6349">
        <w:rPr>
          <w:i/>
          <w:sz w:val="20"/>
        </w:rPr>
        <w:t xml:space="preserve">See </w:t>
      </w:r>
      <w:r w:rsidRPr="003F6349">
        <w:rPr>
          <w:sz w:val="20"/>
        </w:rPr>
        <w:t>E-mail from Anteneh “Alonzo” T. Beyene, Regulatory Consultant to Teleplus, Regnum Group, Inc., to Jennifer Rockoff, National Security Division, U.S. Department of Justice and Mikelle Morra, International Bureau, FCC (May 15, 2008)</w:t>
      </w:r>
      <w:r>
        <w:rPr>
          <w:sz w:val="20"/>
        </w:rPr>
        <w:t xml:space="preserve"> (</w:t>
      </w:r>
      <w:r w:rsidR="005B3D19">
        <w:rPr>
          <w:sz w:val="20"/>
        </w:rPr>
        <w:t>on file in EB-08-IH-5</w:t>
      </w:r>
      <w:r>
        <w:rPr>
          <w:sz w:val="20"/>
        </w:rPr>
        <w:t>2</w:t>
      </w:r>
      <w:r w:rsidR="005B3D19">
        <w:rPr>
          <w:sz w:val="20"/>
        </w:rPr>
        <w:t>1</w:t>
      </w:r>
      <w:r>
        <w:rPr>
          <w:sz w:val="20"/>
        </w:rPr>
        <w:t xml:space="preserve">7); </w:t>
      </w:r>
      <w:r w:rsidRPr="007D0B01">
        <w:rPr>
          <w:i/>
          <w:sz w:val="20"/>
        </w:rPr>
        <w:t>see also</w:t>
      </w:r>
      <w:r>
        <w:rPr>
          <w:sz w:val="20"/>
        </w:rPr>
        <w:t xml:space="preserve"> </w:t>
      </w:r>
      <w:r w:rsidRPr="007D0B01">
        <w:rPr>
          <w:sz w:val="20"/>
        </w:rPr>
        <w:t>http://www.callingcardplus.com</w:t>
      </w:r>
      <w:r>
        <w:rPr>
          <w:sz w:val="20"/>
        </w:rPr>
        <w:t xml:space="preserve"> (last visited Mar. 18, 2013).</w:t>
      </w:r>
    </w:p>
  </w:footnote>
  <w:footnote w:id="17">
    <w:p w:rsidR="00552DE2" w:rsidRPr="000B2EED" w:rsidRDefault="00552DE2" w:rsidP="00197FED">
      <w:pPr>
        <w:pStyle w:val="FootnoteText"/>
        <w:ind w:firstLine="0"/>
        <w:jc w:val="left"/>
        <w:rPr>
          <w:sz w:val="20"/>
        </w:rPr>
      </w:pPr>
      <w:r w:rsidRPr="00A07FCB">
        <w:rPr>
          <w:rStyle w:val="FootnoteReference"/>
        </w:rPr>
        <w:footnoteRef/>
      </w:r>
      <w:r w:rsidRPr="003F6349">
        <w:rPr>
          <w:sz w:val="20"/>
        </w:rPr>
        <w:t xml:space="preserve"> </w:t>
      </w:r>
      <w:r w:rsidRPr="003F6349">
        <w:rPr>
          <w:i/>
          <w:sz w:val="20"/>
        </w:rPr>
        <w:t xml:space="preserve">See </w:t>
      </w:r>
      <w:r w:rsidR="000973C2" w:rsidRPr="000973C2">
        <w:rPr>
          <w:i/>
          <w:sz w:val="20"/>
        </w:rPr>
        <w:t>Teleplus Application for FCC 214 Authority</w:t>
      </w:r>
      <w:r w:rsidR="000973C2">
        <w:rPr>
          <w:sz w:val="20"/>
        </w:rPr>
        <w:t xml:space="preserve">, </w:t>
      </w:r>
      <w:r w:rsidR="00DB4394" w:rsidRPr="007B39C8">
        <w:rPr>
          <w:sz w:val="20"/>
        </w:rPr>
        <w:t xml:space="preserve">IBFS </w:t>
      </w:r>
      <w:r w:rsidR="00DB4394">
        <w:rPr>
          <w:sz w:val="20"/>
        </w:rPr>
        <w:t xml:space="preserve">Application </w:t>
      </w:r>
      <w:r w:rsidR="00DB4394" w:rsidRPr="007B39C8">
        <w:rPr>
          <w:sz w:val="20"/>
        </w:rPr>
        <w:t>No</w:t>
      </w:r>
      <w:r w:rsidRPr="003F6349">
        <w:rPr>
          <w:sz w:val="20"/>
        </w:rPr>
        <w:t>. ITC-214-20060217-00099.</w:t>
      </w:r>
    </w:p>
  </w:footnote>
  <w:footnote w:id="18">
    <w:p w:rsidR="00552DE2" w:rsidRPr="000B2EED" w:rsidRDefault="00552DE2" w:rsidP="00197FED">
      <w:pPr>
        <w:pStyle w:val="FootnoteText"/>
        <w:ind w:firstLine="0"/>
        <w:jc w:val="left"/>
        <w:rPr>
          <w:sz w:val="20"/>
        </w:rPr>
      </w:pPr>
      <w:r w:rsidRPr="00A07FCB">
        <w:rPr>
          <w:rStyle w:val="FootnoteReference"/>
        </w:rPr>
        <w:footnoteRef/>
      </w:r>
      <w:r w:rsidRPr="003F6349">
        <w:rPr>
          <w:sz w:val="20"/>
        </w:rPr>
        <w:t xml:space="preserve"> </w:t>
      </w:r>
      <w:r w:rsidRPr="003F6349">
        <w:rPr>
          <w:i/>
          <w:sz w:val="20"/>
        </w:rPr>
        <w:t>See Rules and Policies on Foreign Participation in the U.S. Telecommunications Market,</w:t>
      </w:r>
      <w:r w:rsidRPr="003F6349">
        <w:rPr>
          <w:sz w:val="20"/>
        </w:rPr>
        <w:t xml:space="preserve"> Report and Order and Order on Reconsideration, 12 FCC Rcd 23891, 23919</w:t>
      </w:r>
      <w:r>
        <w:rPr>
          <w:sz w:val="20"/>
        </w:rPr>
        <w:t>–</w:t>
      </w:r>
      <w:r w:rsidRPr="003F6349">
        <w:rPr>
          <w:sz w:val="20"/>
        </w:rPr>
        <w:t xml:space="preserve">21, </w:t>
      </w:r>
      <w:r>
        <w:rPr>
          <w:sz w:val="20"/>
        </w:rPr>
        <w:t>paras.</w:t>
      </w:r>
      <w:r w:rsidRPr="003F6349">
        <w:rPr>
          <w:sz w:val="20"/>
        </w:rPr>
        <w:t xml:space="preserve"> 61</w:t>
      </w:r>
      <w:r>
        <w:rPr>
          <w:sz w:val="20"/>
        </w:rPr>
        <w:t>–</w:t>
      </w:r>
      <w:r w:rsidRPr="003F6349">
        <w:rPr>
          <w:sz w:val="20"/>
        </w:rPr>
        <w:t>66 (1997), Order on Reconsideration, 15</w:t>
      </w:r>
      <w:r>
        <w:rPr>
          <w:sz w:val="20"/>
        </w:rPr>
        <w:t> </w:t>
      </w:r>
      <w:r w:rsidRPr="003F6349">
        <w:rPr>
          <w:sz w:val="20"/>
        </w:rPr>
        <w:t>FCC</w:t>
      </w:r>
      <w:r>
        <w:rPr>
          <w:sz w:val="20"/>
        </w:rPr>
        <w:t> </w:t>
      </w:r>
      <w:r w:rsidRPr="003F6349">
        <w:rPr>
          <w:sz w:val="20"/>
        </w:rPr>
        <w:t>Rcd 18158 (2000).</w:t>
      </w:r>
    </w:p>
  </w:footnote>
  <w:footnote w:id="19">
    <w:p w:rsidR="00552DE2" w:rsidRPr="000B2EED" w:rsidRDefault="00552DE2" w:rsidP="00197FED">
      <w:pPr>
        <w:pStyle w:val="FootnoteText"/>
        <w:ind w:firstLine="0"/>
        <w:jc w:val="left"/>
        <w:rPr>
          <w:sz w:val="20"/>
        </w:rPr>
      </w:pPr>
      <w:r w:rsidRPr="00A07FCB">
        <w:rPr>
          <w:rStyle w:val="FootnoteReference"/>
        </w:rPr>
        <w:footnoteRef/>
      </w:r>
      <w:r w:rsidRPr="003F6349">
        <w:rPr>
          <w:sz w:val="20"/>
        </w:rPr>
        <w:t xml:space="preserve"> </w:t>
      </w:r>
      <w:r w:rsidRPr="003F6349">
        <w:rPr>
          <w:i/>
          <w:sz w:val="20"/>
        </w:rPr>
        <w:t>See</w:t>
      </w:r>
      <w:r w:rsidRPr="003F6349">
        <w:rPr>
          <w:sz w:val="20"/>
        </w:rPr>
        <w:t xml:space="preserve"> </w:t>
      </w:r>
      <w:r w:rsidRPr="003F6349">
        <w:rPr>
          <w:i/>
          <w:sz w:val="20"/>
        </w:rPr>
        <w:t>International Authorizations Granted,</w:t>
      </w:r>
      <w:r w:rsidRPr="003F6349">
        <w:rPr>
          <w:sz w:val="20"/>
        </w:rPr>
        <w:t xml:space="preserve"> Public Notice, Rep. No. TEL-01280, DA No. 08-1441 (rel. June 19, 2008).</w:t>
      </w:r>
    </w:p>
  </w:footnote>
  <w:footnote w:id="20">
    <w:p w:rsidR="00552DE2" w:rsidRPr="000B2EED" w:rsidRDefault="00552DE2" w:rsidP="00197FED">
      <w:pPr>
        <w:spacing w:after="120"/>
        <w:rPr>
          <w:sz w:val="20"/>
          <w:szCs w:val="20"/>
        </w:rPr>
      </w:pPr>
      <w:r w:rsidRPr="00A07FCB">
        <w:rPr>
          <w:rStyle w:val="FootnoteReference"/>
        </w:rPr>
        <w:footnoteRef/>
      </w:r>
      <w:r w:rsidRPr="003F6349">
        <w:rPr>
          <w:sz w:val="20"/>
          <w:szCs w:val="20"/>
        </w:rPr>
        <w:t xml:space="preserve"> </w:t>
      </w:r>
      <w:r w:rsidRPr="00A07FCB">
        <w:rPr>
          <w:i/>
          <w:sz w:val="20"/>
          <w:szCs w:val="20"/>
        </w:rPr>
        <w:t>See</w:t>
      </w:r>
      <w:r w:rsidRPr="00A07FCB">
        <w:rPr>
          <w:sz w:val="20"/>
          <w:szCs w:val="20"/>
        </w:rPr>
        <w:t xml:space="preserve"> Letter from Trent B. Harkrader, Deputy Chief, Investigations &amp; Hearings Division, Enforcement Bureau, FCC, to Amr Ibrahim, </w:t>
      </w:r>
      <w:r>
        <w:rPr>
          <w:sz w:val="20"/>
          <w:szCs w:val="20"/>
        </w:rPr>
        <w:t xml:space="preserve">Chief Executive Officer, </w:t>
      </w:r>
      <w:r w:rsidRPr="00A07FCB">
        <w:rPr>
          <w:sz w:val="20"/>
          <w:szCs w:val="20"/>
        </w:rPr>
        <w:t>Teleplus, LLC (Mar. 30, 2009)</w:t>
      </w:r>
      <w:r>
        <w:rPr>
          <w:sz w:val="20"/>
          <w:szCs w:val="20"/>
        </w:rPr>
        <w:t xml:space="preserve"> (</w:t>
      </w:r>
      <w:r w:rsidRPr="007D0B01">
        <w:rPr>
          <w:i/>
          <w:sz w:val="20"/>
          <w:szCs w:val="20"/>
        </w:rPr>
        <w:t>LOI</w:t>
      </w:r>
      <w:r>
        <w:rPr>
          <w:sz w:val="20"/>
          <w:szCs w:val="20"/>
        </w:rPr>
        <w:t>).</w:t>
      </w:r>
    </w:p>
  </w:footnote>
  <w:footnote w:id="21">
    <w:p w:rsidR="00552DE2" w:rsidRPr="000B2EED" w:rsidRDefault="00552DE2" w:rsidP="00197FED">
      <w:pPr>
        <w:pStyle w:val="FootnoteText"/>
        <w:ind w:firstLine="0"/>
        <w:jc w:val="left"/>
        <w:rPr>
          <w:sz w:val="20"/>
        </w:rPr>
      </w:pPr>
      <w:r w:rsidRPr="003F6349">
        <w:rPr>
          <w:rStyle w:val="FootnoteReference"/>
        </w:rPr>
        <w:footnoteRef/>
      </w:r>
      <w:r w:rsidRPr="003F6349">
        <w:rPr>
          <w:sz w:val="20"/>
        </w:rPr>
        <w:t xml:space="preserve"> </w:t>
      </w:r>
      <w:r w:rsidR="000B2EED" w:rsidRPr="003F6349">
        <w:rPr>
          <w:i/>
          <w:sz w:val="20"/>
        </w:rPr>
        <w:t>Response of Teleplus, LLC to the Enforcement Bureau’s March 30, 2009</w:t>
      </w:r>
      <w:r w:rsidR="000B2EED">
        <w:rPr>
          <w:i/>
          <w:sz w:val="20"/>
        </w:rPr>
        <w:t>,</w:t>
      </w:r>
      <w:r w:rsidR="000B2EED" w:rsidRPr="003F6349">
        <w:rPr>
          <w:i/>
          <w:sz w:val="20"/>
        </w:rPr>
        <w:t xml:space="preserve"> Letter of Inquiry</w:t>
      </w:r>
      <w:r w:rsidR="000B2EED" w:rsidRPr="007D0B01">
        <w:rPr>
          <w:sz w:val="20"/>
        </w:rPr>
        <w:t xml:space="preserve"> </w:t>
      </w:r>
      <w:r w:rsidR="000B2EED" w:rsidRPr="003F6349">
        <w:rPr>
          <w:sz w:val="20"/>
        </w:rPr>
        <w:t>(Apr. 10, 2009)</w:t>
      </w:r>
      <w:r w:rsidRPr="00E21056">
        <w:rPr>
          <w:sz w:val="20"/>
        </w:rPr>
        <w:t>.</w:t>
      </w:r>
    </w:p>
  </w:footnote>
  <w:footnote w:id="22">
    <w:p w:rsidR="00552DE2" w:rsidRPr="000B2EED" w:rsidRDefault="00552DE2" w:rsidP="00FA60E4">
      <w:pPr>
        <w:pStyle w:val="FootnoteText"/>
        <w:ind w:firstLine="0"/>
        <w:jc w:val="left"/>
        <w:rPr>
          <w:sz w:val="20"/>
        </w:rPr>
      </w:pPr>
      <w:r w:rsidRPr="00375A9B">
        <w:rPr>
          <w:rStyle w:val="FootnoteReference"/>
        </w:rPr>
        <w:footnoteRef/>
      </w:r>
      <w:r w:rsidRPr="00375A9B">
        <w:rPr>
          <w:rStyle w:val="FootnoteReference"/>
        </w:rPr>
        <w:t xml:space="preserve"> </w:t>
      </w:r>
      <w:r w:rsidRPr="00375A9B">
        <w:rPr>
          <w:i/>
          <w:sz w:val="20"/>
        </w:rPr>
        <w:t xml:space="preserve">See </w:t>
      </w:r>
      <w:r>
        <w:rPr>
          <w:i/>
          <w:sz w:val="20"/>
        </w:rPr>
        <w:t>NAL</w:t>
      </w:r>
      <w:r w:rsidRPr="00375A9B">
        <w:rPr>
          <w:sz w:val="20"/>
        </w:rPr>
        <w:t xml:space="preserve">, 24 FCC Rcd </w:t>
      </w:r>
      <w:r>
        <w:rPr>
          <w:sz w:val="20"/>
        </w:rPr>
        <w:t xml:space="preserve">at </w:t>
      </w:r>
      <w:r w:rsidRPr="00375A9B">
        <w:rPr>
          <w:sz w:val="20"/>
        </w:rPr>
        <w:t>7666.</w:t>
      </w:r>
    </w:p>
  </w:footnote>
  <w:footnote w:id="23">
    <w:p w:rsidR="00552DE2" w:rsidRPr="00E804E1" w:rsidRDefault="00552DE2" w:rsidP="00FA60E4">
      <w:pPr>
        <w:pStyle w:val="FootnoteText"/>
        <w:ind w:firstLine="0"/>
        <w:jc w:val="left"/>
        <w:rPr>
          <w:sz w:val="20"/>
        </w:rPr>
      </w:pPr>
      <w:r w:rsidRPr="00375A9B">
        <w:rPr>
          <w:rStyle w:val="FootnoteReference"/>
        </w:rPr>
        <w:footnoteRef/>
      </w:r>
      <w:r w:rsidRPr="00375A9B">
        <w:rPr>
          <w:rStyle w:val="FootnoteReference"/>
        </w:rPr>
        <w:t xml:space="preserve"> </w:t>
      </w:r>
      <w:r w:rsidRPr="00375A9B">
        <w:rPr>
          <w:sz w:val="20"/>
        </w:rPr>
        <w:t>Letter from Glenn B. Manishin, Counsel for Teleplus, LLC to Marlene H. Dortch, Secretary, Federal Communications Commission (Jan</w:t>
      </w:r>
      <w:r>
        <w:rPr>
          <w:sz w:val="20"/>
        </w:rPr>
        <w:t>.</w:t>
      </w:r>
      <w:r w:rsidRPr="00375A9B">
        <w:rPr>
          <w:sz w:val="20"/>
        </w:rPr>
        <w:t xml:space="preserve"> 6, 2010) (on file in EB-08-IH-5217)</w:t>
      </w:r>
      <w:r>
        <w:rPr>
          <w:sz w:val="20"/>
        </w:rPr>
        <w:t>.</w:t>
      </w:r>
    </w:p>
  </w:footnote>
  <w:footnote w:id="24">
    <w:p w:rsidR="00552DE2" w:rsidRPr="00E804E1" w:rsidRDefault="00552DE2" w:rsidP="00FA60E4">
      <w:pPr>
        <w:pStyle w:val="FootnoteText"/>
        <w:ind w:firstLine="0"/>
        <w:jc w:val="left"/>
        <w:rPr>
          <w:sz w:val="20"/>
        </w:rPr>
      </w:pPr>
      <w:r w:rsidRPr="00375A9B">
        <w:rPr>
          <w:rStyle w:val="FootnoteReference"/>
        </w:rPr>
        <w:footnoteRef/>
      </w:r>
      <w:r w:rsidRPr="00375A9B">
        <w:rPr>
          <w:rStyle w:val="FootnoteReference"/>
        </w:rPr>
        <w:t xml:space="preserve"> </w:t>
      </w:r>
      <w:r w:rsidRPr="00375A9B">
        <w:rPr>
          <w:sz w:val="20"/>
        </w:rPr>
        <w:t>Letter from Glenn B. Manishin, Counsel for Teleplus, LLC to Joy Ragsdale, Attorney, Federal Communications Commission (Mar</w:t>
      </w:r>
      <w:r>
        <w:rPr>
          <w:sz w:val="20"/>
        </w:rPr>
        <w:t>.</w:t>
      </w:r>
      <w:r w:rsidRPr="00375A9B">
        <w:rPr>
          <w:sz w:val="20"/>
        </w:rPr>
        <w:t xml:space="preserve"> 8, 2013) (on file in EB-08-IH-5217).</w:t>
      </w:r>
    </w:p>
  </w:footnote>
  <w:footnote w:id="25">
    <w:p w:rsidR="00552DE2" w:rsidRDefault="00552DE2" w:rsidP="00BC5400">
      <w:pPr>
        <w:pStyle w:val="FootnoteText"/>
        <w:spacing w:after="120"/>
        <w:ind w:firstLine="0"/>
        <w:jc w:val="left"/>
      </w:pPr>
      <w:r w:rsidRPr="00A07FCB">
        <w:rPr>
          <w:rStyle w:val="FootnoteReference"/>
        </w:rPr>
        <w:footnoteRef/>
      </w:r>
      <w:r w:rsidRPr="00A07FCB">
        <w:rPr>
          <w:sz w:val="20"/>
        </w:rPr>
        <w:t xml:space="preserve"> 47 C.F.R. § 1.16.</w:t>
      </w:r>
    </w:p>
  </w:footnote>
  <w:footnote w:id="26">
    <w:p w:rsidR="00552DE2" w:rsidRDefault="00552DE2" w:rsidP="00530ED1">
      <w:pPr>
        <w:pStyle w:val="FootnoteText"/>
        <w:tabs>
          <w:tab w:val="left" w:pos="810"/>
        </w:tabs>
        <w:spacing w:after="120"/>
        <w:ind w:firstLine="0"/>
        <w:jc w:val="left"/>
      </w:pPr>
      <w:r w:rsidRPr="00A07FCB">
        <w:rPr>
          <w:rStyle w:val="FootnoteReference"/>
        </w:rPr>
        <w:footnoteRef/>
      </w:r>
      <w:r w:rsidRPr="003F6349">
        <w:rPr>
          <w:sz w:val="20"/>
        </w:rPr>
        <w:t xml:space="preserve"> </w:t>
      </w:r>
      <w:r w:rsidRPr="00A07FCB">
        <w:rPr>
          <w:sz w:val="20"/>
        </w:rPr>
        <w:t>47 U.S.C. § 208.</w:t>
      </w:r>
    </w:p>
  </w:footnote>
  <w:footnote w:id="27">
    <w:p w:rsidR="00502559" w:rsidRDefault="00502559" w:rsidP="00502559">
      <w:pPr>
        <w:pStyle w:val="FootnoteText"/>
        <w:spacing w:after="120"/>
        <w:ind w:firstLine="0"/>
        <w:jc w:val="left"/>
        <w:rPr>
          <w:sz w:val="20"/>
        </w:rPr>
      </w:pPr>
      <w:r>
        <w:rPr>
          <w:rStyle w:val="FootnoteReference"/>
        </w:rPr>
        <w:footnoteRef/>
      </w:r>
      <w:r>
        <w:rPr>
          <w:sz w:val="20"/>
        </w:rPr>
        <w:t xml:space="preserve"> Debt Collection Improvement Act of 1996, Pub. L. No. 104-134, 110 Stat. 1321, 1358 (Apr. 26, 1996).</w:t>
      </w:r>
    </w:p>
  </w:footnote>
  <w:footnote w:id="28">
    <w:p w:rsidR="00552DE2" w:rsidRDefault="00552DE2" w:rsidP="00530ED1">
      <w:pPr>
        <w:pStyle w:val="FootnoteText"/>
        <w:ind w:firstLine="0"/>
        <w:jc w:val="left"/>
      </w:pPr>
      <w:r w:rsidRPr="00A07FCB">
        <w:rPr>
          <w:rStyle w:val="FootnoteReference"/>
        </w:rPr>
        <w:footnoteRef/>
      </w:r>
      <w:r w:rsidRPr="003F6349">
        <w:rPr>
          <w:sz w:val="20"/>
        </w:rPr>
        <w:t xml:space="preserve"> </w:t>
      </w:r>
      <w:r w:rsidRPr="00A07FCB">
        <w:rPr>
          <w:rFonts w:eastAsia="MS Mincho" w:cs="Arial"/>
          <w:sz w:val="20"/>
        </w:rPr>
        <w:t>An FCC Form 159 and detailed instructions for completing the form may be obtained at http://www.fcc.gov/Forms/Form159/159.pdf.</w:t>
      </w:r>
    </w:p>
  </w:footnote>
  <w:footnote w:id="29">
    <w:p w:rsidR="00552DE2" w:rsidRDefault="00552DE2" w:rsidP="00530ED1">
      <w:pPr>
        <w:pStyle w:val="FootnoteText"/>
        <w:tabs>
          <w:tab w:val="left" w:pos="810"/>
        </w:tabs>
        <w:spacing w:after="120"/>
        <w:ind w:firstLine="0"/>
        <w:jc w:val="left"/>
      </w:pPr>
      <w:r w:rsidRPr="003F6349">
        <w:rPr>
          <w:rStyle w:val="FootnoteReference"/>
        </w:rPr>
        <w:footnoteRef/>
      </w:r>
      <w:r w:rsidRPr="003F6349">
        <w:rPr>
          <w:sz w:val="20"/>
        </w:rPr>
        <w:t xml:space="preserve"> </w:t>
      </w:r>
      <w:r w:rsidRPr="003F6349">
        <w:rPr>
          <w:i/>
          <w:sz w:val="20"/>
        </w:rPr>
        <w:t xml:space="preserve">See </w:t>
      </w:r>
      <w:r w:rsidRPr="003F6349">
        <w:rPr>
          <w:sz w:val="20"/>
        </w:rPr>
        <w:t>5 U.S.C. § 504; 47 C.F.R. Part 1, Subpart 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ED" w:rsidRDefault="00256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E2" w:rsidRDefault="00552DE2">
    <w:pPr>
      <w:pStyle w:val="Heading2"/>
      <w:tabs>
        <w:tab w:val="left" w:pos="-720"/>
        <w:tab w:val="center" w:pos="5040"/>
        <w:tab w:val="right" w:pos="9360"/>
      </w:tabs>
      <w:suppressAutoHyphens/>
      <w:spacing w:before="0" w:after="0"/>
      <w:rPr>
        <w:rFonts w:ascii="Times New Roman" w:hAnsi="Times New Roman"/>
        <w:i w:val="0"/>
        <w:sz w:val="22"/>
        <w:u w:val="single"/>
      </w:rPr>
    </w:pPr>
    <w:r>
      <w:rPr>
        <w:rFonts w:ascii="Times New Roman" w:hAnsi="Times New Roman"/>
        <w:i w:val="0"/>
        <w:sz w:val="22"/>
        <w:u w:val="single"/>
      </w:rPr>
      <w:tab/>
      <w:t>Federal Communications Commission</w:t>
    </w:r>
    <w:r>
      <w:rPr>
        <w:rFonts w:ascii="Times New Roman" w:hAnsi="Times New Roman"/>
        <w:i w:val="0"/>
        <w:sz w:val="22"/>
        <w:u w:val="single"/>
      </w:rPr>
      <w:tab/>
      <w:t>DA 13-</w:t>
    </w:r>
    <w:r w:rsidR="005B3D19">
      <w:rPr>
        <w:rFonts w:ascii="Times New Roman" w:hAnsi="Times New Roman"/>
        <w:i w:val="0"/>
        <w:sz w:val="22"/>
        <w:u w:val="single"/>
      </w:rPr>
      <w:t>785</w:t>
    </w:r>
  </w:p>
  <w:p w:rsidR="00552DE2" w:rsidRDefault="00552D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E2" w:rsidRDefault="00552DE2">
    <w:pPr>
      <w:pStyle w:val="Heading2"/>
      <w:tabs>
        <w:tab w:val="left" w:pos="-720"/>
        <w:tab w:val="center" w:pos="5040"/>
        <w:tab w:val="right" w:pos="9360"/>
      </w:tabs>
      <w:suppressAutoHyphens/>
      <w:spacing w:before="0" w:after="0"/>
      <w:rPr>
        <w:rFonts w:ascii="Times New Roman" w:hAnsi="Times New Roman"/>
        <w:i w:val="0"/>
        <w:sz w:val="22"/>
        <w:u w:val="single"/>
      </w:rPr>
    </w:pPr>
    <w:r>
      <w:rPr>
        <w:rFonts w:ascii="Times New Roman" w:hAnsi="Times New Roman"/>
        <w:i w:val="0"/>
        <w:sz w:val="22"/>
        <w:u w:val="single"/>
      </w:rPr>
      <w:tab/>
      <w:t>Federal Communications Commission</w:t>
    </w:r>
    <w:r>
      <w:rPr>
        <w:rFonts w:ascii="Times New Roman" w:hAnsi="Times New Roman"/>
        <w:i w:val="0"/>
        <w:sz w:val="22"/>
        <w:u w:val="single"/>
      </w:rPr>
      <w:tab/>
      <w:t xml:space="preserve">DA </w:t>
    </w:r>
    <w:r w:rsidRPr="00F66D1B">
      <w:rPr>
        <w:rFonts w:ascii="Times New Roman" w:hAnsi="Times New Roman"/>
        <w:i w:val="0"/>
        <w:sz w:val="22"/>
        <w:u w:val="single"/>
      </w:rPr>
      <w:t>13-</w:t>
    </w:r>
    <w:r w:rsidR="005B3D19">
      <w:rPr>
        <w:rFonts w:ascii="Times New Roman" w:hAnsi="Times New Roman"/>
        <w:i w:val="0"/>
        <w:sz w:val="22"/>
        <w:u w:val="single"/>
      </w:rPr>
      <w:t>785</w:t>
    </w:r>
    <w:r w:rsidRPr="00F66D1B">
      <w:rPr>
        <w:rFonts w:ascii="Times New Roman" w:hAnsi="Times New Roman"/>
        <w:i w:val="0"/>
        <w:sz w:val="22"/>
        <w:u w:val="single"/>
      </w:rPr>
      <w:t xml:space="preserve"> </w:t>
    </w:r>
  </w:p>
  <w:p w:rsidR="00552DE2" w:rsidRDefault="00552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7E0"/>
    <w:multiLevelType w:val="hybridMultilevel"/>
    <w:tmpl w:val="AAE834F8"/>
    <w:lvl w:ilvl="0" w:tplc="FFFFFFFF">
      <w:start w:val="1"/>
      <w:numFmt w:val="lowerLetter"/>
      <w:lvlText w:val="(%1)"/>
      <w:lvlJc w:val="left"/>
      <w:pPr>
        <w:tabs>
          <w:tab w:val="num" w:pos="1782"/>
        </w:tabs>
        <w:ind w:left="1782" w:hanging="432"/>
      </w:pPr>
      <w:rPr>
        <w:rFonts w:cs="Times New Roman" w:hint="default"/>
        <w:b w:val="0"/>
        <w:i w:val="0"/>
        <w:sz w:val="24"/>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1">
    <w:nsid w:val="0E480176"/>
    <w:multiLevelType w:val="hybridMultilevel"/>
    <w:tmpl w:val="FFBC8AD2"/>
    <w:lvl w:ilvl="0" w:tplc="587CDE2E">
      <w:start w:val="1"/>
      <w:numFmt w:val="lowerLetter"/>
      <w:lvlText w:val="(%1)"/>
      <w:lvlJc w:val="left"/>
      <w:pPr>
        <w:tabs>
          <w:tab w:val="num" w:pos="1224"/>
        </w:tabs>
        <w:ind w:left="1224" w:hanging="432"/>
      </w:pPr>
      <w:rPr>
        <w:rFonts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4907F2C"/>
    <w:multiLevelType w:val="hybridMultilevel"/>
    <w:tmpl w:val="BDF4DC56"/>
    <w:lvl w:ilvl="0" w:tplc="FFFFFFFF">
      <w:start w:val="1"/>
      <w:numFmt w:val="lowerLetter"/>
      <w:lvlText w:val="(%1)"/>
      <w:lvlJc w:val="left"/>
      <w:pPr>
        <w:tabs>
          <w:tab w:val="num" w:pos="3960"/>
        </w:tabs>
        <w:ind w:left="3960" w:hanging="432"/>
      </w:pPr>
      <w:rPr>
        <w:rFonts w:cs="Times New Roman" w:hint="default"/>
        <w:b w:val="0"/>
        <w:i w:val="0"/>
        <w:sz w:val="22"/>
        <w:szCs w:val="22"/>
      </w:rPr>
    </w:lvl>
    <w:lvl w:ilvl="1" w:tplc="FFFFFFFF" w:tentative="1">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3">
    <w:nsid w:val="19F0398A"/>
    <w:multiLevelType w:val="hybridMultilevel"/>
    <w:tmpl w:val="5C0CD1FC"/>
    <w:lvl w:ilvl="0" w:tplc="EAD803C4">
      <w:start w:val="1"/>
      <w:numFmt w:val="lowerLetter"/>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3F46C3"/>
    <w:multiLevelType w:val="hybridMultilevel"/>
    <w:tmpl w:val="FA005398"/>
    <w:lvl w:ilvl="0" w:tplc="EF3A2856">
      <w:start w:val="1"/>
      <w:numFmt w:val="lowerLetter"/>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A432DB"/>
    <w:multiLevelType w:val="hybridMultilevel"/>
    <w:tmpl w:val="DE1ED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nsid w:val="5C55770E"/>
    <w:multiLevelType w:val="hybridMultilevel"/>
    <w:tmpl w:val="AB36D748"/>
    <w:lvl w:ilvl="0" w:tplc="69AC49B0">
      <w:start w:val="2"/>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1182925"/>
    <w:multiLevelType w:val="singleLevel"/>
    <w:tmpl w:val="1C36937A"/>
    <w:lvl w:ilvl="0">
      <w:start w:val="1"/>
      <w:numFmt w:val="decimal"/>
      <w:pStyle w:val="ParaNum"/>
      <w:lvlText w:val="%1."/>
      <w:lvlJc w:val="left"/>
      <w:pPr>
        <w:tabs>
          <w:tab w:val="num" w:pos="1080"/>
        </w:tabs>
        <w:ind w:firstLine="720"/>
      </w:pPr>
      <w:rPr>
        <w:rFonts w:ascii="Times New Roman" w:hAnsi="Times New Roman" w:cs="Times New Roman" w:hint="default"/>
      </w:rPr>
    </w:lvl>
  </w:abstractNum>
  <w:abstractNum w:abstractNumId="9">
    <w:nsid w:val="628E1E95"/>
    <w:multiLevelType w:val="singleLevel"/>
    <w:tmpl w:val="0EE6E94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0">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1">
    <w:nsid w:val="76253019"/>
    <w:multiLevelType w:val="hybridMultilevel"/>
    <w:tmpl w:val="C7080EF2"/>
    <w:lvl w:ilvl="0" w:tplc="FFFFFFFF">
      <w:start w:val="1"/>
      <w:numFmt w:val="lowerLetter"/>
      <w:lvlText w:val="(%1)"/>
      <w:lvlJc w:val="left"/>
      <w:pPr>
        <w:tabs>
          <w:tab w:val="num" w:pos="1656"/>
        </w:tabs>
        <w:ind w:left="1656" w:hanging="432"/>
      </w:pPr>
      <w:rPr>
        <w:rFonts w:cs="Times New Roman" w:hint="default"/>
        <w:b w:val="0"/>
        <w:i w:val="0"/>
        <w:sz w:val="24"/>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12">
    <w:nsid w:val="7FC04C1E"/>
    <w:multiLevelType w:val="hybridMultilevel"/>
    <w:tmpl w:val="B6FEDD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9"/>
  </w:num>
  <w:num w:numId="3">
    <w:abstractNumId w:val="8"/>
  </w:num>
  <w:num w:numId="4">
    <w:abstractNumId w:val="1"/>
  </w:num>
  <w:num w:numId="5">
    <w:abstractNumId w:val="11"/>
  </w:num>
  <w:num w:numId="6">
    <w:abstractNumId w:val="7"/>
  </w:num>
  <w:num w:numId="7">
    <w:abstractNumId w:val="0"/>
  </w:num>
  <w:num w:numId="8">
    <w:abstractNumId w:val="6"/>
  </w:num>
  <w:num w:numId="9">
    <w:abstractNumId w:val="5"/>
  </w:num>
  <w:num w:numId="10">
    <w:abstractNumId w:val="9"/>
  </w:num>
  <w:num w:numId="11">
    <w:abstractNumId w:val="9"/>
  </w:num>
  <w:num w:numId="12">
    <w:abstractNumId w:val="9"/>
  </w:num>
  <w:num w:numId="13">
    <w:abstractNumId w:val="9"/>
  </w:num>
  <w:num w:numId="14">
    <w:abstractNumId w:val="9"/>
  </w:num>
  <w:num w:numId="15">
    <w:abstractNumId w:val="12"/>
  </w:num>
  <w:num w:numId="16">
    <w:abstractNumId w:val="9"/>
  </w:num>
  <w:num w:numId="17">
    <w:abstractNumId w:val="9"/>
  </w:num>
  <w:num w:numId="18">
    <w:abstractNumId w:val="9"/>
  </w:num>
  <w:num w:numId="19">
    <w:abstractNumId w:val="9"/>
  </w:num>
  <w:num w:numId="20">
    <w:abstractNumId w:val="8"/>
  </w:num>
  <w:num w:numId="21">
    <w:abstractNumId w:val="8"/>
  </w:num>
  <w:num w:numId="22">
    <w:abstractNumId w:val="8"/>
  </w:num>
  <w:num w:numId="23">
    <w:abstractNumId w:val="2"/>
  </w:num>
  <w:num w:numId="24">
    <w:abstractNumId w:val="9"/>
    <w:lvlOverride w:ilvl="0">
      <w:startOverride w:val="1"/>
    </w:lvlOverride>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10"/>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4"/>
  </w:num>
  <w:num w:numId="43">
    <w:abstractNumId w:val="3"/>
  </w:num>
  <w:num w:numId="44">
    <w:abstractNumId w:val="9"/>
  </w:num>
  <w:num w:numId="45">
    <w:abstractNumId w:val="8"/>
  </w:num>
  <w:num w:numId="4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41"/>
    <w:rsid w:val="00003D26"/>
    <w:rsid w:val="00007380"/>
    <w:rsid w:val="00011A51"/>
    <w:rsid w:val="000159D5"/>
    <w:rsid w:val="000172D3"/>
    <w:rsid w:val="000204EC"/>
    <w:rsid w:val="00025249"/>
    <w:rsid w:val="00030086"/>
    <w:rsid w:val="000301B5"/>
    <w:rsid w:val="00031000"/>
    <w:rsid w:val="00031ED1"/>
    <w:rsid w:val="00032932"/>
    <w:rsid w:val="00032BB3"/>
    <w:rsid w:val="00034B5F"/>
    <w:rsid w:val="000365F6"/>
    <w:rsid w:val="00036659"/>
    <w:rsid w:val="00040073"/>
    <w:rsid w:val="000405D5"/>
    <w:rsid w:val="0004120C"/>
    <w:rsid w:val="00045BD6"/>
    <w:rsid w:val="000469B3"/>
    <w:rsid w:val="00046C9C"/>
    <w:rsid w:val="000571DC"/>
    <w:rsid w:val="00057B65"/>
    <w:rsid w:val="000635D6"/>
    <w:rsid w:val="00066A0D"/>
    <w:rsid w:val="0007377C"/>
    <w:rsid w:val="00076659"/>
    <w:rsid w:val="000820E5"/>
    <w:rsid w:val="00090D31"/>
    <w:rsid w:val="000921DF"/>
    <w:rsid w:val="0009657F"/>
    <w:rsid w:val="000973C2"/>
    <w:rsid w:val="000A70F9"/>
    <w:rsid w:val="000B0A6F"/>
    <w:rsid w:val="000B1854"/>
    <w:rsid w:val="000B1B64"/>
    <w:rsid w:val="000B2EED"/>
    <w:rsid w:val="000B4232"/>
    <w:rsid w:val="000B43BC"/>
    <w:rsid w:val="000B63E3"/>
    <w:rsid w:val="000C393A"/>
    <w:rsid w:val="000C3A51"/>
    <w:rsid w:val="000C6C51"/>
    <w:rsid w:val="000D24F1"/>
    <w:rsid w:val="000D29C7"/>
    <w:rsid w:val="000D3F56"/>
    <w:rsid w:val="000D5D36"/>
    <w:rsid w:val="000D77F6"/>
    <w:rsid w:val="000E5454"/>
    <w:rsid w:val="000F0B0E"/>
    <w:rsid w:val="000F5656"/>
    <w:rsid w:val="000F65FC"/>
    <w:rsid w:val="00115ED9"/>
    <w:rsid w:val="001179E0"/>
    <w:rsid w:val="00122A41"/>
    <w:rsid w:val="00137CD4"/>
    <w:rsid w:val="001430A5"/>
    <w:rsid w:val="00170446"/>
    <w:rsid w:val="00173288"/>
    <w:rsid w:val="00183C18"/>
    <w:rsid w:val="001847CB"/>
    <w:rsid w:val="00197FED"/>
    <w:rsid w:val="001A39D6"/>
    <w:rsid w:val="001A3F5A"/>
    <w:rsid w:val="001C300A"/>
    <w:rsid w:val="001C50AD"/>
    <w:rsid w:val="001D2EA1"/>
    <w:rsid w:val="001E32FE"/>
    <w:rsid w:val="001E359B"/>
    <w:rsid w:val="001E72DD"/>
    <w:rsid w:val="001E74C6"/>
    <w:rsid w:val="0020283E"/>
    <w:rsid w:val="00210F97"/>
    <w:rsid w:val="0022019D"/>
    <w:rsid w:val="00220565"/>
    <w:rsid w:val="0022334D"/>
    <w:rsid w:val="00223699"/>
    <w:rsid w:val="002249E9"/>
    <w:rsid w:val="002258E9"/>
    <w:rsid w:val="00231944"/>
    <w:rsid w:val="002323F2"/>
    <w:rsid w:val="00236F84"/>
    <w:rsid w:val="00241998"/>
    <w:rsid w:val="00244A05"/>
    <w:rsid w:val="00247C56"/>
    <w:rsid w:val="00250E3C"/>
    <w:rsid w:val="00253802"/>
    <w:rsid w:val="0025664A"/>
    <w:rsid w:val="0025685D"/>
    <w:rsid w:val="00256EED"/>
    <w:rsid w:val="00280CCE"/>
    <w:rsid w:val="00283DFB"/>
    <w:rsid w:val="00284F9E"/>
    <w:rsid w:val="0029359C"/>
    <w:rsid w:val="00297EAB"/>
    <w:rsid w:val="002A18DC"/>
    <w:rsid w:val="002B2045"/>
    <w:rsid w:val="002B2187"/>
    <w:rsid w:val="002B4292"/>
    <w:rsid w:val="002C4D9E"/>
    <w:rsid w:val="002C7EAD"/>
    <w:rsid w:val="002D56C1"/>
    <w:rsid w:val="002E0ECE"/>
    <w:rsid w:val="002E7A48"/>
    <w:rsid w:val="002F00CA"/>
    <w:rsid w:val="002F3CB6"/>
    <w:rsid w:val="002F7D1D"/>
    <w:rsid w:val="003012B2"/>
    <w:rsid w:val="003079ED"/>
    <w:rsid w:val="00314559"/>
    <w:rsid w:val="00320F23"/>
    <w:rsid w:val="00350080"/>
    <w:rsid w:val="003542E8"/>
    <w:rsid w:val="003551B4"/>
    <w:rsid w:val="003650DB"/>
    <w:rsid w:val="00370A5C"/>
    <w:rsid w:val="00371888"/>
    <w:rsid w:val="0037235C"/>
    <w:rsid w:val="003757B9"/>
    <w:rsid w:val="00375A9B"/>
    <w:rsid w:val="00382F6B"/>
    <w:rsid w:val="003921B6"/>
    <w:rsid w:val="003926DE"/>
    <w:rsid w:val="00393BAA"/>
    <w:rsid w:val="003B24F1"/>
    <w:rsid w:val="003C2599"/>
    <w:rsid w:val="003D0D8C"/>
    <w:rsid w:val="003D1201"/>
    <w:rsid w:val="003D28F2"/>
    <w:rsid w:val="003D3FC3"/>
    <w:rsid w:val="003D4E4A"/>
    <w:rsid w:val="003E52E7"/>
    <w:rsid w:val="003E7621"/>
    <w:rsid w:val="003F6349"/>
    <w:rsid w:val="00400ACE"/>
    <w:rsid w:val="0040258F"/>
    <w:rsid w:val="00403C72"/>
    <w:rsid w:val="00405922"/>
    <w:rsid w:val="00406CED"/>
    <w:rsid w:val="0040707C"/>
    <w:rsid w:val="00413BF1"/>
    <w:rsid w:val="0041499A"/>
    <w:rsid w:val="004218C5"/>
    <w:rsid w:val="004243B9"/>
    <w:rsid w:val="0043277D"/>
    <w:rsid w:val="0043437F"/>
    <w:rsid w:val="004406E9"/>
    <w:rsid w:val="00443CB2"/>
    <w:rsid w:val="00450318"/>
    <w:rsid w:val="00453942"/>
    <w:rsid w:val="004554E9"/>
    <w:rsid w:val="0045593E"/>
    <w:rsid w:val="004577C0"/>
    <w:rsid w:val="00466FB1"/>
    <w:rsid w:val="0047003B"/>
    <w:rsid w:val="0047572B"/>
    <w:rsid w:val="004801E4"/>
    <w:rsid w:val="00481BB2"/>
    <w:rsid w:val="00482CB2"/>
    <w:rsid w:val="00487C31"/>
    <w:rsid w:val="004A0D6C"/>
    <w:rsid w:val="004A2801"/>
    <w:rsid w:val="004A5387"/>
    <w:rsid w:val="004A64CC"/>
    <w:rsid w:val="004B246D"/>
    <w:rsid w:val="004B5722"/>
    <w:rsid w:val="004C09CB"/>
    <w:rsid w:val="004C16C1"/>
    <w:rsid w:val="004C1781"/>
    <w:rsid w:val="004C7EE3"/>
    <w:rsid w:val="004D6DF8"/>
    <w:rsid w:val="004E134D"/>
    <w:rsid w:val="004E5A26"/>
    <w:rsid w:val="004E6A3F"/>
    <w:rsid w:val="004E7E32"/>
    <w:rsid w:val="004F00B3"/>
    <w:rsid w:val="004F07AB"/>
    <w:rsid w:val="0050073C"/>
    <w:rsid w:val="005013FA"/>
    <w:rsid w:val="0050172D"/>
    <w:rsid w:val="00502559"/>
    <w:rsid w:val="0050408B"/>
    <w:rsid w:val="005136CD"/>
    <w:rsid w:val="005303A7"/>
    <w:rsid w:val="005309B2"/>
    <w:rsid w:val="00530ED1"/>
    <w:rsid w:val="005373A5"/>
    <w:rsid w:val="00540C6C"/>
    <w:rsid w:val="00541EFF"/>
    <w:rsid w:val="00552C04"/>
    <w:rsid w:val="00552DE2"/>
    <w:rsid w:val="005609A8"/>
    <w:rsid w:val="00564167"/>
    <w:rsid w:val="00564555"/>
    <w:rsid w:val="00573B95"/>
    <w:rsid w:val="00576864"/>
    <w:rsid w:val="005778B5"/>
    <w:rsid w:val="00583AE6"/>
    <w:rsid w:val="005A03EF"/>
    <w:rsid w:val="005A2AF9"/>
    <w:rsid w:val="005A4660"/>
    <w:rsid w:val="005B031B"/>
    <w:rsid w:val="005B07DE"/>
    <w:rsid w:val="005B3D19"/>
    <w:rsid w:val="005B463B"/>
    <w:rsid w:val="005B6281"/>
    <w:rsid w:val="005C46DA"/>
    <w:rsid w:val="005D1702"/>
    <w:rsid w:val="005D6803"/>
    <w:rsid w:val="005E27BF"/>
    <w:rsid w:val="005E415F"/>
    <w:rsid w:val="005E57E9"/>
    <w:rsid w:val="005F35ED"/>
    <w:rsid w:val="00601DD2"/>
    <w:rsid w:val="00622E06"/>
    <w:rsid w:val="006237C6"/>
    <w:rsid w:val="00624866"/>
    <w:rsid w:val="00625AA1"/>
    <w:rsid w:val="00626BA2"/>
    <w:rsid w:val="00632408"/>
    <w:rsid w:val="006337C1"/>
    <w:rsid w:val="006426DA"/>
    <w:rsid w:val="0064505E"/>
    <w:rsid w:val="006536BB"/>
    <w:rsid w:val="00654B86"/>
    <w:rsid w:val="0065573E"/>
    <w:rsid w:val="00655F48"/>
    <w:rsid w:val="0066122F"/>
    <w:rsid w:val="006679F6"/>
    <w:rsid w:val="006708E0"/>
    <w:rsid w:val="00671466"/>
    <w:rsid w:val="00671AC4"/>
    <w:rsid w:val="00671E9D"/>
    <w:rsid w:val="00673466"/>
    <w:rsid w:val="00674BDB"/>
    <w:rsid w:val="00680597"/>
    <w:rsid w:val="0068435E"/>
    <w:rsid w:val="00685C5F"/>
    <w:rsid w:val="006915A0"/>
    <w:rsid w:val="0069271F"/>
    <w:rsid w:val="0069326E"/>
    <w:rsid w:val="00697DC5"/>
    <w:rsid w:val="006A680E"/>
    <w:rsid w:val="006B3541"/>
    <w:rsid w:val="006B675E"/>
    <w:rsid w:val="006C198D"/>
    <w:rsid w:val="006C1DAD"/>
    <w:rsid w:val="006C53A0"/>
    <w:rsid w:val="006D461F"/>
    <w:rsid w:val="006E02AA"/>
    <w:rsid w:val="006E36D9"/>
    <w:rsid w:val="006E6A6D"/>
    <w:rsid w:val="006F2CC5"/>
    <w:rsid w:val="006F48A7"/>
    <w:rsid w:val="00702541"/>
    <w:rsid w:val="0070341F"/>
    <w:rsid w:val="0070447F"/>
    <w:rsid w:val="0070571A"/>
    <w:rsid w:val="00706988"/>
    <w:rsid w:val="00710A4D"/>
    <w:rsid w:val="00713283"/>
    <w:rsid w:val="00721484"/>
    <w:rsid w:val="007231F5"/>
    <w:rsid w:val="00725838"/>
    <w:rsid w:val="00735A1E"/>
    <w:rsid w:val="00737227"/>
    <w:rsid w:val="007473E1"/>
    <w:rsid w:val="00747735"/>
    <w:rsid w:val="00753A97"/>
    <w:rsid w:val="007570E2"/>
    <w:rsid w:val="00762509"/>
    <w:rsid w:val="007754B3"/>
    <w:rsid w:val="0077698C"/>
    <w:rsid w:val="0078516B"/>
    <w:rsid w:val="00785953"/>
    <w:rsid w:val="00792860"/>
    <w:rsid w:val="00793564"/>
    <w:rsid w:val="007944AC"/>
    <w:rsid w:val="00795785"/>
    <w:rsid w:val="007A14D5"/>
    <w:rsid w:val="007A4C99"/>
    <w:rsid w:val="007B0E89"/>
    <w:rsid w:val="007B6087"/>
    <w:rsid w:val="007C2427"/>
    <w:rsid w:val="007C3D03"/>
    <w:rsid w:val="007D0B01"/>
    <w:rsid w:val="007D6549"/>
    <w:rsid w:val="007E500B"/>
    <w:rsid w:val="007F5B4B"/>
    <w:rsid w:val="0080258F"/>
    <w:rsid w:val="00803C63"/>
    <w:rsid w:val="008073F3"/>
    <w:rsid w:val="008074B2"/>
    <w:rsid w:val="00811083"/>
    <w:rsid w:val="008149BE"/>
    <w:rsid w:val="00822860"/>
    <w:rsid w:val="00822E73"/>
    <w:rsid w:val="008269EE"/>
    <w:rsid w:val="00827E3F"/>
    <w:rsid w:val="00832290"/>
    <w:rsid w:val="008356BA"/>
    <w:rsid w:val="00836AE8"/>
    <w:rsid w:val="00840B0E"/>
    <w:rsid w:val="00845C0E"/>
    <w:rsid w:val="00856111"/>
    <w:rsid w:val="008612C1"/>
    <w:rsid w:val="00864CE2"/>
    <w:rsid w:val="008670D1"/>
    <w:rsid w:val="00870881"/>
    <w:rsid w:val="0087535C"/>
    <w:rsid w:val="00877018"/>
    <w:rsid w:val="008913A0"/>
    <w:rsid w:val="008A26E2"/>
    <w:rsid w:val="008A3E78"/>
    <w:rsid w:val="008A4BA2"/>
    <w:rsid w:val="008B46D4"/>
    <w:rsid w:val="008B7143"/>
    <w:rsid w:val="008C0665"/>
    <w:rsid w:val="008C14E6"/>
    <w:rsid w:val="008C7107"/>
    <w:rsid w:val="008D36A1"/>
    <w:rsid w:val="008D4E56"/>
    <w:rsid w:val="008D7261"/>
    <w:rsid w:val="008D72DF"/>
    <w:rsid w:val="008F116A"/>
    <w:rsid w:val="008F7386"/>
    <w:rsid w:val="00900CD5"/>
    <w:rsid w:val="00906E55"/>
    <w:rsid w:val="00916736"/>
    <w:rsid w:val="0092234B"/>
    <w:rsid w:val="00932096"/>
    <w:rsid w:val="00935C87"/>
    <w:rsid w:val="00935F13"/>
    <w:rsid w:val="009369F1"/>
    <w:rsid w:val="00937064"/>
    <w:rsid w:val="0093761F"/>
    <w:rsid w:val="0094050B"/>
    <w:rsid w:val="009477CA"/>
    <w:rsid w:val="0095212B"/>
    <w:rsid w:val="00960017"/>
    <w:rsid w:val="00964378"/>
    <w:rsid w:val="009711C3"/>
    <w:rsid w:val="00981216"/>
    <w:rsid w:val="009827EE"/>
    <w:rsid w:val="00987040"/>
    <w:rsid w:val="00994545"/>
    <w:rsid w:val="009A1748"/>
    <w:rsid w:val="009A1BF2"/>
    <w:rsid w:val="009A4C57"/>
    <w:rsid w:val="009A70F9"/>
    <w:rsid w:val="009B4E15"/>
    <w:rsid w:val="009B4E30"/>
    <w:rsid w:val="009B5479"/>
    <w:rsid w:val="009B559B"/>
    <w:rsid w:val="009B5DC0"/>
    <w:rsid w:val="009C1550"/>
    <w:rsid w:val="009C17A0"/>
    <w:rsid w:val="009C658F"/>
    <w:rsid w:val="009C6BBD"/>
    <w:rsid w:val="009C7802"/>
    <w:rsid w:val="009D0109"/>
    <w:rsid w:val="009D1DF0"/>
    <w:rsid w:val="009D3B32"/>
    <w:rsid w:val="009D4484"/>
    <w:rsid w:val="009D597E"/>
    <w:rsid w:val="009D6C41"/>
    <w:rsid w:val="009F53AD"/>
    <w:rsid w:val="00A036E2"/>
    <w:rsid w:val="00A03F53"/>
    <w:rsid w:val="00A0626D"/>
    <w:rsid w:val="00A071BA"/>
    <w:rsid w:val="00A07FCB"/>
    <w:rsid w:val="00A13A37"/>
    <w:rsid w:val="00A16CAA"/>
    <w:rsid w:val="00A2314E"/>
    <w:rsid w:val="00A2627B"/>
    <w:rsid w:val="00A27C9B"/>
    <w:rsid w:val="00A32ABE"/>
    <w:rsid w:val="00A35FF0"/>
    <w:rsid w:val="00A3603C"/>
    <w:rsid w:val="00A36F69"/>
    <w:rsid w:val="00A42248"/>
    <w:rsid w:val="00A42428"/>
    <w:rsid w:val="00A579C5"/>
    <w:rsid w:val="00A626F1"/>
    <w:rsid w:val="00A6448E"/>
    <w:rsid w:val="00A716E2"/>
    <w:rsid w:val="00A840C7"/>
    <w:rsid w:val="00A87E97"/>
    <w:rsid w:val="00A901FA"/>
    <w:rsid w:val="00AA2929"/>
    <w:rsid w:val="00AA3669"/>
    <w:rsid w:val="00AA679A"/>
    <w:rsid w:val="00AA6A35"/>
    <w:rsid w:val="00AB3585"/>
    <w:rsid w:val="00AB5066"/>
    <w:rsid w:val="00AB5309"/>
    <w:rsid w:val="00AC0975"/>
    <w:rsid w:val="00AC0B25"/>
    <w:rsid w:val="00AC173B"/>
    <w:rsid w:val="00AC5C62"/>
    <w:rsid w:val="00AD72E8"/>
    <w:rsid w:val="00AE081A"/>
    <w:rsid w:val="00AE45DB"/>
    <w:rsid w:val="00AE7638"/>
    <w:rsid w:val="00AF228D"/>
    <w:rsid w:val="00AF34C9"/>
    <w:rsid w:val="00AF3F3E"/>
    <w:rsid w:val="00AF483B"/>
    <w:rsid w:val="00AF5C18"/>
    <w:rsid w:val="00B057ED"/>
    <w:rsid w:val="00B10BFE"/>
    <w:rsid w:val="00B10EF4"/>
    <w:rsid w:val="00B11182"/>
    <w:rsid w:val="00B11E5F"/>
    <w:rsid w:val="00B1274E"/>
    <w:rsid w:val="00B12E6A"/>
    <w:rsid w:val="00B16390"/>
    <w:rsid w:val="00B168FC"/>
    <w:rsid w:val="00B3374B"/>
    <w:rsid w:val="00B34A8D"/>
    <w:rsid w:val="00B365B7"/>
    <w:rsid w:val="00B530E2"/>
    <w:rsid w:val="00B57AE4"/>
    <w:rsid w:val="00B64A05"/>
    <w:rsid w:val="00B753EF"/>
    <w:rsid w:val="00B81142"/>
    <w:rsid w:val="00B813DB"/>
    <w:rsid w:val="00B82593"/>
    <w:rsid w:val="00B83689"/>
    <w:rsid w:val="00B847C0"/>
    <w:rsid w:val="00B9128F"/>
    <w:rsid w:val="00B946ED"/>
    <w:rsid w:val="00BA59AA"/>
    <w:rsid w:val="00BB131C"/>
    <w:rsid w:val="00BB2BD4"/>
    <w:rsid w:val="00BC5400"/>
    <w:rsid w:val="00BC6F2D"/>
    <w:rsid w:val="00BD2FEE"/>
    <w:rsid w:val="00BD303B"/>
    <w:rsid w:val="00BD3C8B"/>
    <w:rsid w:val="00BF6739"/>
    <w:rsid w:val="00C03F5A"/>
    <w:rsid w:val="00C044A4"/>
    <w:rsid w:val="00C05A37"/>
    <w:rsid w:val="00C05F65"/>
    <w:rsid w:val="00C11372"/>
    <w:rsid w:val="00C12103"/>
    <w:rsid w:val="00C121C9"/>
    <w:rsid w:val="00C1262B"/>
    <w:rsid w:val="00C1513D"/>
    <w:rsid w:val="00C15833"/>
    <w:rsid w:val="00C15AD0"/>
    <w:rsid w:val="00C169D1"/>
    <w:rsid w:val="00C203C3"/>
    <w:rsid w:val="00C2075B"/>
    <w:rsid w:val="00C23382"/>
    <w:rsid w:val="00C24BDB"/>
    <w:rsid w:val="00C2749F"/>
    <w:rsid w:val="00C3281C"/>
    <w:rsid w:val="00C33B3B"/>
    <w:rsid w:val="00C36AC1"/>
    <w:rsid w:val="00C422FF"/>
    <w:rsid w:val="00C44AB1"/>
    <w:rsid w:val="00C47256"/>
    <w:rsid w:val="00C535A8"/>
    <w:rsid w:val="00C542F5"/>
    <w:rsid w:val="00C7272D"/>
    <w:rsid w:val="00C74D56"/>
    <w:rsid w:val="00C74FA6"/>
    <w:rsid w:val="00CA21BE"/>
    <w:rsid w:val="00CA28A1"/>
    <w:rsid w:val="00CA682F"/>
    <w:rsid w:val="00CB1CA7"/>
    <w:rsid w:val="00CB276A"/>
    <w:rsid w:val="00CB4143"/>
    <w:rsid w:val="00CB4340"/>
    <w:rsid w:val="00CC1947"/>
    <w:rsid w:val="00CC1AA1"/>
    <w:rsid w:val="00CC4D06"/>
    <w:rsid w:val="00CD2819"/>
    <w:rsid w:val="00CE0871"/>
    <w:rsid w:val="00CE0CF3"/>
    <w:rsid w:val="00CE3B26"/>
    <w:rsid w:val="00CE48FE"/>
    <w:rsid w:val="00CF520B"/>
    <w:rsid w:val="00D01A04"/>
    <w:rsid w:val="00D0202D"/>
    <w:rsid w:val="00D03B0B"/>
    <w:rsid w:val="00D06165"/>
    <w:rsid w:val="00D10860"/>
    <w:rsid w:val="00D15334"/>
    <w:rsid w:val="00D1631D"/>
    <w:rsid w:val="00D2212D"/>
    <w:rsid w:val="00D31968"/>
    <w:rsid w:val="00D32EB0"/>
    <w:rsid w:val="00D42C11"/>
    <w:rsid w:val="00D43707"/>
    <w:rsid w:val="00D45DBF"/>
    <w:rsid w:val="00D475A4"/>
    <w:rsid w:val="00D53D37"/>
    <w:rsid w:val="00D623DA"/>
    <w:rsid w:val="00D6550A"/>
    <w:rsid w:val="00D65E0E"/>
    <w:rsid w:val="00D73D14"/>
    <w:rsid w:val="00D74336"/>
    <w:rsid w:val="00D81753"/>
    <w:rsid w:val="00D846B1"/>
    <w:rsid w:val="00D86427"/>
    <w:rsid w:val="00D922EC"/>
    <w:rsid w:val="00D9296E"/>
    <w:rsid w:val="00D92ACC"/>
    <w:rsid w:val="00D936D0"/>
    <w:rsid w:val="00D95D60"/>
    <w:rsid w:val="00D977DD"/>
    <w:rsid w:val="00DB30CF"/>
    <w:rsid w:val="00DB4394"/>
    <w:rsid w:val="00DB4706"/>
    <w:rsid w:val="00DD6574"/>
    <w:rsid w:val="00DD7B46"/>
    <w:rsid w:val="00DE22C3"/>
    <w:rsid w:val="00DE7D73"/>
    <w:rsid w:val="00DF0365"/>
    <w:rsid w:val="00DF4049"/>
    <w:rsid w:val="00E02F83"/>
    <w:rsid w:val="00E030C2"/>
    <w:rsid w:val="00E21056"/>
    <w:rsid w:val="00E23B76"/>
    <w:rsid w:val="00E36124"/>
    <w:rsid w:val="00E44108"/>
    <w:rsid w:val="00E611AA"/>
    <w:rsid w:val="00E62CF3"/>
    <w:rsid w:val="00E65831"/>
    <w:rsid w:val="00E667A6"/>
    <w:rsid w:val="00E728DA"/>
    <w:rsid w:val="00E73653"/>
    <w:rsid w:val="00E74CCB"/>
    <w:rsid w:val="00E762DC"/>
    <w:rsid w:val="00E7742A"/>
    <w:rsid w:val="00E778AB"/>
    <w:rsid w:val="00E804E1"/>
    <w:rsid w:val="00E833A0"/>
    <w:rsid w:val="00EA3B79"/>
    <w:rsid w:val="00EB2D92"/>
    <w:rsid w:val="00EB5EB6"/>
    <w:rsid w:val="00EB5F58"/>
    <w:rsid w:val="00EB7F7A"/>
    <w:rsid w:val="00EC477B"/>
    <w:rsid w:val="00EC5C13"/>
    <w:rsid w:val="00EC6DF7"/>
    <w:rsid w:val="00ED0B3F"/>
    <w:rsid w:val="00ED610A"/>
    <w:rsid w:val="00EE5BB8"/>
    <w:rsid w:val="00EF0B1B"/>
    <w:rsid w:val="00EF0E67"/>
    <w:rsid w:val="00EF5427"/>
    <w:rsid w:val="00EF6E96"/>
    <w:rsid w:val="00F00382"/>
    <w:rsid w:val="00F006CE"/>
    <w:rsid w:val="00F0291C"/>
    <w:rsid w:val="00F04492"/>
    <w:rsid w:val="00F108F6"/>
    <w:rsid w:val="00F12348"/>
    <w:rsid w:val="00F40016"/>
    <w:rsid w:val="00F420BD"/>
    <w:rsid w:val="00F42CEA"/>
    <w:rsid w:val="00F45D29"/>
    <w:rsid w:val="00F54DE3"/>
    <w:rsid w:val="00F66D1B"/>
    <w:rsid w:val="00F71212"/>
    <w:rsid w:val="00F73D45"/>
    <w:rsid w:val="00F803B9"/>
    <w:rsid w:val="00F822B5"/>
    <w:rsid w:val="00F87596"/>
    <w:rsid w:val="00F91E39"/>
    <w:rsid w:val="00F92364"/>
    <w:rsid w:val="00F93728"/>
    <w:rsid w:val="00F94D26"/>
    <w:rsid w:val="00FA60E4"/>
    <w:rsid w:val="00FB098A"/>
    <w:rsid w:val="00FB2B5D"/>
    <w:rsid w:val="00FB2DD5"/>
    <w:rsid w:val="00FB2ECD"/>
    <w:rsid w:val="00FB5F85"/>
    <w:rsid w:val="00FC0E22"/>
    <w:rsid w:val="00FC140E"/>
    <w:rsid w:val="00FC5A64"/>
    <w:rsid w:val="00FC65B6"/>
    <w:rsid w:val="00FD5A04"/>
    <w:rsid w:val="00FD69BF"/>
    <w:rsid w:val="00FE1C7F"/>
    <w:rsid w:val="00FE7A43"/>
    <w:rsid w:val="00FF0AD5"/>
    <w:rsid w:val="00FF127A"/>
    <w:rsid w:val="00FF3850"/>
    <w:rsid w:val="00FF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BB"/>
    <w:rPr>
      <w:sz w:val="24"/>
      <w:szCs w:val="24"/>
    </w:rPr>
  </w:style>
  <w:style w:type="paragraph" w:styleId="Heading1">
    <w:name w:val="heading 1"/>
    <w:basedOn w:val="Normal"/>
    <w:next w:val="Normal"/>
    <w:link w:val="Heading1Char"/>
    <w:uiPriority w:val="99"/>
    <w:qFormat/>
    <w:rsid w:val="006536BB"/>
    <w:pPr>
      <w:keepNext/>
      <w:tabs>
        <w:tab w:val="left" w:pos="-720"/>
      </w:tabs>
      <w:suppressAutoHyphens/>
      <w:spacing w:line="227" w:lineRule="auto"/>
      <w:jc w:val="center"/>
      <w:outlineLvl w:val="0"/>
    </w:pPr>
    <w:rPr>
      <w:b/>
      <w:sz w:val="22"/>
    </w:rPr>
  </w:style>
  <w:style w:type="paragraph" w:styleId="Heading2">
    <w:name w:val="heading 2"/>
    <w:basedOn w:val="Normal"/>
    <w:next w:val="Normal"/>
    <w:link w:val="Heading2Char"/>
    <w:uiPriority w:val="99"/>
    <w:qFormat/>
    <w:rsid w:val="006536B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6536B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semiHidden/>
    <w:rsid w:val="006536BB"/>
    <w:pPr>
      <w:tabs>
        <w:tab w:val="left" w:pos="720"/>
      </w:tabs>
      <w:suppressAutoHyphens/>
      <w:spacing w:after="200"/>
      <w:ind w:firstLine="360"/>
      <w:jc w:val="both"/>
    </w:pPr>
    <w:rPr>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f Ch"/>
    <w:basedOn w:val="DefaultParagraphFont"/>
    <w:locked/>
    <w:rsid w:val="006536BB"/>
    <w:rPr>
      <w:rFonts w:cs="Times New Roman"/>
      <w:sz w:val="24"/>
      <w:lang w:val="en-US" w:eastAsia="en-US"/>
    </w:rPr>
  </w:style>
  <w:style w:type="character" w:styleId="FootnoteReference">
    <w:name w:val="footnote reference"/>
    <w:aliases w:val="Style 4,Style 12,(NECG) Footnote Reference,Appel note de bas de p,Style 124,Style 13,o,fr,Style 3,FR,Style 17,Footnote Reference/,Style 6"/>
    <w:basedOn w:val="DefaultParagraphFont"/>
    <w:semiHidden/>
    <w:rsid w:val="006536BB"/>
    <w:rPr>
      <w:rFonts w:cs="Times New Roman"/>
      <w:sz w:val="20"/>
      <w:vertAlign w:val="superscript"/>
    </w:rPr>
  </w:style>
  <w:style w:type="paragraph" w:styleId="Header">
    <w:name w:val="header"/>
    <w:basedOn w:val="Normal"/>
    <w:link w:val="HeaderChar"/>
    <w:uiPriority w:val="99"/>
    <w:rsid w:val="006536BB"/>
    <w:pPr>
      <w:tabs>
        <w:tab w:val="center" w:pos="4320"/>
        <w:tab w:val="right" w:pos="8640"/>
      </w:tabs>
    </w:pPr>
    <w:rPr>
      <w:sz w:val="22"/>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536BB"/>
    <w:pPr>
      <w:tabs>
        <w:tab w:val="center" w:pos="4320"/>
        <w:tab w:val="right" w:pos="8640"/>
      </w:tabs>
    </w:pPr>
    <w:rPr>
      <w:sz w:val="22"/>
    </w:r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536BB"/>
    <w:rPr>
      <w:rFonts w:cs="Times New Roman"/>
    </w:rPr>
  </w:style>
  <w:style w:type="paragraph" w:customStyle="1" w:styleId="Paranum0">
    <w:name w:val="Paranum"/>
    <w:uiPriority w:val="99"/>
    <w:rsid w:val="006536BB"/>
    <w:pPr>
      <w:numPr>
        <w:numId w:val="1"/>
      </w:numPr>
      <w:tabs>
        <w:tab w:val="left" w:pos="1440"/>
      </w:tabs>
      <w:spacing w:after="240"/>
      <w:jc w:val="both"/>
    </w:pPr>
    <w:rPr>
      <w:szCs w:val="20"/>
    </w:rPr>
  </w:style>
  <w:style w:type="paragraph" w:customStyle="1" w:styleId="par1">
    <w:name w:val="par1"/>
    <w:basedOn w:val="Normal"/>
    <w:link w:val="par1Char"/>
    <w:uiPriority w:val="99"/>
    <w:rsid w:val="006536BB"/>
    <w:pPr>
      <w:numPr>
        <w:numId w:val="2"/>
      </w:numPr>
    </w:pPr>
    <w:rPr>
      <w:sz w:val="22"/>
      <w:szCs w:val="20"/>
    </w:rPr>
  </w:style>
  <w:style w:type="paragraph" w:customStyle="1" w:styleId="ParaNum">
    <w:name w:val="ParaNum"/>
    <w:basedOn w:val="Normal"/>
    <w:link w:val="ParaNumChar"/>
    <w:uiPriority w:val="99"/>
    <w:rsid w:val="006536BB"/>
    <w:pPr>
      <w:widowControl w:val="0"/>
      <w:numPr>
        <w:numId w:val="3"/>
      </w:numPr>
      <w:spacing w:after="120"/>
    </w:pPr>
    <w:rPr>
      <w:kern w:val="28"/>
      <w:sz w:val="22"/>
      <w:szCs w:val="20"/>
    </w:rPr>
  </w:style>
  <w:style w:type="paragraph" w:styleId="BodyText">
    <w:name w:val="Body Text"/>
    <w:basedOn w:val="Normal"/>
    <w:link w:val="BodyTextChar"/>
    <w:uiPriority w:val="99"/>
    <w:rsid w:val="006536BB"/>
    <w:rPr>
      <w:b/>
      <w:szCs w:val="20"/>
      <w:u w:val="single"/>
    </w:rPr>
  </w:style>
  <w:style w:type="character" w:customStyle="1" w:styleId="BodyTextChar">
    <w:name w:val="Body Text Char"/>
    <w:basedOn w:val="DefaultParagraphFont"/>
    <w:link w:val="BodyText"/>
    <w:uiPriority w:val="99"/>
    <w:semiHidden/>
    <w:locked/>
    <w:rsid w:val="006536BB"/>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6536BB"/>
    <w:rPr>
      <w:lang w:val="en-US" w:eastAsia="en-US"/>
    </w:rPr>
  </w:style>
  <w:style w:type="character" w:customStyle="1" w:styleId="ParanumChar0">
    <w:name w:val="Paranum Char"/>
    <w:uiPriority w:val="99"/>
    <w:rsid w:val="006536BB"/>
    <w:rPr>
      <w:sz w:val="22"/>
      <w:lang w:val="en-US" w:eastAsia="en-US"/>
    </w:rPr>
  </w:style>
  <w:style w:type="paragraph" w:styleId="HTMLPreformatted">
    <w:name w:val="HTML Preformatted"/>
    <w:basedOn w:val="Normal"/>
    <w:link w:val="HTMLPreformattedChar"/>
    <w:uiPriority w:val="99"/>
    <w:rsid w:val="0065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CommentReference">
    <w:name w:val="annotation reference"/>
    <w:basedOn w:val="DefaultParagraphFont"/>
    <w:uiPriority w:val="99"/>
    <w:semiHidden/>
    <w:rsid w:val="006536BB"/>
    <w:rPr>
      <w:rFonts w:cs="Times New Roman"/>
      <w:sz w:val="16"/>
    </w:rPr>
  </w:style>
  <w:style w:type="paragraph" w:styleId="CommentText">
    <w:name w:val="annotation text"/>
    <w:basedOn w:val="Normal"/>
    <w:link w:val="CommentTextChar"/>
    <w:uiPriority w:val="99"/>
    <w:semiHidden/>
    <w:rsid w:val="006536B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536BB"/>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6536BB"/>
    <w:rPr>
      <w:sz w:val="24"/>
      <w:lang w:val="en-US" w:eastAsia="en-US"/>
    </w:rPr>
  </w:style>
  <w:style w:type="character" w:customStyle="1" w:styleId="documentbody1">
    <w:name w:val="documentbody1"/>
    <w:uiPriority w:val="99"/>
    <w:rsid w:val="006536BB"/>
    <w:rPr>
      <w:rFonts w:ascii="Verdana" w:hAnsi="Verdana"/>
      <w:sz w:val="19"/>
      <w:shd w:val="clear" w:color="auto" w:fill="FFFFFF"/>
    </w:rPr>
  </w:style>
  <w:style w:type="character" w:customStyle="1" w:styleId="bestsection1">
    <w:name w:val="bestsection1"/>
    <w:uiPriority w:val="99"/>
    <w:rsid w:val="006536BB"/>
    <w:rPr>
      <w:color w:val="FF0000"/>
    </w:rPr>
  </w:style>
  <w:style w:type="character" w:styleId="Hyperlink">
    <w:name w:val="Hyperlink"/>
    <w:basedOn w:val="DefaultParagraphFont"/>
    <w:uiPriority w:val="99"/>
    <w:rsid w:val="006536BB"/>
    <w:rPr>
      <w:rFonts w:cs="Times New Roman"/>
      <w:color w:val="0000FF"/>
      <w:u w:val="single"/>
    </w:rPr>
  </w:style>
  <w:style w:type="character" w:styleId="Strong">
    <w:name w:val="Strong"/>
    <w:basedOn w:val="DefaultParagraphFont"/>
    <w:uiPriority w:val="99"/>
    <w:qFormat/>
    <w:rsid w:val="006536BB"/>
    <w:rPr>
      <w:rFonts w:cs="Times New Roman"/>
      <w:b/>
    </w:rPr>
  </w:style>
  <w:style w:type="paragraph" w:styleId="ListParagraph">
    <w:name w:val="List Paragraph"/>
    <w:basedOn w:val="Normal"/>
    <w:uiPriority w:val="99"/>
    <w:qFormat/>
    <w:rsid w:val="006536BB"/>
    <w:pPr>
      <w:ind w:left="720"/>
    </w:pPr>
  </w:style>
  <w:style w:type="character" w:customStyle="1" w:styleId="bold1">
    <w:name w:val="bold1"/>
    <w:uiPriority w:val="99"/>
    <w:rsid w:val="006536BB"/>
    <w:rPr>
      <w:b/>
    </w:rPr>
  </w:style>
  <w:style w:type="character" w:customStyle="1" w:styleId="underline">
    <w:name w:val="underline"/>
    <w:basedOn w:val="DefaultParagraphFont"/>
    <w:uiPriority w:val="99"/>
    <w:rsid w:val="006536BB"/>
    <w:rPr>
      <w:rFonts w:cs="Times New Roman"/>
    </w:rPr>
  </w:style>
  <w:style w:type="paragraph" w:customStyle="1" w:styleId="Heading1A">
    <w:name w:val="Heading 1 A"/>
    <w:next w:val="Normal"/>
    <w:uiPriority w:val="99"/>
    <w:rsid w:val="006536BB"/>
    <w:pPr>
      <w:keepNext/>
      <w:suppressAutoHyphens/>
      <w:spacing w:after="120"/>
      <w:outlineLvl w:val="0"/>
    </w:pPr>
    <w:rPr>
      <w:rFonts w:ascii="Times New Roman Bold" w:hAnsi="Times New Roman Bold"/>
      <w:caps/>
      <w:color w:val="000000"/>
      <w:sz w:val="24"/>
      <w:szCs w:val="20"/>
    </w:rPr>
  </w:style>
  <w:style w:type="character" w:customStyle="1" w:styleId="par1Char">
    <w:name w:val="par1 Char"/>
    <w:link w:val="par1"/>
    <w:uiPriority w:val="99"/>
    <w:locked/>
    <w:rsid w:val="006536BB"/>
    <w:rPr>
      <w:szCs w:val="20"/>
    </w:rPr>
  </w:style>
  <w:style w:type="paragraph" w:styleId="Revision">
    <w:name w:val="Revision"/>
    <w:hidden/>
    <w:uiPriority w:val="99"/>
    <w:semiHidden/>
    <w:rsid w:val="006536BB"/>
    <w:rPr>
      <w:sz w:val="24"/>
      <w:szCs w:val="24"/>
    </w:rPr>
  </w:style>
  <w:style w:type="character" w:customStyle="1" w:styleId="ParaNumChar">
    <w:name w:val="ParaNum Char"/>
    <w:link w:val="ParaNum"/>
    <w:uiPriority w:val="99"/>
    <w:locked/>
    <w:rsid w:val="006536BB"/>
    <w:rPr>
      <w:kern w:val="28"/>
      <w:szCs w:val="20"/>
    </w:rPr>
  </w:style>
  <w:style w:type="character" w:customStyle="1" w:styleId="documentbody">
    <w:name w:val="documentbody"/>
    <w:basedOn w:val="DefaultParagraphFont"/>
    <w:rsid w:val="006C53A0"/>
    <w:rPr>
      <w:rFonts w:cs="Times New Roman"/>
    </w:rPr>
  </w:style>
  <w:style w:type="character" w:customStyle="1" w:styleId="searchterm">
    <w:name w:val="searchterm"/>
    <w:rsid w:val="000C6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BB"/>
    <w:rPr>
      <w:sz w:val="24"/>
      <w:szCs w:val="24"/>
    </w:rPr>
  </w:style>
  <w:style w:type="paragraph" w:styleId="Heading1">
    <w:name w:val="heading 1"/>
    <w:basedOn w:val="Normal"/>
    <w:next w:val="Normal"/>
    <w:link w:val="Heading1Char"/>
    <w:uiPriority w:val="99"/>
    <w:qFormat/>
    <w:rsid w:val="006536BB"/>
    <w:pPr>
      <w:keepNext/>
      <w:tabs>
        <w:tab w:val="left" w:pos="-720"/>
      </w:tabs>
      <w:suppressAutoHyphens/>
      <w:spacing w:line="227" w:lineRule="auto"/>
      <w:jc w:val="center"/>
      <w:outlineLvl w:val="0"/>
    </w:pPr>
    <w:rPr>
      <w:b/>
      <w:sz w:val="22"/>
    </w:rPr>
  </w:style>
  <w:style w:type="paragraph" w:styleId="Heading2">
    <w:name w:val="heading 2"/>
    <w:basedOn w:val="Normal"/>
    <w:next w:val="Normal"/>
    <w:link w:val="Heading2Char"/>
    <w:uiPriority w:val="99"/>
    <w:qFormat/>
    <w:rsid w:val="006536B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6536B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semiHidden/>
    <w:rsid w:val="006536BB"/>
    <w:pPr>
      <w:tabs>
        <w:tab w:val="left" w:pos="720"/>
      </w:tabs>
      <w:suppressAutoHyphens/>
      <w:spacing w:after="200"/>
      <w:ind w:firstLine="360"/>
      <w:jc w:val="both"/>
    </w:pPr>
    <w:rPr>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f Ch"/>
    <w:basedOn w:val="DefaultParagraphFont"/>
    <w:locked/>
    <w:rsid w:val="006536BB"/>
    <w:rPr>
      <w:rFonts w:cs="Times New Roman"/>
      <w:sz w:val="24"/>
      <w:lang w:val="en-US" w:eastAsia="en-US"/>
    </w:rPr>
  </w:style>
  <w:style w:type="character" w:styleId="FootnoteReference">
    <w:name w:val="footnote reference"/>
    <w:aliases w:val="Style 4,Style 12,(NECG) Footnote Reference,Appel note de bas de p,Style 124,Style 13,o,fr,Style 3,FR,Style 17,Footnote Reference/,Style 6"/>
    <w:basedOn w:val="DefaultParagraphFont"/>
    <w:semiHidden/>
    <w:rsid w:val="006536BB"/>
    <w:rPr>
      <w:rFonts w:cs="Times New Roman"/>
      <w:sz w:val="20"/>
      <w:vertAlign w:val="superscript"/>
    </w:rPr>
  </w:style>
  <w:style w:type="paragraph" w:styleId="Header">
    <w:name w:val="header"/>
    <w:basedOn w:val="Normal"/>
    <w:link w:val="HeaderChar"/>
    <w:uiPriority w:val="99"/>
    <w:rsid w:val="006536BB"/>
    <w:pPr>
      <w:tabs>
        <w:tab w:val="center" w:pos="4320"/>
        <w:tab w:val="right" w:pos="8640"/>
      </w:tabs>
    </w:pPr>
    <w:rPr>
      <w:sz w:val="22"/>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536BB"/>
    <w:pPr>
      <w:tabs>
        <w:tab w:val="center" w:pos="4320"/>
        <w:tab w:val="right" w:pos="8640"/>
      </w:tabs>
    </w:pPr>
    <w:rPr>
      <w:sz w:val="22"/>
    </w:r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536BB"/>
    <w:rPr>
      <w:rFonts w:cs="Times New Roman"/>
    </w:rPr>
  </w:style>
  <w:style w:type="paragraph" w:customStyle="1" w:styleId="Paranum0">
    <w:name w:val="Paranum"/>
    <w:uiPriority w:val="99"/>
    <w:rsid w:val="006536BB"/>
    <w:pPr>
      <w:numPr>
        <w:numId w:val="1"/>
      </w:numPr>
      <w:tabs>
        <w:tab w:val="left" w:pos="1440"/>
      </w:tabs>
      <w:spacing w:after="240"/>
      <w:jc w:val="both"/>
    </w:pPr>
    <w:rPr>
      <w:szCs w:val="20"/>
    </w:rPr>
  </w:style>
  <w:style w:type="paragraph" w:customStyle="1" w:styleId="par1">
    <w:name w:val="par1"/>
    <w:basedOn w:val="Normal"/>
    <w:link w:val="par1Char"/>
    <w:uiPriority w:val="99"/>
    <w:rsid w:val="006536BB"/>
    <w:pPr>
      <w:numPr>
        <w:numId w:val="2"/>
      </w:numPr>
    </w:pPr>
    <w:rPr>
      <w:sz w:val="22"/>
      <w:szCs w:val="20"/>
    </w:rPr>
  </w:style>
  <w:style w:type="paragraph" w:customStyle="1" w:styleId="ParaNum">
    <w:name w:val="ParaNum"/>
    <w:basedOn w:val="Normal"/>
    <w:link w:val="ParaNumChar"/>
    <w:uiPriority w:val="99"/>
    <w:rsid w:val="006536BB"/>
    <w:pPr>
      <w:widowControl w:val="0"/>
      <w:numPr>
        <w:numId w:val="3"/>
      </w:numPr>
      <w:spacing w:after="120"/>
    </w:pPr>
    <w:rPr>
      <w:kern w:val="28"/>
      <w:sz w:val="22"/>
      <w:szCs w:val="20"/>
    </w:rPr>
  </w:style>
  <w:style w:type="paragraph" w:styleId="BodyText">
    <w:name w:val="Body Text"/>
    <w:basedOn w:val="Normal"/>
    <w:link w:val="BodyTextChar"/>
    <w:uiPriority w:val="99"/>
    <w:rsid w:val="006536BB"/>
    <w:rPr>
      <w:b/>
      <w:szCs w:val="20"/>
      <w:u w:val="single"/>
    </w:rPr>
  </w:style>
  <w:style w:type="character" w:customStyle="1" w:styleId="BodyTextChar">
    <w:name w:val="Body Text Char"/>
    <w:basedOn w:val="DefaultParagraphFont"/>
    <w:link w:val="BodyText"/>
    <w:uiPriority w:val="99"/>
    <w:semiHidden/>
    <w:locked/>
    <w:rsid w:val="006536BB"/>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6536BB"/>
    <w:rPr>
      <w:lang w:val="en-US" w:eastAsia="en-US"/>
    </w:rPr>
  </w:style>
  <w:style w:type="character" w:customStyle="1" w:styleId="ParanumChar0">
    <w:name w:val="Paranum Char"/>
    <w:uiPriority w:val="99"/>
    <w:rsid w:val="006536BB"/>
    <w:rPr>
      <w:sz w:val="22"/>
      <w:lang w:val="en-US" w:eastAsia="en-US"/>
    </w:rPr>
  </w:style>
  <w:style w:type="paragraph" w:styleId="HTMLPreformatted">
    <w:name w:val="HTML Preformatted"/>
    <w:basedOn w:val="Normal"/>
    <w:link w:val="HTMLPreformattedChar"/>
    <w:uiPriority w:val="99"/>
    <w:rsid w:val="0065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CommentReference">
    <w:name w:val="annotation reference"/>
    <w:basedOn w:val="DefaultParagraphFont"/>
    <w:uiPriority w:val="99"/>
    <w:semiHidden/>
    <w:rsid w:val="006536BB"/>
    <w:rPr>
      <w:rFonts w:cs="Times New Roman"/>
      <w:sz w:val="16"/>
    </w:rPr>
  </w:style>
  <w:style w:type="paragraph" w:styleId="CommentText">
    <w:name w:val="annotation text"/>
    <w:basedOn w:val="Normal"/>
    <w:link w:val="CommentTextChar"/>
    <w:uiPriority w:val="99"/>
    <w:semiHidden/>
    <w:rsid w:val="006536B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536BB"/>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6536BB"/>
    <w:rPr>
      <w:sz w:val="24"/>
      <w:lang w:val="en-US" w:eastAsia="en-US"/>
    </w:rPr>
  </w:style>
  <w:style w:type="character" w:customStyle="1" w:styleId="documentbody1">
    <w:name w:val="documentbody1"/>
    <w:uiPriority w:val="99"/>
    <w:rsid w:val="006536BB"/>
    <w:rPr>
      <w:rFonts w:ascii="Verdana" w:hAnsi="Verdana"/>
      <w:sz w:val="19"/>
      <w:shd w:val="clear" w:color="auto" w:fill="FFFFFF"/>
    </w:rPr>
  </w:style>
  <w:style w:type="character" w:customStyle="1" w:styleId="bestsection1">
    <w:name w:val="bestsection1"/>
    <w:uiPriority w:val="99"/>
    <w:rsid w:val="006536BB"/>
    <w:rPr>
      <w:color w:val="FF0000"/>
    </w:rPr>
  </w:style>
  <w:style w:type="character" w:styleId="Hyperlink">
    <w:name w:val="Hyperlink"/>
    <w:basedOn w:val="DefaultParagraphFont"/>
    <w:uiPriority w:val="99"/>
    <w:rsid w:val="006536BB"/>
    <w:rPr>
      <w:rFonts w:cs="Times New Roman"/>
      <w:color w:val="0000FF"/>
      <w:u w:val="single"/>
    </w:rPr>
  </w:style>
  <w:style w:type="character" w:styleId="Strong">
    <w:name w:val="Strong"/>
    <w:basedOn w:val="DefaultParagraphFont"/>
    <w:uiPriority w:val="99"/>
    <w:qFormat/>
    <w:rsid w:val="006536BB"/>
    <w:rPr>
      <w:rFonts w:cs="Times New Roman"/>
      <w:b/>
    </w:rPr>
  </w:style>
  <w:style w:type="paragraph" w:styleId="ListParagraph">
    <w:name w:val="List Paragraph"/>
    <w:basedOn w:val="Normal"/>
    <w:uiPriority w:val="99"/>
    <w:qFormat/>
    <w:rsid w:val="006536BB"/>
    <w:pPr>
      <w:ind w:left="720"/>
    </w:pPr>
  </w:style>
  <w:style w:type="character" w:customStyle="1" w:styleId="bold1">
    <w:name w:val="bold1"/>
    <w:uiPriority w:val="99"/>
    <w:rsid w:val="006536BB"/>
    <w:rPr>
      <w:b/>
    </w:rPr>
  </w:style>
  <w:style w:type="character" w:customStyle="1" w:styleId="underline">
    <w:name w:val="underline"/>
    <w:basedOn w:val="DefaultParagraphFont"/>
    <w:uiPriority w:val="99"/>
    <w:rsid w:val="006536BB"/>
    <w:rPr>
      <w:rFonts w:cs="Times New Roman"/>
    </w:rPr>
  </w:style>
  <w:style w:type="paragraph" w:customStyle="1" w:styleId="Heading1A">
    <w:name w:val="Heading 1 A"/>
    <w:next w:val="Normal"/>
    <w:uiPriority w:val="99"/>
    <w:rsid w:val="006536BB"/>
    <w:pPr>
      <w:keepNext/>
      <w:suppressAutoHyphens/>
      <w:spacing w:after="120"/>
      <w:outlineLvl w:val="0"/>
    </w:pPr>
    <w:rPr>
      <w:rFonts w:ascii="Times New Roman Bold" w:hAnsi="Times New Roman Bold"/>
      <w:caps/>
      <w:color w:val="000000"/>
      <w:sz w:val="24"/>
      <w:szCs w:val="20"/>
    </w:rPr>
  </w:style>
  <w:style w:type="character" w:customStyle="1" w:styleId="par1Char">
    <w:name w:val="par1 Char"/>
    <w:link w:val="par1"/>
    <w:uiPriority w:val="99"/>
    <w:locked/>
    <w:rsid w:val="006536BB"/>
    <w:rPr>
      <w:szCs w:val="20"/>
    </w:rPr>
  </w:style>
  <w:style w:type="paragraph" w:styleId="Revision">
    <w:name w:val="Revision"/>
    <w:hidden/>
    <w:uiPriority w:val="99"/>
    <w:semiHidden/>
    <w:rsid w:val="006536BB"/>
    <w:rPr>
      <w:sz w:val="24"/>
      <w:szCs w:val="24"/>
    </w:rPr>
  </w:style>
  <w:style w:type="character" w:customStyle="1" w:styleId="ParaNumChar">
    <w:name w:val="ParaNum Char"/>
    <w:link w:val="ParaNum"/>
    <w:uiPriority w:val="99"/>
    <w:locked/>
    <w:rsid w:val="006536BB"/>
    <w:rPr>
      <w:kern w:val="28"/>
      <w:szCs w:val="20"/>
    </w:rPr>
  </w:style>
  <w:style w:type="character" w:customStyle="1" w:styleId="documentbody">
    <w:name w:val="documentbody"/>
    <w:basedOn w:val="DefaultParagraphFont"/>
    <w:rsid w:val="006C53A0"/>
    <w:rPr>
      <w:rFonts w:cs="Times New Roman"/>
    </w:rPr>
  </w:style>
  <w:style w:type="character" w:customStyle="1" w:styleId="searchterm">
    <w:name w:val="searchterm"/>
    <w:rsid w:val="000C6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282">
      <w:marLeft w:val="0"/>
      <w:marRight w:val="0"/>
      <w:marTop w:val="0"/>
      <w:marBottom w:val="0"/>
      <w:divBdr>
        <w:top w:val="none" w:sz="0" w:space="0" w:color="auto"/>
        <w:left w:val="none" w:sz="0" w:space="0" w:color="auto"/>
        <w:bottom w:val="none" w:sz="0" w:space="0" w:color="auto"/>
        <w:right w:val="none" w:sz="0" w:space="0" w:color="auto"/>
      </w:divBdr>
    </w:div>
    <w:div w:id="267660283">
      <w:marLeft w:val="0"/>
      <w:marRight w:val="0"/>
      <w:marTop w:val="0"/>
      <w:marBottom w:val="0"/>
      <w:divBdr>
        <w:top w:val="none" w:sz="0" w:space="0" w:color="auto"/>
        <w:left w:val="none" w:sz="0" w:space="0" w:color="auto"/>
        <w:bottom w:val="none" w:sz="0" w:space="0" w:color="auto"/>
        <w:right w:val="none" w:sz="0" w:space="0" w:color="auto"/>
      </w:divBdr>
    </w:div>
    <w:div w:id="267660284">
      <w:marLeft w:val="0"/>
      <w:marRight w:val="0"/>
      <w:marTop w:val="0"/>
      <w:marBottom w:val="0"/>
      <w:divBdr>
        <w:top w:val="none" w:sz="0" w:space="0" w:color="auto"/>
        <w:left w:val="none" w:sz="0" w:space="0" w:color="auto"/>
        <w:bottom w:val="none" w:sz="0" w:space="0" w:color="auto"/>
        <w:right w:val="none" w:sz="0" w:space="0" w:color="auto"/>
      </w:divBdr>
    </w:div>
    <w:div w:id="267660285">
      <w:marLeft w:val="0"/>
      <w:marRight w:val="0"/>
      <w:marTop w:val="0"/>
      <w:marBottom w:val="0"/>
      <w:divBdr>
        <w:top w:val="none" w:sz="0" w:space="0" w:color="auto"/>
        <w:left w:val="none" w:sz="0" w:space="0" w:color="auto"/>
        <w:bottom w:val="none" w:sz="0" w:space="0" w:color="auto"/>
        <w:right w:val="none" w:sz="0" w:space="0" w:color="auto"/>
      </w:divBdr>
    </w:div>
    <w:div w:id="267660286">
      <w:marLeft w:val="0"/>
      <w:marRight w:val="0"/>
      <w:marTop w:val="0"/>
      <w:marBottom w:val="0"/>
      <w:divBdr>
        <w:top w:val="none" w:sz="0" w:space="0" w:color="auto"/>
        <w:left w:val="none" w:sz="0" w:space="0" w:color="auto"/>
        <w:bottom w:val="none" w:sz="0" w:space="0" w:color="auto"/>
        <w:right w:val="none" w:sz="0" w:space="0" w:color="auto"/>
      </w:divBdr>
    </w:div>
    <w:div w:id="267660287">
      <w:marLeft w:val="0"/>
      <w:marRight w:val="0"/>
      <w:marTop w:val="0"/>
      <w:marBottom w:val="0"/>
      <w:divBdr>
        <w:top w:val="none" w:sz="0" w:space="0" w:color="auto"/>
        <w:left w:val="none" w:sz="0" w:space="0" w:color="auto"/>
        <w:bottom w:val="none" w:sz="0" w:space="0" w:color="auto"/>
        <w:right w:val="none" w:sz="0" w:space="0" w:color="auto"/>
      </w:divBdr>
    </w:div>
    <w:div w:id="267660288">
      <w:marLeft w:val="0"/>
      <w:marRight w:val="0"/>
      <w:marTop w:val="0"/>
      <w:marBottom w:val="0"/>
      <w:divBdr>
        <w:top w:val="none" w:sz="0" w:space="0" w:color="auto"/>
        <w:left w:val="none" w:sz="0" w:space="0" w:color="auto"/>
        <w:bottom w:val="none" w:sz="0" w:space="0" w:color="auto"/>
        <w:right w:val="none" w:sz="0" w:space="0" w:color="auto"/>
      </w:divBdr>
    </w:div>
    <w:div w:id="267660289">
      <w:marLeft w:val="0"/>
      <w:marRight w:val="0"/>
      <w:marTop w:val="0"/>
      <w:marBottom w:val="0"/>
      <w:divBdr>
        <w:top w:val="none" w:sz="0" w:space="0" w:color="auto"/>
        <w:left w:val="none" w:sz="0" w:space="0" w:color="auto"/>
        <w:bottom w:val="none" w:sz="0" w:space="0" w:color="auto"/>
        <w:right w:val="none" w:sz="0" w:space="0" w:color="auto"/>
      </w:divBdr>
    </w:div>
    <w:div w:id="267660290">
      <w:marLeft w:val="0"/>
      <w:marRight w:val="0"/>
      <w:marTop w:val="0"/>
      <w:marBottom w:val="0"/>
      <w:divBdr>
        <w:top w:val="none" w:sz="0" w:space="0" w:color="auto"/>
        <w:left w:val="none" w:sz="0" w:space="0" w:color="auto"/>
        <w:bottom w:val="none" w:sz="0" w:space="0" w:color="auto"/>
        <w:right w:val="none" w:sz="0" w:space="0" w:color="auto"/>
      </w:divBdr>
    </w:div>
    <w:div w:id="267660291">
      <w:marLeft w:val="0"/>
      <w:marRight w:val="0"/>
      <w:marTop w:val="0"/>
      <w:marBottom w:val="0"/>
      <w:divBdr>
        <w:top w:val="none" w:sz="0" w:space="0" w:color="auto"/>
        <w:left w:val="none" w:sz="0" w:space="0" w:color="auto"/>
        <w:bottom w:val="none" w:sz="0" w:space="0" w:color="auto"/>
        <w:right w:val="none" w:sz="0" w:space="0" w:color="auto"/>
      </w:divBdr>
    </w:div>
    <w:div w:id="267660292">
      <w:marLeft w:val="0"/>
      <w:marRight w:val="0"/>
      <w:marTop w:val="0"/>
      <w:marBottom w:val="0"/>
      <w:divBdr>
        <w:top w:val="none" w:sz="0" w:space="0" w:color="auto"/>
        <w:left w:val="none" w:sz="0" w:space="0" w:color="auto"/>
        <w:bottom w:val="none" w:sz="0" w:space="0" w:color="auto"/>
        <w:right w:val="none" w:sz="0" w:space="0" w:color="auto"/>
      </w:divBdr>
    </w:div>
    <w:div w:id="267660294">
      <w:marLeft w:val="0"/>
      <w:marRight w:val="0"/>
      <w:marTop w:val="0"/>
      <w:marBottom w:val="0"/>
      <w:divBdr>
        <w:top w:val="none" w:sz="0" w:space="0" w:color="auto"/>
        <w:left w:val="none" w:sz="0" w:space="0" w:color="auto"/>
        <w:bottom w:val="none" w:sz="0" w:space="0" w:color="auto"/>
        <w:right w:val="none" w:sz="0" w:space="0" w:color="auto"/>
      </w:divBdr>
      <w:divsChild>
        <w:div w:id="267660293">
          <w:marLeft w:val="0"/>
          <w:marRight w:val="0"/>
          <w:marTop w:val="0"/>
          <w:marBottom w:val="0"/>
          <w:divBdr>
            <w:top w:val="none" w:sz="0" w:space="0" w:color="auto"/>
            <w:left w:val="none" w:sz="0" w:space="0" w:color="auto"/>
            <w:bottom w:val="none" w:sz="0" w:space="0" w:color="auto"/>
            <w:right w:val="none" w:sz="0" w:space="0" w:color="auto"/>
          </w:divBdr>
        </w:div>
      </w:divsChild>
    </w:div>
    <w:div w:id="2676602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3881</Words>
  <Characters>21915</Characters>
  <Application>Microsoft Office Word</Application>
  <DocSecurity>0</DocSecurity>
  <Lines>436</Lines>
  <Paragraphs>114</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25838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2013-03-19T16:39:00Z</cp:lastPrinted>
  <dcterms:created xsi:type="dcterms:W3CDTF">2013-05-06T16:05:00Z</dcterms:created>
  <dcterms:modified xsi:type="dcterms:W3CDTF">2013-05-06T16:05:00Z</dcterms:modified>
  <cp:category> </cp:category>
  <cp:contentStatus> </cp:contentStatus>
</cp:coreProperties>
</file>