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43" w:rsidRDefault="00B53643">
      <w:bookmarkStart w:id="0" w:name="_GoBack"/>
      <w:bookmarkEnd w:id="0"/>
    </w:p>
    <w:p w:rsidR="00984121" w:rsidRPr="00222273" w:rsidRDefault="00222273" w:rsidP="00F77463">
      <w:pPr>
        <w:jc w:val="center"/>
        <w:rPr>
          <w:sz w:val="22"/>
          <w:szCs w:val="22"/>
        </w:rPr>
      </w:pPr>
      <w:r w:rsidRPr="00222273">
        <w:rPr>
          <w:sz w:val="22"/>
          <w:szCs w:val="22"/>
        </w:rPr>
        <w:t>April 19</w:t>
      </w:r>
      <w:r w:rsidR="00F77463" w:rsidRPr="00222273">
        <w:rPr>
          <w:sz w:val="22"/>
          <w:szCs w:val="22"/>
        </w:rPr>
        <w:t>, 2013</w:t>
      </w:r>
    </w:p>
    <w:p w:rsidR="002D3D21" w:rsidRDefault="00094B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 13-794</w:t>
      </w:r>
    </w:p>
    <w:p w:rsidR="00094B5C" w:rsidRDefault="00094B5C"/>
    <w:p w:rsidR="00984121" w:rsidRDefault="00984121"/>
    <w:p w:rsidR="00984121" w:rsidRPr="00B35E84" w:rsidRDefault="0050197B">
      <w:pPr>
        <w:rPr>
          <w:sz w:val="22"/>
          <w:szCs w:val="22"/>
        </w:rPr>
      </w:pPr>
      <w:r>
        <w:rPr>
          <w:sz w:val="22"/>
          <w:szCs w:val="22"/>
        </w:rPr>
        <w:t>Bryan Brewer, Sr.</w:t>
      </w:r>
    </w:p>
    <w:p w:rsidR="00984121" w:rsidRPr="00B35E84" w:rsidRDefault="00984121">
      <w:pPr>
        <w:rPr>
          <w:sz w:val="22"/>
          <w:szCs w:val="22"/>
        </w:rPr>
      </w:pPr>
      <w:r w:rsidRPr="00B35E84">
        <w:rPr>
          <w:sz w:val="22"/>
          <w:szCs w:val="22"/>
        </w:rPr>
        <w:t>President of the Oglala Sioux Tribe</w:t>
      </w:r>
    </w:p>
    <w:p w:rsidR="00984121" w:rsidRPr="00B35E84" w:rsidRDefault="00984121">
      <w:pPr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B35E84">
            <w:rPr>
              <w:sz w:val="22"/>
              <w:szCs w:val="22"/>
            </w:rPr>
            <w:t>P.O. Box</w:t>
          </w:r>
        </w:smartTag>
        <w:r w:rsidRPr="00B35E84">
          <w:rPr>
            <w:sz w:val="22"/>
            <w:szCs w:val="22"/>
          </w:rPr>
          <w:t xml:space="preserve"> </w:t>
        </w:r>
        <w:r w:rsidR="00CA5104" w:rsidRPr="00B35E84">
          <w:rPr>
            <w:sz w:val="22"/>
            <w:szCs w:val="22"/>
          </w:rPr>
          <w:t>2070</w:t>
        </w:r>
      </w:smartTag>
    </w:p>
    <w:p w:rsidR="00CA5104" w:rsidRPr="001A5DC6" w:rsidRDefault="009D71CA">
      <w:pPr>
        <w:rPr>
          <w:sz w:val="22"/>
          <w:szCs w:val="22"/>
        </w:rPr>
      </w:pPr>
      <w:r w:rsidRPr="001A5DC6">
        <w:rPr>
          <w:sz w:val="22"/>
          <w:szCs w:val="22"/>
        </w:rPr>
        <w:t>Pine Ridge, S</w:t>
      </w:r>
      <w:r w:rsidR="009E168A">
        <w:rPr>
          <w:sz w:val="22"/>
          <w:szCs w:val="22"/>
        </w:rPr>
        <w:t>.</w:t>
      </w:r>
      <w:r w:rsidRPr="001A5DC6">
        <w:rPr>
          <w:sz w:val="22"/>
          <w:szCs w:val="22"/>
        </w:rPr>
        <w:t>D</w:t>
      </w:r>
      <w:r w:rsidR="009E168A">
        <w:rPr>
          <w:sz w:val="22"/>
          <w:szCs w:val="22"/>
        </w:rPr>
        <w:t>.</w:t>
      </w:r>
      <w:r w:rsidRPr="001A5DC6">
        <w:rPr>
          <w:sz w:val="22"/>
          <w:szCs w:val="22"/>
        </w:rPr>
        <w:t xml:space="preserve"> 57770</w:t>
      </w:r>
      <w:r w:rsidR="001A5DC6">
        <w:rPr>
          <w:sz w:val="22"/>
          <w:szCs w:val="22"/>
        </w:rPr>
        <w:t>-2070</w:t>
      </w:r>
      <w:r w:rsidRPr="001A5DC6">
        <w:rPr>
          <w:sz w:val="22"/>
          <w:szCs w:val="22"/>
        </w:rPr>
        <w:t xml:space="preserve"> </w:t>
      </w:r>
    </w:p>
    <w:p w:rsidR="00CA5104" w:rsidRPr="00B35E84" w:rsidRDefault="00CA5104">
      <w:pPr>
        <w:rPr>
          <w:b/>
          <w:sz w:val="22"/>
          <w:szCs w:val="22"/>
        </w:rPr>
      </w:pPr>
    </w:p>
    <w:p w:rsidR="00CA5104" w:rsidRPr="00C60957" w:rsidRDefault="005D6367" w:rsidP="00A52894">
      <w:pPr>
        <w:ind w:left="1440" w:hanging="720"/>
        <w:rPr>
          <w:sz w:val="22"/>
          <w:szCs w:val="22"/>
        </w:rPr>
      </w:pPr>
      <w:r w:rsidRPr="00C60957">
        <w:rPr>
          <w:sz w:val="22"/>
          <w:szCs w:val="22"/>
        </w:rPr>
        <w:t>Re:</w:t>
      </w:r>
      <w:r w:rsidRPr="00C60957">
        <w:rPr>
          <w:sz w:val="22"/>
          <w:szCs w:val="22"/>
        </w:rPr>
        <w:tab/>
      </w:r>
      <w:r w:rsidR="001005C7" w:rsidRPr="00C60957">
        <w:rPr>
          <w:sz w:val="22"/>
          <w:szCs w:val="22"/>
        </w:rPr>
        <w:t xml:space="preserve">Motion for </w:t>
      </w:r>
      <w:r w:rsidR="00677B7C" w:rsidRPr="00C60957">
        <w:rPr>
          <w:sz w:val="22"/>
          <w:szCs w:val="22"/>
        </w:rPr>
        <w:t xml:space="preserve">Extension of Time, </w:t>
      </w:r>
      <w:r w:rsidR="00CA5104" w:rsidRPr="00C60957">
        <w:rPr>
          <w:sz w:val="22"/>
          <w:szCs w:val="22"/>
        </w:rPr>
        <w:t>Petition of the Oglala Sioux Tribe for Designatio</w:t>
      </w:r>
      <w:r w:rsidR="001A5DC6" w:rsidRPr="00C60957">
        <w:rPr>
          <w:sz w:val="22"/>
          <w:szCs w:val="22"/>
        </w:rPr>
        <w:t xml:space="preserve">n </w:t>
      </w:r>
      <w:r w:rsidR="00CA5104" w:rsidRPr="00C60957">
        <w:rPr>
          <w:sz w:val="22"/>
          <w:szCs w:val="22"/>
        </w:rPr>
        <w:t>as an Eligible Telecommunications Carrier Pursuant to Section</w:t>
      </w:r>
      <w:r w:rsidR="001005C7" w:rsidRPr="00C60957">
        <w:rPr>
          <w:sz w:val="22"/>
          <w:szCs w:val="22"/>
        </w:rPr>
        <w:t xml:space="preserve"> 214(e)(6) of the </w:t>
      </w:r>
      <w:r w:rsidR="00483D3F">
        <w:rPr>
          <w:sz w:val="22"/>
          <w:szCs w:val="22"/>
        </w:rPr>
        <w:t>C</w:t>
      </w:r>
      <w:r w:rsidR="00CA5104" w:rsidRPr="00C60957">
        <w:rPr>
          <w:sz w:val="22"/>
          <w:szCs w:val="22"/>
        </w:rPr>
        <w:t xml:space="preserve">ommunications Act of </w:t>
      </w:r>
      <w:r w:rsidR="005D3EE5" w:rsidRPr="00C60957">
        <w:rPr>
          <w:sz w:val="22"/>
          <w:szCs w:val="22"/>
        </w:rPr>
        <w:t>19</w:t>
      </w:r>
      <w:r w:rsidR="005D3EE5">
        <w:rPr>
          <w:sz w:val="22"/>
          <w:szCs w:val="22"/>
        </w:rPr>
        <w:t>34</w:t>
      </w:r>
      <w:r w:rsidR="00CA5104" w:rsidRPr="00C60957">
        <w:rPr>
          <w:sz w:val="22"/>
          <w:szCs w:val="22"/>
        </w:rPr>
        <w:t xml:space="preserve">, </w:t>
      </w:r>
      <w:r w:rsidR="00BC0E0B">
        <w:rPr>
          <w:sz w:val="22"/>
          <w:szCs w:val="22"/>
        </w:rPr>
        <w:t xml:space="preserve">as amended, </w:t>
      </w:r>
      <w:r w:rsidR="00CA5104" w:rsidRPr="00C60957">
        <w:rPr>
          <w:sz w:val="22"/>
          <w:szCs w:val="22"/>
        </w:rPr>
        <w:t>WC Docket</w:t>
      </w:r>
      <w:r w:rsidR="001756D2" w:rsidRPr="00C60957">
        <w:rPr>
          <w:sz w:val="22"/>
          <w:szCs w:val="22"/>
        </w:rPr>
        <w:t xml:space="preserve"> </w:t>
      </w:r>
      <w:r w:rsidR="00CA5104" w:rsidRPr="00C60957">
        <w:rPr>
          <w:sz w:val="22"/>
          <w:szCs w:val="22"/>
        </w:rPr>
        <w:t>No. 09-197</w:t>
      </w:r>
    </w:p>
    <w:p w:rsidR="00CA5104" w:rsidRPr="00B35E84" w:rsidRDefault="00CA5104">
      <w:pPr>
        <w:rPr>
          <w:sz w:val="22"/>
          <w:szCs w:val="22"/>
        </w:rPr>
      </w:pPr>
    </w:p>
    <w:p w:rsidR="00CA5104" w:rsidRPr="00B35E84" w:rsidRDefault="00CA5104">
      <w:pPr>
        <w:rPr>
          <w:sz w:val="22"/>
          <w:szCs w:val="22"/>
        </w:rPr>
      </w:pPr>
      <w:r w:rsidRPr="00B35E84">
        <w:rPr>
          <w:sz w:val="22"/>
          <w:szCs w:val="22"/>
        </w:rPr>
        <w:t>Dear Mr.</w:t>
      </w:r>
      <w:r w:rsidR="0050197B">
        <w:rPr>
          <w:sz w:val="22"/>
          <w:szCs w:val="22"/>
        </w:rPr>
        <w:t xml:space="preserve"> Brewer</w:t>
      </w:r>
      <w:r w:rsidR="001472C0" w:rsidRPr="00B35E84">
        <w:rPr>
          <w:sz w:val="22"/>
          <w:szCs w:val="22"/>
        </w:rPr>
        <w:t>:</w:t>
      </w:r>
    </w:p>
    <w:p w:rsidR="001472C0" w:rsidRPr="00B35E84" w:rsidRDefault="001472C0">
      <w:pPr>
        <w:rPr>
          <w:sz w:val="22"/>
          <w:szCs w:val="22"/>
        </w:rPr>
      </w:pPr>
    </w:p>
    <w:p w:rsidR="001472C0" w:rsidRDefault="001472C0">
      <w:pPr>
        <w:rPr>
          <w:sz w:val="22"/>
          <w:szCs w:val="22"/>
        </w:rPr>
      </w:pPr>
      <w:r w:rsidRPr="00B35E84">
        <w:rPr>
          <w:sz w:val="22"/>
          <w:szCs w:val="22"/>
        </w:rPr>
        <w:tab/>
        <w:t xml:space="preserve">This letter responds to </w:t>
      </w:r>
      <w:r w:rsidR="0050197B">
        <w:rPr>
          <w:sz w:val="22"/>
          <w:szCs w:val="22"/>
        </w:rPr>
        <w:t xml:space="preserve">the </w:t>
      </w:r>
      <w:r w:rsidRPr="00B35E84">
        <w:rPr>
          <w:sz w:val="22"/>
          <w:szCs w:val="22"/>
        </w:rPr>
        <w:t xml:space="preserve">motion filed </w:t>
      </w:r>
      <w:r w:rsidR="001005C7">
        <w:rPr>
          <w:sz w:val="22"/>
          <w:szCs w:val="22"/>
        </w:rPr>
        <w:t xml:space="preserve">on </w:t>
      </w:r>
      <w:r w:rsidR="00076F99" w:rsidRPr="007F50AC">
        <w:rPr>
          <w:sz w:val="22"/>
          <w:szCs w:val="22"/>
        </w:rPr>
        <w:t>July</w:t>
      </w:r>
      <w:r w:rsidR="00374DF8">
        <w:rPr>
          <w:sz w:val="22"/>
          <w:szCs w:val="22"/>
        </w:rPr>
        <w:t xml:space="preserve"> </w:t>
      </w:r>
      <w:r w:rsidR="00DE7602">
        <w:rPr>
          <w:sz w:val="22"/>
          <w:szCs w:val="22"/>
        </w:rPr>
        <w:t>9</w:t>
      </w:r>
      <w:r w:rsidR="00076F99" w:rsidRPr="007F50AC">
        <w:rPr>
          <w:sz w:val="22"/>
          <w:szCs w:val="22"/>
        </w:rPr>
        <w:t>, 2012</w:t>
      </w:r>
      <w:r w:rsidR="00DE7602">
        <w:rPr>
          <w:sz w:val="22"/>
          <w:szCs w:val="22"/>
        </w:rPr>
        <w:t xml:space="preserve"> in WC Docket No. 09-197</w:t>
      </w:r>
      <w:r w:rsidR="00483D3F">
        <w:rPr>
          <w:sz w:val="22"/>
          <w:szCs w:val="22"/>
        </w:rPr>
        <w:t>,</w:t>
      </w:r>
      <w:r w:rsidR="00076F99">
        <w:rPr>
          <w:sz w:val="22"/>
          <w:szCs w:val="22"/>
        </w:rPr>
        <w:t xml:space="preserve"> </w:t>
      </w:r>
      <w:r w:rsidRPr="00B35E84">
        <w:rPr>
          <w:sz w:val="22"/>
          <w:szCs w:val="22"/>
        </w:rPr>
        <w:t>on behalf of the Oglala Sioux Tribe</w:t>
      </w:r>
      <w:r w:rsidR="00124F55">
        <w:rPr>
          <w:sz w:val="22"/>
          <w:szCs w:val="22"/>
        </w:rPr>
        <w:t xml:space="preserve"> (“OST”)</w:t>
      </w:r>
      <w:r w:rsidRPr="00B35E84">
        <w:rPr>
          <w:sz w:val="22"/>
          <w:szCs w:val="22"/>
        </w:rPr>
        <w:t xml:space="preserve">, requesting an extension of time </w:t>
      </w:r>
      <w:r w:rsidR="00076F99">
        <w:rPr>
          <w:sz w:val="22"/>
          <w:szCs w:val="22"/>
        </w:rPr>
        <w:t xml:space="preserve">from July 10, 2012 to August 9, 2012, </w:t>
      </w:r>
      <w:r w:rsidRPr="00B35E84">
        <w:rPr>
          <w:sz w:val="22"/>
          <w:szCs w:val="22"/>
        </w:rPr>
        <w:t xml:space="preserve">to file a petition for designation as an Eligible </w:t>
      </w:r>
      <w:r w:rsidR="005666DA" w:rsidRPr="00B35E84">
        <w:rPr>
          <w:sz w:val="22"/>
          <w:szCs w:val="22"/>
        </w:rPr>
        <w:t>Telecommunications</w:t>
      </w:r>
      <w:r w:rsidRPr="00B35E84">
        <w:rPr>
          <w:sz w:val="22"/>
          <w:szCs w:val="22"/>
        </w:rPr>
        <w:t xml:space="preserve"> Carr</w:t>
      </w:r>
      <w:r w:rsidR="00653D0A">
        <w:rPr>
          <w:sz w:val="22"/>
          <w:szCs w:val="22"/>
        </w:rPr>
        <w:t>i</w:t>
      </w:r>
      <w:r w:rsidRPr="00B35E84">
        <w:rPr>
          <w:sz w:val="22"/>
          <w:szCs w:val="22"/>
        </w:rPr>
        <w:t xml:space="preserve">er </w:t>
      </w:r>
      <w:r w:rsidR="009A00A9">
        <w:rPr>
          <w:sz w:val="22"/>
          <w:szCs w:val="22"/>
        </w:rPr>
        <w:t xml:space="preserve">(ETC) </w:t>
      </w:r>
      <w:r w:rsidRPr="00B35E84">
        <w:rPr>
          <w:sz w:val="22"/>
          <w:szCs w:val="22"/>
        </w:rPr>
        <w:t xml:space="preserve">pursuant to section 214(e)(6) of the </w:t>
      </w:r>
      <w:r w:rsidR="005D3EE5">
        <w:rPr>
          <w:sz w:val="22"/>
          <w:szCs w:val="22"/>
        </w:rPr>
        <w:t>C</w:t>
      </w:r>
      <w:r w:rsidRPr="00B35E84">
        <w:rPr>
          <w:sz w:val="22"/>
          <w:szCs w:val="22"/>
        </w:rPr>
        <w:t>ommunications Act of 19</w:t>
      </w:r>
      <w:r w:rsidR="005D3EE5">
        <w:rPr>
          <w:sz w:val="22"/>
          <w:szCs w:val="22"/>
        </w:rPr>
        <w:t>34</w:t>
      </w:r>
      <w:r w:rsidR="00BC0E0B">
        <w:rPr>
          <w:sz w:val="22"/>
          <w:szCs w:val="22"/>
        </w:rPr>
        <w:t>, as amended</w:t>
      </w:r>
      <w:r w:rsidRPr="00B35E84">
        <w:rPr>
          <w:sz w:val="22"/>
          <w:szCs w:val="22"/>
        </w:rPr>
        <w:t>.</w:t>
      </w:r>
      <w:r w:rsidR="000857EA">
        <w:rPr>
          <w:sz w:val="22"/>
          <w:szCs w:val="22"/>
        </w:rPr>
        <w:t xml:space="preserve">  </w:t>
      </w:r>
      <w:r w:rsidR="00124F55">
        <w:rPr>
          <w:sz w:val="22"/>
          <w:szCs w:val="22"/>
        </w:rPr>
        <w:t xml:space="preserve">Because OST </w:t>
      </w:r>
      <w:r w:rsidR="001005C7">
        <w:rPr>
          <w:sz w:val="22"/>
          <w:szCs w:val="22"/>
        </w:rPr>
        <w:t xml:space="preserve">did not file a petition for ETC designation within the </w:t>
      </w:r>
      <w:r w:rsidR="0062411D">
        <w:rPr>
          <w:sz w:val="22"/>
          <w:szCs w:val="22"/>
        </w:rPr>
        <w:t xml:space="preserve">specified </w:t>
      </w:r>
      <w:r w:rsidR="001005C7">
        <w:rPr>
          <w:sz w:val="22"/>
          <w:szCs w:val="22"/>
        </w:rPr>
        <w:t>time period</w:t>
      </w:r>
      <w:r w:rsidR="00124F55">
        <w:rPr>
          <w:sz w:val="22"/>
          <w:szCs w:val="22"/>
        </w:rPr>
        <w:t>,</w:t>
      </w:r>
      <w:r w:rsidR="001005C7">
        <w:rPr>
          <w:sz w:val="22"/>
          <w:szCs w:val="22"/>
        </w:rPr>
        <w:t xml:space="preserve"> </w:t>
      </w:r>
      <w:r w:rsidR="007F1C69">
        <w:rPr>
          <w:sz w:val="22"/>
          <w:szCs w:val="22"/>
        </w:rPr>
        <w:t xml:space="preserve">the </w:t>
      </w:r>
      <w:r w:rsidR="001005C7">
        <w:rPr>
          <w:sz w:val="22"/>
          <w:szCs w:val="22"/>
        </w:rPr>
        <w:t xml:space="preserve">request is moot.  </w:t>
      </w:r>
      <w:r w:rsidR="00124F55">
        <w:rPr>
          <w:sz w:val="22"/>
          <w:szCs w:val="22"/>
        </w:rPr>
        <w:t>We therefore dismiss t</w:t>
      </w:r>
      <w:r w:rsidR="007F1C69">
        <w:rPr>
          <w:sz w:val="22"/>
          <w:szCs w:val="22"/>
        </w:rPr>
        <w:t xml:space="preserve">he </w:t>
      </w:r>
      <w:r w:rsidR="000857EA">
        <w:rPr>
          <w:sz w:val="22"/>
          <w:szCs w:val="22"/>
        </w:rPr>
        <w:t>motion without prejudice.</w:t>
      </w:r>
    </w:p>
    <w:p w:rsidR="00625FC9" w:rsidRDefault="00625FC9">
      <w:pPr>
        <w:rPr>
          <w:sz w:val="22"/>
          <w:szCs w:val="22"/>
        </w:rPr>
      </w:pPr>
    </w:p>
    <w:p w:rsidR="001A5DC6" w:rsidRDefault="00625FC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005C7">
        <w:rPr>
          <w:sz w:val="22"/>
          <w:szCs w:val="22"/>
        </w:rPr>
        <w:t xml:space="preserve">We understand </w:t>
      </w:r>
      <w:r w:rsidR="0062411D">
        <w:rPr>
          <w:sz w:val="22"/>
          <w:szCs w:val="22"/>
        </w:rPr>
        <w:t xml:space="preserve">that </w:t>
      </w:r>
      <w:r w:rsidR="00124F55">
        <w:rPr>
          <w:sz w:val="22"/>
          <w:szCs w:val="22"/>
        </w:rPr>
        <w:t>OST</w:t>
      </w:r>
      <w:r w:rsidR="0062411D">
        <w:rPr>
          <w:sz w:val="22"/>
          <w:szCs w:val="22"/>
        </w:rPr>
        <w:t>’s motion seeking</w:t>
      </w:r>
      <w:r w:rsidR="00124F55">
        <w:rPr>
          <w:sz w:val="22"/>
          <w:szCs w:val="22"/>
        </w:rPr>
        <w:t xml:space="preserve"> </w:t>
      </w:r>
      <w:r w:rsidR="00332074">
        <w:rPr>
          <w:sz w:val="22"/>
          <w:szCs w:val="22"/>
        </w:rPr>
        <w:t xml:space="preserve">to file </w:t>
      </w:r>
      <w:r w:rsidR="004172ED">
        <w:rPr>
          <w:sz w:val="22"/>
          <w:szCs w:val="22"/>
        </w:rPr>
        <w:t xml:space="preserve">an ETC designation petition </w:t>
      </w:r>
      <w:r w:rsidR="0062411D">
        <w:rPr>
          <w:sz w:val="22"/>
          <w:szCs w:val="22"/>
        </w:rPr>
        <w:t xml:space="preserve">after </w:t>
      </w:r>
      <w:r w:rsidR="004172ED">
        <w:rPr>
          <w:sz w:val="22"/>
          <w:szCs w:val="22"/>
        </w:rPr>
        <w:t>July 10, 2012,</w:t>
      </w:r>
      <w:r w:rsidR="008201B9" w:rsidDel="008201B9">
        <w:rPr>
          <w:sz w:val="22"/>
          <w:szCs w:val="22"/>
        </w:rPr>
        <w:t xml:space="preserve"> </w:t>
      </w:r>
      <w:r w:rsidR="008201B9">
        <w:rPr>
          <w:sz w:val="22"/>
          <w:szCs w:val="22"/>
        </w:rPr>
        <w:t xml:space="preserve">may </w:t>
      </w:r>
      <w:r w:rsidR="001005C7">
        <w:rPr>
          <w:sz w:val="22"/>
          <w:szCs w:val="22"/>
        </w:rPr>
        <w:t xml:space="preserve">have been an effort to meet one of the eligibility requirements to </w:t>
      </w:r>
      <w:r w:rsidR="005B108A">
        <w:rPr>
          <w:sz w:val="22"/>
          <w:szCs w:val="22"/>
        </w:rPr>
        <w:t xml:space="preserve">participate in the </w:t>
      </w:r>
      <w:r w:rsidR="001005C7">
        <w:rPr>
          <w:sz w:val="22"/>
          <w:szCs w:val="22"/>
        </w:rPr>
        <w:t xml:space="preserve">Commission’s first </w:t>
      </w:r>
      <w:r w:rsidR="005B108A">
        <w:rPr>
          <w:sz w:val="22"/>
          <w:szCs w:val="22"/>
        </w:rPr>
        <w:t>Mobility Fund Phase I auction (Auction 901)</w:t>
      </w:r>
      <w:r w:rsidR="001005C7">
        <w:rPr>
          <w:sz w:val="22"/>
          <w:szCs w:val="22"/>
        </w:rPr>
        <w:t>.</w:t>
      </w:r>
      <w:r w:rsidR="00CA5F9D">
        <w:rPr>
          <w:rStyle w:val="FootnoteReference"/>
          <w:sz w:val="22"/>
          <w:szCs w:val="22"/>
        </w:rPr>
        <w:footnoteReference w:id="1"/>
      </w:r>
      <w:r w:rsidR="001005C7">
        <w:rPr>
          <w:sz w:val="22"/>
          <w:szCs w:val="22"/>
        </w:rPr>
        <w:t xml:space="preserve">  To be eligible to bid in Auction 901</w:t>
      </w:r>
      <w:r w:rsidR="005B108A">
        <w:rPr>
          <w:sz w:val="22"/>
          <w:szCs w:val="22"/>
        </w:rPr>
        <w:t>, a</w:t>
      </w:r>
      <w:r w:rsidR="00966B9A">
        <w:rPr>
          <w:sz w:val="22"/>
          <w:szCs w:val="22"/>
        </w:rPr>
        <w:t xml:space="preserve"> </w:t>
      </w:r>
      <w:r w:rsidR="001005C7">
        <w:rPr>
          <w:sz w:val="22"/>
          <w:szCs w:val="22"/>
        </w:rPr>
        <w:t>Tribal</w:t>
      </w:r>
      <w:r w:rsidR="00124F55">
        <w:rPr>
          <w:sz w:val="22"/>
          <w:szCs w:val="22"/>
        </w:rPr>
        <w:t>ly-owned or -controlled</w:t>
      </w:r>
      <w:r w:rsidR="001005C7">
        <w:rPr>
          <w:sz w:val="22"/>
          <w:szCs w:val="22"/>
        </w:rPr>
        <w:t xml:space="preserve"> </w:t>
      </w:r>
      <w:r w:rsidR="005B108A">
        <w:rPr>
          <w:sz w:val="22"/>
          <w:szCs w:val="22"/>
        </w:rPr>
        <w:t>applicant was required</w:t>
      </w:r>
      <w:r w:rsidR="002677C2">
        <w:rPr>
          <w:sz w:val="22"/>
          <w:szCs w:val="22"/>
        </w:rPr>
        <w:t xml:space="preserve"> to demonstrate</w:t>
      </w:r>
      <w:r w:rsidR="003923E1" w:rsidRPr="003923E1">
        <w:rPr>
          <w:sz w:val="22"/>
          <w:szCs w:val="22"/>
        </w:rPr>
        <w:t xml:space="preserve"> </w:t>
      </w:r>
      <w:r w:rsidR="001005C7">
        <w:rPr>
          <w:sz w:val="22"/>
          <w:szCs w:val="22"/>
        </w:rPr>
        <w:t xml:space="preserve">either </w:t>
      </w:r>
      <w:r w:rsidR="003923E1">
        <w:rPr>
          <w:sz w:val="22"/>
          <w:szCs w:val="22"/>
        </w:rPr>
        <w:t xml:space="preserve">that it was designated </w:t>
      </w:r>
      <w:r w:rsidR="00C81035">
        <w:rPr>
          <w:sz w:val="22"/>
          <w:szCs w:val="22"/>
        </w:rPr>
        <w:t xml:space="preserve">as </w:t>
      </w:r>
      <w:r w:rsidR="003923E1">
        <w:rPr>
          <w:sz w:val="22"/>
          <w:szCs w:val="22"/>
        </w:rPr>
        <w:t>an ETC</w:t>
      </w:r>
      <w:r w:rsidR="005B108A">
        <w:rPr>
          <w:sz w:val="22"/>
          <w:szCs w:val="22"/>
        </w:rPr>
        <w:t xml:space="preserve"> for the areas on which it wished to bid</w:t>
      </w:r>
      <w:r w:rsidR="001005C7">
        <w:rPr>
          <w:sz w:val="22"/>
          <w:szCs w:val="22"/>
        </w:rPr>
        <w:t xml:space="preserve"> or that it had </w:t>
      </w:r>
      <w:r w:rsidR="00332074">
        <w:rPr>
          <w:sz w:val="22"/>
          <w:szCs w:val="22"/>
        </w:rPr>
        <w:t xml:space="preserve">an application </w:t>
      </w:r>
      <w:r w:rsidR="001005C7">
        <w:rPr>
          <w:sz w:val="22"/>
          <w:szCs w:val="22"/>
        </w:rPr>
        <w:t>for designation as an ETC for</w:t>
      </w:r>
      <w:r w:rsidR="00124F55">
        <w:rPr>
          <w:sz w:val="22"/>
          <w:szCs w:val="22"/>
        </w:rPr>
        <w:t xml:space="preserve"> areas </w:t>
      </w:r>
      <w:r w:rsidR="001005C7">
        <w:rPr>
          <w:sz w:val="22"/>
          <w:szCs w:val="22"/>
        </w:rPr>
        <w:t xml:space="preserve">within the boundaries of the associated Tribal land pending </w:t>
      </w:r>
      <w:r w:rsidR="004172ED">
        <w:rPr>
          <w:sz w:val="22"/>
          <w:szCs w:val="22"/>
        </w:rPr>
        <w:t xml:space="preserve">on </w:t>
      </w:r>
      <w:r w:rsidR="001005C7">
        <w:rPr>
          <w:sz w:val="22"/>
          <w:szCs w:val="22"/>
        </w:rPr>
        <w:t xml:space="preserve">the </w:t>
      </w:r>
      <w:r w:rsidR="004172ED">
        <w:rPr>
          <w:sz w:val="22"/>
          <w:szCs w:val="22"/>
        </w:rPr>
        <w:t xml:space="preserve">July 11, 2012 </w:t>
      </w:r>
      <w:r w:rsidR="001005C7">
        <w:rPr>
          <w:sz w:val="22"/>
          <w:szCs w:val="22"/>
        </w:rPr>
        <w:t>auction application (short-form) deadline</w:t>
      </w:r>
      <w:r w:rsidR="005B108A">
        <w:rPr>
          <w:sz w:val="22"/>
          <w:szCs w:val="22"/>
        </w:rPr>
        <w:t>.</w:t>
      </w:r>
      <w:r w:rsidR="002677C2">
        <w:rPr>
          <w:rStyle w:val="FootnoteReference"/>
          <w:sz w:val="22"/>
          <w:szCs w:val="22"/>
        </w:rPr>
        <w:footnoteReference w:id="2"/>
      </w:r>
      <w:r w:rsidR="005B108A">
        <w:rPr>
          <w:sz w:val="22"/>
          <w:szCs w:val="22"/>
        </w:rPr>
        <w:t xml:space="preserve"> </w:t>
      </w:r>
    </w:p>
    <w:p w:rsidR="009A00A9" w:rsidRDefault="005B108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3163A" w:rsidRPr="007F50AC" w:rsidRDefault="009A00A9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8B5E0B">
        <w:rPr>
          <w:sz w:val="22"/>
          <w:szCs w:val="22"/>
        </w:rPr>
        <w:t xml:space="preserve">OST </w:t>
      </w:r>
      <w:r>
        <w:rPr>
          <w:sz w:val="22"/>
          <w:szCs w:val="22"/>
        </w:rPr>
        <w:t xml:space="preserve">did not </w:t>
      </w:r>
      <w:r w:rsidR="00817896">
        <w:rPr>
          <w:sz w:val="22"/>
          <w:szCs w:val="22"/>
        </w:rPr>
        <w:t>file a short-form application</w:t>
      </w:r>
      <w:r w:rsidR="004172ED">
        <w:rPr>
          <w:sz w:val="22"/>
          <w:szCs w:val="22"/>
        </w:rPr>
        <w:t xml:space="preserve"> for Auction 901</w:t>
      </w:r>
      <w:r w:rsidR="00817896">
        <w:rPr>
          <w:sz w:val="22"/>
          <w:szCs w:val="22"/>
        </w:rPr>
        <w:t xml:space="preserve"> or a petition for ETC designation and was thus not eligible </w:t>
      </w:r>
      <w:r>
        <w:rPr>
          <w:sz w:val="22"/>
          <w:szCs w:val="22"/>
        </w:rPr>
        <w:t>to participate</w:t>
      </w:r>
      <w:r w:rsidR="00817896">
        <w:rPr>
          <w:sz w:val="22"/>
          <w:szCs w:val="22"/>
        </w:rPr>
        <w:t xml:space="preserve"> in Auction 901</w:t>
      </w:r>
      <w:r w:rsidR="00915A42">
        <w:rPr>
          <w:sz w:val="22"/>
          <w:szCs w:val="22"/>
        </w:rPr>
        <w:t xml:space="preserve">.  </w:t>
      </w:r>
      <w:r w:rsidR="008B5E0B">
        <w:rPr>
          <w:sz w:val="22"/>
          <w:szCs w:val="22"/>
        </w:rPr>
        <w:t xml:space="preserve">OST’s </w:t>
      </w:r>
      <w:r w:rsidR="00975CF6">
        <w:rPr>
          <w:sz w:val="22"/>
          <w:szCs w:val="22"/>
        </w:rPr>
        <w:t>motion</w:t>
      </w:r>
      <w:r>
        <w:rPr>
          <w:sz w:val="22"/>
          <w:szCs w:val="22"/>
        </w:rPr>
        <w:t xml:space="preserve"> seeking an extension of time </w:t>
      </w:r>
      <w:r w:rsidR="00A73ABE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5666DA">
        <w:rPr>
          <w:sz w:val="22"/>
          <w:szCs w:val="22"/>
        </w:rPr>
        <w:t>fil</w:t>
      </w:r>
      <w:r w:rsidR="00A73ABE">
        <w:rPr>
          <w:sz w:val="22"/>
          <w:szCs w:val="22"/>
        </w:rPr>
        <w:t>e</w:t>
      </w:r>
      <w:r>
        <w:rPr>
          <w:sz w:val="22"/>
          <w:szCs w:val="22"/>
        </w:rPr>
        <w:t xml:space="preserve"> its</w:t>
      </w:r>
      <w:r w:rsidR="00D46895">
        <w:rPr>
          <w:sz w:val="22"/>
          <w:szCs w:val="22"/>
        </w:rPr>
        <w:t xml:space="preserve"> petition </w:t>
      </w:r>
      <w:r w:rsidR="009D71CA">
        <w:rPr>
          <w:sz w:val="22"/>
          <w:szCs w:val="22"/>
        </w:rPr>
        <w:t xml:space="preserve">for </w:t>
      </w:r>
      <w:r w:rsidR="00915A42">
        <w:rPr>
          <w:sz w:val="22"/>
          <w:szCs w:val="22"/>
        </w:rPr>
        <w:t xml:space="preserve">ETC </w:t>
      </w:r>
      <w:r w:rsidR="009D71CA">
        <w:rPr>
          <w:sz w:val="22"/>
          <w:szCs w:val="22"/>
        </w:rPr>
        <w:t xml:space="preserve">designation </w:t>
      </w:r>
      <w:r w:rsidR="00D46895">
        <w:rPr>
          <w:sz w:val="22"/>
          <w:szCs w:val="22"/>
        </w:rPr>
        <w:t xml:space="preserve">is </w:t>
      </w:r>
      <w:r w:rsidR="00D626AC">
        <w:rPr>
          <w:sz w:val="22"/>
          <w:szCs w:val="22"/>
        </w:rPr>
        <w:t xml:space="preserve">therefore </w:t>
      </w:r>
      <w:r w:rsidR="00D46895">
        <w:rPr>
          <w:sz w:val="22"/>
          <w:szCs w:val="22"/>
        </w:rPr>
        <w:t xml:space="preserve">moot.  This dismissal does not prejudice </w:t>
      </w:r>
      <w:r w:rsidR="008B5E0B">
        <w:rPr>
          <w:sz w:val="22"/>
          <w:szCs w:val="22"/>
        </w:rPr>
        <w:t xml:space="preserve">OST’s </w:t>
      </w:r>
      <w:r w:rsidR="00D46895">
        <w:rPr>
          <w:sz w:val="22"/>
          <w:szCs w:val="22"/>
        </w:rPr>
        <w:t>ability to file for ETC designation in the future</w:t>
      </w:r>
      <w:r w:rsidR="00F83B3C">
        <w:rPr>
          <w:sz w:val="22"/>
          <w:szCs w:val="22"/>
        </w:rPr>
        <w:t xml:space="preserve"> </w:t>
      </w:r>
      <w:r w:rsidR="00F83B3C" w:rsidRPr="007F50AC">
        <w:rPr>
          <w:sz w:val="22"/>
          <w:szCs w:val="22"/>
        </w:rPr>
        <w:t>in order to participate in other Mobility Fund auctions</w:t>
      </w:r>
      <w:r w:rsidR="00D46895" w:rsidRPr="007F50AC">
        <w:rPr>
          <w:sz w:val="22"/>
          <w:szCs w:val="22"/>
        </w:rPr>
        <w:t>.</w:t>
      </w:r>
      <w:r w:rsidR="00817896">
        <w:rPr>
          <w:sz w:val="22"/>
          <w:szCs w:val="22"/>
        </w:rPr>
        <w:t xml:space="preserve">  In this regard, we note that the Commission has </w:t>
      </w:r>
      <w:r w:rsidR="00DD65F3">
        <w:rPr>
          <w:sz w:val="22"/>
          <w:szCs w:val="22"/>
        </w:rPr>
        <w:t xml:space="preserve">announced </w:t>
      </w:r>
      <w:r w:rsidR="008E79AF">
        <w:rPr>
          <w:sz w:val="22"/>
          <w:szCs w:val="22"/>
        </w:rPr>
        <w:t xml:space="preserve">that it will </w:t>
      </w:r>
      <w:r w:rsidR="00B7683B">
        <w:rPr>
          <w:sz w:val="22"/>
          <w:szCs w:val="22"/>
        </w:rPr>
        <w:t xml:space="preserve">hold </w:t>
      </w:r>
      <w:r w:rsidR="00B7683B" w:rsidRPr="00B7683B">
        <w:rPr>
          <w:sz w:val="22"/>
          <w:szCs w:val="22"/>
        </w:rPr>
        <w:t>a reverse auction to award up to $50 million in one-time Tribal Mobility Fund Phase I support</w:t>
      </w:r>
      <w:r w:rsidR="002B230D">
        <w:rPr>
          <w:sz w:val="22"/>
          <w:szCs w:val="22"/>
        </w:rPr>
        <w:t xml:space="preserve"> on October 24, 2013</w:t>
      </w:r>
      <w:r w:rsidR="00B7683B">
        <w:rPr>
          <w:sz w:val="22"/>
          <w:szCs w:val="22"/>
        </w:rPr>
        <w:t>.</w:t>
      </w:r>
      <w:r w:rsidR="002B230D">
        <w:rPr>
          <w:rStyle w:val="FootnoteReference"/>
          <w:sz w:val="22"/>
          <w:szCs w:val="22"/>
        </w:rPr>
        <w:footnoteReference w:id="3"/>
      </w:r>
      <w:r w:rsidR="00B7683B">
        <w:rPr>
          <w:sz w:val="22"/>
          <w:szCs w:val="22"/>
        </w:rPr>
        <w:t xml:space="preserve">    </w:t>
      </w:r>
      <w:r w:rsidR="00AF7DCA">
        <w:rPr>
          <w:sz w:val="22"/>
          <w:szCs w:val="22"/>
        </w:rPr>
        <w:t xml:space="preserve">If you have any questions or need any guidance about the requirements for participating in that auction, please do not hesitate to contact us or </w:t>
      </w:r>
      <w:r w:rsidR="009806DB">
        <w:rPr>
          <w:sz w:val="22"/>
          <w:szCs w:val="22"/>
        </w:rPr>
        <w:t>Geoffrey C. Blackwell, Chief of the Office of Native Affairs and Policy.</w:t>
      </w:r>
      <w:r w:rsidR="00AF7DCA">
        <w:rPr>
          <w:sz w:val="22"/>
          <w:szCs w:val="22"/>
        </w:rPr>
        <w:t xml:space="preserve">  </w:t>
      </w:r>
    </w:p>
    <w:p w:rsidR="00E3163A" w:rsidRDefault="00E3163A">
      <w:pPr>
        <w:rPr>
          <w:sz w:val="22"/>
          <w:szCs w:val="22"/>
        </w:rPr>
      </w:pPr>
    </w:p>
    <w:p w:rsidR="00094B5C" w:rsidRDefault="00E3163A">
      <w:pPr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094B5C" w:rsidRDefault="00094B5C">
      <w:pPr>
        <w:rPr>
          <w:sz w:val="22"/>
          <w:szCs w:val="22"/>
        </w:rPr>
      </w:pPr>
    </w:p>
    <w:p w:rsidR="00E3163A" w:rsidRDefault="00E3163A" w:rsidP="00094B5C">
      <w:pPr>
        <w:ind w:firstLine="720"/>
        <w:rPr>
          <w:sz w:val="22"/>
          <w:szCs w:val="22"/>
        </w:rPr>
      </w:pPr>
      <w:r>
        <w:rPr>
          <w:sz w:val="22"/>
          <w:szCs w:val="22"/>
        </w:rPr>
        <w:t>This action is taken under delegated authority pursuant to sections 0.131 and 0.331 of the Commission’s rules, 47 C.F.R. §§ 0.131, 0.331.</w:t>
      </w:r>
    </w:p>
    <w:p w:rsidR="00E3163A" w:rsidRDefault="00E3163A">
      <w:pPr>
        <w:rPr>
          <w:sz w:val="22"/>
          <w:szCs w:val="22"/>
        </w:rPr>
      </w:pPr>
    </w:p>
    <w:p w:rsidR="00E3163A" w:rsidRDefault="00E31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Sincerely,</w:t>
      </w:r>
    </w:p>
    <w:p w:rsidR="00E3163A" w:rsidRDefault="00E3163A">
      <w:pPr>
        <w:rPr>
          <w:sz w:val="22"/>
          <w:szCs w:val="22"/>
        </w:rPr>
      </w:pPr>
    </w:p>
    <w:p w:rsidR="00E3163A" w:rsidRDefault="00E3163A">
      <w:pPr>
        <w:rPr>
          <w:sz w:val="22"/>
          <w:szCs w:val="22"/>
        </w:rPr>
      </w:pPr>
    </w:p>
    <w:p w:rsidR="00E3163A" w:rsidRDefault="00E3163A">
      <w:pPr>
        <w:rPr>
          <w:sz w:val="22"/>
          <w:szCs w:val="22"/>
        </w:rPr>
      </w:pPr>
    </w:p>
    <w:p w:rsidR="00E3163A" w:rsidRDefault="00E3163A">
      <w:pPr>
        <w:rPr>
          <w:sz w:val="22"/>
          <w:szCs w:val="22"/>
        </w:rPr>
      </w:pPr>
    </w:p>
    <w:p w:rsidR="00E3163A" w:rsidRDefault="00E31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Margaret W. Wiener</w:t>
      </w:r>
    </w:p>
    <w:p w:rsidR="00E3163A" w:rsidRDefault="00E31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Chief</w:t>
      </w:r>
    </w:p>
    <w:p w:rsidR="00E3163A" w:rsidRDefault="00E31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Auctions and Spectrum Access Division</w:t>
      </w:r>
    </w:p>
    <w:p w:rsidR="00E3163A" w:rsidRDefault="00E316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Wireless Telecommunications Bureau</w:t>
      </w:r>
    </w:p>
    <w:p w:rsidR="00E3163A" w:rsidRDefault="00E3163A">
      <w:pPr>
        <w:rPr>
          <w:sz w:val="22"/>
          <w:szCs w:val="22"/>
        </w:rPr>
      </w:pPr>
    </w:p>
    <w:p w:rsidR="00E3163A" w:rsidRDefault="00E3163A">
      <w:pPr>
        <w:rPr>
          <w:sz w:val="22"/>
          <w:szCs w:val="22"/>
        </w:rPr>
      </w:pPr>
    </w:p>
    <w:p w:rsidR="009E168A" w:rsidRDefault="005B4461">
      <w:pPr>
        <w:rPr>
          <w:sz w:val="22"/>
          <w:szCs w:val="22"/>
        </w:rPr>
      </w:pPr>
      <w:r>
        <w:rPr>
          <w:sz w:val="22"/>
          <w:szCs w:val="22"/>
        </w:rPr>
        <w:t xml:space="preserve">cc:  </w:t>
      </w:r>
      <w:r w:rsidR="009E168A">
        <w:rPr>
          <w:sz w:val="22"/>
          <w:szCs w:val="22"/>
        </w:rPr>
        <w:t>W. Cindy Gillis</w:t>
      </w:r>
    </w:p>
    <w:p w:rsidR="00460C4E" w:rsidRDefault="00460C4E">
      <w:pPr>
        <w:rPr>
          <w:sz w:val="22"/>
          <w:szCs w:val="22"/>
        </w:rPr>
      </w:pPr>
      <w:r>
        <w:rPr>
          <w:sz w:val="22"/>
          <w:szCs w:val="22"/>
        </w:rPr>
        <w:t xml:space="preserve">    Counsel for the Oglala Sioux Tribe</w:t>
      </w:r>
    </w:p>
    <w:p w:rsidR="009E168A" w:rsidRPr="00CA5104" w:rsidRDefault="009E168A" w:rsidP="00222273">
      <w:r>
        <w:rPr>
          <w:sz w:val="22"/>
          <w:szCs w:val="22"/>
        </w:rPr>
        <w:tab/>
      </w:r>
    </w:p>
    <w:sectPr w:rsidR="009E168A" w:rsidRPr="00CA5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0D" w:rsidRDefault="00470F0D">
      <w:r>
        <w:separator/>
      </w:r>
    </w:p>
  </w:endnote>
  <w:endnote w:type="continuationSeparator" w:id="0">
    <w:p w:rsidR="00470F0D" w:rsidRDefault="0047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86" w:rsidRDefault="00FD5A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C3" w:rsidRDefault="006310C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42EC">
      <w:rPr>
        <w:noProof/>
      </w:rPr>
      <w:t>2</w:t>
    </w:r>
    <w:r>
      <w:rPr>
        <w:noProof/>
      </w:rPr>
      <w:fldChar w:fldCharType="end"/>
    </w:r>
  </w:p>
  <w:p w:rsidR="006310C3" w:rsidRDefault="006310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0C3" w:rsidRDefault="006310C3">
    <w:pPr>
      <w:pStyle w:val="Footer"/>
      <w:jc w:val="center"/>
    </w:pPr>
  </w:p>
  <w:p w:rsidR="006310C3" w:rsidRDefault="00631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0D" w:rsidRDefault="00470F0D">
      <w:r>
        <w:separator/>
      </w:r>
    </w:p>
  </w:footnote>
  <w:footnote w:type="continuationSeparator" w:id="0">
    <w:p w:rsidR="00470F0D" w:rsidRDefault="00470F0D">
      <w:r>
        <w:continuationSeparator/>
      </w:r>
    </w:p>
  </w:footnote>
  <w:footnote w:id="1">
    <w:p w:rsidR="00CA5F9D" w:rsidRDefault="00CA5F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172ED">
        <w:t>The “Oglala Sioux Tribe Motion for Extension of Time” references three docket numbers, one of which is the docket number for Auction 901, AU Docket No. 12-25</w:t>
      </w:r>
      <w:r w:rsidR="000F1672">
        <w:t>, but was filed only in WC Docket No. 09-197.</w:t>
      </w:r>
    </w:p>
    <w:p w:rsidR="00094B5C" w:rsidRDefault="00094B5C">
      <w:pPr>
        <w:pStyle w:val="FootnoteText"/>
      </w:pPr>
    </w:p>
  </w:footnote>
  <w:footnote w:id="2">
    <w:p w:rsidR="002677C2" w:rsidRPr="002677C2" w:rsidRDefault="002677C2" w:rsidP="002677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7C2">
        <w:t>47 C.F.R. §</w:t>
      </w:r>
      <w:r w:rsidR="001005C7" w:rsidRPr="002677C2">
        <w:t>§</w:t>
      </w:r>
      <w:r w:rsidR="00A1603D">
        <w:t xml:space="preserve"> </w:t>
      </w:r>
      <w:r w:rsidRPr="002677C2">
        <w:t>54.100</w:t>
      </w:r>
      <w:r>
        <w:t>3</w:t>
      </w:r>
      <w:r w:rsidR="001005C7">
        <w:t>, 54.1004(a)</w:t>
      </w:r>
      <w:r w:rsidRPr="002677C2">
        <w:t>.</w:t>
      </w:r>
    </w:p>
    <w:p w:rsidR="002677C2" w:rsidRDefault="002677C2">
      <w:pPr>
        <w:pStyle w:val="FootnoteText"/>
      </w:pPr>
    </w:p>
  </w:footnote>
  <w:footnote w:id="3">
    <w:p w:rsidR="002B230D" w:rsidRDefault="002B230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B230D">
        <w:rPr>
          <w:i/>
        </w:rPr>
        <w:t>See</w:t>
      </w:r>
      <w:r>
        <w:t xml:space="preserve"> Tribal Mobility Fund Phase I Auction Scheduled for October 24, 2013; Comment Sought on Competitive Bidding Procedures for Auction 902 and Certain Program Requirements, </w:t>
      </w:r>
      <w:r w:rsidRPr="002B230D">
        <w:rPr>
          <w:i/>
        </w:rPr>
        <w:t>Public Notice</w:t>
      </w:r>
      <w:r>
        <w:t>, AU Docket No. 13-53, DA 13-323</w:t>
      </w:r>
      <w:r w:rsidR="004236AF">
        <w:t xml:space="preserve"> (</w:t>
      </w:r>
      <w:r>
        <w:t>rel. Mar</w:t>
      </w:r>
      <w:r w:rsidR="001236E5">
        <w:t>.</w:t>
      </w:r>
      <w:r>
        <w:t xml:space="preserve"> 29, 2013</w:t>
      </w:r>
      <w:r w:rsidR="004236AF">
        <w:t>)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A86" w:rsidRDefault="00FD5A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5C" w:rsidRDefault="00094B5C">
    <w:pPr>
      <w:pStyle w:val="Header"/>
      <w:rPr>
        <w:sz w:val="22"/>
        <w:szCs w:val="22"/>
      </w:rPr>
    </w:pPr>
  </w:p>
  <w:p w:rsidR="00094B5C" w:rsidRDefault="00094B5C">
    <w:pPr>
      <w:pStyle w:val="Header"/>
      <w:rPr>
        <w:sz w:val="22"/>
        <w:szCs w:val="22"/>
      </w:rPr>
    </w:pPr>
  </w:p>
  <w:p w:rsidR="00D0531F" w:rsidRPr="00080E62" w:rsidRDefault="0050197B">
    <w:pPr>
      <w:pStyle w:val="Header"/>
      <w:rPr>
        <w:sz w:val="22"/>
        <w:szCs w:val="22"/>
      </w:rPr>
    </w:pPr>
    <w:r>
      <w:rPr>
        <w:sz w:val="22"/>
        <w:szCs w:val="22"/>
      </w:rPr>
      <w:t>Bryan Brewer, Sr.</w:t>
    </w:r>
    <w:r w:rsidR="00C03DFB">
      <w:rPr>
        <w:sz w:val="22"/>
        <w:szCs w:val="22"/>
      </w:rPr>
      <w:tab/>
    </w:r>
    <w:r w:rsidR="00C03DFB">
      <w:rPr>
        <w:sz w:val="22"/>
        <w:szCs w:val="22"/>
      </w:rPr>
      <w:tab/>
      <w:t>DA 13-794</w:t>
    </w:r>
  </w:p>
  <w:p w:rsidR="00C60957" w:rsidRPr="00080E62" w:rsidRDefault="00332074">
    <w:pPr>
      <w:pStyle w:val="Header"/>
      <w:rPr>
        <w:sz w:val="22"/>
        <w:szCs w:val="22"/>
      </w:rPr>
    </w:pPr>
    <w:r>
      <w:rPr>
        <w:sz w:val="22"/>
        <w:szCs w:val="22"/>
      </w:rPr>
      <w:t>April</w:t>
    </w:r>
    <w:r w:rsidRPr="00080E62">
      <w:rPr>
        <w:sz w:val="22"/>
        <w:szCs w:val="22"/>
      </w:rPr>
      <w:t xml:space="preserve"> </w:t>
    </w:r>
    <w:r w:rsidR="00222273">
      <w:rPr>
        <w:sz w:val="22"/>
        <w:szCs w:val="22"/>
      </w:rPr>
      <w:t>19</w:t>
    </w:r>
    <w:r w:rsidR="00C60957" w:rsidRPr="00080E62">
      <w:rPr>
        <w:sz w:val="22"/>
        <w:szCs w:val="22"/>
      </w:rPr>
      <w:t>,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DD" w:rsidRDefault="000142EC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9.8pt;margin-top:0;width:64.8pt;height:64.8pt;z-index:251657728;visibility:visible;mso-wrap-edited:f" o:allowincell="f" filled="t" fillcolor="#3cc">
          <v:imagedata r:id="rId1" o:title="" gain="69719f"/>
          <w10:wrap type="topAndBottom"/>
        </v:shape>
        <o:OLEObject Type="Embed" ProgID="Word.Picture.8" ShapeID="_x0000_s2049" DrawAspect="Content" ObjectID="_1427893556" r:id="rId2"/>
      </w:pict>
    </w:r>
    <w:r w:rsidR="00FB4ADD">
      <w:rPr>
        <w:rFonts w:ascii="CG Times (W1)" w:hAnsi="CG Times (W1)"/>
        <w:sz w:val="28"/>
      </w:rPr>
      <w:t>Federal Communications Commission</w:t>
    </w:r>
  </w:p>
  <w:p w:rsidR="00FB4ADD" w:rsidRDefault="00FB4ADD">
    <w:pPr>
      <w:jc w:val="center"/>
      <w:rPr>
        <w:rFonts w:ascii="CG Times (W1)" w:hAnsi="CG Times (W1)"/>
        <w:sz w:val="28"/>
      </w:rPr>
    </w:pPr>
    <w:smartTag w:uri="urn:schemas-microsoft-com:office:smarttags" w:element="place">
      <w:smartTag w:uri="urn:schemas-microsoft-com:office:smarttags" w:element="City">
        <w:r>
          <w:rPr>
            <w:rFonts w:ascii="CG Times (W1)" w:hAnsi="CG Times (W1)"/>
            <w:sz w:val="28"/>
          </w:rPr>
          <w:t>Washington</w:t>
        </w:r>
      </w:smartTag>
      <w:r>
        <w:rPr>
          <w:rFonts w:ascii="CG Times (W1)" w:hAnsi="CG Times (W1)"/>
          <w:sz w:val="28"/>
        </w:rPr>
        <w:t xml:space="preserve">, </w:t>
      </w:r>
      <w:smartTag w:uri="urn:schemas-microsoft-com:office:smarttags" w:element="State">
        <w:r>
          <w:rPr>
            <w:rFonts w:ascii="CG Times (W1)" w:hAnsi="CG Times (W1)"/>
            <w:sz w:val="28"/>
          </w:rPr>
          <w:t>D.C.</w:t>
        </w:r>
      </w:smartTag>
      <w:r>
        <w:rPr>
          <w:rFonts w:ascii="CG Times (W1)" w:hAnsi="CG Times (W1)"/>
          <w:sz w:val="28"/>
        </w:rPr>
        <w:t xml:space="preserve"> </w:t>
      </w:r>
      <w:smartTag w:uri="urn:schemas-microsoft-com:office:smarttags" w:element="PostalCode">
        <w:r>
          <w:rPr>
            <w:rFonts w:ascii="CG Times (W1)" w:hAnsi="CG Times (W1)"/>
            <w:sz w:val="28"/>
          </w:rPr>
          <w:t>20554</w:t>
        </w:r>
      </w:smartTag>
    </w:smartTag>
  </w:p>
  <w:p w:rsidR="00925CA4" w:rsidRDefault="00925CA4">
    <w:pPr>
      <w:jc w:val="center"/>
    </w:pPr>
  </w:p>
  <w:p w:rsidR="00FB4ADD" w:rsidRDefault="00D0531F" w:rsidP="00925CA4">
    <w:pPr>
      <w:pStyle w:val="Header"/>
      <w:tabs>
        <w:tab w:val="clear" w:pos="4320"/>
      </w:tabs>
      <w:jc w:val="right"/>
      <w:rPr>
        <w:sz w:val="22"/>
      </w:rPr>
    </w:pPr>
    <w:r>
      <w:rPr>
        <w:sz w:val="22"/>
      </w:rPr>
      <w:tab/>
    </w:r>
    <w:r w:rsidR="00925CA4"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43"/>
    <w:rsid w:val="000142EC"/>
    <w:rsid w:val="00045F80"/>
    <w:rsid w:val="00076F99"/>
    <w:rsid w:val="00080E62"/>
    <w:rsid w:val="000857EA"/>
    <w:rsid w:val="00094B5C"/>
    <w:rsid w:val="000B583F"/>
    <w:rsid w:val="000F1672"/>
    <w:rsid w:val="001005C7"/>
    <w:rsid w:val="001236E5"/>
    <w:rsid w:val="00124F55"/>
    <w:rsid w:val="001472C0"/>
    <w:rsid w:val="00155B24"/>
    <w:rsid w:val="00172405"/>
    <w:rsid w:val="00174D8D"/>
    <w:rsid w:val="001756D2"/>
    <w:rsid w:val="001A5DC6"/>
    <w:rsid w:val="001B5F6B"/>
    <w:rsid w:val="001F62FC"/>
    <w:rsid w:val="00222273"/>
    <w:rsid w:val="002677C2"/>
    <w:rsid w:val="002B20F5"/>
    <w:rsid w:val="002B230D"/>
    <w:rsid w:val="002D3D21"/>
    <w:rsid w:val="0032001E"/>
    <w:rsid w:val="00332074"/>
    <w:rsid w:val="003566D8"/>
    <w:rsid w:val="00370ED2"/>
    <w:rsid w:val="00374DF8"/>
    <w:rsid w:val="003923E1"/>
    <w:rsid w:val="003A03D0"/>
    <w:rsid w:val="003A3E92"/>
    <w:rsid w:val="004172ED"/>
    <w:rsid w:val="0042316C"/>
    <w:rsid w:val="004236AF"/>
    <w:rsid w:val="00452413"/>
    <w:rsid w:val="00460C4E"/>
    <w:rsid w:val="00470F0D"/>
    <w:rsid w:val="00475B23"/>
    <w:rsid w:val="00483D3F"/>
    <w:rsid w:val="0050197B"/>
    <w:rsid w:val="005427CB"/>
    <w:rsid w:val="005666DA"/>
    <w:rsid w:val="005B108A"/>
    <w:rsid w:val="005B4461"/>
    <w:rsid w:val="005D2968"/>
    <w:rsid w:val="005D3EE5"/>
    <w:rsid w:val="005D6367"/>
    <w:rsid w:val="00601345"/>
    <w:rsid w:val="006101F2"/>
    <w:rsid w:val="00611171"/>
    <w:rsid w:val="00622876"/>
    <w:rsid w:val="0062411D"/>
    <w:rsid w:val="00625FC9"/>
    <w:rsid w:val="006310C3"/>
    <w:rsid w:val="006447F6"/>
    <w:rsid w:val="00653D0A"/>
    <w:rsid w:val="006567E6"/>
    <w:rsid w:val="00677B7C"/>
    <w:rsid w:val="006F2FB7"/>
    <w:rsid w:val="00774D71"/>
    <w:rsid w:val="007D3B44"/>
    <w:rsid w:val="007F1C69"/>
    <w:rsid w:val="007F50AC"/>
    <w:rsid w:val="00817896"/>
    <w:rsid w:val="008201B9"/>
    <w:rsid w:val="00852239"/>
    <w:rsid w:val="008819B9"/>
    <w:rsid w:val="008A5BA8"/>
    <w:rsid w:val="008B16E2"/>
    <w:rsid w:val="008B5E0B"/>
    <w:rsid w:val="008B6041"/>
    <w:rsid w:val="008C2B0A"/>
    <w:rsid w:val="008D0F64"/>
    <w:rsid w:val="008E79AF"/>
    <w:rsid w:val="008F559B"/>
    <w:rsid w:val="00915A42"/>
    <w:rsid w:val="00925CA4"/>
    <w:rsid w:val="00966B9A"/>
    <w:rsid w:val="00975CF6"/>
    <w:rsid w:val="00976D82"/>
    <w:rsid w:val="009806DB"/>
    <w:rsid w:val="00984121"/>
    <w:rsid w:val="009A00A9"/>
    <w:rsid w:val="009B42A2"/>
    <w:rsid w:val="009C6680"/>
    <w:rsid w:val="009D71CA"/>
    <w:rsid w:val="009E168A"/>
    <w:rsid w:val="00A1603D"/>
    <w:rsid w:val="00A52894"/>
    <w:rsid w:val="00A57A3E"/>
    <w:rsid w:val="00A73ABE"/>
    <w:rsid w:val="00A86372"/>
    <w:rsid w:val="00A97E4C"/>
    <w:rsid w:val="00AA31B1"/>
    <w:rsid w:val="00AD791B"/>
    <w:rsid w:val="00AF668D"/>
    <w:rsid w:val="00AF7DCA"/>
    <w:rsid w:val="00B35E84"/>
    <w:rsid w:val="00B523C8"/>
    <w:rsid w:val="00B53643"/>
    <w:rsid w:val="00B7683B"/>
    <w:rsid w:val="00B973D6"/>
    <w:rsid w:val="00BC0E0B"/>
    <w:rsid w:val="00BC72A6"/>
    <w:rsid w:val="00BF5170"/>
    <w:rsid w:val="00C03DFB"/>
    <w:rsid w:val="00C60957"/>
    <w:rsid w:val="00C81035"/>
    <w:rsid w:val="00C930EB"/>
    <w:rsid w:val="00CA5104"/>
    <w:rsid w:val="00CA5F9D"/>
    <w:rsid w:val="00CB245B"/>
    <w:rsid w:val="00CE0B80"/>
    <w:rsid w:val="00CF29A5"/>
    <w:rsid w:val="00D0531F"/>
    <w:rsid w:val="00D40F1F"/>
    <w:rsid w:val="00D46895"/>
    <w:rsid w:val="00D626AC"/>
    <w:rsid w:val="00D81C13"/>
    <w:rsid w:val="00DA6CEC"/>
    <w:rsid w:val="00DD23D7"/>
    <w:rsid w:val="00DD2F7D"/>
    <w:rsid w:val="00DD65F3"/>
    <w:rsid w:val="00DE7602"/>
    <w:rsid w:val="00E3163A"/>
    <w:rsid w:val="00EA38D1"/>
    <w:rsid w:val="00EB6FE1"/>
    <w:rsid w:val="00EF12C2"/>
    <w:rsid w:val="00EF1ABB"/>
    <w:rsid w:val="00EF1E59"/>
    <w:rsid w:val="00F77463"/>
    <w:rsid w:val="00F83B3C"/>
    <w:rsid w:val="00FB4770"/>
    <w:rsid w:val="00FB4ADD"/>
    <w:rsid w:val="00FC661C"/>
    <w:rsid w:val="00FD2560"/>
    <w:rsid w:val="00FD272E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677C2"/>
  </w:style>
  <w:style w:type="character" w:customStyle="1" w:styleId="FootnoteTextChar">
    <w:name w:val="Footnote Text Char"/>
    <w:basedOn w:val="DefaultParagraphFont"/>
    <w:link w:val="FootnoteText"/>
    <w:rsid w:val="002677C2"/>
  </w:style>
  <w:style w:type="character" w:styleId="FootnoteReference">
    <w:name w:val="footnote reference"/>
    <w:rsid w:val="002677C2"/>
    <w:rPr>
      <w:vertAlign w:val="superscript"/>
    </w:rPr>
  </w:style>
  <w:style w:type="character" w:customStyle="1" w:styleId="FooterChar">
    <w:name w:val="Footer Char"/>
    <w:link w:val="Footer"/>
    <w:uiPriority w:val="99"/>
    <w:rsid w:val="006310C3"/>
  </w:style>
  <w:style w:type="character" w:styleId="CommentReference">
    <w:name w:val="annotation reference"/>
    <w:basedOn w:val="DefaultParagraphFont"/>
    <w:rsid w:val="001005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05C7"/>
  </w:style>
  <w:style w:type="character" w:customStyle="1" w:styleId="CommentTextChar">
    <w:name w:val="Comment Text Char"/>
    <w:basedOn w:val="DefaultParagraphFont"/>
    <w:link w:val="CommentText"/>
    <w:rsid w:val="001005C7"/>
  </w:style>
  <w:style w:type="paragraph" w:styleId="CommentSubject">
    <w:name w:val="annotation subject"/>
    <w:basedOn w:val="CommentText"/>
    <w:next w:val="CommentText"/>
    <w:link w:val="CommentSubjectChar"/>
    <w:rsid w:val="0010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05C7"/>
    <w:rPr>
      <w:b/>
      <w:bCs/>
    </w:rPr>
  </w:style>
  <w:style w:type="paragraph" w:styleId="Revision">
    <w:name w:val="Revision"/>
    <w:hidden/>
    <w:uiPriority w:val="99"/>
    <w:semiHidden/>
    <w:rsid w:val="001005C7"/>
  </w:style>
  <w:style w:type="paragraph" w:styleId="BalloonText">
    <w:name w:val="Balloon Text"/>
    <w:basedOn w:val="Normal"/>
    <w:link w:val="BalloonTextChar"/>
    <w:rsid w:val="00100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2677C2"/>
  </w:style>
  <w:style w:type="character" w:customStyle="1" w:styleId="FootnoteTextChar">
    <w:name w:val="Footnote Text Char"/>
    <w:basedOn w:val="DefaultParagraphFont"/>
    <w:link w:val="FootnoteText"/>
    <w:rsid w:val="002677C2"/>
  </w:style>
  <w:style w:type="character" w:styleId="FootnoteReference">
    <w:name w:val="footnote reference"/>
    <w:rsid w:val="002677C2"/>
    <w:rPr>
      <w:vertAlign w:val="superscript"/>
    </w:rPr>
  </w:style>
  <w:style w:type="character" w:customStyle="1" w:styleId="FooterChar">
    <w:name w:val="Footer Char"/>
    <w:link w:val="Footer"/>
    <w:uiPriority w:val="99"/>
    <w:rsid w:val="006310C3"/>
  </w:style>
  <w:style w:type="character" w:styleId="CommentReference">
    <w:name w:val="annotation reference"/>
    <w:basedOn w:val="DefaultParagraphFont"/>
    <w:rsid w:val="001005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05C7"/>
  </w:style>
  <w:style w:type="character" w:customStyle="1" w:styleId="CommentTextChar">
    <w:name w:val="Comment Text Char"/>
    <w:basedOn w:val="DefaultParagraphFont"/>
    <w:link w:val="CommentText"/>
    <w:rsid w:val="001005C7"/>
  </w:style>
  <w:style w:type="paragraph" w:styleId="CommentSubject">
    <w:name w:val="annotation subject"/>
    <w:basedOn w:val="CommentText"/>
    <w:next w:val="CommentText"/>
    <w:link w:val="CommentSubjectChar"/>
    <w:rsid w:val="00100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05C7"/>
    <w:rPr>
      <w:b/>
      <w:bCs/>
    </w:rPr>
  </w:style>
  <w:style w:type="paragraph" w:styleId="Revision">
    <w:name w:val="Revision"/>
    <w:hidden/>
    <w:uiPriority w:val="99"/>
    <w:semiHidden/>
    <w:rsid w:val="001005C7"/>
  </w:style>
  <w:style w:type="paragraph" w:styleId="BalloonText">
    <w:name w:val="Balloon Text"/>
    <w:basedOn w:val="Normal"/>
    <w:link w:val="BalloonTextChar"/>
    <w:rsid w:val="00100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2</Pages>
  <Words>436</Words>
  <Characters>2187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Yellow Bird/Steele</vt:lpstr>
    </vt:vector>
  </TitlesOfParts>
  <Manager/>
  <Company/>
  <LinksUpToDate>false</LinksUpToDate>
  <CharactersWithSpaces>2664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2013-04-19T16:41:00Z</cp:lastPrinted>
  <dcterms:created xsi:type="dcterms:W3CDTF">2013-04-19T20:19:00Z</dcterms:created>
  <dcterms:modified xsi:type="dcterms:W3CDTF">2013-04-19T20:19:00Z</dcterms:modified>
  <cp:category> </cp:category>
  <cp:contentStatus> </cp:contentStatus>
</cp:coreProperties>
</file>