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820" w:rsidRDefault="00DC385E" w:rsidP="00DC385E">
      <w:pPr>
        <w:ind w:left="5760"/>
        <w:jc w:val="right"/>
        <w:rPr>
          <w:szCs w:val="22"/>
        </w:rPr>
        <w:sectPr w:rsidR="00230820" w:rsidSect="00DC385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docGrid w:linePitch="299"/>
        </w:sectPr>
      </w:pPr>
      <w:bookmarkStart w:id="1" w:name="_GoBack"/>
      <w:bookmarkEnd w:id="1"/>
      <w:r>
        <w:rPr>
          <w:szCs w:val="22"/>
        </w:rPr>
        <w:tab/>
      </w:r>
      <w:r>
        <w:rPr>
          <w:szCs w:val="22"/>
        </w:rPr>
        <w:tab/>
      </w:r>
    </w:p>
    <w:p w:rsidR="00DC385E" w:rsidRPr="008844FD" w:rsidRDefault="00DC385E" w:rsidP="00DC385E">
      <w:pPr>
        <w:ind w:left="5760"/>
        <w:jc w:val="right"/>
        <w:rPr>
          <w:b/>
          <w:szCs w:val="22"/>
        </w:rPr>
      </w:pPr>
      <w:r w:rsidRPr="008844FD">
        <w:rPr>
          <w:b/>
          <w:szCs w:val="22"/>
        </w:rPr>
        <w:lastRenderedPageBreak/>
        <w:t>DA 13-</w:t>
      </w:r>
      <w:r>
        <w:rPr>
          <w:b/>
          <w:szCs w:val="22"/>
        </w:rPr>
        <w:t>806</w:t>
      </w:r>
    </w:p>
    <w:p w:rsidR="00DC385E" w:rsidRPr="008844FD" w:rsidRDefault="00DC385E" w:rsidP="00DC385E">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Released:  April 22</w:t>
      </w:r>
      <w:r w:rsidRPr="008844FD">
        <w:rPr>
          <w:b/>
          <w:szCs w:val="22"/>
        </w:rPr>
        <w:t>, 2013</w:t>
      </w:r>
    </w:p>
    <w:p w:rsidR="00DC385E" w:rsidRDefault="00DC385E" w:rsidP="00DC385E">
      <w:pPr>
        <w:spacing w:after="120"/>
        <w:jc w:val="right"/>
        <w:rPr>
          <w:sz w:val="24"/>
        </w:rPr>
      </w:pPr>
    </w:p>
    <w:p w:rsidR="00DC385E" w:rsidRDefault="00DC385E" w:rsidP="00DC385E">
      <w:pPr>
        <w:jc w:val="center"/>
        <w:rPr>
          <w:b/>
          <w:szCs w:val="22"/>
        </w:rPr>
      </w:pPr>
      <w:r>
        <w:rPr>
          <w:b/>
          <w:szCs w:val="22"/>
        </w:rPr>
        <w:t xml:space="preserve">               COMMENT SOUGHT ON NORTH AMERICAN NUMBERING </w:t>
      </w:r>
      <w:r>
        <w:rPr>
          <w:b/>
          <w:szCs w:val="22"/>
        </w:rPr>
        <w:tab/>
      </w:r>
      <w:r>
        <w:rPr>
          <w:b/>
          <w:szCs w:val="22"/>
        </w:rPr>
        <w:tab/>
      </w:r>
    </w:p>
    <w:p w:rsidR="00DC385E" w:rsidRDefault="00DC385E" w:rsidP="00DC385E">
      <w:pPr>
        <w:jc w:val="center"/>
        <w:rPr>
          <w:b/>
          <w:szCs w:val="22"/>
        </w:rPr>
      </w:pPr>
      <w:r>
        <w:rPr>
          <w:b/>
          <w:szCs w:val="22"/>
        </w:rPr>
        <w:t>COUNCIL RECOMMENDATION THAT FCC CONSOLIDATE ITS NORTH AMERICAN NUMBERING PLAN ADMINSTRATOR AND POOLING ADMINISTRATOR CONTRACTS</w:t>
      </w:r>
    </w:p>
    <w:p w:rsidR="00DC385E" w:rsidRDefault="00DC385E" w:rsidP="00DC385E">
      <w:pPr>
        <w:jc w:val="center"/>
        <w:rPr>
          <w:b/>
          <w:szCs w:val="22"/>
        </w:rPr>
      </w:pPr>
    </w:p>
    <w:p w:rsidR="00DC385E" w:rsidRDefault="00DC385E" w:rsidP="00DC385E">
      <w:pPr>
        <w:jc w:val="center"/>
        <w:rPr>
          <w:b/>
          <w:szCs w:val="22"/>
        </w:rPr>
      </w:pPr>
      <w:r>
        <w:rPr>
          <w:b/>
          <w:szCs w:val="22"/>
        </w:rPr>
        <w:t>CC Docket No. 92-237</w:t>
      </w:r>
    </w:p>
    <w:p w:rsidR="00DC385E" w:rsidRDefault="00DC385E" w:rsidP="00DC385E">
      <w:pPr>
        <w:jc w:val="center"/>
        <w:rPr>
          <w:b/>
          <w:szCs w:val="22"/>
        </w:rPr>
      </w:pPr>
      <w:r>
        <w:rPr>
          <w:b/>
          <w:szCs w:val="22"/>
        </w:rPr>
        <w:t>CC Docket No. 99-200</w:t>
      </w:r>
    </w:p>
    <w:p w:rsidR="00DC385E" w:rsidRDefault="00DC385E" w:rsidP="00DC385E">
      <w:pPr>
        <w:jc w:val="center"/>
        <w:rPr>
          <w:b/>
          <w:szCs w:val="22"/>
        </w:rPr>
      </w:pPr>
    </w:p>
    <w:p w:rsidR="00DC385E" w:rsidRDefault="00DC385E" w:rsidP="00DC385E">
      <w:pPr>
        <w:rPr>
          <w:b/>
          <w:szCs w:val="22"/>
        </w:rPr>
      </w:pPr>
      <w:r>
        <w:rPr>
          <w:b/>
          <w:szCs w:val="22"/>
        </w:rPr>
        <w:t>Comment Date:  May 22, 2013</w:t>
      </w:r>
    </w:p>
    <w:p w:rsidR="00DC385E" w:rsidRDefault="00DC385E" w:rsidP="00DC385E">
      <w:pPr>
        <w:rPr>
          <w:b/>
          <w:szCs w:val="22"/>
        </w:rPr>
      </w:pPr>
      <w:r>
        <w:rPr>
          <w:b/>
          <w:szCs w:val="22"/>
        </w:rPr>
        <w:t>Reply Comment Date:  June 3, 2013</w:t>
      </w:r>
    </w:p>
    <w:p w:rsidR="00DC385E" w:rsidRDefault="00DC385E" w:rsidP="00DC385E">
      <w:pPr>
        <w:rPr>
          <w:b/>
          <w:szCs w:val="22"/>
        </w:rPr>
      </w:pPr>
    </w:p>
    <w:p w:rsidR="00DC385E" w:rsidRDefault="00DC385E" w:rsidP="00DC385E">
      <w:pPr>
        <w:ind w:firstLine="720"/>
        <w:rPr>
          <w:szCs w:val="22"/>
        </w:rPr>
      </w:pPr>
      <w:r>
        <w:rPr>
          <w:szCs w:val="22"/>
        </w:rPr>
        <w:t>On February 20, 2013, the North American Numbering Council (NANC) submitted a recommendation</w:t>
      </w:r>
      <w:r>
        <w:rPr>
          <w:rStyle w:val="FootnoteReference"/>
          <w:szCs w:val="22"/>
        </w:rPr>
        <w:footnoteReference w:id="1"/>
      </w:r>
      <w:r>
        <w:rPr>
          <w:szCs w:val="22"/>
        </w:rPr>
        <w:t xml:space="preserve"> that the Federal Communications Commission (Commission) consider consolidating the North American Numbering Plan Administrator (NANPA)</w:t>
      </w:r>
      <w:r>
        <w:rPr>
          <w:rStyle w:val="FootnoteReference"/>
          <w:szCs w:val="22"/>
        </w:rPr>
        <w:footnoteReference w:id="2"/>
      </w:r>
      <w:r>
        <w:rPr>
          <w:szCs w:val="22"/>
        </w:rPr>
        <w:t xml:space="preserve"> and Pooling Administrator (PA)</w:t>
      </w:r>
      <w:r w:rsidRPr="0015236C">
        <w:rPr>
          <w:rStyle w:val="FootnoteReference"/>
          <w:szCs w:val="22"/>
        </w:rPr>
        <w:t xml:space="preserve"> </w:t>
      </w:r>
      <w:r>
        <w:rPr>
          <w:rStyle w:val="FootnoteReference"/>
          <w:szCs w:val="22"/>
        </w:rPr>
        <w:footnoteReference w:id="3"/>
      </w:r>
      <w:r>
        <w:rPr>
          <w:szCs w:val="22"/>
        </w:rPr>
        <w:t xml:space="preserve"> contracts.  To facilitate consideration of efficiencies that may be gained by combining the contracts, the NANC provides evaluations of the benefits and risks of the proposed consolidation.  We seek comment on the NANC contract consolidation proposal, including the identified benefits and risks associated with this proposal.  </w:t>
      </w:r>
    </w:p>
    <w:p w:rsidR="00DC385E" w:rsidRDefault="00DC385E" w:rsidP="00DC385E">
      <w:pPr>
        <w:rPr>
          <w:szCs w:val="22"/>
        </w:rPr>
      </w:pPr>
    </w:p>
    <w:p w:rsidR="00DC385E" w:rsidRDefault="00DC385E" w:rsidP="00DC385E">
      <w:r>
        <w:tab/>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DC385E" w:rsidRDefault="00DC385E" w:rsidP="00DC385E"/>
    <w:p w:rsidR="00DC385E" w:rsidRDefault="00DC385E" w:rsidP="00DC385E">
      <w:pPr>
        <w:numPr>
          <w:ilvl w:val="0"/>
          <w:numId w:val="3"/>
        </w:numPr>
      </w:pPr>
      <w:r>
        <w:t xml:space="preserve">Electronic Filers:  Comments may be filed electronically using the Internet by accessing the ECFS:  </w:t>
      </w:r>
      <w:hyperlink r:id="rId14" w:history="1">
        <w:r>
          <w:rPr>
            <w:rStyle w:val="Hyperlink"/>
          </w:rPr>
          <w:t>http://fjallfoss.fcc.gov/ecfs2/</w:t>
        </w:r>
      </w:hyperlink>
      <w:r>
        <w:t xml:space="preserve">.  </w:t>
      </w:r>
    </w:p>
    <w:p w:rsidR="00DC385E" w:rsidRDefault="00DC385E" w:rsidP="00DC385E"/>
    <w:p w:rsidR="00DC385E" w:rsidRDefault="00DC385E" w:rsidP="00DC385E">
      <w:pPr>
        <w:numPr>
          <w:ilvl w:val="0"/>
          <w:numId w:val="1"/>
        </w:numPr>
      </w:pPr>
      <w:r>
        <w:lastRenderedPageBreak/>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DC385E" w:rsidRDefault="00DC385E" w:rsidP="00DC385E"/>
    <w:p w:rsidR="00DC385E" w:rsidRDefault="00DC385E" w:rsidP="00DC385E">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DC385E" w:rsidRDefault="00DC385E" w:rsidP="00DC385E"/>
    <w:p w:rsidR="00DC385E" w:rsidRDefault="00DC385E" w:rsidP="00DC385E">
      <w:pPr>
        <w:numPr>
          <w:ilvl w:val="0"/>
          <w:numId w:val="2"/>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DC385E" w:rsidRDefault="00DC385E" w:rsidP="00DC385E">
      <w:pPr>
        <w:ind w:left="1080"/>
      </w:pPr>
    </w:p>
    <w:p w:rsidR="00DC385E" w:rsidRDefault="00DC385E" w:rsidP="00DC385E">
      <w:pPr>
        <w:numPr>
          <w:ilvl w:val="0"/>
          <w:numId w:val="2"/>
        </w:numPr>
      </w:pPr>
      <w:r>
        <w:t>Commercial overnight mail (other than U.S. Postal Service Express Mail and Priority Mail) must be sent to 9300 East Hampton Drive, Capitol Heights, MD 20743.</w:t>
      </w:r>
    </w:p>
    <w:p w:rsidR="00DC385E" w:rsidRDefault="00DC385E" w:rsidP="00DC385E"/>
    <w:p w:rsidR="00DC385E" w:rsidRDefault="00DC385E" w:rsidP="00DC385E">
      <w:pPr>
        <w:numPr>
          <w:ilvl w:val="0"/>
          <w:numId w:val="2"/>
        </w:numPr>
      </w:pPr>
      <w:r>
        <w:t>U.S. Postal Service first-class, Express, and Priority mail must be addressed to 445 12</w:t>
      </w:r>
      <w:r>
        <w:rPr>
          <w:vertAlign w:val="superscript"/>
        </w:rPr>
        <w:t>th</w:t>
      </w:r>
      <w:r>
        <w:t xml:space="preserve"> Street, SW, Washington D.C.  20554.</w:t>
      </w:r>
    </w:p>
    <w:p w:rsidR="00DC385E" w:rsidRDefault="00DC385E" w:rsidP="00DC385E"/>
    <w:p w:rsidR="00DC385E" w:rsidRDefault="00DC385E" w:rsidP="00DC385E">
      <w:r>
        <w:tab/>
        <w:t xml:space="preserve">People with Disabilities:  To request materials in accessible formats for people with disabilities (Braille, large print, electronic files, audio format), send an e-mail to </w:t>
      </w:r>
      <w:hyperlink r:id="rId15" w:history="1">
        <w:r>
          <w:rPr>
            <w:rStyle w:val="Hyperlink"/>
          </w:rPr>
          <w:t>fcc504@fcc.gov</w:t>
        </w:r>
      </w:hyperlink>
      <w:r>
        <w:t xml:space="preserve"> or call the Consumer &amp; Governmental Affairs Bureau at (202) 418-0530 (voice), (202) 418-0432 (tty).</w:t>
      </w:r>
    </w:p>
    <w:p w:rsidR="00DC385E" w:rsidRDefault="00DC385E" w:rsidP="00DC385E">
      <w:pPr>
        <w:pStyle w:val="ParaNum"/>
        <w:widowControl/>
        <w:tabs>
          <w:tab w:val="clear" w:pos="1080"/>
          <w:tab w:val="left" w:pos="720"/>
        </w:tabs>
        <w:spacing w:after="0"/>
        <w:ind w:firstLine="0"/>
      </w:pPr>
    </w:p>
    <w:p w:rsidR="00DC385E" w:rsidRDefault="00DC385E" w:rsidP="00DC385E">
      <w:r>
        <w:t xml:space="preserve"> </w:t>
      </w:r>
      <w:r>
        <w:tab/>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4"/>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DC385E" w:rsidRDefault="00DC385E" w:rsidP="00DC385E"/>
    <w:p w:rsidR="00DC385E" w:rsidRDefault="00DC385E" w:rsidP="00DC385E">
      <w:pPr>
        <w:pStyle w:val="ParaNum"/>
        <w:tabs>
          <w:tab w:val="clear" w:pos="1080"/>
          <w:tab w:val="left" w:pos="720"/>
        </w:tabs>
      </w:pPr>
      <w:r>
        <w:lastRenderedPageBreak/>
        <w:t xml:space="preserve">For further information, contact Marilyn Jones, </w:t>
      </w:r>
      <w:hyperlink r:id="rId16" w:history="1">
        <w:r>
          <w:rPr>
            <w:rStyle w:val="Hyperlink"/>
          </w:rPr>
          <w:t>marilyn.jones@fcc.gov</w:t>
        </w:r>
      </w:hyperlink>
      <w:r>
        <w:t xml:space="preserve">, of the Competition Policy Division, Wireline Competition Bureau, at (202) 418-1580. </w:t>
      </w:r>
    </w:p>
    <w:p w:rsidR="003C26AA" w:rsidRPr="003A75A1" w:rsidRDefault="00DC385E" w:rsidP="003A75A1">
      <w:pPr>
        <w:spacing w:before="120"/>
        <w:jc w:val="center"/>
        <w:rPr>
          <w:b/>
          <w:szCs w:val="22"/>
        </w:rPr>
      </w:pPr>
      <w:r>
        <w:rPr>
          <w:b/>
          <w:szCs w:val="22"/>
        </w:rPr>
        <w:t>- FCC-</w:t>
      </w:r>
    </w:p>
    <w:sectPr w:rsidR="003C26AA" w:rsidRPr="003A75A1" w:rsidSect="00230820">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289" w:rsidRDefault="00FD1289">
      <w:r>
        <w:separator/>
      </w:r>
    </w:p>
  </w:endnote>
  <w:endnote w:type="continuationSeparator" w:id="0">
    <w:p w:rsidR="00FD1289" w:rsidRDefault="00FD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13" w:rsidRDefault="0001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A1" w:rsidRDefault="003A75A1">
    <w:pPr>
      <w:pStyle w:val="Footer"/>
      <w:jc w:val="center"/>
    </w:pPr>
    <w:r>
      <w:fldChar w:fldCharType="begin"/>
    </w:r>
    <w:r>
      <w:instrText xml:space="preserve"> PAGE   \* MERGEFORMAT </w:instrText>
    </w:r>
    <w:r>
      <w:fldChar w:fldCharType="separate"/>
    </w:r>
    <w:r w:rsidR="005B4D2C">
      <w:rPr>
        <w:noProof/>
      </w:rPr>
      <w:t>2</w:t>
    </w:r>
    <w:r>
      <w:rPr>
        <w:noProof/>
      </w:rPr>
      <w:fldChar w:fldCharType="end"/>
    </w:r>
  </w:p>
  <w:p w:rsidR="003A75A1" w:rsidRDefault="003A75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13" w:rsidRDefault="00014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289" w:rsidRDefault="00FD1289">
      <w:r>
        <w:separator/>
      </w:r>
    </w:p>
  </w:footnote>
  <w:footnote w:type="continuationSeparator" w:id="0">
    <w:p w:rsidR="00FD1289" w:rsidRDefault="00FD1289">
      <w:r>
        <w:continuationSeparator/>
      </w:r>
    </w:p>
  </w:footnote>
  <w:footnote w:id="1">
    <w:p w:rsidR="00DC385E" w:rsidRPr="00D2704F" w:rsidRDefault="00DC385E" w:rsidP="00DC385E">
      <w:pPr>
        <w:pStyle w:val="FootnoteText"/>
        <w:spacing w:after="120"/>
        <w:rPr>
          <w:sz w:val="20"/>
        </w:rPr>
      </w:pPr>
      <w:r w:rsidRPr="00D2704F">
        <w:rPr>
          <w:rStyle w:val="FootnoteReference"/>
          <w:sz w:val="20"/>
        </w:rPr>
        <w:footnoteRef/>
      </w:r>
      <w:r w:rsidRPr="00D2704F">
        <w:rPr>
          <w:sz w:val="20"/>
        </w:rPr>
        <w:t xml:space="preserve"> </w:t>
      </w:r>
      <w:r w:rsidRPr="00D2704F">
        <w:rPr>
          <w:i/>
          <w:sz w:val="20"/>
        </w:rPr>
        <w:t>See</w:t>
      </w:r>
      <w:r w:rsidRPr="00D2704F">
        <w:rPr>
          <w:sz w:val="20"/>
        </w:rPr>
        <w:t xml:space="preserve"> Letter from Betty Ann Kane, Chairman, North American Numbering Council, to Julie A. Veach, Chief, Wireline Competition Bureau, Federal Communications Commission (filed Feb. 20, 2013).</w:t>
      </w:r>
    </w:p>
  </w:footnote>
  <w:footnote w:id="2">
    <w:p w:rsidR="00DC385E" w:rsidRPr="00D2704F" w:rsidRDefault="00DC385E" w:rsidP="00DC385E">
      <w:pPr>
        <w:spacing w:after="120"/>
        <w:rPr>
          <w:rFonts w:cs="Arial"/>
          <w:sz w:val="20"/>
        </w:rPr>
      </w:pPr>
      <w:r w:rsidRPr="00D2704F">
        <w:rPr>
          <w:rStyle w:val="FootnoteReference"/>
          <w:sz w:val="20"/>
        </w:rPr>
        <w:footnoteRef/>
      </w:r>
      <w:r w:rsidRPr="00D2704F">
        <w:rPr>
          <w:sz w:val="20"/>
        </w:rPr>
        <w:t xml:space="preserve"> The NANPA is responsible for the neutral administration of North American Numbering Plan (NANP) resources, subject to directives from </w:t>
      </w:r>
      <w:hyperlink r:id="rId1" w:tooltip="Regulatory Authorities" w:history="1">
        <w:r w:rsidRPr="00D2704F">
          <w:rPr>
            <w:sz w:val="20"/>
          </w:rPr>
          <w:t>regulatory authorities</w:t>
        </w:r>
      </w:hyperlink>
      <w:r w:rsidRPr="00D2704F">
        <w:rPr>
          <w:sz w:val="20"/>
        </w:rPr>
        <w:t xml:space="preserve"> in the countries that share the NANP</w:t>
      </w:r>
      <w:r w:rsidRPr="00D2704F">
        <w:rPr>
          <w:i/>
          <w:sz w:val="20"/>
        </w:rPr>
        <w:t>.  See</w:t>
      </w:r>
      <w:r w:rsidRPr="00D2704F">
        <w:rPr>
          <w:sz w:val="20"/>
        </w:rPr>
        <w:t xml:space="preserve"> Central Office Code (NXX) Guidelines (COCAG), </w:t>
      </w:r>
      <w:r w:rsidRPr="00D2704F">
        <w:rPr>
          <w:rFonts w:cs="Arial"/>
          <w:sz w:val="20"/>
        </w:rPr>
        <w:t xml:space="preserve">ATIS-0300051, Section 13 at page 51-52.  </w:t>
      </w:r>
    </w:p>
  </w:footnote>
  <w:footnote w:id="3">
    <w:p w:rsidR="00DC385E" w:rsidRPr="00D2704F" w:rsidRDefault="00DC385E" w:rsidP="00DC385E">
      <w:pPr>
        <w:spacing w:after="120"/>
        <w:rPr>
          <w:sz w:val="20"/>
        </w:rPr>
      </w:pPr>
      <w:r w:rsidRPr="00D2704F">
        <w:rPr>
          <w:rStyle w:val="FootnoteReference"/>
          <w:sz w:val="20"/>
        </w:rPr>
        <w:footnoteRef/>
      </w:r>
      <w:r w:rsidRPr="00D2704F">
        <w:rPr>
          <w:sz w:val="20"/>
        </w:rPr>
        <w:t xml:space="preserve">  The PA </w:t>
      </w:r>
      <w:r w:rsidRPr="00D2704F">
        <w:rPr>
          <w:rFonts w:cs="Arial"/>
          <w:sz w:val="20"/>
        </w:rPr>
        <w:t>is responsible for the neutral administration of thousands-blocks of numbers from Central Office Codes in areas where thousands-block number pooling has been ordered or implemented</w:t>
      </w:r>
      <w:r w:rsidRPr="00D2704F">
        <w:rPr>
          <w:sz w:val="20"/>
        </w:rPr>
        <w:t xml:space="preserve">.  </w:t>
      </w:r>
      <w:r w:rsidRPr="00D2704F">
        <w:rPr>
          <w:i/>
          <w:sz w:val="20"/>
        </w:rPr>
        <w:t>Id</w:t>
      </w:r>
      <w:r w:rsidRPr="00D2704F">
        <w:rPr>
          <w:sz w:val="20"/>
        </w:rPr>
        <w:t xml:space="preserve">. at page 54.  The PA also serves as the Routing Number Administrator, which is </w:t>
      </w:r>
      <w:r w:rsidRPr="00D2704F">
        <w:rPr>
          <w:rFonts w:cs="Arial"/>
          <w:sz w:val="20"/>
        </w:rPr>
        <w:t xml:space="preserve">responsible for the assignment of non-dialable </w:t>
      </w:r>
      <w:r w:rsidRPr="00D2704F">
        <w:rPr>
          <w:color w:val="000000"/>
          <w:sz w:val="20"/>
        </w:rPr>
        <w:t>Pseudo-Automatic Number Identification (p-ANI) n</w:t>
      </w:r>
      <w:r w:rsidRPr="00D2704F">
        <w:rPr>
          <w:rFonts w:cs="Arial"/>
          <w:sz w:val="20"/>
        </w:rPr>
        <w:t xml:space="preserve">umbers to eligible users.  </w:t>
      </w:r>
      <w:r w:rsidRPr="00D2704F">
        <w:rPr>
          <w:rFonts w:cs="Arial"/>
          <w:i/>
          <w:sz w:val="20"/>
        </w:rPr>
        <w:t>See</w:t>
      </w:r>
      <w:r w:rsidRPr="00D2704F">
        <w:rPr>
          <w:rFonts w:cs="Arial"/>
          <w:sz w:val="20"/>
        </w:rPr>
        <w:t xml:space="preserve"> P-ANI Administration Guidelines, ATIS-0300089, Section 11 at page 37. </w:t>
      </w:r>
    </w:p>
  </w:footnote>
  <w:footnote w:id="4">
    <w:p w:rsidR="00DC385E" w:rsidRPr="002134D1" w:rsidRDefault="00DC385E" w:rsidP="00DC385E">
      <w:pPr>
        <w:pStyle w:val="FootnoteText"/>
        <w:rPr>
          <w:i/>
          <w:iCs/>
          <w:sz w:val="20"/>
        </w:rPr>
      </w:pPr>
      <w:r w:rsidRPr="002134D1">
        <w:rPr>
          <w:rStyle w:val="FootnoteReference"/>
          <w:sz w:val="20"/>
        </w:rPr>
        <w:footnoteRef/>
      </w:r>
      <w:r w:rsidRPr="002134D1">
        <w:rPr>
          <w:sz w:val="20"/>
        </w:rPr>
        <w:t xml:space="preserve"> 47 C.F.R. §§ 1.1200 </w:t>
      </w:r>
      <w:r w:rsidRPr="002134D1">
        <w:rPr>
          <w:i/>
          <w:iCs/>
          <w:sz w:val="20"/>
        </w:rPr>
        <w:t>et seq.</w:t>
      </w:r>
    </w:p>
    <w:p w:rsidR="00DC385E" w:rsidRPr="003A75A1" w:rsidRDefault="00DC385E" w:rsidP="00DC385E">
      <w:pPr>
        <w:pStyle w:val="FootnoteText"/>
        <w:rPr>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13" w:rsidRDefault="00014D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13" w:rsidRDefault="00014D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359" w:rsidRDefault="005B4D2C">
    <w:pPr>
      <w:pStyle w:val="Header"/>
      <w:tabs>
        <w:tab w:val="clear" w:pos="4320"/>
        <w:tab w:val="clear" w:pos="8640"/>
        <w:tab w:val="left" w:pos="1080"/>
      </w:tabs>
      <w:spacing w:line="1120" w:lineRule="exact"/>
      <w:ind w:left="720"/>
      <w:rPr>
        <w:rFonts w:ascii="Arial" w:hAnsi="Arial"/>
        <w:b/>
        <w:sz w:val="96"/>
      </w:rPr>
    </w:pPr>
    <w:r>
      <w:rPr>
        <w:rFonts w:ascii="Arial" w:hAnsi="Arial"/>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95pt;margin-top:7.2pt;width:41.75pt;height:41.75pt;z-index:251659264;mso-position-horizontal:absolute;mso-position-horizontal-relative:text;mso-position-vertical:absolute;mso-position-vertical-relative:text" o:allowincell="f">
          <v:imagedata r:id="rId1" o:title="fcc_logo"/>
          <w10:wrap type="topAndBottom"/>
        </v:shape>
      </w:pict>
    </w:r>
    <w:r>
      <w:rPr>
        <w:rFonts w:ascii="Arial" w:hAnsi="Arial"/>
        <w:b/>
        <w:noProof/>
        <w:sz w:val="24"/>
      </w:rPr>
      <w:pict>
        <v:shapetype id="_x0000_t202" coordsize="21600,21600" o:spt="202" path="m,l,21600r21600,l21600,xe">
          <v:stroke joinstyle="miter"/>
          <v:path gradientshapeok="t" o:connecttype="rect"/>
        </v:shapetype>
        <v:shape id="_x0000_s2050" type="#_x0000_t202" style="position:absolute;left:0;text-align:left;margin-left:47.6pt;margin-top:57.6pt;width:244.8pt;height:50.4pt;z-index:251656192;mso-position-horizontal:absolute;mso-position-horizontal-relative:text;mso-position-vertical:absolute;mso-position-vertical-relative:text" o:allowincell="f" stroked="f">
          <v:textbox style="mso-next-textbox:#_x0000_s2050">
            <w:txbxContent>
              <w:p w:rsidR="009B7359" w:rsidRDefault="00FD1289">
                <w:pPr>
                  <w:rPr>
                    <w:rFonts w:ascii="Arial" w:hAnsi="Arial"/>
                    <w:b/>
                    <w:sz w:val="24"/>
                  </w:rPr>
                </w:pPr>
                <w:r>
                  <w:rPr>
                    <w:rFonts w:ascii="Arial" w:hAnsi="Arial"/>
                    <w:b/>
                    <w:sz w:val="24"/>
                  </w:rPr>
                  <w:t>Federal Communications Commission</w:t>
                </w:r>
              </w:p>
              <w:p w:rsidR="009B7359" w:rsidRDefault="00FD1289">
                <w:pPr>
                  <w:rPr>
                    <w:rFonts w:ascii="Arial" w:hAnsi="Arial"/>
                    <w:b/>
                    <w:sz w:val="24"/>
                  </w:rPr>
                </w:pPr>
                <w:r>
                  <w:rPr>
                    <w:rFonts w:ascii="Arial" w:hAnsi="Arial"/>
                    <w:b/>
                    <w:sz w:val="24"/>
                  </w:rPr>
                  <w:t>445 12th St., S.W.</w:t>
                </w:r>
              </w:p>
              <w:p w:rsidR="009B7359" w:rsidRDefault="00FD1289">
                <w:pPr>
                  <w:rPr>
                    <w:rFonts w:ascii="Arial" w:hAnsi="Arial"/>
                    <w:sz w:val="24"/>
                  </w:rPr>
                </w:pPr>
                <w:r>
                  <w:rPr>
                    <w:rFonts w:ascii="Arial" w:hAnsi="Arial"/>
                    <w:b/>
                    <w:sz w:val="24"/>
                  </w:rPr>
                  <w:t>Washington, D.C. 20554</w:t>
                </w:r>
              </w:p>
            </w:txbxContent>
          </v:textbox>
        </v:shape>
      </w:pict>
    </w:r>
    <w:r w:rsidR="00FD1289">
      <w:tab/>
    </w:r>
    <w:r w:rsidR="00FD1289">
      <w:rPr>
        <w:rFonts w:ascii="Arial" w:hAnsi="Arial"/>
        <w:b/>
        <w:sz w:val="96"/>
      </w:rPr>
      <w:t>PUBLIC NOTICE</w:t>
    </w:r>
  </w:p>
  <w:p w:rsidR="009B7359" w:rsidRDefault="005B4D2C">
    <w:pPr>
      <w:pStyle w:val="Header"/>
      <w:tabs>
        <w:tab w:val="clear" w:pos="4320"/>
        <w:tab w:val="clear" w:pos="8640"/>
        <w:tab w:val="left" w:pos="1080"/>
      </w:tabs>
      <w:spacing w:line="1120" w:lineRule="exact"/>
      <w:ind w:left="720"/>
      <w:rPr>
        <w:rFonts w:ascii="Arial" w:hAnsi="Arial"/>
        <w:b/>
        <w:sz w:val="28"/>
      </w:rPr>
    </w:pPr>
    <w:r>
      <w:rPr>
        <w:rFonts w:ascii="Arial" w:hAnsi="Arial"/>
        <w:b/>
        <w:noProof/>
        <w:sz w:val="24"/>
      </w:rPr>
      <w:pict>
        <v:shape id="_x0000_s2053" type="#_x0000_t202" style="position:absolute;left:0;text-align:left;margin-left:276.75pt;margin-top:1.6pt;width:183.75pt;height:45.75pt;z-index:251658240;mso-position-horizontal-relative:text;mso-position-vertical-relative:text" o:allowincell="f" stroked="f">
          <v:textbox style="mso-next-textbox:#_x0000_s2053">
            <w:txbxContent>
              <w:p w:rsidR="009B7359" w:rsidRDefault="00FD1289">
                <w:pPr>
                  <w:spacing w:before="40"/>
                  <w:jc w:val="right"/>
                  <w:rPr>
                    <w:rFonts w:ascii="Arial" w:hAnsi="Arial"/>
                    <w:sz w:val="16"/>
                  </w:rPr>
                </w:pPr>
                <w:r>
                  <w:rPr>
                    <w:rFonts w:ascii="Arial" w:hAnsi="Arial"/>
                    <w:sz w:val="16"/>
                  </w:rPr>
                  <w:tab/>
                </w:r>
              </w:p>
              <w:p w:rsidR="009B7359" w:rsidRDefault="00FD1289">
                <w:pPr>
                  <w:spacing w:before="40"/>
                  <w:jc w:val="right"/>
                  <w:rPr>
                    <w:rFonts w:ascii="Arial" w:hAnsi="Arial"/>
                    <w:b/>
                    <w:sz w:val="16"/>
                  </w:rPr>
                </w:pPr>
                <w:r>
                  <w:rPr>
                    <w:rFonts w:ascii="Arial" w:hAnsi="Arial"/>
                    <w:b/>
                    <w:sz w:val="16"/>
                  </w:rPr>
                  <w:t>News Media Information 202 / 418-0500</w:t>
                </w:r>
              </w:p>
              <w:p w:rsidR="009B7359" w:rsidRDefault="00FD128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B7359" w:rsidRDefault="00FD1289">
                <w:pPr>
                  <w:jc w:val="right"/>
                  <w:rPr>
                    <w:rFonts w:ascii="Arial" w:hAnsi="Arial"/>
                    <w:b/>
                    <w:sz w:val="16"/>
                  </w:rPr>
                </w:pPr>
                <w:r>
                  <w:rPr>
                    <w:rFonts w:ascii="Arial" w:hAnsi="Arial"/>
                    <w:b/>
                    <w:sz w:val="16"/>
                  </w:rPr>
                  <w:t>TTY: 1-888-835-5322</w:t>
                </w:r>
              </w:p>
              <w:p w:rsidR="009B7359" w:rsidRDefault="009B7359">
                <w:pPr>
                  <w:jc w:val="right"/>
                </w:pPr>
              </w:p>
              <w:p w:rsidR="009B7359" w:rsidRDefault="009B7359">
                <w:pPr>
                  <w:jc w:val="right"/>
                  <w:rPr>
                    <w:rFonts w:ascii="Arial" w:hAnsi="Arial"/>
                    <w:sz w:val="16"/>
                  </w:rPr>
                </w:pPr>
              </w:p>
              <w:p w:rsidR="009B7359" w:rsidRDefault="00FD1289">
                <w:pPr>
                  <w:jc w:val="right"/>
                  <w:rPr>
                    <w:rFonts w:ascii="Arial" w:hAnsi="Arial"/>
                    <w:sz w:val="16"/>
                  </w:rPr>
                </w:pPr>
                <w:r>
                  <w:rPr>
                    <w:rFonts w:ascii="Arial" w:hAnsi="Arial"/>
                    <w:sz w:val="16"/>
                  </w:rPr>
                  <w:tab/>
                </w:r>
              </w:p>
              <w:p w:rsidR="009B7359" w:rsidRDefault="00FD1289">
                <w:pPr>
                  <w:jc w:val="right"/>
                  <w:rPr>
                    <w:rFonts w:ascii="Arial" w:hAnsi="Arial"/>
                    <w:sz w:val="16"/>
                  </w:rPr>
                </w:pPr>
                <w:r>
                  <w:rPr>
                    <w:rFonts w:ascii="Arial" w:hAnsi="Arial"/>
                    <w:sz w:val="16"/>
                  </w:rPr>
                  <w:tab/>
                </w:r>
              </w:p>
            </w:txbxContent>
          </v:textbox>
        </v:shape>
      </w:pict>
    </w:r>
  </w:p>
  <w:p w:rsidR="009B7359" w:rsidRDefault="005B4D2C">
    <w:pPr>
      <w:pStyle w:val="Header"/>
      <w:tabs>
        <w:tab w:val="clear" w:pos="4320"/>
        <w:tab w:val="clear" w:pos="8640"/>
        <w:tab w:val="left" w:pos="1080"/>
      </w:tabs>
      <w:ind w:left="720"/>
      <w:rPr>
        <w:rFonts w:ascii="Arial" w:hAnsi="Arial"/>
        <w:b/>
        <w:sz w:val="24"/>
      </w:rPr>
    </w:pPr>
    <w:r>
      <w:rPr>
        <w:rFonts w:ascii="Arial" w:hAnsi="Arial"/>
        <w:b/>
        <w:noProof/>
      </w:rPr>
      <w:pict>
        <v:line id="_x0000_s2052" style="position:absolute;left:0;text-align:left;z-index:251657216;mso-position-horizontal-relative:text;mso-position-vertical-relative:text" from="-42.45pt,8.3pt" to="508.5pt,8.3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6AA"/>
    <w:rsid w:val="00014D13"/>
    <w:rsid w:val="00230820"/>
    <w:rsid w:val="003A75A1"/>
    <w:rsid w:val="003C26AA"/>
    <w:rsid w:val="005B4D2C"/>
    <w:rsid w:val="009B7359"/>
    <w:rsid w:val="00DC385E"/>
    <w:rsid w:val="00E1213E"/>
    <w:rsid w:val="00FD1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85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otnoteReference">
    <w:name w:val="footnote reference"/>
    <w:aliases w:val="Appel note de bas de p,Style 12,(NECG) Footnote Reference,Style 124"/>
    <w:semiHidden/>
    <w:rsid w:val="00DC385E"/>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
    <w:basedOn w:val="Normal"/>
    <w:link w:val="FootnoteTextChar2"/>
    <w:semiHidden/>
    <w:rsid w:val="00DC385E"/>
    <w:pPr>
      <w:tabs>
        <w:tab w:val="left" w:pos="720"/>
      </w:tabs>
      <w:spacing w:after="200"/>
    </w:pPr>
  </w:style>
  <w:style w:type="character" w:customStyle="1" w:styleId="FootnoteTextChar">
    <w:name w:val="Footnote Text Char"/>
    <w:basedOn w:val="DefaultParagraphFont"/>
    <w:uiPriority w:val="99"/>
    <w:semiHidden/>
    <w:rsid w:val="00DC385E"/>
  </w:style>
  <w:style w:type="paragraph" w:customStyle="1" w:styleId="ParaNum">
    <w:name w:val="ParaNum"/>
    <w:basedOn w:val="Normal"/>
    <w:rsid w:val="00DC385E"/>
    <w:pPr>
      <w:widowControl w:val="0"/>
      <w:tabs>
        <w:tab w:val="num" w:pos="1080"/>
      </w:tabs>
      <w:spacing w:after="200"/>
      <w:ind w:firstLine="720"/>
    </w:pPr>
    <w:rPr>
      <w:szCs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semiHidden/>
    <w:rsid w:val="00DC385E"/>
    <w:rPr>
      <w:sz w:val="22"/>
    </w:rPr>
  </w:style>
  <w:style w:type="character" w:customStyle="1" w:styleId="FooterChar">
    <w:name w:val="Footer Char"/>
    <w:link w:val="Footer"/>
    <w:uiPriority w:val="99"/>
    <w:rsid w:val="003A75A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ilyn.jones@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anpa.com/contact_us/nanp_country_contacts.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FCC%20Document%20Templates\Public%20Notice%20-%20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L</Template>
  <TotalTime>0</TotalTime>
  <Pages>3</Pages>
  <Words>728</Words>
  <Characters>4172</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4944</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2002-01-31T15:21:00Z</cp:lastPrinted>
  <dcterms:created xsi:type="dcterms:W3CDTF">2013-04-22T16:11:00Z</dcterms:created>
  <dcterms:modified xsi:type="dcterms:W3CDTF">2013-04-22T16:11:00Z</dcterms:modified>
  <cp:category> </cp:category>
  <cp:contentStatus> </cp:contentStatus>
</cp:coreProperties>
</file>