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9F" w:rsidRPr="000803A2" w:rsidRDefault="00FD3BE6">
      <w:pPr>
        <w:tabs>
          <w:tab w:val="left" w:pos="-1440"/>
          <w:tab w:val="left" w:pos="-720"/>
          <w:tab w:val="left" w:pos="4788"/>
          <w:tab w:val="left" w:pos="5040"/>
          <w:tab w:val="left" w:pos="6480"/>
        </w:tabs>
        <w:suppressAutoHyphens/>
        <w:outlineLvl w:val="0"/>
        <w:rPr>
          <w:b/>
          <w:sz w:val="22"/>
          <w:szCs w:val="22"/>
        </w:rPr>
      </w:pPr>
      <w:bookmarkStart w:id="0" w:name="_GoBack"/>
      <w:bookmarkEnd w:id="0"/>
      <w:r w:rsidRPr="00E275EC">
        <w:rPr>
          <w:sz w:val="22"/>
          <w:szCs w:val="22"/>
        </w:rPr>
        <w:t xml:space="preserve">                                                  </w:t>
      </w:r>
      <w:r w:rsidRPr="00E275EC">
        <w:rPr>
          <w:sz w:val="22"/>
          <w:szCs w:val="22"/>
        </w:rPr>
        <w:tab/>
      </w:r>
      <w:r w:rsidRPr="00E275EC">
        <w:rPr>
          <w:sz w:val="22"/>
          <w:szCs w:val="22"/>
        </w:rPr>
        <w:tab/>
      </w:r>
      <w:r w:rsidRPr="00E275EC">
        <w:rPr>
          <w:sz w:val="22"/>
          <w:szCs w:val="22"/>
        </w:rPr>
        <w:tab/>
      </w:r>
      <w:r w:rsidRPr="000803A2">
        <w:rPr>
          <w:b/>
          <w:sz w:val="22"/>
          <w:szCs w:val="22"/>
        </w:rPr>
        <w:t xml:space="preserve">DA </w:t>
      </w:r>
      <w:r w:rsidR="008252AF" w:rsidRPr="000803A2">
        <w:rPr>
          <w:b/>
          <w:sz w:val="22"/>
          <w:szCs w:val="22"/>
        </w:rPr>
        <w:t>13-</w:t>
      </w:r>
      <w:r w:rsidR="000803A2" w:rsidRPr="000803A2">
        <w:rPr>
          <w:b/>
          <w:sz w:val="22"/>
          <w:szCs w:val="22"/>
        </w:rPr>
        <w:t>908</w:t>
      </w:r>
    </w:p>
    <w:p w:rsidR="006F0D9F" w:rsidRPr="00E275EC" w:rsidRDefault="00FD3BE6">
      <w:pPr>
        <w:tabs>
          <w:tab w:val="left" w:pos="-1440"/>
          <w:tab w:val="left" w:pos="-720"/>
          <w:tab w:val="left" w:pos="4788"/>
          <w:tab w:val="left" w:pos="5040"/>
          <w:tab w:val="left" w:pos="6480"/>
        </w:tabs>
        <w:suppressAutoHyphens/>
        <w:outlineLvl w:val="0"/>
        <w:rPr>
          <w:i/>
          <w:sz w:val="22"/>
          <w:szCs w:val="22"/>
        </w:rPr>
      </w:pPr>
      <w:r w:rsidRPr="00E275EC">
        <w:rPr>
          <w:sz w:val="22"/>
          <w:szCs w:val="22"/>
        </w:rPr>
        <w:tab/>
      </w:r>
      <w:r w:rsidRPr="00E275EC">
        <w:rPr>
          <w:sz w:val="22"/>
          <w:szCs w:val="22"/>
        </w:rPr>
        <w:tab/>
      </w:r>
      <w:r w:rsidRPr="00E275EC">
        <w:rPr>
          <w:sz w:val="22"/>
          <w:szCs w:val="22"/>
        </w:rPr>
        <w:tab/>
      </w:r>
      <w:r w:rsidRPr="00E275EC">
        <w:rPr>
          <w:i/>
          <w:sz w:val="22"/>
          <w:szCs w:val="22"/>
        </w:rPr>
        <w:t>In Reply Refer to:</w:t>
      </w:r>
    </w:p>
    <w:p w:rsidR="006F0D9F" w:rsidRPr="00E275EC" w:rsidRDefault="00FD3BE6">
      <w:pPr>
        <w:tabs>
          <w:tab w:val="left" w:pos="0"/>
          <w:tab w:val="left" w:pos="6480"/>
        </w:tabs>
        <w:suppressAutoHyphens/>
        <w:outlineLvl w:val="0"/>
        <w:rPr>
          <w:sz w:val="22"/>
          <w:szCs w:val="22"/>
        </w:rPr>
      </w:pPr>
      <w:r w:rsidRPr="00E275EC">
        <w:rPr>
          <w:sz w:val="22"/>
          <w:szCs w:val="22"/>
        </w:rPr>
        <w:tab/>
        <w:t>1800B3-</w:t>
      </w:r>
      <w:r w:rsidR="00E75174" w:rsidRPr="00E275EC">
        <w:rPr>
          <w:sz w:val="22"/>
          <w:szCs w:val="22"/>
        </w:rPr>
        <w:t>HOD</w:t>
      </w:r>
    </w:p>
    <w:p w:rsidR="006F0D9F" w:rsidRPr="00E275EC" w:rsidRDefault="00FD3BE6">
      <w:pPr>
        <w:tabs>
          <w:tab w:val="left" w:pos="0"/>
          <w:tab w:val="left" w:pos="6480"/>
        </w:tabs>
        <w:suppressAutoHyphens/>
        <w:outlineLvl w:val="0"/>
        <w:rPr>
          <w:sz w:val="22"/>
          <w:szCs w:val="22"/>
        </w:rPr>
      </w:pPr>
      <w:r w:rsidRPr="00E275EC">
        <w:rPr>
          <w:sz w:val="22"/>
          <w:szCs w:val="22"/>
        </w:rPr>
        <w:tab/>
        <w:t>Released:</w:t>
      </w:r>
      <w:r w:rsidR="00E75174" w:rsidRPr="00E275EC">
        <w:rPr>
          <w:b/>
          <w:sz w:val="22"/>
          <w:szCs w:val="22"/>
        </w:rPr>
        <w:t xml:space="preserve">  </w:t>
      </w:r>
      <w:r w:rsidR="00D64208" w:rsidRPr="00E275EC">
        <w:rPr>
          <w:sz w:val="22"/>
          <w:szCs w:val="22"/>
        </w:rPr>
        <w:t>April</w:t>
      </w:r>
      <w:r w:rsidR="00E75174" w:rsidRPr="00E275EC">
        <w:rPr>
          <w:sz w:val="22"/>
          <w:szCs w:val="22"/>
        </w:rPr>
        <w:t xml:space="preserve"> </w:t>
      </w:r>
      <w:r w:rsidR="000803A2">
        <w:rPr>
          <w:sz w:val="22"/>
          <w:szCs w:val="22"/>
        </w:rPr>
        <w:t>26</w:t>
      </w:r>
      <w:r w:rsidR="00E75174" w:rsidRPr="00E275EC">
        <w:rPr>
          <w:sz w:val="22"/>
          <w:szCs w:val="22"/>
        </w:rPr>
        <w:t>, 2013</w:t>
      </w:r>
      <w:r w:rsidRPr="00E275EC">
        <w:rPr>
          <w:sz w:val="22"/>
          <w:szCs w:val="22"/>
        </w:rPr>
        <w:tab/>
      </w:r>
      <w:r w:rsidRPr="00E275EC">
        <w:rPr>
          <w:sz w:val="22"/>
          <w:szCs w:val="22"/>
        </w:rPr>
        <w:tab/>
      </w:r>
    </w:p>
    <w:p w:rsidR="006541F9" w:rsidRDefault="00D64208" w:rsidP="00A619AD">
      <w:pPr>
        <w:tabs>
          <w:tab w:val="left" w:pos="0"/>
        </w:tabs>
        <w:suppressAutoHyphens/>
        <w:ind w:left="5040" w:hanging="5040"/>
        <w:jc w:val="both"/>
        <w:rPr>
          <w:sz w:val="22"/>
          <w:szCs w:val="22"/>
        </w:rPr>
      </w:pPr>
      <w:r w:rsidRPr="00E275EC">
        <w:rPr>
          <w:sz w:val="22"/>
          <w:szCs w:val="22"/>
        </w:rPr>
        <w:t xml:space="preserve">John </w:t>
      </w:r>
      <w:r w:rsidR="00963720">
        <w:rPr>
          <w:sz w:val="22"/>
          <w:szCs w:val="22"/>
        </w:rPr>
        <w:t xml:space="preserve">R. </w:t>
      </w:r>
      <w:r w:rsidRPr="00E275EC">
        <w:rPr>
          <w:sz w:val="22"/>
          <w:szCs w:val="22"/>
        </w:rPr>
        <w:t>Feore</w:t>
      </w:r>
      <w:r w:rsidR="00E75174" w:rsidRPr="00E275EC">
        <w:rPr>
          <w:sz w:val="22"/>
          <w:szCs w:val="22"/>
        </w:rPr>
        <w:t>, Esq.</w:t>
      </w:r>
    </w:p>
    <w:p w:rsidR="00963720" w:rsidRPr="00E275EC" w:rsidRDefault="00963720" w:rsidP="00A619AD">
      <w:pPr>
        <w:tabs>
          <w:tab w:val="left" w:pos="0"/>
        </w:tabs>
        <w:suppressAutoHyphens/>
        <w:ind w:left="5040" w:hanging="5040"/>
        <w:jc w:val="both"/>
        <w:rPr>
          <w:sz w:val="22"/>
          <w:szCs w:val="22"/>
        </w:rPr>
      </w:pPr>
      <w:r>
        <w:rPr>
          <w:sz w:val="22"/>
          <w:szCs w:val="22"/>
        </w:rPr>
        <w:t>Michael D. Basile, Esq.</w:t>
      </w:r>
    </w:p>
    <w:p w:rsidR="00E75174" w:rsidRPr="00E275EC" w:rsidRDefault="00E75174" w:rsidP="00A619AD">
      <w:pPr>
        <w:tabs>
          <w:tab w:val="left" w:pos="0"/>
        </w:tabs>
        <w:suppressAutoHyphens/>
        <w:ind w:left="5040" w:hanging="5040"/>
        <w:jc w:val="both"/>
        <w:rPr>
          <w:sz w:val="22"/>
          <w:szCs w:val="22"/>
        </w:rPr>
      </w:pPr>
      <w:r w:rsidRPr="00E275EC">
        <w:rPr>
          <w:sz w:val="22"/>
          <w:szCs w:val="22"/>
        </w:rPr>
        <w:t>Dow Lohnes PLLC</w:t>
      </w:r>
    </w:p>
    <w:p w:rsidR="00E75174" w:rsidRPr="00E275EC" w:rsidRDefault="00E75174" w:rsidP="00A619AD">
      <w:pPr>
        <w:tabs>
          <w:tab w:val="left" w:pos="0"/>
        </w:tabs>
        <w:suppressAutoHyphens/>
        <w:ind w:left="5040" w:hanging="5040"/>
        <w:jc w:val="both"/>
        <w:rPr>
          <w:sz w:val="22"/>
          <w:szCs w:val="22"/>
        </w:rPr>
      </w:pPr>
      <w:r w:rsidRPr="00E275EC">
        <w:rPr>
          <w:sz w:val="22"/>
          <w:szCs w:val="22"/>
        </w:rPr>
        <w:t>1200 New Hampshire Ave</w:t>
      </w:r>
      <w:r w:rsidR="00D64208" w:rsidRPr="00E275EC">
        <w:rPr>
          <w:sz w:val="22"/>
          <w:szCs w:val="22"/>
        </w:rPr>
        <w:t>nue</w:t>
      </w:r>
      <w:r w:rsidRPr="00E275EC">
        <w:rPr>
          <w:sz w:val="22"/>
          <w:szCs w:val="22"/>
        </w:rPr>
        <w:t>, NW</w:t>
      </w:r>
    </w:p>
    <w:p w:rsidR="00E75174" w:rsidRPr="00E275EC" w:rsidRDefault="00E75174" w:rsidP="00A619AD">
      <w:pPr>
        <w:tabs>
          <w:tab w:val="left" w:pos="0"/>
        </w:tabs>
        <w:suppressAutoHyphens/>
        <w:ind w:left="5040" w:hanging="5040"/>
        <w:jc w:val="both"/>
        <w:rPr>
          <w:sz w:val="22"/>
          <w:szCs w:val="22"/>
        </w:rPr>
      </w:pPr>
      <w:r w:rsidRPr="00E275EC">
        <w:rPr>
          <w:sz w:val="22"/>
          <w:szCs w:val="22"/>
        </w:rPr>
        <w:t>Suite 800</w:t>
      </w:r>
    </w:p>
    <w:p w:rsidR="00E75174" w:rsidRPr="00E275EC" w:rsidRDefault="00E75174" w:rsidP="00A619AD">
      <w:pPr>
        <w:tabs>
          <w:tab w:val="left" w:pos="0"/>
        </w:tabs>
        <w:suppressAutoHyphens/>
        <w:ind w:left="5040" w:hanging="5040"/>
        <w:jc w:val="both"/>
        <w:rPr>
          <w:sz w:val="22"/>
          <w:szCs w:val="22"/>
        </w:rPr>
      </w:pPr>
      <w:r w:rsidRPr="00E275EC">
        <w:rPr>
          <w:sz w:val="22"/>
          <w:szCs w:val="22"/>
        </w:rPr>
        <w:t>Washington, DC 20036</w:t>
      </w:r>
    </w:p>
    <w:p w:rsidR="002F68C8" w:rsidRPr="00E275EC" w:rsidRDefault="002F68C8" w:rsidP="00A619AD">
      <w:pPr>
        <w:tabs>
          <w:tab w:val="left" w:pos="0"/>
        </w:tabs>
        <w:suppressAutoHyphens/>
        <w:ind w:left="5040" w:hanging="5040"/>
        <w:jc w:val="both"/>
        <w:rPr>
          <w:sz w:val="22"/>
          <w:szCs w:val="22"/>
        </w:rPr>
      </w:pPr>
    </w:p>
    <w:p w:rsidR="00D64208" w:rsidRPr="00E275EC" w:rsidRDefault="00D64208" w:rsidP="00A619AD">
      <w:pPr>
        <w:tabs>
          <w:tab w:val="left" w:pos="0"/>
        </w:tabs>
        <w:suppressAutoHyphens/>
        <w:ind w:left="5040" w:hanging="5040"/>
        <w:jc w:val="both"/>
        <w:rPr>
          <w:sz w:val="22"/>
          <w:szCs w:val="22"/>
        </w:rPr>
      </w:pPr>
      <w:r w:rsidRPr="00E275EC">
        <w:rPr>
          <w:sz w:val="22"/>
          <w:szCs w:val="22"/>
        </w:rPr>
        <w:t>Francisco R. Montero, Esq.</w:t>
      </w:r>
    </w:p>
    <w:p w:rsidR="00D64208" w:rsidRPr="00E275EC" w:rsidRDefault="00D64208" w:rsidP="00A619AD">
      <w:pPr>
        <w:tabs>
          <w:tab w:val="left" w:pos="0"/>
        </w:tabs>
        <w:suppressAutoHyphens/>
        <w:ind w:left="5040" w:hanging="5040"/>
        <w:jc w:val="both"/>
        <w:rPr>
          <w:sz w:val="22"/>
          <w:szCs w:val="22"/>
        </w:rPr>
      </w:pPr>
      <w:r w:rsidRPr="00E275EC">
        <w:rPr>
          <w:sz w:val="22"/>
          <w:szCs w:val="22"/>
        </w:rPr>
        <w:t>Fletcher, Heald and Hildreth, P.L.C.</w:t>
      </w:r>
    </w:p>
    <w:p w:rsidR="00D64208" w:rsidRPr="00E275EC" w:rsidRDefault="00D64208" w:rsidP="00A619AD">
      <w:pPr>
        <w:tabs>
          <w:tab w:val="left" w:pos="0"/>
        </w:tabs>
        <w:suppressAutoHyphens/>
        <w:ind w:left="5040" w:hanging="5040"/>
        <w:jc w:val="both"/>
        <w:rPr>
          <w:sz w:val="22"/>
          <w:szCs w:val="22"/>
        </w:rPr>
      </w:pPr>
      <w:r w:rsidRPr="00E275EC">
        <w:rPr>
          <w:sz w:val="22"/>
          <w:szCs w:val="22"/>
        </w:rPr>
        <w:t>1300 North 17</w:t>
      </w:r>
      <w:r w:rsidRPr="00E275EC">
        <w:rPr>
          <w:sz w:val="22"/>
          <w:szCs w:val="22"/>
          <w:vertAlign w:val="superscript"/>
        </w:rPr>
        <w:t>th</w:t>
      </w:r>
      <w:r w:rsidRPr="00E275EC">
        <w:rPr>
          <w:sz w:val="22"/>
          <w:szCs w:val="22"/>
        </w:rPr>
        <w:t xml:space="preserve"> Street</w:t>
      </w:r>
    </w:p>
    <w:p w:rsidR="00D64208" w:rsidRPr="00E275EC" w:rsidRDefault="00D64208" w:rsidP="00A619AD">
      <w:pPr>
        <w:tabs>
          <w:tab w:val="left" w:pos="0"/>
        </w:tabs>
        <w:suppressAutoHyphens/>
        <w:ind w:left="5040" w:hanging="5040"/>
        <w:jc w:val="both"/>
        <w:rPr>
          <w:sz w:val="22"/>
          <w:szCs w:val="22"/>
        </w:rPr>
      </w:pPr>
      <w:r w:rsidRPr="00E275EC">
        <w:rPr>
          <w:sz w:val="22"/>
          <w:szCs w:val="22"/>
        </w:rPr>
        <w:t>11</w:t>
      </w:r>
      <w:r w:rsidRPr="00E275EC">
        <w:rPr>
          <w:sz w:val="22"/>
          <w:szCs w:val="22"/>
          <w:vertAlign w:val="superscript"/>
        </w:rPr>
        <w:t>th</w:t>
      </w:r>
      <w:r w:rsidRPr="00E275EC">
        <w:rPr>
          <w:sz w:val="22"/>
          <w:szCs w:val="22"/>
        </w:rPr>
        <w:t xml:space="preserve"> Floor</w:t>
      </w:r>
    </w:p>
    <w:p w:rsidR="00D64208" w:rsidRPr="00E275EC" w:rsidRDefault="00D64208" w:rsidP="00A619AD">
      <w:pPr>
        <w:tabs>
          <w:tab w:val="left" w:pos="0"/>
        </w:tabs>
        <w:suppressAutoHyphens/>
        <w:ind w:left="5040" w:hanging="5040"/>
        <w:jc w:val="both"/>
        <w:rPr>
          <w:sz w:val="22"/>
          <w:szCs w:val="22"/>
        </w:rPr>
      </w:pPr>
      <w:r w:rsidRPr="00E275EC">
        <w:rPr>
          <w:sz w:val="22"/>
          <w:szCs w:val="22"/>
        </w:rPr>
        <w:t>Arlington, VA 22209</w:t>
      </w:r>
    </w:p>
    <w:p w:rsidR="00D64208" w:rsidRPr="00E275EC" w:rsidRDefault="00D64208" w:rsidP="00A619AD">
      <w:pPr>
        <w:tabs>
          <w:tab w:val="left" w:pos="0"/>
        </w:tabs>
        <w:suppressAutoHyphens/>
        <w:ind w:left="5040" w:hanging="5040"/>
        <w:jc w:val="both"/>
        <w:rPr>
          <w:sz w:val="22"/>
          <w:szCs w:val="22"/>
        </w:rPr>
      </w:pPr>
    </w:p>
    <w:p w:rsidR="00D64208" w:rsidRPr="00E275EC" w:rsidRDefault="00D64208" w:rsidP="00A619AD">
      <w:pPr>
        <w:tabs>
          <w:tab w:val="left" w:pos="0"/>
        </w:tabs>
        <w:suppressAutoHyphens/>
        <w:ind w:left="5040" w:hanging="5040"/>
        <w:jc w:val="both"/>
        <w:rPr>
          <w:sz w:val="22"/>
          <w:szCs w:val="22"/>
        </w:rPr>
      </w:pPr>
      <w:r w:rsidRPr="00E275EC">
        <w:rPr>
          <w:sz w:val="22"/>
          <w:szCs w:val="22"/>
        </w:rPr>
        <w:t xml:space="preserve">David </w:t>
      </w:r>
      <w:r w:rsidR="00963720">
        <w:rPr>
          <w:sz w:val="22"/>
          <w:szCs w:val="22"/>
        </w:rPr>
        <w:t xml:space="preserve">D. </w:t>
      </w:r>
      <w:r w:rsidRPr="00E275EC">
        <w:rPr>
          <w:sz w:val="22"/>
          <w:szCs w:val="22"/>
        </w:rPr>
        <w:t>Oxenford</w:t>
      </w:r>
      <w:r w:rsidR="00963720">
        <w:rPr>
          <w:sz w:val="22"/>
          <w:szCs w:val="22"/>
        </w:rPr>
        <w:t>, Jr., Esq.</w:t>
      </w:r>
    </w:p>
    <w:p w:rsidR="00D64208" w:rsidRPr="00E275EC" w:rsidRDefault="00D64208" w:rsidP="00A619AD">
      <w:pPr>
        <w:tabs>
          <w:tab w:val="left" w:pos="0"/>
        </w:tabs>
        <w:suppressAutoHyphens/>
        <w:ind w:left="5040" w:hanging="5040"/>
        <w:jc w:val="both"/>
        <w:rPr>
          <w:sz w:val="22"/>
          <w:szCs w:val="22"/>
        </w:rPr>
      </w:pPr>
      <w:r w:rsidRPr="00E275EC">
        <w:rPr>
          <w:sz w:val="22"/>
          <w:szCs w:val="22"/>
        </w:rPr>
        <w:t>Wilkinson Barker Knauer, LLP</w:t>
      </w:r>
    </w:p>
    <w:p w:rsidR="00D64208" w:rsidRPr="00E275EC" w:rsidRDefault="00D64208" w:rsidP="00A619AD">
      <w:pPr>
        <w:tabs>
          <w:tab w:val="left" w:pos="0"/>
        </w:tabs>
        <w:suppressAutoHyphens/>
        <w:ind w:left="5040" w:hanging="5040"/>
        <w:jc w:val="both"/>
        <w:rPr>
          <w:sz w:val="22"/>
          <w:szCs w:val="22"/>
        </w:rPr>
      </w:pPr>
      <w:r w:rsidRPr="00E275EC">
        <w:rPr>
          <w:sz w:val="22"/>
          <w:szCs w:val="22"/>
        </w:rPr>
        <w:t>2300 N. Street, N.W.</w:t>
      </w:r>
    </w:p>
    <w:p w:rsidR="00D64208" w:rsidRPr="00E275EC" w:rsidRDefault="00D64208" w:rsidP="00A619AD">
      <w:pPr>
        <w:tabs>
          <w:tab w:val="left" w:pos="0"/>
        </w:tabs>
        <w:suppressAutoHyphens/>
        <w:ind w:left="5040" w:hanging="5040"/>
        <w:jc w:val="both"/>
        <w:rPr>
          <w:sz w:val="22"/>
          <w:szCs w:val="22"/>
        </w:rPr>
      </w:pPr>
      <w:r w:rsidRPr="00E275EC">
        <w:rPr>
          <w:sz w:val="22"/>
          <w:szCs w:val="22"/>
        </w:rPr>
        <w:t>Suite 700</w:t>
      </w:r>
    </w:p>
    <w:p w:rsidR="00D64208" w:rsidRPr="00E275EC" w:rsidRDefault="00D64208" w:rsidP="00A619AD">
      <w:pPr>
        <w:tabs>
          <w:tab w:val="left" w:pos="0"/>
        </w:tabs>
        <w:suppressAutoHyphens/>
        <w:ind w:left="5040" w:hanging="5040"/>
        <w:jc w:val="both"/>
        <w:rPr>
          <w:sz w:val="22"/>
          <w:szCs w:val="22"/>
        </w:rPr>
      </w:pPr>
      <w:r w:rsidRPr="00E275EC">
        <w:rPr>
          <w:sz w:val="22"/>
          <w:szCs w:val="22"/>
        </w:rPr>
        <w:t>Washington, DC 20037</w:t>
      </w:r>
    </w:p>
    <w:p w:rsidR="00D64208" w:rsidRPr="00E275EC" w:rsidRDefault="00D64208" w:rsidP="00A619AD">
      <w:pPr>
        <w:tabs>
          <w:tab w:val="left" w:pos="0"/>
        </w:tabs>
        <w:suppressAutoHyphens/>
        <w:ind w:left="5040" w:hanging="5040"/>
        <w:jc w:val="both"/>
        <w:rPr>
          <w:sz w:val="22"/>
          <w:szCs w:val="22"/>
        </w:rPr>
      </w:pPr>
    </w:p>
    <w:p w:rsidR="002F68C8" w:rsidRPr="00E275EC" w:rsidRDefault="00D64208" w:rsidP="00A619AD">
      <w:pPr>
        <w:tabs>
          <w:tab w:val="left" w:pos="0"/>
        </w:tabs>
        <w:suppressAutoHyphens/>
        <w:ind w:left="5040" w:hanging="5040"/>
        <w:jc w:val="both"/>
        <w:rPr>
          <w:sz w:val="22"/>
          <w:szCs w:val="22"/>
        </w:rPr>
      </w:pPr>
      <w:r w:rsidRPr="00E275EC">
        <w:rPr>
          <w:sz w:val="22"/>
          <w:szCs w:val="22"/>
        </w:rPr>
        <w:t>Thomas L. View, Esq.</w:t>
      </w:r>
    </w:p>
    <w:p w:rsidR="00D64208" w:rsidRPr="00E275EC" w:rsidRDefault="00D64208" w:rsidP="00A619AD">
      <w:pPr>
        <w:tabs>
          <w:tab w:val="left" w:pos="0"/>
        </w:tabs>
        <w:suppressAutoHyphens/>
        <w:ind w:left="5040" w:hanging="5040"/>
        <w:jc w:val="both"/>
        <w:rPr>
          <w:sz w:val="22"/>
          <w:szCs w:val="22"/>
        </w:rPr>
      </w:pPr>
      <w:r w:rsidRPr="00E275EC">
        <w:rPr>
          <w:sz w:val="22"/>
          <w:szCs w:val="22"/>
        </w:rPr>
        <w:t>Citizens for Equity in Taxation</w:t>
      </w:r>
    </w:p>
    <w:p w:rsidR="00D64208" w:rsidRPr="00E275EC" w:rsidRDefault="00D64208" w:rsidP="00A619AD">
      <w:pPr>
        <w:tabs>
          <w:tab w:val="left" w:pos="0"/>
        </w:tabs>
        <w:suppressAutoHyphens/>
        <w:ind w:left="5040" w:hanging="5040"/>
        <w:jc w:val="both"/>
        <w:rPr>
          <w:sz w:val="22"/>
          <w:szCs w:val="22"/>
        </w:rPr>
      </w:pPr>
      <w:r w:rsidRPr="00E275EC">
        <w:rPr>
          <w:sz w:val="22"/>
          <w:szCs w:val="22"/>
        </w:rPr>
        <w:t>1030 30</w:t>
      </w:r>
      <w:r w:rsidRPr="00E275EC">
        <w:rPr>
          <w:sz w:val="22"/>
          <w:szCs w:val="22"/>
          <w:vertAlign w:val="superscript"/>
        </w:rPr>
        <w:t>th</w:t>
      </w:r>
      <w:r w:rsidRPr="00E275EC">
        <w:rPr>
          <w:sz w:val="22"/>
          <w:szCs w:val="22"/>
        </w:rPr>
        <w:t xml:space="preserve"> Street, NW</w:t>
      </w:r>
    </w:p>
    <w:p w:rsidR="00D64208" w:rsidRPr="00E275EC" w:rsidRDefault="00D64208" w:rsidP="00A619AD">
      <w:pPr>
        <w:tabs>
          <w:tab w:val="left" w:pos="0"/>
        </w:tabs>
        <w:suppressAutoHyphens/>
        <w:ind w:left="5040" w:hanging="5040"/>
        <w:jc w:val="both"/>
        <w:rPr>
          <w:sz w:val="22"/>
          <w:szCs w:val="22"/>
        </w:rPr>
      </w:pPr>
      <w:r w:rsidRPr="00E275EC">
        <w:rPr>
          <w:sz w:val="22"/>
          <w:szCs w:val="22"/>
        </w:rPr>
        <w:t>Suite 1000</w:t>
      </w:r>
    </w:p>
    <w:p w:rsidR="00D64208" w:rsidRPr="00E275EC" w:rsidRDefault="00D64208" w:rsidP="00A619AD">
      <w:pPr>
        <w:tabs>
          <w:tab w:val="left" w:pos="0"/>
        </w:tabs>
        <w:suppressAutoHyphens/>
        <w:ind w:left="5040" w:hanging="5040"/>
        <w:jc w:val="both"/>
        <w:rPr>
          <w:sz w:val="22"/>
          <w:szCs w:val="22"/>
        </w:rPr>
      </w:pPr>
      <w:r w:rsidRPr="00E275EC">
        <w:rPr>
          <w:sz w:val="22"/>
          <w:szCs w:val="22"/>
        </w:rPr>
        <w:t>Washington, DC 20001</w:t>
      </w:r>
    </w:p>
    <w:p w:rsidR="00972FCC" w:rsidRPr="00E275EC" w:rsidRDefault="00972FCC" w:rsidP="00972FCC">
      <w:pPr>
        <w:tabs>
          <w:tab w:val="left" w:pos="0"/>
        </w:tabs>
        <w:suppressAutoHyphens/>
        <w:ind w:left="5040" w:hanging="5040"/>
        <w:rPr>
          <w:sz w:val="22"/>
          <w:szCs w:val="22"/>
        </w:rPr>
      </w:pPr>
    </w:p>
    <w:p w:rsidR="00D64208" w:rsidRPr="00E275EC" w:rsidRDefault="00FD3BE6" w:rsidP="00972FCC">
      <w:pPr>
        <w:tabs>
          <w:tab w:val="left" w:pos="0"/>
        </w:tabs>
        <w:suppressAutoHyphens/>
        <w:ind w:left="5040" w:hanging="5040"/>
        <w:rPr>
          <w:sz w:val="22"/>
          <w:szCs w:val="22"/>
        </w:rPr>
      </w:pPr>
      <w:r w:rsidRPr="00E275EC">
        <w:rPr>
          <w:sz w:val="22"/>
          <w:szCs w:val="22"/>
        </w:rPr>
        <w:t xml:space="preserve">                                                                              In re:</w:t>
      </w:r>
      <w:r w:rsidRPr="00E275EC">
        <w:rPr>
          <w:sz w:val="22"/>
          <w:szCs w:val="22"/>
        </w:rPr>
        <w:tab/>
      </w:r>
      <w:r w:rsidR="00D64208" w:rsidRPr="00E275EC">
        <w:rPr>
          <w:b/>
          <w:sz w:val="22"/>
          <w:szCs w:val="22"/>
        </w:rPr>
        <w:t>Cox Radio, Inc. and SummitMedia, LLC</w:t>
      </w:r>
      <w:r w:rsidR="00972FCC" w:rsidRPr="00E275EC">
        <w:rPr>
          <w:b/>
          <w:sz w:val="22"/>
          <w:szCs w:val="22"/>
        </w:rPr>
        <w:t xml:space="preserve">, </w:t>
      </w:r>
      <w:r w:rsidR="00D64208" w:rsidRPr="00E275EC">
        <w:rPr>
          <w:sz w:val="22"/>
          <w:szCs w:val="22"/>
        </w:rPr>
        <w:t>Applications for Assignment of Licenses</w:t>
      </w:r>
    </w:p>
    <w:p w:rsidR="00D64208" w:rsidRPr="00E275EC" w:rsidRDefault="006541F9">
      <w:pPr>
        <w:tabs>
          <w:tab w:val="left" w:pos="0"/>
        </w:tabs>
        <w:suppressAutoHyphens/>
        <w:ind w:left="5040" w:hanging="5040"/>
        <w:rPr>
          <w:sz w:val="22"/>
          <w:szCs w:val="22"/>
        </w:rPr>
      </w:pPr>
      <w:r w:rsidRPr="00E275EC">
        <w:rPr>
          <w:sz w:val="22"/>
          <w:szCs w:val="22"/>
        </w:rPr>
        <w:tab/>
      </w:r>
    </w:p>
    <w:p w:rsidR="005E3E1F" w:rsidRPr="00E275EC" w:rsidRDefault="00D64208">
      <w:pPr>
        <w:tabs>
          <w:tab w:val="left" w:pos="0"/>
        </w:tabs>
        <w:suppressAutoHyphens/>
        <w:ind w:left="5040" w:hanging="5040"/>
        <w:rPr>
          <w:sz w:val="22"/>
          <w:szCs w:val="22"/>
        </w:rPr>
      </w:pPr>
      <w:r w:rsidRPr="00E275EC">
        <w:rPr>
          <w:sz w:val="22"/>
          <w:szCs w:val="22"/>
        </w:rPr>
        <w:tab/>
      </w:r>
      <w:r w:rsidR="00FD3BE6" w:rsidRPr="00E275EC">
        <w:rPr>
          <w:sz w:val="22"/>
          <w:szCs w:val="22"/>
        </w:rPr>
        <w:t xml:space="preserve">File No. </w:t>
      </w:r>
      <w:r w:rsidRPr="00E275EC">
        <w:rPr>
          <w:sz w:val="22"/>
          <w:szCs w:val="22"/>
        </w:rPr>
        <w:t>BAL-20130212ABK</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-20130212ABL</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-20130212ABM</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-20130212ABN</w:t>
      </w:r>
    </w:p>
    <w:p w:rsidR="00FF00E2" w:rsidRPr="00E275EC" w:rsidRDefault="00FF00E2" w:rsidP="00FF00E2">
      <w:pPr>
        <w:tabs>
          <w:tab w:val="left" w:pos="0"/>
        </w:tabs>
        <w:suppressAutoHyphens/>
        <w:ind w:left="5040" w:hanging="5040"/>
        <w:rPr>
          <w:sz w:val="22"/>
          <w:szCs w:val="22"/>
        </w:rPr>
      </w:pPr>
      <w:r w:rsidRPr="00E275EC">
        <w:rPr>
          <w:sz w:val="22"/>
          <w:szCs w:val="22"/>
        </w:rPr>
        <w:tab/>
        <w:t>File No. BAL-20130212ABO</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-20130212ABP</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-20130212ABQ</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-20130212ABR</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-20130212ABS</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-20130212ABT</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-20130212ABU</w:t>
      </w:r>
    </w:p>
    <w:p w:rsidR="00FF00E2" w:rsidRPr="00E275EC" w:rsidRDefault="00FF00E2" w:rsidP="00FF00E2">
      <w:pPr>
        <w:tabs>
          <w:tab w:val="left" w:pos="0"/>
        </w:tabs>
        <w:suppressAutoHyphens/>
        <w:ind w:left="5040" w:hanging="5040"/>
        <w:rPr>
          <w:sz w:val="22"/>
          <w:szCs w:val="22"/>
        </w:rPr>
      </w:pPr>
      <w:r w:rsidRPr="00E275EC">
        <w:rPr>
          <w:sz w:val="22"/>
          <w:szCs w:val="22"/>
        </w:rPr>
        <w:tab/>
        <w:t>File No. BAL-20130212ABV</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-20130212ABW</w:t>
      </w:r>
    </w:p>
    <w:p w:rsidR="00FF00E2" w:rsidRPr="00E275EC" w:rsidRDefault="00FF00E2" w:rsidP="00FF00E2">
      <w:pPr>
        <w:tabs>
          <w:tab w:val="left" w:pos="0"/>
        </w:tabs>
        <w:suppressAutoHyphens/>
        <w:ind w:left="5040" w:hanging="5040"/>
        <w:rPr>
          <w:sz w:val="22"/>
          <w:szCs w:val="22"/>
        </w:rPr>
      </w:pPr>
      <w:r w:rsidRPr="00E275EC">
        <w:rPr>
          <w:sz w:val="22"/>
          <w:szCs w:val="22"/>
        </w:rPr>
        <w:tab/>
        <w:t>File No. BAL-20130212ABX</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-20130212ABY</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-20130212ABZ</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-20130212ACA</w:t>
      </w:r>
    </w:p>
    <w:p w:rsidR="00972FCC" w:rsidRPr="00E275EC" w:rsidRDefault="00972FCC">
      <w:pPr>
        <w:tabs>
          <w:tab w:val="left" w:pos="0"/>
        </w:tabs>
        <w:suppressAutoHyphens/>
        <w:ind w:left="5040" w:hanging="5040"/>
        <w:rPr>
          <w:sz w:val="22"/>
          <w:szCs w:val="22"/>
        </w:rPr>
      </w:pPr>
      <w:r w:rsidRPr="00E275EC">
        <w:rPr>
          <w:sz w:val="22"/>
          <w:szCs w:val="22"/>
        </w:rPr>
        <w:lastRenderedPageBreak/>
        <w:tab/>
        <w:t>File No. BAL</w:t>
      </w:r>
      <w:r w:rsidR="00FF00E2" w:rsidRPr="00E275EC">
        <w:rPr>
          <w:sz w:val="22"/>
          <w:szCs w:val="22"/>
        </w:rPr>
        <w:t>H</w:t>
      </w:r>
      <w:r w:rsidRPr="00E275EC">
        <w:rPr>
          <w:sz w:val="22"/>
          <w:szCs w:val="22"/>
        </w:rPr>
        <w:t>-20130212ACB</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-20130212ACC</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-20130212ACD</w:t>
      </w:r>
    </w:p>
    <w:p w:rsidR="00972FCC" w:rsidRPr="00E275EC" w:rsidRDefault="00972FCC">
      <w:pPr>
        <w:tabs>
          <w:tab w:val="left" w:pos="0"/>
        </w:tabs>
        <w:suppressAutoHyphens/>
        <w:ind w:left="5040" w:hanging="5040"/>
        <w:rPr>
          <w:sz w:val="22"/>
          <w:szCs w:val="22"/>
        </w:rPr>
      </w:pPr>
      <w:r w:rsidRPr="00E275EC">
        <w:rPr>
          <w:sz w:val="22"/>
          <w:szCs w:val="22"/>
        </w:rPr>
        <w:tab/>
        <w:t>File No. BAL</w:t>
      </w:r>
      <w:r w:rsidR="00FF00E2" w:rsidRPr="00E275EC">
        <w:rPr>
          <w:sz w:val="22"/>
          <w:szCs w:val="22"/>
        </w:rPr>
        <w:t>H</w:t>
      </w:r>
      <w:r w:rsidRPr="00E275EC">
        <w:rPr>
          <w:sz w:val="22"/>
          <w:szCs w:val="22"/>
        </w:rPr>
        <w:t>-20130212ACE</w:t>
      </w:r>
    </w:p>
    <w:p w:rsidR="00972FCC" w:rsidRPr="00E275EC" w:rsidRDefault="00972FCC">
      <w:pPr>
        <w:tabs>
          <w:tab w:val="left" w:pos="0"/>
        </w:tabs>
        <w:suppressAutoHyphens/>
        <w:ind w:left="5040" w:hanging="5040"/>
        <w:rPr>
          <w:sz w:val="22"/>
          <w:szCs w:val="22"/>
        </w:rPr>
      </w:pPr>
      <w:r w:rsidRPr="00E275EC">
        <w:rPr>
          <w:sz w:val="22"/>
          <w:szCs w:val="22"/>
        </w:rPr>
        <w:tab/>
        <w:t>File No. BAL-20130212ACF</w:t>
      </w:r>
    </w:p>
    <w:p w:rsidR="00972FCC" w:rsidRPr="00E275EC" w:rsidRDefault="00972FCC">
      <w:pPr>
        <w:tabs>
          <w:tab w:val="left" w:pos="0"/>
        </w:tabs>
        <w:suppressAutoHyphens/>
        <w:ind w:left="5040" w:hanging="5040"/>
        <w:rPr>
          <w:sz w:val="22"/>
          <w:szCs w:val="22"/>
        </w:rPr>
      </w:pPr>
      <w:r w:rsidRPr="00E275EC">
        <w:rPr>
          <w:sz w:val="22"/>
          <w:szCs w:val="22"/>
        </w:rPr>
        <w:tab/>
        <w:t>File No. BAL-20130212ACG</w:t>
      </w:r>
    </w:p>
    <w:p w:rsidR="00D64208" w:rsidRPr="00E275EC" w:rsidRDefault="00D64208">
      <w:pPr>
        <w:tabs>
          <w:tab w:val="left" w:pos="0"/>
        </w:tabs>
        <w:suppressAutoHyphens/>
        <w:ind w:left="5040" w:hanging="5040"/>
        <w:rPr>
          <w:sz w:val="22"/>
          <w:szCs w:val="22"/>
        </w:rPr>
      </w:pPr>
    </w:p>
    <w:p w:rsidR="00D64208" w:rsidRPr="00E275EC" w:rsidRDefault="00D64208">
      <w:pPr>
        <w:tabs>
          <w:tab w:val="left" w:pos="0"/>
        </w:tabs>
        <w:suppressAutoHyphens/>
        <w:ind w:left="5040" w:hanging="5040"/>
        <w:rPr>
          <w:sz w:val="22"/>
          <w:szCs w:val="22"/>
        </w:rPr>
      </w:pPr>
      <w:r w:rsidRPr="00E275EC">
        <w:rPr>
          <w:sz w:val="22"/>
          <w:szCs w:val="22"/>
        </w:rPr>
        <w:tab/>
      </w:r>
      <w:r w:rsidRPr="00E275EC">
        <w:rPr>
          <w:b/>
          <w:sz w:val="22"/>
          <w:szCs w:val="22"/>
        </w:rPr>
        <w:t>Cox Radio, Inc. and Connoisseur Media Licenses, LLC</w:t>
      </w:r>
      <w:r w:rsidR="00972FCC" w:rsidRPr="00E275EC">
        <w:rPr>
          <w:b/>
          <w:sz w:val="22"/>
          <w:szCs w:val="22"/>
        </w:rPr>
        <w:t xml:space="preserve">, </w:t>
      </w:r>
      <w:r w:rsidRPr="00E275EC">
        <w:rPr>
          <w:sz w:val="22"/>
          <w:szCs w:val="22"/>
        </w:rPr>
        <w:t>Applications for Assignment of Licenses</w:t>
      </w:r>
    </w:p>
    <w:p w:rsidR="005E3E1F" w:rsidRPr="00E275EC" w:rsidRDefault="005E3E1F">
      <w:pPr>
        <w:tabs>
          <w:tab w:val="left" w:pos="0"/>
        </w:tabs>
        <w:suppressAutoHyphens/>
        <w:ind w:left="5040" w:hanging="5040"/>
        <w:rPr>
          <w:sz w:val="22"/>
          <w:szCs w:val="22"/>
        </w:rPr>
      </w:pPr>
    </w:p>
    <w:p w:rsidR="006F0D9F" w:rsidRPr="00E275EC" w:rsidRDefault="005E3E1F" w:rsidP="00D64208">
      <w:pPr>
        <w:tabs>
          <w:tab w:val="left" w:pos="0"/>
        </w:tabs>
        <w:suppressAutoHyphens/>
        <w:ind w:left="5040" w:hanging="5040"/>
        <w:rPr>
          <w:sz w:val="22"/>
          <w:szCs w:val="22"/>
        </w:rPr>
      </w:pPr>
      <w:r w:rsidRPr="00E275EC">
        <w:rPr>
          <w:sz w:val="22"/>
          <w:szCs w:val="22"/>
        </w:rPr>
        <w:tab/>
      </w:r>
      <w:r w:rsidR="00972FCC" w:rsidRPr="00E275EC">
        <w:rPr>
          <w:sz w:val="22"/>
          <w:szCs w:val="22"/>
        </w:rPr>
        <w:t>File No. BALH-20130212ACH</w:t>
      </w:r>
    </w:p>
    <w:p w:rsidR="00972FCC" w:rsidRPr="00E275EC" w:rsidRDefault="00972FCC" w:rsidP="00D64208">
      <w:pPr>
        <w:tabs>
          <w:tab w:val="left" w:pos="0"/>
        </w:tabs>
        <w:suppressAutoHyphens/>
        <w:ind w:left="5040" w:hanging="5040"/>
        <w:rPr>
          <w:sz w:val="22"/>
          <w:szCs w:val="22"/>
        </w:rPr>
      </w:pPr>
      <w:r w:rsidRPr="00E275EC">
        <w:rPr>
          <w:sz w:val="22"/>
          <w:szCs w:val="22"/>
        </w:rPr>
        <w:tab/>
        <w:t>File No. BALH-20130212ACI</w:t>
      </w:r>
    </w:p>
    <w:p w:rsidR="00972FCC" w:rsidRPr="00E275EC" w:rsidRDefault="00972FCC" w:rsidP="00D64208">
      <w:pPr>
        <w:tabs>
          <w:tab w:val="left" w:pos="0"/>
        </w:tabs>
        <w:suppressAutoHyphens/>
        <w:ind w:left="5040" w:hanging="5040"/>
        <w:rPr>
          <w:sz w:val="22"/>
          <w:szCs w:val="22"/>
        </w:rPr>
      </w:pPr>
      <w:r w:rsidRPr="00E275EC">
        <w:rPr>
          <w:sz w:val="22"/>
          <w:szCs w:val="22"/>
        </w:rPr>
        <w:tab/>
        <w:t>File No. BALH-20130212ACJ</w:t>
      </w:r>
    </w:p>
    <w:p w:rsidR="006F0D9F" w:rsidRPr="00E275EC" w:rsidRDefault="006F0D9F">
      <w:pPr>
        <w:tabs>
          <w:tab w:val="left" w:pos="0"/>
        </w:tabs>
        <w:suppressAutoHyphens/>
        <w:ind w:left="5040" w:hanging="5040"/>
        <w:rPr>
          <w:sz w:val="22"/>
          <w:szCs w:val="22"/>
        </w:rPr>
      </w:pPr>
    </w:p>
    <w:p w:rsidR="006F0D9F" w:rsidRPr="00E275EC" w:rsidRDefault="00FD3BE6" w:rsidP="005E3E1F">
      <w:pPr>
        <w:suppressAutoHyphens/>
        <w:ind w:left="5040" w:hanging="5040"/>
        <w:outlineLvl w:val="0"/>
        <w:rPr>
          <w:b/>
          <w:sz w:val="22"/>
          <w:szCs w:val="22"/>
        </w:rPr>
      </w:pPr>
      <w:r w:rsidRPr="00E275EC">
        <w:rPr>
          <w:sz w:val="22"/>
          <w:szCs w:val="22"/>
        </w:rPr>
        <w:tab/>
      </w:r>
      <w:r w:rsidR="00D64208" w:rsidRPr="00E275EC">
        <w:rPr>
          <w:b/>
          <w:sz w:val="22"/>
          <w:szCs w:val="22"/>
        </w:rPr>
        <w:t>Petition to Deny</w:t>
      </w:r>
    </w:p>
    <w:p w:rsidR="005E3E1F" w:rsidRPr="00E275EC" w:rsidRDefault="005E3E1F">
      <w:pPr>
        <w:tabs>
          <w:tab w:val="left" w:pos="0"/>
        </w:tabs>
        <w:suppressAutoHyphens/>
        <w:outlineLvl w:val="0"/>
        <w:rPr>
          <w:sz w:val="22"/>
          <w:szCs w:val="22"/>
        </w:rPr>
      </w:pPr>
    </w:p>
    <w:p w:rsidR="006F0D9F" w:rsidRPr="00E275EC" w:rsidRDefault="00FD3BE6">
      <w:pPr>
        <w:tabs>
          <w:tab w:val="left" w:pos="0"/>
        </w:tabs>
        <w:suppressAutoHyphens/>
        <w:outlineLvl w:val="0"/>
        <w:rPr>
          <w:b/>
          <w:sz w:val="22"/>
          <w:szCs w:val="22"/>
        </w:rPr>
      </w:pPr>
      <w:r w:rsidRPr="00E275EC">
        <w:rPr>
          <w:sz w:val="22"/>
          <w:szCs w:val="22"/>
        </w:rPr>
        <w:t xml:space="preserve">Dear Counsel: </w:t>
      </w:r>
    </w:p>
    <w:p w:rsidR="006F0D9F" w:rsidRPr="00E275EC" w:rsidRDefault="006F0D9F">
      <w:pPr>
        <w:tabs>
          <w:tab w:val="left" w:pos="0"/>
        </w:tabs>
        <w:suppressAutoHyphens/>
        <w:rPr>
          <w:sz w:val="22"/>
          <w:szCs w:val="22"/>
        </w:rPr>
      </w:pPr>
    </w:p>
    <w:p w:rsidR="006F0D9F" w:rsidRPr="00E275EC" w:rsidRDefault="00972FCC" w:rsidP="00671289">
      <w:pPr>
        <w:autoSpaceDE w:val="0"/>
        <w:autoSpaceDN w:val="0"/>
        <w:adjustRightInd w:val="0"/>
        <w:ind w:firstLine="720"/>
        <w:rPr>
          <w:sz w:val="22"/>
          <w:szCs w:val="22"/>
        </w:rPr>
      </w:pPr>
      <w:r w:rsidRPr="00E275EC">
        <w:rPr>
          <w:sz w:val="22"/>
          <w:szCs w:val="22"/>
        </w:rPr>
        <w:t>We have before us applications</w:t>
      </w:r>
      <w:r w:rsidR="00065B19" w:rsidRPr="00E275EC">
        <w:rPr>
          <w:sz w:val="22"/>
          <w:szCs w:val="22"/>
        </w:rPr>
        <w:t xml:space="preserve"> (“Applications”)</w:t>
      </w:r>
      <w:r w:rsidRPr="00E275EC">
        <w:rPr>
          <w:sz w:val="22"/>
          <w:szCs w:val="22"/>
        </w:rPr>
        <w:t xml:space="preserve"> to assign the licenses of 26 radio stations currently licensed to Cox Radio, Inc. (“Cox”) to SummitMedia, LLC (“Summit”) and Connoisseur Media Licenses, LLC (“Connoisseur”)</w:t>
      </w:r>
      <w:r w:rsidR="005B039F" w:rsidRPr="00E275EC">
        <w:rPr>
          <w:sz w:val="22"/>
          <w:szCs w:val="22"/>
        </w:rPr>
        <w:t xml:space="preserve"> (collectively, “Applicants”)</w:t>
      </w:r>
      <w:r w:rsidRPr="00E275EC">
        <w:rPr>
          <w:sz w:val="22"/>
          <w:szCs w:val="22"/>
        </w:rPr>
        <w:t>.</w:t>
      </w:r>
      <w:r w:rsidRPr="00E275EC">
        <w:rPr>
          <w:rStyle w:val="FootnoteReference"/>
          <w:sz w:val="22"/>
          <w:szCs w:val="22"/>
        </w:rPr>
        <w:footnoteReference w:id="1"/>
      </w:r>
      <w:r w:rsidRPr="00E275EC">
        <w:rPr>
          <w:sz w:val="22"/>
          <w:szCs w:val="22"/>
        </w:rPr>
        <w:t xml:space="preserve">  We also have before us a Petition to Deny (“Petition”) these applications filed by Citizens for Equity in Taxation</w:t>
      </w:r>
      <w:r w:rsidR="00D35BF7" w:rsidRPr="00E275EC">
        <w:rPr>
          <w:sz w:val="22"/>
          <w:szCs w:val="22"/>
        </w:rPr>
        <w:t xml:space="preserve"> </w:t>
      </w:r>
      <w:r w:rsidR="008750C0" w:rsidRPr="00E275EC">
        <w:rPr>
          <w:sz w:val="22"/>
          <w:szCs w:val="22"/>
        </w:rPr>
        <w:t xml:space="preserve">(“CET”) </w:t>
      </w:r>
      <w:r w:rsidR="00D35BF7" w:rsidRPr="00E275EC">
        <w:rPr>
          <w:sz w:val="22"/>
          <w:szCs w:val="22"/>
        </w:rPr>
        <w:t>on March 21, 2013</w:t>
      </w:r>
      <w:r w:rsidRPr="00E275EC">
        <w:rPr>
          <w:sz w:val="22"/>
          <w:szCs w:val="22"/>
        </w:rPr>
        <w:t>.</w:t>
      </w:r>
      <w:r w:rsidR="000B4A20" w:rsidRPr="00E275EC">
        <w:rPr>
          <w:rStyle w:val="FootnoteReference"/>
          <w:sz w:val="22"/>
          <w:szCs w:val="22"/>
        </w:rPr>
        <w:footnoteReference w:id="2"/>
      </w:r>
      <w:r w:rsidRPr="00E275EC">
        <w:rPr>
          <w:sz w:val="22"/>
          <w:szCs w:val="22"/>
        </w:rPr>
        <w:t xml:space="preserve">  For the reasons discussed below, we deny the Petition and grant the </w:t>
      </w:r>
      <w:r w:rsidR="00065B19" w:rsidRPr="00E275EC">
        <w:rPr>
          <w:sz w:val="22"/>
          <w:szCs w:val="22"/>
        </w:rPr>
        <w:t>Applications.</w:t>
      </w:r>
    </w:p>
    <w:p w:rsidR="006F0D9F" w:rsidRPr="00E275EC" w:rsidRDefault="00FD3BE6" w:rsidP="00671289">
      <w:pPr>
        <w:widowControl w:val="0"/>
        <w:autoSpaceDE w:val="0"/>
        <w:autoSpaceDN w:val="0"/>
        <w:adjustRightInd w:val="0"/>
        <w:rPr>
          <w:sz w:val="22"/>
          <w:szCs w:val="22"/>
        </w:rPr>
      </w:pPr>
      <w:r w:rsidRPr="00E275EC">
        <w:rPr>
          <w:sz w:val="22"/>
          <w:szCs w:val="22"/>
        </w:rPr>
        <w:tab/>
      </w:r>
    </w:p>
    <w:p w:rsidR="007A642B" w:rsidRPr="00E275EC" w:rsidRDefault="006B4AE8" w:rsidP="00671289">
      <w:pPr>
        <w:autoSpaceDE w:val="0"/>
        <w:autoSpaceDN w:val="0"/>
        <w:adjustRightInd w:val="0"/>
        <w:ind w:firstLine="720"/>
        <w:rPr>
          <w:sz w:val="22"/>
          <w:szCs w:val="22"/>
        </w:rPr>
      </w:pPr>
      <w:r w:rsidRPr="00E275EC">
        <w:rPr>
          <w:b/>
          <w:spacing w:val="-7"/>
          <w:sz w:val="22"/>
          <w:szCs w:val="22"/>
        </w:rPr>
        <w:t>Procedural Issue.</w:t>
      </w:r>
      <w:r w:rsidR="005B039F" w:rsidRPr="00E275EC">
        <w:rPr>
          <w:b/>
          <w:spacing w:val="-7"/>
          <w:sz w:val="22"/>
          <w:szCs w:val="22"/>
        </w:rPr>
        <w:t xml:space="preserve"> </w:t>
      </w:r>
      <w:r w:rsidR="005B039F" w:rsidRPr="00E275EC">
        <w:rPr>
          <w:i/>
          <w:spacing w:val="-7"/>
          <w:sz w:val="22"/>
          <w:szCs w:val="22"/>
        </w:rPr>
        <w:t xml:space="preserve"> </w:t>
      </w:r>
      <w:r w:rsidR="00C07807" w:rsidRPr="00E275EC">
        <w:rPr>
          <w:sz w:val="22"/>
          <w:szCs w:val="22"/>
        </w:rPr>
        <w:t>Section 309(d)(1) of the Act restricts to “parties in interest” the universe of entities that may file a petition to deny a proposed assignment.</w:t>
      </w:r>
      <w:r w:rsidR="00C07807" w:rsidRPr="00E275EC">
        <w:rPr>
          <w:rStyle w:val="FootnoteReference"/>
          <w:sz w:val="22"/>
          <w:szCs w:val="22"/>
        </w:rPr>
        <w:footnoteReference w:id="3"/>
      </w:r>
      <w:r w:rsidR="00C07807" w:rsidRPr="00E275EC">
        <w:rPr>
          <w:sz w:val="22"/>
          <w:szCs w:val="22"/>
        </w:rPr>
        <w:t xml:space="preserve">  Under this provision of the Act, a party in interest must essentially meet the same requirements as those required for standing to appeal a Commission decision to a federal court.</w:t>
      </w:r>
      <w:r w:rsidR="00C07807" w:rsidRPr="00E275EC">
        <w:rPr>
          <w:rStyle w:val="FootnoteReference"/>
          <w:sz w:val="22"/>
          <w:szCs w:val="22"/>
        </w:rPr>
        <w:footnoteReference w:id="4"/>
      </w:r>
      <w:r w:rsidR="00C07807" w:rsidRPr="00E275EC">
        <w:rPr>
          <w:sz w:val="22"/>
          <w:szCs w:val="22"/>
        </w:rPr>
        <w:t xml:space="preserve">  Thus, an entity claiming standing must allege and prove three elements:  (1) personal injury; (2) the injury is “fairly traceable” to the challenged action; and (3) there is a substantial likelihood that the relief requested will redress the injury claimed.</w:t>
      </w:r>
      <w:r w:rsidR="00C07807" w:rsidRPr="00E275EC">
        <w:rPr>
          <w:rStyle w:val="FootnoteReference"/>
          <w:sz w:val="22"/>
          <w:szCs w:val="22"/>
        </w:rPr>
        <w:footnoteReference w:id="5"/>
      </w:r>
      <w:r w:rsidR="00C07807" w:rsidRPr="00E275EC">
        <w:rPr>
          <w:sz w:val="22"/>
          <w:szCs w:val="22"/>
        </w:rPr>
        <w:t xml:space="preserve">  With respect to the </w:t>
      </w:r>
      <w:r w:rsidR="00C07807" w:rsidRPr="00E275EC">
        <w:rPr>
          <w:sz w:val="22"/>
          <w:szCs w:val="22"/>
        </w:rPr>
        <w:lastRenderedPageBreak/>
        <w:t>three-pronged standing requirement, traditionally, in a sales context, injury has been asserted in three ways:  (1) petitioner is a competitor in the market suffering signal interference; (2) petitioner is a competitor in the market suffering economic harm; or (3) petitioner is a resident of the station’s service area.</w:t>
      </w:r>
      <w:r w:rsidR="00C07807" w:rsidRPr="00E275EC">
        <w:rPr>
          <w:rStyle w:val="FootnoteReference"/>
          <w:sz w:val="22"/>
          <w:szCs w:val="22"/>
        </w:rPr>
        <w:footnoteReference w:id="6"/>
      </w:r>
      <w:r w:rsidR="00C07807" w:rsidRPr="00E275EC">
        <w:rPr>
          <w:sz w:val="22"/>
          <w:szCs w:val="22"/>
        </w:rPr>
        <w:t xml:space="preserve">  </w:t>
      </w:r>
    </w:p>
    <w:p w:rsidR="00C07807" w:rsidRPr="00E275EC" w:rsidRDefault="00C07807" w:rsidP="00671289">
      <w:pPr>
        <w:autoSpaceDE w:val="0"/>
        <w:autoSpaceDN w:val="0"/>
        <w:adjustRightInd w:val="0"/>
        <w:ind w:firstLine="720"/>
        <w:rPr>
          <w:spacing w:val="-7"/>
          <w:sz w:val="22"/>
          <w:szCs w:val="22"/>
        </w:rPr>
      </w:pPr>
    </w:p>
    <w:p w:rsidR="00C07807" w:rsidRPr="00E275EC" w:rsidRDefault="00FE51ED" w:rsidP="00671289">
      <w:pPr>
        <w:autoSpaceDE w:val="0"/>
        <w:autoSpaceDN w:val="0"/>
        <w:adjustRightInd w:val="0"/>
        <w:ind w:firstLine="720"/>
        <w:rPr>
          <w:spacing w:val="-7"/>
          <w:sz w:val="22"/>
          <w:szCs w:val="22"/>
        </w:rPr>
      </w:pPr>
      <w:r w:rsidRPr="00E275EC">
        <w:rPr>
          <w:spacing w:val="-7"/>
          <w:sz w:val="22"/>
          <w:szCs w:val="22"/>
        </w:rPr>
        <w:t xml:space="preserve">In its Petition, </w:t>
      </w:r>
      <w:r w:rsidR="005B039F" w:rsidRPr="00E275EC">
        <w:rPr>
          <w:spacing w:val="-7"/>
          <w:sz w:val="22"/>
          <w:szCs w:val="22"/>
        </w:rPr>
        <w:t>CET asserts that it is a “party in interest” because it is “acting in the capacity of a ‘private attorney general’ on behalf of … taxpaying US citizens.”</w:t>
      </w:r>
      <w:r w:rsidR="005B039F" w:rsidRPr="00E275EC">
        <w:rPr>
          <w:rStyle w:val="FootnoteReference"/>
          <w:spacing w:val="-7"/>
          <w:sz w:val="22"/>
          <w:szCs w:val="22"/>
        </w:rPr>
        <w:footnoteReference w:id="7"/>
      </w:r>
      <w:r w:rsidR="00FA2F2B" w:rsidRPr="00E275EC">
        <w:rPr>
          <w:spacing w:val="-7"/>
          <w:sz w:val="22"/>
          <w:szCs w:val="22"/>
        </w:rPr>
        <w:t xml:space="preserve">  CET argues that “this transaction will produce harm to all individual taxpayers” because individual taxpayers will have to pay more taxes to make up for the taxes </w:t>
      </w:r>
      <w:r w:rsidR="00E275EC">
        <w:rPr>
          <w:spacing w:val="-7"/>
          <w:sz w:val="22"/>
          <w:szCs w:val="22"/>
        </w:rPr>
        <w:t>Cox</w:t>
      </w:r>
      <w:r w:rsidR="00FA2F2B" w:rsidRPr="00E275EC">
        <w:rPr>
          <w:spacing w:val="-7"/>
          <w:sz w:val="22"/>
          <w:szCs w:val="22"/>
        </w:rPr>
        <w:t xml:space="preserve"> will avoid by structuring these transactions as</w:t>
      </w:r>
      <w:r w:rsidR="00E275EC">
        <w:rPr>
          <w:spacing w:val="-7"/>
          <w:sz w:val="22"/>
          <w:szCs w:val="22"/>
        </w:rPr>
        <w:t xml:space="preserve"> part of</w:t>
      </w:r>
      <w:r w:rsidR="00FA2F2B" w:rsidRPr="00E275EC">
        <w:rPr>
          <w:spacing w:val="-7"/>
          <w:sz w:val="22"/>
          <w:szCs w:val="22"/>
        </w:rPr>
        <w:t xml:space="preserve"> a like-kind exchange</w:t>
      </w:r>
      <w:r w:rsidR="00963720">
        <w:rPr>
          <w:spacing w:val="-7"/>
          <w:sz w:val="22"/>
          <w:szCs w:val="22"/>
        </w:rPr>
        <w:t xml:space="preserve"> in order to defer the recognition of capital gains</w:t>
      </w:r>
      <w:r w:rsidR="00FA2F2B" w:rsidRPr="00E275EC">
        <w:rPr>
          <w:spacing w:val="-7"/>
          <w:sz w:val="22"/>
          <w:szCs w:val="22"/>
        </w:rPr>
        <w:t>.</w:t>
      </w:r>
      <w:r w:rsidR="002A536C" w:rsidRPr="00E275EC">
        <w:rPr>
          <w:rStyle w:val="FootnoteReference"/>
          <w:spacing w:val="-7"/>
          <w:sz w:val="22"/>
          <w:szCs w:val="22"/>
        </w:rPr>
        <w:footnoteReference w:id="8"/>
      </w:r>
      <w:r w:rsidR="00E275EC">
        <w:rPr>
          <w:spacing w:val="-7"/>
          <w:sz w:val="22"/>
          <w:szCs w:val="22"/>
        </w:rPr>
        <w:t xml:space="preserve"> </w:t>
      </w:r>
      <w:r w:rsidR="00C07807" w:rsidRPr="00E275EC">
        <w:rPr>
          <w:spacing w:val="-7"/>
          <w:sz w:val="22"/>
          <w:szCs w:val="22"/>
        </w:rPr>
        <w:t xml:space="preserve"> However, as </w:t>
      </w:r>
      <w:r w:rsidR="007A642B" w:rsidRPr="00E275EC">
        <w:rPr>
          <w:spacing w:val="-7"/>
          <w:sz w:val="22"/>
          <w:szCs w:val="22"/>
        </w:rPr>
        <w:t>Applicants</w:t>
      </w:r>
      <w:r w:rsidR="00C07807" w:rsidRPr="00E275EC">
        <w:rPr>
          <w:spacing w:val="-7"/>
          <w:sz w:val="22"/>
          <w:szCs w:val="22"/>
        </w:rPr>
        <w:t xml:space="preserve"> </w:t>
      </w:r>
      <w:r w:rsidR="00E275EC">
        <w:rPr>
          <w:spacing w:val="-7"/>
          <w:sz w:val="22"/>
          <w:szCs w:val="22"/>
        </w:rPr>
        <w:t>point out</w:t>
      </w:r>
      <w:r w:rsidR="007A642B" w:rsidRPr="00E275EC">
        <w:rPr>
          <w:spacing w:val="-7"/>
          <w:sz w:val="22"/>
          <w:szCs w:val="22"/>
        </w:rPr>
        <w:t xml:space="preserve">, </w:t>
      </w:r>
      <w:r w:rsidR="00C07807" w:rsidRPr="00E275EC">
        <w:rPr>
          <w:spacing w:val="-7"/>
          <w:sz w:val="22"/>
          <w:szCs w:val="22"/>
        </w:rPr>
        <w:t>it is well</w:t>
      </w:r>
      <w:r w:rsidR="007A642B" w:rsidRPr="00E275EC">
        <w:rPr>
          <w:spacing w:val="-7"/>
          <w:sz w:val="22"/>
          <w:szCs w:val="22"/>
        </w:rPr>
        <w:t xml:space="preserve"> establishe</w:t>
      </w:r>
      <w:r w:rsidR="00C07807" w:rsidRPr="00E275EC">
        <w:rPr>
          <w:spacing w:val="-7"/>
          <w:sz w:val="22"/>
          <w:szCs w:val="22"/>
        </w:rPr>
        <w:t>d</w:t>
      </w:r>
      <w:r w:rsidR="007A642B" w:rsidRPr="00E275EC">
        <w:rPr>
          <w:spacing w:val="-7"/>
          <w:sz w:val="22"/>
          <w:szCs w:val="22"/>
        </w:rPr>
        <w:t xml:space="preserve"> that parties cannot attain standing solely based on allegations that they will pay higher taxes based on the outcome of a particular case.</w:t>
      </w:r>
      <w:r w:rsidR="007A642B" w:rsidRPr="00E275EC">
        <w:rPr>
          <w:rStyle w:val="FootnoteReference"/>
          <w:spacing w:val="-7"/>
          <w:sz w:val="22"/>
          <w:szCs w:val="22"/>
        </w:rPr>
        <w:footnoteReference w:id="9"/>
      </w:r>
      <w:r w:rsidR="00481C0E" w:rsidRPr="00E275EC">
        <w:rPr>
          <w:spacing w:val="-7"/>
          <w:sz w:val="22"/>
          <w:szCs w:val="22"/>
        </w:rPr>
        <w:t xml:space="preserve">  In its Reply, CET appears to acknowledge this.</w:t>
      </w:r>
      <w:r w:rsidR="00F11C62" w:rsidRPr="00E275EC">
        <w:rPr>
          <w:rStyle w:val="FootnoteReference"/>
          <w:sz w:val="22"/>
          <w:szCs w:val="22"/>
        </w:rPr>
        <w:t xml:space="preserve"> </w:t>
      </w:r>
      <w:r w:rsidR="00F11C62" w:rsidRPr="00E275EC">
        <w:rPr>
          <w:rStyle w:val="FootnoteReference"/>
          <w:sz w:val="22"/>
          <w:szCs w:val="22"/>
        </w:rPr>
        <w:footnoteReference w:id="10"/>
      </w:r>
      <w:r w:rsidR="00481C0E" w:rsidRPr="00E275EC">
        <w:rPr>
          <w:spacing w:val="-7"/>
          <w:sz w:val="22"/>
          <w:szCs w:val="22"/>
        </w:rPr>
        <w:t xml:space="preserve">  Therein, CET seeks to ground </w:t>
      </w:r>
      <w:r w:rsidR="00F11C62" w:rsidRPr="00E275EC">
        <w:rPr>
          <w:spacing w:val="-7"/>
          <w:sz w:val="22"/>
          <w:szCs w:val="22"/>
        </w:rPr>
        <w:t>its claim to standing</w:t>
      </w:r>
      <w:r w:rsidR="00481C0E" w:rsidRPr="00E275EC">
        <w:rPr>
          <w:spacing w:val="-7"/>
          <w:sz w:val="22"/>
          <w:szCs w:val="22"/>
        </w:rPr>
        <w:t xml:space="preserve"> on </w:t>
      </w:r>
      <w:r w:rsidR="00F11C62" w:rsidRPr="00E275EC">
        <w:rPr>
          <w:spacing w:val="-7"/>
          <w:sz w:val="22"/>
          <w:szCs w:val="22"/>
        </w:rPr>
        <w:t>the fact that certain new members</w:t>
      </w:r>
      <w:r w:rsidR="00481C0E" w:rsidRPr="00E275EC">
        <w:rPr>
          <w:spacing w:val="-7"/>
          <w:sz w:val="22"/>
          <w:szCs w:val="22"/>
        </w:rPr>
        <w:t xml:space="preserve"> – acquired after </w:t>
      </w:r>
      <w:r w:rsidR="00F11C62" w:rsidRPr="00E275EC">
        <w:rPr>
          <w:spacing w:val="-7"/>
          <w:sz w:val="22"/>
          <w:szCs w:val="22"/>
        </w:rPr>
        <w:t>CET</w:t>
      </w:r>
      <w:r w:rsidR="00481C0E" w:rsidRPr="00E275EC">
        <w:rPr>
          <w:spacing w:val="-7"/>
          <w:sz w:val="22"/>
          <w:szCs w:val="22"/>
        </w:rPr>
        <w:t xml:space="preserve"> filed the Petition –are residents of the communities served by the stations being assigned.</w:t>
      </w:r>
      <w:r w:rsidR="00F11C62" w:rsidRPr="00E275EC">
        <w:rPr>
          <w:rStyle w:val="FootnoteReference"/>
          <w:sz w:val="22"/>
          <w:szCs w:val="22"/>
        </w:rPr>
        <w:t xml:space="preserve"> </w:t>
      </w:r>
      <w:r w:rsidR="00F11C62" w:rsidRPr="00E275EC">
        <w:rPr>
          <w:rStyle w:val="FootnoteReference"/>
          <w:sz w:val="22"/>
          <w:szCs w:val="22"/>
        </w:rPr>
        <w:footnoteReference w:id="11"/>
      </w:r>
      <w:r w:rsidR="00A1663C" w:rsidRPr="00E275EC">
        <w:rPr>
          <w:rStyle w:val="FootnoteReference"/>
          <w:sz w:val="22"/>
          <w:szCs w:val="22"/>
          <w:vertAlign w:val="baseline"/>
        </w:rPr>
        <w:t xml:space="preserve">  However, </w:t>
      </w:r>
      <w:r w:rsidR="00A1663C" w:rsidRPr="00E275EC">
        <w:rPr>
          <w:sz w:val="22"/>
          <w:szCs w:val="22"/>
        </w:rPr>
        <w:t xml:space="preserve">CET’s attempt to </w:t>
      </w:r>
      <w:r w:rsidR="00A1663C" w:rsidRPr="00E275EC">
        <w:rPr>
          <w:rStyle w:val="term1"/>
          <w:b w:val="0"/>
          <w:sz w:val="22"/>
          <w:szCs w:val="22"/>
        </w:rPr>
        <w:t>cure the procedural defect</w:t>
      </w:r>
      <w:r w:rsidR="00A1663C" w:rsidRPr="00E275EC">
        <w:rPr>
          <w:sz w:val="22"/>
          <w:szCs w:val="22"/>
        </w:rPr>
        <w:t xml:space="preserve"> in its Petition is untimely.</w:t>
      </w:r>
      <w:r w:rsidR="00A1663C" w:rsidRPr="00E275EC">
        <w:rPr>
          <w:rStyle w:val="FootnoteReference"/>
          <w:sz w:val="22"/>
          <w:szCs w:val="22"/>
        </w:rPr>
        <w:footnoteReference w:id="12"/>
      </w:r>
      <w:r w:rsidR="00975BEB" w:rsidRPr="00E275EC">
        <w:rPr>
          <w:sz w:val="22"/>
          <w:szCs w:val="22"/>
        </w:rPr>
        <w:t xml:space="preserve">  </w:t>
      </w:r>
      <w:r w:rsidR="00821659" w:rsidRPr="00E275EC">
        <w:rPr>
          <w:sz w:val="22"/>
          <w:szCs w:val="22"/>
        </w:rPr>
        <w:t>Accordingly</w:t>
      </w:r>
      <w:r w:rsidR="00C07807" w:rsidRPr="00E275EC">
        <w:rPr>
          <w:sz w:val="22"/>
          <w:szCs w:val="22"/>
        </w:rPr>
        <w:t>, we conclude that CET does not having standing to file a petition to deny the Applications.  Nonetheless, we will treat the Petition as an informal objection and consider CET’s arguments herein.</w:t>
      </w:r>
      <w:r w:rsidR="00975BEB" w:rsidRPr="00E275EC">
        <w:rPr>
          <w:rStyle w:val="FootnoteReference"/>
          <w:sz w:val="22"/>
          <w:szCs w:val="22"/>
        </w:rPr>
        <w:footnoteReference w:id="13"/>
      </w:r>
    </w:p>
    <w:p w:rsidR="006B4AE8" w:rsidRPr="00E275EC" w:rsidRDefault="006B4AE8" w:rsidP="00671289">
      <w:pPr>
        <w:autoSpaceDE w:val="0"/>
        <w:autoSpaceDN w:val="0"/>
        <w:adjustRightInd w:val="0"/>
        <w:ind w:firstLine="720"/>
        <w:rPr>
          <w:i/>
          <w:spacing w:val="-7"/>
          <w:sz w:val="22"/>
          <w:szCs w:val="22"/>
        </w:rPr>
      </w:pPr>
    </w:p>
    <w:p w:rsidR="00BD5B99" w:rsidRPr="00E275EC" w:rsidRDefault="006B4AE8" w:rsidP="00671289">
      <w:pPr>
        <w:ind w:firstLine="720"/>
        <w:rPr>
          <w:sz w:val="22"/>
          <w:szCs w:val="22"/>
        </w:rPr>
      </w:pPr>
      <w:r w:rsidRPr="00E275EC">
        <w:rPr>
          <w:b/>
          <w:spacing w:val="-7"/>
          <w:sz w:val="22"/>
          <w:szCs w:val="22"/>
        </w:rPr>
        <w:t>Substantive Issues.</w:t>
      </w:r>
      <w:r w:rsidR="00BD5B99" w:rsidRPr="00E275EC">
        <w:rPr>
          <w:i/>
          <w:spacing w:val="-7"/>
          <w:sz w:val="22"/>
          <w:szCs w:val="22"/>
        </w:rPr>
        <w:t xml:space="preserve">  </w:t>
      </w:r>
      <w:r w:rsidR="00BD5B99" w:rsidRPr="00E275EC">
        <w:rPr>
          <w:spacing w:val="-7"/>
          <w:sz w:val="22"/>
          <w:szCs w:val="22"/>
        </w:rPr>
        <w:t>CET is an organization focused on “promot[ing] equitable and limited taxation of citizens and reform of corporate tax loopholes that do not benefit individual citizens.”</w:t>
      </w:r>
      <w:r w:rsidR="00BD5B99" w:rsidRPr="00E275EC">
        <w:rPr>
          <w:rStyle w:val="FootnoteReference"/>
          <w:spacing w:val="-7"/>
          <w:sz w:val="22"/>
          <w:szCs w:val="22"/>
        </w:rPr>
        <w:footnoteReference w:id="14"/>
      </w:r>
      <w:r w:rsidR="00BD5B99" w:rsidRPr="00E275EC">
        <w:rPr>
          <w:spacing w:val="-7"/>
          <w:sz w:val="22"/>
          <w:szCs w:val="22"/>
        </w:rPr>
        <w:t xml:space="preserve">  CET </w:t>
      </w:r>
      <w:r w:rsidR="00963720">
        <w:rPr>
          <w:sz w:val="22"/>
          <w:szCs w:val="22"/>
        </w:rPr>
        <w:t>speculates</w:t>
      </w:r>
      <w:r w:rsidR="00BD5B99" w:rsidRPr="00E275EC">
        <w:rPr>
          <w:sz w:val="22"/>
          <w:szCs w:val="22"/>
        </w:rPr>
        <w:t xml:space="preserve"> that the Applications </w:t>
      </w:r>
      <w:r w:rsidR="00963720">
        <w:rPr>
          <w:sz w:val="22"/>
          <w:szCs w:val="22"/>
        </w:rPr>
        <w:t xml:space="preserve">will be </w:t>
      </w:r>
      <w:r w:rsidR="00BD5B99" w:rsidRPr="00E275EC">
        <w:rPr>
          <w:sz w:val="22"/>
          <w:szCs w:val="22"/>
        </w:rPr>
        <w:t xml:space="preserve">part of </w:t>
      </w:r>
      <w:r w:rsidR="00963720">
        <w:rPr>
          <w:sz w:val="22"/>
          <w:szCs w:val="22"/>
        </w:rPr>
        <w:t>a like-kind</w:t>
      </w:r>
      <w:r w:rsidR="00BD5B99" w:rsidRPr="00E275EC">
        <w:rPr>
          <w:sz w:val="22"/>
          <w:szCs w:val="22"/>
        </w:rPr>
        <w:t xml:space="preserve"> exchange and</w:t>
      </w:r>
      <w:r w:rsidR="00C3301E">
        <w:rPr>
          <w:sz w:val="22"/>
          <w:szCs w:val="22"/>
        </w:rPr>
        <w:t>,</w:t>
      </w:r>
      <w:r w:rsidR="00BD5B99" w:rsidRPr="00E275EC">
        <w:rPr>
          <w:sz w:val="22"/>
          <w:szCs w:val="22"/>
        </w:rPr>
        <w:t xml:space="preserve"> </w:t>
      </w:r>
      <w:r w:rsidR="00963720">
        <w:rPr>
          <w:sz w:val="22"/>
          <w:szCs w:val="22"/>
        </w:rPr>
        <w:t>therefore</w:t>
      </w:r>
      <w:r w:rsidR="006F70DE">
        <w:rPr>
          <w:sz w:val="22"/>
          <w:szCs w:val="22"/>
        </w:rPr>
        <w:t>,</w:t>
      </w:r>
      <w:r w:rsidR="00963720">
        <w:rPr>
          <w:sz w:val="22"/>
          <w:szCs w:val="22"/>
        </w:rPr>
        <w:t xml:space="preserve"> that </w:t>
      </w:r>
      <w:r w:rsidR="00BD5B99" w:rsidRPr="00E275EC">
        <w:rPr>
          <w:sz w:val="22"/>
          <w:szCs w:val="22"/>
        </w:rPr>
        <w:t>their grant will offer tax avoidance benefits to Cox.</w:t>
      </w:r>
      <w:r w:rsidR="00BD5B99" w:rsidRPr="00E275EC">
        <w:rPr>
          <w:rStyle w:val="FootnoteReference"/>
          <w:sz w:val="22"/>
          <w:szCs w:val="22"/>
        </w:rPr>
        <w:footnoteReference w:id="15"/>
      </w:r>
      <w:r w:rsidR="00BD5B99" w:rsidRPr="00E275EC">
        <w:rPr>
          <w:sz w:val="22"/>
          <w:szCs w:val="22"/>
        </w:rPr>
        <w:t xml:space="preserve">  CET urges the Commission to determine, as a policy matter, whether like-kind exchanges are in the public interest.  CET argues that such exchanges are not because they offer a competitive advantage to </w:t>
      </w:r>
      <w:r w:rsidR="00727FD9">
        <w:rPr>
          <w:sz w:val="22"/>
          <w:szCs w:val="22"/>
        </w:rPr>
        <w:t>the parties</w:t>
      </w:r>
      <w:r w:rsidR="00BD5B99" w:rsidRPr="00E275EC">
        <w:rPr>
          <w:sz w:val="22"/>
          <w:szCs w:val="22"/>
        </w:rPr>
        <w:t xml:space="preserve"> involved and have “the potential by their very nature” to facilitate media consolidation and negatively impact diversity.”</w:t>
      </w:r>
      <w:r w:rsidR="00BD5B99" w:rsidRPr="00E275EC">
        <w:rPr>
          <w:rStyle w:val="FootnoteReference"/>
          <w:sz w:val="22"/>
          <w:szCs w:val="22"/>
        </w:rPr>
        <w:footnoteReference w:id="16"/>
      </w:r>
      <w:r w:rsidR="00BD5B99" w:rsidRPr="00E275EC">
        <w:rPr>
          <w:sz w:val="22"/>
          <w:szCs w:val="22"/>
        </w:rPr>
        <w:t xml:space="preserve">  CET thus asks the Commission to require applicants seeking approval for transactions that involve like-kind exchanges to make “a showing of public benefit over and above the showing required in a fully taxable transaction.”</w:t>
      </w:r>
      <w:r w:rsidR="00BD5B99" w:rsidRPr="00E275EC">
        <w:rPr>
          <w:rStyle w:val="FootnoteReference"/>
          <w:sz w:val="22"/>
          <w:szCs w:val="22"/>
        </w:rPr>
        <w:footnoteReference w:id="17"/>
      </w:r>
      <w:r w:rsidR="00BD5B99" w:rsidRPr="00E275EC">
        <w:rPr>
          <w:sz w:val="22"/>
          <w:szCs w:val="22"/>
        </w:rPr>
        <w:t xml:space="preserve">  CET requests that the Commission deny the Applications until such time as the Applicants demonstrate that these transactions – “and in particular the use of the like-kind exchange” – are in the public interest.</w:t>
      </w:r>
      <w:r w:rsidR="00BD5B99" w:rsidRPr="00E275EC">
        <w:rPr>
          <w:rStyle w:val="FootnoteReference"/>
          <w:sz w:val="22"/>
          <w:szCs w:val="22"/>
        </w:rPr>
        <w:footnoteReference w:id="18"/>
      </w:r>
      <w:r w:rsidR="00BD5B99" w:rsidRPr="00E275EC">
        <w:rPr>
          <w:sz w:val="22"/>
          <w:szCs w:val="22"/>
        </w:rPr>
        <w:t xml:space="preserve">  </w:t>
      </w:r>
    </w:p>
    <w:p w:rsidR="00BD5B99" w:rsidRPr="00E275EC" w:rsidRDefault="00BD5B99" w:rsidP="00671289">
      <w:pPr>
        <w:ind w:firstLine="720"/>
        <w:rPr>
          <w:sz w:val="22"/>
          <w:szCs w:val="22"/>
        </w:rPr>
      </w:pPr>
    </w:p>
    <w:p w:rsidR="00B22C2A" w:rsidRPr="00E275EC" w:rsidRDefault="00BD5B99" w:rsidP="00671289">
      <w:pPr>
        <w:ind w:firstLine="720"/>
        <w:rPr>
          <w:b/>
          <w:sz w:val="22"/>
          <w:szCs w:val="22"/>
        </w:rPr>
      </w:pPr>
      <w:r w:rsidRPr="00E275EC">
        <w:rPr>
          <w:sz w:val="22"/>
          <w:szCs w:val="22"/>
        </w:rPr>
        <w:t>Applicants oppose this, stating that the Applications “include all the information required by the Commission’s rules, forms, and instructions” and noting that CET does not allege that the Applications fail to comply with the Commission’s media ownership or any other rules.</w:t>
      </w:r>
      <w:r w:rsidRPr="00E275EC">
        <w:rPr>
          <w:rStyle w:val="FootnoteReference"/>
          <w:sz w:val="22"/>
          <w:szCs w:val="22"/>
        </w:rPr>
        <w:footnoteReference w:id="19"/>
      </w:r>
      <w:r w:rsidR="00BD0CC8" w:rsidRPr="00E275EC">
        <w:rPr>
          <w:sz w:val="22"/>
          <w:szCs w:val="22"/>
        </w:rPr>
        <w:t xml:space="preserve">  </w:t>
      </w:r>
      <w:r w:rsidRPr="00E275EC">
        <w:rPr>
          <w:sz w:val="22"/>
          <w:szCs w:val="22"/>
        </w:rPr>
        <w:t>Applicants state that the tax treatment of the transactions is beyond the Commission’s authority and is not an appropriate issue for consideration in this proceeding.</w:t>
      </w:r>
      <w:r w:rsidRPr="00E275EC">
        <w:rPr>
          <w:rStyle w:val="FootnoteReference"/>
          <w:sz w:val="22"/>
          <w:szCs w:val="22"/>
        </w:rPr>
        <w:footnoteReference w:id="20"/>
      </w:r>
      <w:r w:rsidRPr="00E275EC">
        <w:rPr>
          <w:sz w:val="22"/>
          <w:szCs w:val="22"/>
        </w:rPr>
        <w:t xml:space="preserve">  We agree.  As Applicants note,</w:t>
      </w:r>
      <w:r w:rsidRPr="00E275EC">
        <w:rPr>
          <w:rStyle w:val="FootnoteReference"/>
          <w:sz w:val="22"/>
          <w:szCs w:val="22"/>
        </w:rPr>
        <w:footnoteReference w:id="21"/>
      </w:r>
      <w:r w:rsidRPr="00E275EC">
        <w:rPr>
          <w:sz w:val="22"/>
          <w:szCs w:val="22"/>
        </w:rPr>
        <w:t xml:space="preserve"> Section 1031of the Internal Revenue Code represents </w:t>
      </w:r>
      <w:r w:rsidR="00BD0CC8" w:rsidRPr="00E275EC">
        <w:rPr>
          <w:sz w:val="22"/>
          <w:szCs w:val="22"/>
        </w:rPr>
        <w:t>tax policy enacted by Congress</w:t>
      </w:r>
      <w:r w:rsidRPr="00E275EC">
        <w:rPr>
          <w:sz w:val="22"/>
          <w:szCs w:val="22"/>
        </w:rPr>
        <w:t>.  Moreover, the Internal Revenue Service expressly has approved the use of like-kind exchanges in transactions involving broadcast properties.</w:t>
      </w:r>
      <w:r w:rsidRPr="00E275EC">
        <w:rPr>
          <w:rStyle w:val="FootnoteReference"/>
          <w:sz w:val="22"/>
          <w:szCs w:val="22"/>
        </w:rPr>
        <w:footnoteReference w:id="22"/>
      </w:r>
      <w:r w:rsidR="00015521" w:rsidRPr="00E275EC">
        <w:rPr>
          <w:sz w:val="22"/>
          <w:szCs w:val="22"/>
        </w:rPr>
        <w:t xml:space="preserve">  </w:t>
      </w:r>
      <w:r w:rsidR="00B22C2A" w:rsidRPr="00E275EC">
        <w:rPr>
          <w:sz w:val="22"/>
          <w:szCs w:val="22"/>
        </w:rPr>
        <w:t>In any event,</w:t>
      </w:r>
      <w:r w:rsidRPr="00E275EC">
        <w:rPr>
          <w:sz w:val="22"/>
          <w:szCs w:val="22"/>
        </w:rPr>
        <w:t xml:space="preserve"> the Commission has </w:t>
      </w:r>
      <w:r w:rsidR="00015521" w:rsidRPr="00E275EC">
        <w:rPr>
          <w:sz w:val="22"/>
          <w:szCs w:val="22"/>
        </w:rPr>
        <w:t>not previously found the fact that a transaction involved a like-kind exchange to be of concern.</w:t>
      </w:r>
      <w:r w:rsidRPr="00E275EC">
        <w:rPr>
          <w:rStyle w:val="FootnoteReference"/>
          <w:sz w:val="22"/>
          <w:szCs w:val="22"/>
        </w:rPr>
        <w:footnoteReference w:id="23"/>
      </w:r>
      <w:r w:rsidRPr="00E275EC">
        <w:rPr>
          <w:sz w:val="22"/>
          <w:szCs w:val="22"/>
        </w:rPr>
        <w:t xml:space="preserve">  </w:t>
      </w:r>
      <w:r w:rsidR="00A8390E" w:rsidRPr="00E275EC">
        <w:rPr>
          <w:sz w:val="22"/>
          <w:szCs w:val="22"/>
        </w:rPr>
        <w:t xml:space="preserve">Accordingly, any change in the Commission’s treatment of </w:t>
      </w:r>
      <w:r w:rsidR="007425E7" w:rsidRPr="00E275EC">
        <w:rPr>
          <w:sz w:val="22"/>
          <w:szCs w:val="22"/>
        </w:rPr>
        <w:t xml:space="preserve">transactions involving </w:t>
      </w:r>
      <w:r w:rsidR="00A8390E" w:rsidRPr="00E275EC">
        <w:rPr>
          <w:sz w:val="22"/>
          <w:szCs w:val="22"/>
        </w:rPr>
        <w:t>like-kind exchange</w:t>
      </w:r>
      <w:r w:rsidR="007425E7" w:rsidRPr="00E275EC">
        <w:rPr>
          <w:sz w:val="22"/>
          <w:szCs w:val="22"/>
        </w:rPr>
        <w:t>s</w:t>
      </w:r>
      <w:r w:rsidR="00A8390E" w:rsidRPr="00E275EC">
        <w:rPr>
          <w:sz w:val="22"/>
          <w:szCs w:val="22"/>
        </w:rPr>
        <w:t xml:space="preserve"> would involve a change </w:t>
      </w:r>
      <w:r w:rsidR="007425E7" w:rsidRPr="00E275EC">
        <w:rPr>
          <w:sz w:val="22"/>
          <w:szCs w:val="22"/>
        </w:rPr>
        <w:t>in Commission p</w:t>
      </w:r>
      <w:r w:rsidR="00A8390E" w:rsidRPr="00E275EC">
        <w:rPr>
          <w:sz w:val="22"/>
          <w:szCs w:val="22"/>
        </w:rPr>
        <w:t>olicy.</w:t>
      </w:r>
      <w:r w:rsidR="003775D3" w:rsidRPr="00E275EC">
        <w:rPr>
          <w:sz w:val="22"/>
          <w:szCs w:val="22"/>
        </w:rPr>
        <w:t xml:space="preserve">  </w:t>
      </w:r>
      <w:r w:rsidR="00251D3B" w:rsidRPr="00E275EC">
        <w:rPr>
          <w:sz w:val="22"/>
          <w:szCs w:val="22"/>
        </w:rPr>
        <w:t>It has “long been Commission practice to make decisions that alter fundamental components of broadly applicable regulatory schemes in the context of rule making proceedings, not adjudications.</w:t>
      </w:r>
      <w:r w:rsidR="00251D3B" w:rsidRPr="00E275EC">
        <w:rPr>
          <w:rStyle w:val="FootnoteReference"/>
          <w:sz w:val="22"/>
          <w:szCs w:val="22"/>
        </w:rPr>
        <w:footnoteReference w:id="24"/>
      </w:r>
      <w:r w:rsidR="00251D3B" w:rsidRPr="00E275EC">
        <w:rPr>
          <w:sz w:val="22"/>
          <w:szCs w:val="22"/>
        </w:rPr>
        <w:t xml:space="preserve"> </w:t>
      </w:r>
      <w:r w:rsidR="003775D3" w:rsidRPr="00E275EC">
        <w:rPr>
          <w:sz w:val="22"/>
          <w:szCs w:val="22"/>
        </w:rPr>
        <w:t xml:space="preserve"> </w:t>
      </w:r>
      <w:r w:rsidR="00A8390E" w:rsidRPr="00E275EC">
        <w:rPr>
          <w:sz w:val="22"/>
          <w:szCs w:val="22"/>
        </w:rPr>
        <w:t xml:space="preserve">  </w:t>
      </w:r>
      <w:r w:rsidR="00015521" w:rsidRPr="00E275EC">
        <w:rPr>
          <w:sz w:val="22"/>
          <w:szCs w:val="22"/>
        </w:rPr>
        <w:t>Finally, we note that CET raises only</w:t>
      </w:r>
      <w:r w:rsidR="00A8390E" w:rsidRPr="00E275EC">
        <w:rPr>
          <w:sz w:val="22"/>
          <w:szCs w:val="22"/>
        </w:rPr>
        <w:t xml:space="preserve"> general </w:t>
      </w:r>
      <w:r w:rsidR="00015521" w:rsidRPr="00E275EC">
        <w:rPr>
          <w:sz w:val="22"/>
          <w:szCs w:val="22"/>
        </w:rPr>
        <w:t xml:space="preserve">concerns that are not specific to this transaction.  These concerns are </w:t>
      </w:r>
      <w:r w:rsidR="00A8390E" w:rsidRPr="00E275EC">
        <w:rPr>
          <w:sz w:val="22"/>
          <w:szCs w:val="22"/>
        </w:rPr>
        <w:t>insufficient to justify denial of the specific application</w:t>
      </w:r>
      <w:r w:rsidR="004731B9">
        <w:rPr>
          <w:sz w:val="22"/>
          <w:szCs w:val="22"/>
        </w:rPr>
        <w:t>s</w:t>
      </w:r>
      <w:r w:rsidR="00A8390E" w:rsidRPr="00E275EC">
        <w:rPr>
          <w:sz w:val="22"/>
          <w:szCs w:val="22"/>
        </w:rPr>
        <w:t xml:space="preserve"> involved.</w:t>
      </w:r>
      <w:r w:rsidR="00A8390E" w:rsidRPr="00E275EC">
        <w:rPr>
          <w:rStyle w:val="FootnoteReference"/>
          <w:sz w:val="22"/>
          <w:szCs w:val="22"/>
        </w:rPr>
        <w:footnoteReference w:id="25"/>
      </w:r>
      <w:r w:rsidR="00A8390E" w:rsidRPr="00E275EC">
        <w:rPr>
          <w:sz w:val="22"/>
          <w:szCs w:val="22"/>
        </w:rPr>
        <w:t xml:space="preserve">  </w:t>
      </w:r>
    </w:p>
    <w:p w:rsidR="002425B9" w:rsidRPr="00E275EC" w:rsidRDefault="002425B9" w:rsidP="00671289">
      <w:pPr>
        <w:ind w:firstLine="720"/>
        <w:rPr>
          <w:rStyle w:val="documentbody5"/>
          <w:rFonts w:ascii="Times New Roman" w:hAnsi="Times New Roman"/>
          <w:b/>
          <w:sz w:val="22"/>
          <w:szCs w:val="22"/>
        </w:rPr>
      </w:pPr>
    </w:p>
    <w:p w:rsidR="0050653F" w:rsidRPr="00E275EC" w:rsidRDefault="00351D2D" w:rsidP="00671289">
      <w:pPr>
        <w:rPr>
          <w:sz w:val="22"/>
          <w:szCs w:val="22"/>
        </w:rPr>
      </w:pPr>
      <w:r w:rsidRPr="00E275EC">
        <w:rPr>
          <w:b/>
          <w:sz w:val="22"/>
          <w:szCs w:val="22"/>
          <w:shd w:val="clear" w:color="auto" w:fill="FFFFFF"/>
        </w:rPr>
        <w:t xml:space="preserve">  </w:t>
      </w:r>
      <w:r w:rsidR="00E62117" w:rsidRPr="00E275EC">
        <w:rPr>
          <w:b/>
          <w:sz w:val="22"/>
          <w:szCs w:val="22"/>
          <w:shd w:val="clear" w:color="auto" w:fill="FFFFFF"/>
        </w:rPr>
        <w:tab/>
      </w:r>
      <w:r w:rsidR="00FD3BE6" w:rsidRPr="00E275EC">
        <w:rPr>
          <w:b/>
          <w:spacing w:val="-2"/>
          <w:sz w:val="22"/>
          <w:szCs w:val="22"/>
        </w:rPr>
        <w:t xml:space="preserve">Conclusion/Actions.  </w:t>
      </w:r>
      <w:r w:rsidR="007425E7" w:rsidRPr="00E275EC">
        <w:rPr>
          <w:sz w:val="22"/>
          <w:szCs w:val="22"/>
        </w:rPr>
        <w:t>Based on the evidence before us, we find no substantial and material questions of fact that warrant further inquiry.  We also conclude that the Applicants are fully qualified and that grant of these applications will serve the public interest, convenience, and necessity.  Accordingly, IT IS ORDERED that the Petition to Deny filed by Citizens for Equity in Taxation on March 21, 2013, IS DISMISSED</w:t>
      </w:r>
      <w:r w:rsidR="007425E7" w:rsidRPr="00E275EC">
        <w:rPr>
          <w:i/>
          <w:sz w:val="22"/>
          <w:szCs w:val="22"/>
        </w:rPr>
        <w:t>,</w:t>
      </w:r>
      <w:r w:rsidR="007425E7" w:rsidRPr="00E275EC">
        <w:rPr>
          <w:sz w:val="22"/>
          <w:szCs w:val="22"/>
        </w:rPr>
        <w:t xml:space="preserve"> and when treated as an informal objection IS DENIED.  </w:t>
      </w:r>
    </w:p>
    <w:p w:rsidR="0050653F" w:rsidRPr="00E275EC" w:rsidRDefault="0050653F" w:rsidP="00671289">
      <w:pPr>
        <w:rPr>
          <w:sz w:val="22"/>
          <w:szCs w:val="22"/>
        </w:rPr>
      </w:pPr>
    </w:p>
    <w:p w:rsidR="0050653F" w:rsidRPr="00E275EC" w:rsidRDefault="007425E7" w:rsidP="00671289">
      <w:pPr>
        <w:ind w:firstLine="720"/>
        <w:rPr>
          <w:sz w:val="22"/>
          <w:szCs w:val="22"/>
        </w:rPr>
      </w:pPr>
      <w:r w:rsidRPr="00E275EC">
        <w:rPr>
          <w:sz w:val="22"/>
          <w:szCs w:val="22"/>
        </w:rPr>
        <w:t>IT IS FURTHER ORDERED that the</w:t>
      </w:r>
      <w:r w:rsidR="0050653F" w:rsidRPr="00E275EC">
        <w:rPr>
          <w:sz w:val="22"/>
          <w:szCs w:val="22"/>
        </w:rPr>
        <w:t xml:space="preserve"> applications to assign the licenses of WZZK-FM, WAGG(AM), WENN(AM), Birmingham, Alabama (File Nos. BALH-20130212ABQ, BAL-20130212ABK, and BAL-20130212ABAO, respectively); WBHJ(FM), Midfield, Alabama (File No. BALH-20130212ABL); WBHK(FM), Warrior, Alabama (File No. BALH-20130212ABM); WBPT(FM), Homewood, Alabama (File No. BALH-20130212ABN); WZNN(FM), Gardendale, Alabama (File No. BALH-20130212ABP); WHZT(FM), Williamston, South Carolina (File No. BALH-20130212ABR); WJMZ-FM, Anderson, South Carolina (File No. BALH-20130212ABS); KCCN-FM, KINE-FM and KRTR(AM), Honolulu, Hawaii (File Nos. BALH-20130212ABT, BALH-20130212ABU, and BAL-20130212ABX, respectively); KKNE(AM), Waipahu, Hawaii (File No. BAL-20130212ABV); KPHW(FM), Kaneohe, Hawaii (File No. BALH-20130212ABW); KRTR-FM, Kailua, Hawaii (File No. BALH-20130212ABY); WQNU(FM), Lyndon, Kentucky (File No. BALH-20130212ABZ); WRKA(FM), Louisville, Kentucky (File No. BALH-20130212ACA); WVEZ(FM), St. Matthews, Kentucky (File No. BALH-20130212</w:t>
      </w:r>
      <w:r w:rsidR="004A4D3B" w:rsidRPr="00E275EC">
        <w:rPr>
          <w:sz w:val="22"/>
          <w:szCs w:val="22"/>
        </w:rPr>
        <w:t>ACB</w:t>
      </w:r>
      <w:r w:rsidR="0050653F" w:rsidRPr="00E275EC">
        <w:rPr>
          <w:sz w:val="22"/>
          <w:szCs w:val="22"/>
        </w:rPr>
        <w:t>); WSFR(FM), Corydon, Indiana</w:t>
      </w:r>
      <w:r w:rsidR="004A4D3B" w:rsidRPr="00E275EC">
        <w:rPr>
          <w:sz w:val="22"/>
          <w:szCs w:val="22"/>
        </w:rPr>
        <w:t xml:space="preserve"> (File No. BALH-20130212ACC)</w:t>
      </w:r>
      <w:r w:rsidR="0050653F" w:rsidRPr="00E275EC">
        <w:rPr>
          <w:sz w:val="22"/>
          <w:szCs w:val="22"/>
        </w:rPr>
        <w:t>; WHTI(FM), Lakeside, Virginia</w:t>
      </w:r>
      <w:r w:rsidR="004A4D3B" w:rsidRPr="00E275EC">
        <w:rPr>
          <w:sz w:val="22"/>
          <w:szCs w:val="22"/>
        </w:rPr>
        <w:t xml:space="preserve"> (File No. BALH-20130212ACD)</w:t>
      </w:r>
      <w:r w:rsidR="0050653F" w:rsidRPr="00E275EC">
        <w:rPr>
          <w:sz w:val="22"/>
          <w:szCs w:val="22"/>
        </w:rPr>
        <w:t>; WKHK(FM), Colonial Heights, Virginia</w:t>
      </w:r>
      <w:r w:rsidR="004A4D3B" w:rsidRPr="00E275EC">
        <w:rPr>
          <w:sz w:val="22"/>
          <w:szCs w:val="22"/>
        </w:rPr>
        <w:t xml:space="preserve"> (File No. BALH-20130212ACE)</w:t>
      </w:r>
      <w:r w:rsidR="0050653F" w:rsidRPr="00E275EC">
        <w:rPr>
          <w:sz w:val="22"/>
          <w:szCs w:val="22"/>
        </w:rPr>
        <w:t>; WKLR(FM), Fort Lee, Virginia</w:t>
      </w:r>
      <w:r w:rsidR="004A4D3B" w:rsidRPr="00E275EC">
        <w:rPr>
          <w:sz w:val="22"/>
          <w:szCs w:val="22"/>
        </w:rPr>
        <w:t xml:space="preserve"> (File No. BALH-20130212ACF)</w:t>
      </w:r>
      <w:r w:rsidR="0050653F" w:rsidRPr="00E275EC">
        <w:rPr>
          <w:sz w:val="22"/>
          <w:szCs w:val="22"/>
        </w:rPr>
        <w:t>; and WURV(FM), Richmond, Virginia</w:t>
      </w:r>
      <w:r w:rsidR="004A4D3B" w:rsidRPr="00E275EC">
        <w:rPr>
          <w:sz w:val="22"/>
          <w:szCs w:val="22"/>
        </w:rPr>
        <w:t xml:space="preserve"> (File No. BALH-20130212ACG)</w:t>
      </w:r>
      <w:r w:rsidR="0050653F" w:rsidRPr="00E275EC">
        <w:rPr>
          <w:sz w:val="22"/>
          <w:szCs w:val="22"/>
        </w:rPr>
        <w:t>, from Cox Radio, Inc. to SummitMedia LLC ARE GRANTED.</w:t>
      </w:r>
    </w:p>
    <w:p w:rsidR="0050653F" w:rsidRPr="00E275EC" w:rsidRDefault="0050653F" w:rsidP="00671289">
      <w:pPr>
        <w:ind w:firstLine="720"/>
        <w:rPr>
          <w:sz w:val="22"/>
          <w:szCs w:val="22"/>
        </w:rPr>
      </w:pPr>
    </w:p>
    <w:p w:rsidR="0050653F" w:rsidRPr="00E275EC" w:rsidRDefault="0050653F" w:rsidP="00671289">
      <w:pPr>
        <w:ind w:firstLine="720"/>
        <w:rPr>
          <w:sz w:val="22"/>
          <w:szCs w:val="22"/>
        </w:rPr>
      </w:pPr>
      <w:r w:rsidRPr="00E275EC">
        <w:rPr>
          <w:sz w:val="22"/>
          <w:szCs w:val="22"/>
        </w:rPr>
        <w:t>IT IS FURTHER ORDERED that the applications to assign the licenses of WEZN-FM, Bridgeport, Connecticut</w:t>
      </w:r>
      <w:r w:rsidR="004A4D3B" w:rsidRPr="00E275EC">
        <w:rPr>
          <w:sz w:val="22"/>
          <w:szCs w:val="22"/>
        </w:rPr>
        <w:t xml:space="preserve"> (File No. BALH-20130212ACH)</w:t>
      </w:r>
      <w:r w:rsidRPr="00E275EC">
        <w:rPr>
          <w:sz w:val="22"/>
          <w:szCs w:val="22"/>
        </w:rPr>
        <w:t>; WFOX(FM), Norwalk, Connecticut</w:t>
      </w:r>
      <w:r w:rsidR="004A4D3B" w:rsidRPr="00E275EC">
        <w:rPr>
          <w:sz w:val="22"/>
          <w:szCs w:val="22"/>
        </w:rPr>
        <w:t xml:space="preserve"> (File No. BALH-20130212ACI)</w:t>
      </w:r>
      <w:r w:rsidRPr="00E275EC">
        <w:rPr>
          <w:sz w:val="22"/>
          <w:szCs w:val="22"/>
        </w:rPr>
        <w:t>; and WPLR(FM), New Haven, Connecticut</w:t>
      </w:r>
      <w:r w:rsidR="004A4D3B" w:rsidRPr="00E275EC">
        <w:rPr>
          <w:sz w:val="22"/>
          <w:szCs w:val="22"/>
        </w:rPr>
        <w:t xml:space="preserve"> (File No. BALH-20130212ACJ)</w:t>
      </w:r>
      <w:r w:rsidRPr="00E275EC">
        <w:rPr>
          <w:sz w:val="22"/>
          <w:szCs w:val="22"/>
        </w:rPr>
        <w:t>, from Cox Radio, Inc. to Connoisseur Media Licenses LLC ARE GRANTED.</w:t>
      </w:r>
    </w:p>
    <w:p w:rsidR="0050653F" w:rsidRPr="00E275EC" w:rsidRDefault="0050653F" w:rsidP="00671289">
      <w:pPr>
        <w:rPr>
          <w:sz w:val="22"/>
          <w:szCs w:val="22"/>
        </w:rPr>
      </w:pPr>
    </w:p>
    <w:p w:rsidR="0099056F" w:rsidRPr="00E275EC" w:rsidRDefault="0099056F" w:rsidP="00671289">
      <w:pPr>
        <w:tabs>
          <w:tab w:val="left" w:pos="270"/>
        </w:tabs>
        <w:rPr>
          <w:sz w:val="22"/>
          <w:szCs w:val="22"/>
        </w:rPr>
      </w:pPr>
    </w:p>
    <w:p w:rsidR="006F0D9F" w:rsidRPr="00E275EC" w:rsidRDefault="00FD3BE6" w:rsidP="00671289">
      <w:pPr>
        <w:tabs>
          <w:tab w:val="left" w:pos="270"/>
        </w:tabs>
        <w:rPr>
          <w:sz w:val="22"/>
          <w:szCs w:val="22"/>
        </w:rPr>
      </w:pP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t>Sincerely,</w:t>
      </w:r>
    </w:p>
    <w:p w:rsidR="006F0D9F" w:rsidRPr="00E275EC" w:rsidRDefault="006F0D9F" w:rsidP="00671289">
      <w:pPr>
        <w:tabs>
          <w:tab w:val="left" w:pos="0"/>
          <w:tab w:val="left" w:pos="270"/>
        </w:tabs>
        <w:suppressAutoHyphens/>
        <w:rPr>
          <w:sz w:val="22"/>
          <w:szCs w:val="22"/>
        </w:rPr>
      </w:pPr>
    </w:p>
    <w:p w:rsidR="006F0D9F" w:rsidRPr="00E275EC" w:rsidRDefault="006F0D9F" w:rsidP="00671289">
      <w:pPr>
        <w:tabs>
          <w:tab w:val="left" w:pos="0"/>
          <w:tab w:val="left" w:pos="270"/>
        </w:tabs>
        <w:suppressAutoHyphens/>
        <w:rPr>
          <w:sz w:val="22"/>
          <w:szCs w:val="22"/>
        </w:rPr>
      </w:pPr>
    </w:p>
    <w:p w:rsidR="006F0D9F" w:rsidRPr="00E275EC" w:rsidRDefault="006F0D9F" w:rsidP="00671289">
      <w:pPr>
        <w:tabs>
          <w:tab w:val="left" w:pos="0"/>
          <w:tab w:val="left" w:pos="270"/>
        </w:tabs>
        <w:suppressAutoHyphens/>
        <w:rPr>
          <w:sz w:val="22"/>
          <w:szCs w:val="22"/>
        </w:rPr>
      </w:pPr>
    </w:p>
    <w:p w:rsidR="00E5589E" w:rsidRPr="00E275EC" w:rsidRDefault="00E5589E" w:rsidP="00671289">
      <w:pPr>
        <w:tabs>
          <w:tab w:val="left" w:pos="0"/>
          <w:tab w:val="left" w:pos="270"/>
        </w:tabs>
        <w:suppressAutoHyphens/>
        <w:rPr>
          <w:sz w:val="22"/>
          <w:szCs w:val="22"/>
        </w:rPr>
      </w:pPr>
    </w:p>
    <w:p w:rsidR="006F0D9F" w:rsidRPr="00E275EC" w:rsidRDefault="00FD3BE6" w:rsidP="00671289">
      <w:pPr>
        <w:tabs>
          <w:tab w:val="left" w:pos="0"/>
        </w:tabs>
        <w:suppressAutoHyphens/>
        <w:outlineLvl w:val="0"/>
        <w:rPr>
          <w:sz w:val="22"/>
          <w:szCs w:val="22"/>
        </w:rPr>
      </w:pP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t>Peter H. Doyle</w:t>
      </w:r>
    </w:p>
    <w:p w:rsidR="006F0D9F" w:rsidRPr="00E275EC" w:rsidRDefault="00FD3BE6" w:rsidP="00671289">
      <w:pPr>
        <w:tabs>
          <w:tab w:val="left" w:pos="0"/>
        </w:tabs>
        <w:suppressAutoHyphens/>
        <w:rPr>
          <w:sz w:val="22"/>
          <w:szCs w:val="22"/>
        </w:rPr>
      </w:pP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t>Chief, Audio Division</w:t>
      </w:r>
    </w:p>
    <w:p w:rsidR="00FD3BE6" w:rsidRPr="00E275EC" w:rsidRDefault="00FD3BE6" w:rsidP="00671289">
      <w:pPr>
        <w:tabs>
          <w:tab w:val="left" w:pos="0"/>
        </w:tabs>
        <w:suppressAutoHyphens/>
        <w:rPr>
          <w:sz w:val="22"/>
          <w:szCs w:val="22"/>
        </w:rPr>
      </w:pP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r>
      <w:r w:rsidRPr="00E275EC">
        <w:rPr>
          <w:sz w:val="22"/>
          <w:szCs w:val="22"/>
        </w:rPr>
        <w:tab/>
        <w:t>Media Bureau</w:t>
      </w:r>
    </w:p>
    <w:sectPr w:rsidR="00FD3BE6" w:rsidRPr="00E275EC" w:rsidSect="006F0D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BC" w:rsidRDefault="000C28BC">
      <w:r>
        <w:separator/>
      </w:r>
    </w:p>
  </w:endnote>
  <w:endnote w:type="continuationSeparator" w:id="0">
    <w:p w:rsidR="000C28BC" w:rsidRDefault="000C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9F" w:rsidRDefault="00CB79DD">
    <w:pPr>
      <w:pStyle w:val="Footer"/>
      <w:framePr w:wrap="around" w:vAnchor="text" w:hAnchor="margin" w:xAlign="center" w:y="1"/>
      <w:rPr>
        <w:rStyle w:val="PageNumber"/>
      </w:rPr>
    </w:pPr>
    <w:r>
      <w:rPr>
        <w:rStyle w:val="PageNumber"/>
      </w:rPr>
      <w:fldChar w:fldCharType="begin"/>
    </w:r>
    <w:r w:rsidR="00FD3BE6">
      <w:rPr>
        <w:rStyle w:val="PageNumber"/>
      </w:rPr>
      <w:instrText xml:space="preserve">PAGE  </w:instrText>
    </w:r>
    <w:r>
      <w:rPr>
        <w:rStyle w:val="PageNumber"/>
      </w:rPr>
      <w:fldChar w:fldCharType="separate"/>
    </w:r>
    <w:r w:rsidR="00FD3BE6">
      <w:rPr>
        <w:rStyle w:val="PageNumber"/>
        <w:noProof/>
      </w:rPr>
      <w:t>2</w:t>
    </w:r>
    <w:r>
      <w:rPr>
        <w:rStyle w:val="PageNumber"/>
      </w:rPr>
      <w:fldChar w:fldCharType="end"/>
    </w:r>
  </w:p>
  <w:p w:rsidR="006F0D9F" w:rsidRDefault="006F0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9F" w:rsidRDefault="00CB79DD">
    <w:pPr>
      <w:pStyle w:val="Footer"/>
      <w:framePr w:wrap="around" w:vAnchor="text" w:hAnchor="margin" w:xAlign="center" w:y="1"/>
      <w:rPr>
        <w:rStyle w:val="PageNumber"/>
      </w:rPr>
    </w:pPr>
    <w:r>
      <w:rPr>
        <w:rStyle w:val="PageNumber"/>
      </w:rPr>
      <w:fldChar w:fldCharType="begin"/>
    </w:r>
    <w:r w:rsidR="00FD3BE6">
      <w:rPr>
        <w:rStyle w:val="PageNumber"/>
      </w:rPr>
      <w:instrText xml:space="preserve">PAGE  </w:instrText>
    </w:r>
    <w:r>
      <w:rPr>
        <w:rStyle w:val="PageNumber"/>
      </w:rPr>
      <w:fldChar w:fldCharType="separate"/>
    </w:r>
    <w:r w:rsidR="005671B5">
      <w:rPr>
        <w:rStyle w:val="PageNumber"/>
        <w:noProof/>
      </w:rPr>
      <w:t>2</w:t>
    </w:r>
    <w:r>
      <w:rPr>
        <w:rStyle w:val="PageNumber"/>
      </w:rPr>
      <w:fldChar w:fldCharType="end"/>
    </w:r>
  </w:p>
  <w:p w:rsidR="006F0D9F" w:rsidRDefault="006F0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92" w:rsidRDefault="00475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BC" w:rsidRDefault="000C28BC">
      <w:r>
        <w:separator/>
      </w:r>
    </w:p>
  </w:footnote>
  <w:footnote w:type="continuationSeparator" w:id="0">
    <w:p w:rsidR="000C28BC" w:rsidRDefault="000C28BC">
      <w:r>
        <w:continuationSeparator/>
      </w:r>
    </w:p>
  </w:footnote>
  <w:footnote w:id="1">
    <w:p w:rsidR="00972FCC" w:rsidRPr="000875CD" w:rsidRDefault="00972FCC" w:rsidP="008750C0">
      <w:pPr>
        <w:pStyle w:val="FootnoteText"/>
        <w:spacing w:after="120"/>
        <w:jc w:val="both"/>
        <w:rPr>
          <w:b/>
        </w:rPr>
      </w:pPr>
      <w:r w:rsidRPr="000875CD">
        <w:rPr>
          <w:rStyle w:val="FootnoteReference"/>
        </w:rPr>
        <w:footnoteRef/>
      </w:r>
      <w:r w:rsidRPr="000875CD">
        <w:t xml:space="preserve"> Cox proposes to assign the licenses for the following 23 radio stations to Summit:  </w:t>
      </w:r>
      <w:r w:rsidR="00FF00E2" w:rsidRPr="000875CD">
        <w:t>WZZK-FM, WAGG(AM), WENN(AM), Birmingham, Alabama; WBHJ(FM), Midfield, Alabama; WBHK(FM), Warrior, Alabama; WBPT(FM), Homewood, Alabama; WZNN(FM), Gardendale, Alabama;</w:t>
      </w:r>
      <w:r w:rsidR="00D42E08" w:rsidRPr="000875CD">
        <w:t xml:space="preserve"> WHZT(FM), Williamston, South Carolina; WJMZ-FM, Anderson, South Carolina; KCCN-FM, KINE-FM and KRTR(AM), Honolulu, Hawaii; KKNE(AM), Waipahu, Hawaii; KPHW(FM), Kaneohe, Hawaii; KRTR-FM, Kailua, Hawaii; WQNU(FM), Lyndon, Kentucky; WRKA(FM), Louisville, Kentucky; WVEZ(FM), St. Matthews, Kentucky; WSFR(FM), Corydon, Indiana; WHTI(FM), Lakeside, Virginia; WKHK(FM), Colonial Heights, Virginia; WKLR(FM), Fort Lee, Virginia; and WURV(FM), Richmond, Virginia</w:t>
      </w:r>
      <w:r w:rsidRPr="000875CD">
        <w:t xml:space="preserve">.  Cox proposes to assign the licenses for the following three radio stations to Connoisseur:  </w:t>
      </w:r>
      <w:r w:rsidR="00D42E08" w:rsidRPr="000875CD">
        <w:t>WEZN-FM, Bridgeport, Connecticut; WFOX(FM), Norwalk, Connecticut; and WPLR(FM), New Haven, Connecticut</w:t>
      </w:r>
      <w:r w:rsidRPr="000875CD">
        <w:t>.</w:t>
      </w:r>
      <w:r w:rsidR="00FF00E2" w:rsidRPr="000875CD">
        <w:t xml:space="preserve">  </w:t>
      </w:r>
    </w:p>
  </w:footnote>
  <w:footnote w:id="2">
    <w:p w:rsidR="000B4A20" w:rsidRPr="000875CD" w:rsidRDefault="000B4A20" w:rsidP="008750C0">
      <w:pPr>
        <w:pStyle w:val="FootnoteText"/>
        <w:spacing w:after="120"/>
        <w:jc w:val="both"/>
      </w:pPr>
      <w:r w:rsidRPr="000875CD">
        <w:rPr>
          <w:rStyle w:val="FootnoteReference"/>
        </w:rPr>
        <w:footnoteRef/>
      </w:r>
      <w:r w:rsidRPr="000875CD">
        <w:t xml:space="preserve"> Applicants filed a Joint Opposition (“Opposition”) on April 1, 2013.  CET filed a Reply to Joint Opposition (“Reply”) on April 8, 2013.</w:t>
      </w:r>
    </w:p>
  </w:footnote>
  <w:footnote w:id="3">
    <w:p w:rsidR="00C07807" w:rsidRPr="000875CD" w:rsidRDefault="00C07807" w:rsidP="008750C0">
      <w:pPr>
        <w:pStyle w:val="FootnoteText"/>
        <w:spacing w:after="120"/>
        <w:jc w:val="both"/>
      </w:pPr>
      <w:r w:rsidRPr="000875CD">
        <w:rPr>
          <w:rStyle w:val="FootnoteReference"/>
        </w:rPr>
        <w:footnoteRef/>
      </w:r>
      <w:r w:rsidRPr="000875CD">
        <w:t xml:space="preserve"> 47 U.S.C. § 309(d)(1).  </w:t>
      </w:r>
      <w:r w:rsidRPr="000875CD">
        <w:rPr>
          <w:i/>
        </w:rPr>
        <w:t>See also</w:t>
      </w:r>
      <w:r w:rsidRPr="000875CD">
        <w:t xml:space="preserve"> 47 C.F.R. § 73.3584(a); </w:t>
      </w:r>
      <w:r w:rsidRPr="000875CD">
        <w:rPr>
          <w:i/>
        </w:rPr>
        <w:t>MCI Communications Corp.</w:t>
      </w:r>
      <w:r w:rsidRPr="000875CD">
        <w:t xml:space="preserve">, </w:t>
      </w:r>
      <w:r w:rsidR="00975274">
        <w:t xml:space="preserve">Memorandum Opinion and Order, </w:t>
      </w:r>
      <w:r w:rsidRPr="000875CD">
        <w:t xml:space="preserve">12 FCC Rcd 7790, 7794 </w:t>
      </w:r>
      <w:r w:rsidR="00975274">
        <w:t xml:space="preserve">¶ 11 </w:t>
      </w:r>
      <w:r w:rsidRPr="000875CD">
        <w:t>(1997)</w:t>
      </w:r>
      <w:r w:rsidR="00975274">
        <w:t xml:space="preserve"> (“</w:t>
      </w:r>
      <w:r w:rsidR="00975274">
        <w:rPr>
          <w:i/>
        </w:rPr>
        <w:t>MCI</w:t>
      </w:r>
      <w:r w:rsidR="00975274">
        <w:t>”)</w:t>
      </w:r>
      <w:r w:rsidRPr="000875CD">
        <w:t>.</w:t>
      </w:r>
    </w:p>
  </w:footnote>
  <w:footnote w:id="4">
    <w:p w:rsidR="00C07807" w:rsidRPr="000875CD" w:rsidRDefault="00C07807" w:rsidP="008750C0">
      <w:pPr>
        <w:pStyle w:val="FootnoteText"/>
        <w:spacing w:after="120"/>
        <w:jc w:val="both"/>
        <w:rPr>
          <w:i/>
        </w:rPr>
      </w:pPr>
      <w:r w:rsidRPr="000875CD">
        <w:rPr>
          <w:rStyle w:val="FootnoteReference"/>
        </w:rPr>
        <w:footnoteRef/>
      </w:r>
      <w:r w:rsidRPr="000875CD">
        <w:t xml:space="preserve"> </w:t>
      </w:r>
      <w:r w:rsidRPr="000875CD">
        <w:rPr>
          <w:i/>
        </w:rPr>
        <w:t xml:space="preserve">See </w:t>
      </w:r>
      <w:r w:rsidRPr="000875CD">
        <w:t xml:space="preserve">47 U.S.C. § 402(b).  </w:t>
      </w:r>
      <w:r w:rsidRPr="000875CD">
        <w:rPr>
          <w:i/>
        </w:rPr>
        <w:t>See also MCI</w:t>
      </w:r>
      <w:r w:rsidRPr="000875CD">
        <w:t>, 12 FCC Rcd at 7794</w:t>
      </w:r>
      <w:r w:rsidR="00975274">
        <w:t xml:space="preserve"> ¶ 11</w:t>
      </w:r>
      <w:r w:rsidRPr="000875CD">
        <w:t xml:space="preserve">; </w:t>
      </w:r>
      <w:r w:rsidRPr="000875CD">
        <w:rPr>
          <w:i/>
        </w:rPr>
        <w:t>Standards for Determining the Standing of a Party to Petition to Deny a Broadcast Application</w:t>
      </w:r>
      <w:r w:rsidRPr="000875CD">
        <w:t xml:space="preserve">, </w:t>
      </w:r>
      <w:r w:rsidR="00975274">
        <w:t xml:space="preserve">Memorandum Opinion and Order, </w:t>
      </w:r>
      <w:r w:rsidRPr="000875CD">
        <w:t>82 F.C.C.2d 89, 95-96</w:t>
      </w:r>
      <w:r w:rsidR="00975274">
        <w:t xml:space="preserve"> ¶¶ 13-20</w:t>
      </w:r>
      <w:r w:rsidRPr="000875CD">
        <w:t xml:space="preserve"> (1980)</w:t>
      </w:r>
      <w:r w:rsidR="001911C0">
        <w:t xml:space="preserve"> (</w:t>
      </w:r>
      <w:r w:rsidR="001911C0">
        <w:rPr>
          <w:i/>
        </w:rPr>
        <w:t>“Standing Order</w:t>
      </w:r>
      <w:r w:rsidR="001911C0">
        <w:t>”)</w:t>
      </w:r>
      <w:r w:rsidRPr="000875CD">
        <w:t xml:space="preserve">; </w:t>
      </w:r>
      <w:r w:rsidRPr="000875CD">
        <w:rPr>
          <w:i/>
        </w:rPr>
        <w:t>Office of Communications of the United Church of Christ v. FCC</w:t>
      </w:r>
      <w:r w:rsidRPr="000875CD">
        <w:t>, 359 F.2d 994</w:t>
      </w:r>
      <w:r w:rsidR="00975274">
        <w:t>, 1000 n.8</w:t>
      </w:r>
      <w:r w:rsidRPr="000875CD">
        <w:t xml:space="preserve"> (1966).</w:t>
      </w:r>
    </w:p>
  </w:footnote>
  <w:footnote w:id="5">
    <w:p w:rsidR="00C07807" w:rsidRPr="000875CD" w:rsidRDefault="00C07807" w:rsidP="008750C0">
      <w:pPr>
        <w:pStyle w:val="FootnoteText"/>
        <w:spacing w:after="120"/>
        <w:jc w:val="both"/>
      </w:pPr>
      <w:r w:rsidRPr="000875CD">
        <w:rPr>
          <w:rStyle w:val="FootnoteReference"/>
        </w:rPr>
        <w:footnoteRef/>
      </w:r>
      <w:r w:rsidRPr="000875CD">
        <w:t xml:space="preserve"> </w:t>
      </w:r>
      <w:r w:rsidRPr="000875CD">
        <w:rPr>
          <w:i/>
        </w:rPr>
        <w:t>See, e.g., Lujan v. Defenders of Wildlife</w:t>
      </w:r>
      <w:r w:rsidRPr="000875CD">
        <w:t xml:space="preserve">, 504 U.S. 555 (1992); </w:t>
      </w:r>
      <w:r w:rsidRPr="000875CD">
        <w:rPr>
          <w:i/>
        </w:rPr>
        <w:t>MCI</w:t>
      </w:r>
      <w:r w:rsidR="00975274">
        <w:t>,</w:t>
      </w:r>
      <w:r w:rsidRPr="000875CD">
        <w:rPr>
          <w:i/>
        </w:rPr>
        <w:t xml:space="preserve"> </w:t>
      </w:r>
      <w:r w:rsidR="00705946">
        <w:t xml:space="preserve">12 FCC Rcd at 7794; </w:t>
      </w:r>
      <w:r w:rsidRPr="000875CD">
        <w:rPr>
          <w:i/>
        </w:rPr>
        <w:t>Conn-2 RSA Partnership</w:t>
      </w:r>
      <w:r w:rsidRPr="000875CD">
        <w:t xml:space="preserve">, </w:t>
      </w:r>
      <w:r w:rsidR="00705946">
        <w:t xml:space="preserve">Memorandum Opinion and Order, </w:t>
      </w:r>
      <w:r w:rsidRPr="000875CD">
        <w:t>9 FCC Rcd 3295, 3297</w:t>
      </w:r>
      <w:r w:rsidR="00705946">
        <w:t xml:space="preserve"> ¶ 7</w:t>
      </w:r>
      <w:r w:rsidRPr="000875CD">
        <w:t xml:space="preserve"> (1994).  In an assignment of license proceeding, petitioner must allege and prove:  (1) it has suffered or will suffer injury-in-fact; (2) there is a causal link between the proposed assignment and the injury-in-fact; and (3) redressability, meaning that not granting the assignment would remedy the injury-in-fact.</w:t>
      </w:r>
    </w:p>
  </w:footnote>
  <w:footnote w:id="6">
    <w:p w:rsidR="00C07807" w:rsidRPr="000875CD" w:rsidRDefault="00C07807" w:rsidP="008750C0">
      <w:pPr>
        <w:pStyle w:val="FootnoteText"/>
        <w:spacing w:after="120"/>
        <w:jc w:val="both"/>
      </w:pPr>
      <w:r w:rsidRPr="000875CD">
        <w:rPr>
          <w:rStyle w:val="FootnoteReference"/>
        </w:rPr>
        <w:footnoteRef/>
      </w:r>
      <w:r w:rsidRPr="000875CD">
        <w:t xml:space="preserve"> </w:t>
      </w:r>
      <w:r w:rsidRPr="000875CD">
        <w:rPr>
          <w:i/>
        </w:rPr>
        <w:t>See Office of Communications of the United Church of Christ v. FCC</w:t>
      </w:r>
      <w:r w:rsidRPr="000875CD">
        <w:t>, 359 F.2d 994 (1966);</w:t>
      </w:r>
      <w:r w:rsidRPr="000875CD">
        <w:rPr>
          <w:i/>
        </w:rPr>
        <w:t xml:space="preserve"> FCC v. Sanders Brothers Radio Station</w:t>
      </w:r>
      <w:r w:rsidRPr="000875CD">
        <w:t xml:space="preserve">, 309 US 470 (1940). </w:t>
      </w:r>
    </w:p>
  </w:footnote>
  <w:footnote w:id="7">
    <w:p w:rsidR="005B039F" w:rsidRPr="000875CD" w:rsidRDefault="005B039F" w:rsidP="008750C0">
      <w:pPr>
        <w:pStyle w:val="FootnoteText"/>
        <w:spacing w:after="120"/>
        <w:jc w:val="both"/>
      </w:pPr>
      <w:r w:rsidRPr="000875CD">
        <w:rPr>
          <w:rStyle w:val="FootnoteReference"/>
        </w:rPr>
        <w:footnoteRef/>
      </w:r>
      <w:r w:rsidRPr="000875CD">
        <w:t xml:space="preserve"> Petition at 5.</w:t>
      </w:r>
    </w:p>
  </w:footnote>
  <w:footnote w:id="8">
    <w:p w:rsidR="002A536C" w:rsidRPr="000875CD" w:rsidRDefault="002A536C" w:rsidP="008750C0">
      <w:pPr>
        <w:pStyle w:val="FootnoteText"/>
        <w:spacing w:after="120"/>
        <w:jc w:val="both"/>
      </w:pPr>
      <w:r w:rsidRPr="000875CD">
        <w:rPr>
          <w:rStyle w:val="FootnoteReference"/>
        </w:rPr>
        <w:footnoteRef/>
      </w:r>
      <w:r w:rsidRPr="000875CD">
        <w:t xml:space="preserve"> </w:t>
      </w:r>
      <w:r w:rsidR="00BE5338">
        <w:rPr>
          <w:i/>
        </w:rPr>
        <w:t>Id.</w:t>
      </w:r>
      <w:r w:rsidRPr="000875CD">
        <w:t xml:space="preserve"> at 6.</w:t>
      </w:r>
    </w:p>
  </w:footnote>
  <w:footnote w:id="9">
    <w:p w:rsidR="007A642B" w:rsidRPr="00E275EC" w:rsidRDefault="007A642B" w:rsidP="008750C0">
      <w:pPr>
        <w:pStyle w:val="FootnoteText"/>
        <w:spacing w:after="120"/>
        <w:jc w:val="both"/>
      </w:pPr>
      <w:r w:rsidRPr="000875CD">
        <w:rPr>
          <w:rStyle w:val="FootnoteReference"/>
        </w:rPr>
        <w:footnoteRef/>
      </w:r>
      <w:r w:rsidR="00E275EC">
        <w:t xml:space="preserve"> Opposition at 3, </w:t>
      </w:r>
      <w:r w:rsidR="00E275EC">
        <w:rPr>
          <w:i/>
        </w:rPr>
        <w:t>citing Frothingham v. Mellon</w:t>
      </w:r>
      <w:r w:rsidR="00E275EC">
        <w:t>, 262 U.S. 447, 487-88 (1923).</w:t>
      </w:r>
    </w:p>
  </w:footnote>
  <w:footnote w:id="10">
    <w:p w:rsidR="00F11C62" w:rsidRPr="000875CD" w:rsidRDefault="00F11C62" w:rsidP="008750C0">
      <w:pPr>
        <w:pStyle w:val="FootnoteText"/>
        <w:spacing w:after="120"/>
        <w:jc w:val="both"/>
      </w:pPr>
      <w:r w:rsidRPr="000875CD">
        <w:rPr>
          <w:rStyle w:val="FootnoteReference"/>
        </w:rPr>
        <w:footnoteRef/>
      </w:r>
      <w:r w:rsidRPr="000875CD">
        <w:t xml:space="preserve"> Reply at 3.</w:t>
      </w:r>
    </w:p>
  </w:footnote>
  <w:footnote w:id="11">
    <w:p w:rsidR="00F11C62" w:rsidRPr="000875CD" w:rsidRDefault="00F11C62" w:rsidP="008750C0">
      <w:pPr>
        <w:pStyle w:val="FootnoteText"/>
        <w:spacing w:after="120"/>
        <w:jc w:val="both"/>
      </w:pPr>
      <w:r w:rsidRPr="000875CD">
        <w:rPr>
          <w:rStyle w:val="FootnoteReference"/>
        </w:rPr>
        <w:footnoteRef/>
      </w:r>
      <w:r w:rsidRPr="000875CD">
        <w:t xml:space="preserve"> </w:t>
      </w:r>
      <w:r w:rsidR="00BE5338">
        <w:rPr>
          <w:i/>
        </w:rPr>
        <w:t>Id.</w:t>
      </w:r>
      <w:r w:rsidRPr="000875CD">
        <w:t xml:space="preserve"> </w:t>
      </w:r>
    </w:p>
  </w:footnote>
  <w:footnote w:id="12">
    <w:p w:rsidR="00A1663C" w:rsidRPr="000875CD" w:rsidRDefault="00A1663C" w:rsidP="008750C0">
      <w:pPr>
        <w:pStyle w:val="FootnoteText"/>
        <w:spacing w:after="120"/>
        <w:jc w:val="both"/>
      </w:pPr>
      <w:r w:rsidRPr="000875CD">
        <w:rPr>
          <w:rStyle w:val="FootnoteReference"/>
        </w:rPr>
        <w:footnoteRef/>
      </w:r>
      <w:r w:rsidRPr="000875CD">
        <w:t xml:space="preserve"> </w:t>
      </w:r>
      <w:r w:rsidR="00C01C87">
        <w:rPr>
          <w:i/>
        </w:rPr>
        <w:t xml:space="preserve">See </w:t>
      </w:r>
      <w:r w:rsidRPr="000875CD">
        <w:rPr>
          <w:i/>
          <w:iCs/>
        </w:rPr>
        <w:t>Infinity Broadcasting Corp. of California,</w:t>
      </w:r>
      <w:r w:rsidRPr="000875CD">
        <w:t xml:space="preserve"> </w:t>
      </w:r>
      <w:r w:rsidR="00182B92">
        <w:t xml:space="preserve">Memorandum Opinion and Order, </w:t>
      </w:r>
      <w:r w:rsidRPr="000875CD">
        <w:t xml:space="preserve">10 FCC Rcd </w:t>
      </w:r>
      <w:r w:rsidR="00C01C87">
        <w:t>9504,</w:t>
      </w:r>
      <w:r w:rsidRPr="000875CD">
        <w:t xml:space="preserve"> 9506</w:t>
      </w:r>
      <w:r w:rsidR="00D95400">
        <w:t xml:space="preserve"> ¶ 10</w:t>
      </w:r>
      <w:r w:rsidR="00C01C87">
        <w:t xml:space="preserve"> (1995) (“</w:t>
      </w:r>
      <w:r w:rsidR="00C01C87">
        <w:rPr>
          <w:i/>
        </w:rPr>
        <w:t>Infinity</w:t>
      </w:r>
      <w:r w:rsidR="00C01C87">
        <w:t>”)</w:t>
      </w:r>
      <w:r w:rsidRPr="000875CD">
        <w:t xml:space="preserve"> (petitioner who does not establish </w:t>
      </w:r>
      <w:r w:rsidRPr="000875CD">
        <w:rPr>
          <w:rStyle w:val="term1"/>
          <w:b w:val="0"/>
        </w:rPr>
        <w:t>standing</w:t>
      </w:r>
      <w:r w:rsidRPr="000875CD">
        <w:t xml:space="preserve"> in its petition cannot </w:t>
      </w:r>
      <w:r w:rsidRPr="000875CD">
        <w:rPr>
          <w:rStyle w:val="term1"/>
          <w:b w:val="0"/>
        </w:rPr>
        <w:t>cure</w:t>
      </w:r>
      <w:r w:rsidRPr="000875CD">
        <w:t xml:space="preserve"> the failure in its </w:t>
      </w:r>
      <w:r w:rsidRPr="000875CD">
        <w:rPr>
          <w:rStyle w:val="term1"/>
          <w:b w:val="0"/>
        </w:rPr>
        <w:t>reply</w:t>
      </w:r>
      <w:r w:rsidRPr="000875CD">
        <w:rPr>
          <w:rStyle w:val="term1"/>
        </w:rPr>
        <w:t>)</w:t>
      </w:r>
      <w:r w:rsidRPr="000875CD">
        <w:t>.</w:t>
      </w:r>
      <w:r w:rsidR="00975BEB" w:rsidRPr="000875CD">
        <w:t xml:space="preserve">  Moreover, we note that, while an organization may establish </w:t>
      </w:r>
      <w:r w:rsidR="00975BEB" w:rsidRPr="000875CD">
        <w:rPr>
          <w:rStyle w:val="term1"/>
          <w:b w:val="0"/>
        </w:rPr>
        <w:t>standing</w:t>
      </w:r>
      <w:r w:rsidR="00975BEB" w:rsidRPr="000875CD">
        <w:t xml:space="preserve"> to represent the interests of local listeners or viewers, to do so, it must provide the affid</w:t>
      </w:r>
      <w:r w:rsidR="00D95400">
        <w:t xml:space="preserve">avit of one or more individuals </w:t>
      </w:r>
      <w:r w:rsidR="00975BEB" w:rsidRPr="000875CD">
        <w:t xml:space="preserve">entitled to </w:t>
      </w:r>
      <w:r w:rsidR="00975BEB" w:rsidRPr="000875CD">
        <w:rPr>
          <w:rStyle w:val="term1"/>
          <w:b w:val="0"/>
        </w:rPr>
        <w:t>standing</w:t>
      </w:r>
      <w:r w:rsidR="00975BEB" w:rsidRPr="000875CD">
        <w:t xml:space="preserve"> indicating that the group represents local residents and that the petition is filed on their behalf.  </w:t>
      </w:r>
      <w:r w:rsidR="00975BEB" w:rsidRPr="000875CD">
        <w:rPr>
          <w:i/>
          <w:iCs/>
        </w:rPr>
        <w:t xml:space="preserve">See </w:t>
      </w:r>
      <w:r w:rsidR="001911C0">
        <w:rPr>
          <w:i/>
          <w:iCs/>
        </w:rPr>
        <w:t>Standing Order</w:t>
      </w:r>
      <w:r w:rsidR="00975BEB" w:rsidRPr="000875CD">
        <w:rPr>
          <w:i/>
          <w:iCs/>
        </w:rPr>
        <w:t>,</w:t>
      </w:r>
      <w:r w:rsidR="001911C0">
        <w:t xml:space="preserve"> 82 F.C.C.2d at 99 ¶ 26</w:t>
      </w:r>
      <w:r w:rsidR="00C01C87">
        <w:t xml:space="preserve"> (1980).  S</w:t>
      </w:r>
      <w:r w:rsidR="00C01C87">
        <w:rPr>
          <w:i/>
          <w:iCs/>
        </w:rPr>
        <w:t>ee also Infinity</w:t>
      </w:r>
      <w:r w:rsidR="00975BEB" w:rsidRPr="000875CD">
        <w:rPr>
          <w:i/>
          <w:iCs/>
        </w:rPr>
        <w:t>,</w:t>
      </w:r>
      <w:r w:rsidR="00975BEB" w:rsidRPr="000875CD">
        <w:t xml:space="preserve"> 10 FCC Rcd </w:t>
      </w:r>
      <w:r w:rsidR="00D95400">
        <w:t>at 9506 ¶ 10</w:t>
      </w:r>
      <w:r w:rsidR="00975BEB" w:rsidRPr="000875CD">
        <w:t xml:space="preserve">; </w:t>
      </w:r>
      <w:r w:rsidR="00975BEB" w:rsidRPr="000875CD">
        <w:rPr>
          <w:i/>
          <w:iCs/>
        </w:rPr>
        <w:t>Niles Broadcasting Company,</w:t>
      </w:r>
      <w:r w:rsidR="00975BEB" w:rsidRPr="000875CD">
        <w:t xml:space="preserve"> </w:t>
      </w:r>
      <w:r w:rsidR="001911C0">
        <w:t xml:space="preserve">Memorandum Opinion and Order, </w:t>
      </w:r>
      <w:r w:rsidR="00975BEB" w:rsidRPr="000875CD">
        <w:t>7 FCC Rcd 5959</w:t>
      </w:r>
      <w:r w:rsidR="001911C0">
        <w:t>, 5959 ¶ 4</w:t>
      </w:r>
      <w:r w:rsidR="00975BEB" w:rsidRPr="000875CD">
        <w:t xml:space="preserve"> (1992).  CET has not done so even in its Reply.  </w:t>
      </w:r>
    </w:p>
  </w:footnote>
  <w:footnote w:id="13">
    <w:p w:rsidR="00975BEB" w:rsidRPr="000875CD" w:rsidRDefault="00975BEB" w:rsidP="008750C0">
      <w:pPr>
        <w:pStyle w:val="FootnoteText"/>
        <w:spacing w:after="120"/>
        <w:jc w:val="both"/>
      </w:pPr>
      <w:r w:rsidRPr="000875CD">
        <w:rPr>
          <w:rStyle w:val="FootnoteReference"/>
        </w:rPr>
        <w:footnoteRef/>
      </w:r>
      <w:r w:rsidRPr="000875CD">
        <w:t xml:space="preserve"> 47 C.F.R. § 73.3587.</w:t>
      </w:r>
    </w:p>
  </w:footnote>
  <w:footnote w:id="14">
    <w:p w:rsidR="00BD5B99" w:rsidRPr="000875CD" w:rsidRDefault="00BD5B99" w:rsidP="008750C0">
      <w:pPr>
        <w:pStyle w:val="FootnoteText"/>
        <w:spacing w:after="120"/>
        <w:jc w:val="both"/>
      </w:pPr>
      <w:r w:rsidRPr="000875CD">
        <w:rPr>
          <w:rStyle w:val="FootnoteReference"/>
        </w:rPr>
        <w:footnoteRef/>
      </w:r>
      <w:r w:rsidRPr="000875CD">
        <w:t xml:space="preserve"> Petition at 2.</w:t>
      </w:r>
    </w:p>
  </w:footnote>
  <w:footnote w:id="15">
    <w:p w:rsidR="00BD5B99" w:rsidRPr="000875CD" w:rsidRDefault="00BD5B99" w:rsidP="008750C0">
      <w:pPr>
        <w:pStyle w:val="FootnoteText"/>
        <w:spacing w:after="120"/>
        <w:jc w:val="both"/>
      </w:pPr>
      <w:r w:rsidRPr="000875CD">
        <w:rPr>
          <w:rStyle w:val="FootnoteReference"/>
        </w:rPr>
        <w:footnoteRef/>
      </w:r>
      <w:r w:rsidRPr="000875CD">
        <w:t xml:space="preserve"> </w:t>
      </w:r>
      <w:r w:rsidR="00FE53D4">
        <w:rPr>
          <w:i/>
        </w:rPr>
        <w:t>Id.</w:t>
      </w:r>
      <w:r w:rsidRPr="000875CD">
        <w:t xml:space="preserve"> at 7-8.  </w:t>
      </w:r>
      <w:r w:rsidRPr="000875CD">
        <w:rPr>
          <w:i/>
        </w:rPr>
        <w:t>See also</w:t>
      </w:r>
      <w:r w:rsidRPr="000875CD">
        <w:t xml:space="preserve"> 26 U.S.C. § 1031 (providing that “[n]o gain or loss shall be recognized on the exchange of property held for productive use in a trade or business or for investment if such property is exchanged solely for property of like kind which is to be held either for productive use in a trade or business or for investment”).</w:t>
      </w:r>
    </w:p>
  </w:footnote>
  <w:footnote w:id="16">
    <w:p w:rsidR="00BD5B99" w:rsidRPr="000875CD" w:rsidRDefault="00BD5B99" w:rsidP="008750C0">
      <w:pPr>
        <w:pStyle w:val="FootnoteText"/>
        <w:spacing w:after="120"/>
        <w:jc w:val="both"/>
      </w:pPr>
      <w:r w:rsidRPr="000875CD">
        <w:rPr>
          <w:rStyle w:val="FootnoteReference"/>
        </w:rPr>
        <w:footnoteRef/>
      </w:r>
      <w:r w:rsidRPr="000875CD">
        <w:t xml:space="preserve"> Petition at</w:t>
      </w:r>
      <w:r w:rsidR="00727FD9">
        <w:t xml:space="preserve"> 14</w:t>
      </w:r>
      <w:r w:rsidRPr="000875CD">
        <w:t>; Reply at 4-7.</w:t>
      </w:r>
    </w:p>
  </w:footnote>
  <w:footnote w:id="17">
    <w:p w:rsidR="00BD5B99" w:rsidRPr="000875CD" w:rsidRDefault="00BD5B99" w:rsidP="008750C0">
      <w:pPr>
        <w:pStyle w:val="FootnoteText"/>
        <w:spacing w:after="120"/>
        <w:jc w:val="both"/>
      </w:pPr>
      <w:r w:rsidRPr="000875CD">
        <w:rPr>
          <w:rStyle w:val="FootnoteReference"/>
        </w:rPr>
        <w:footnoteRef/>
      </w:r>
      <w:r w:rsidR="00182B92">
        <w:t xml:space="preserve"> Petition at 14</w:t>
      </w:r>
      <w:r w:rsidRPr="000875CD">
        <w:t>; Reply at 7.</w:t>
      </w:r>
    </w:p>
  </w:footnote>
  <w:footnote w:id="18">
    <w:p w:rsidR="00BD5B99" w:rsidRPr="000875CD" w:rsidRDefault="00BD5B99" w:rsidP="008750C0">
      <w:pPr>
        <w:pStyle w:val="FootnoteText"/>
        <w:spacing w:after="120"/>
        <w:jc w:val="both"/>
      </w:pPr>
      <w:r w:rsidRPr="000875CD">
        <w:rPr>
          <w:rStyle w:val="FootnoteReference"/>
        </w:rPr>
        <w:footnoteRef/>
      </w:r>
      <w:r w:rsidRPr="000875CD">
        <w:t xml:space="preserve"> Petition at 8.</w:t>
      </w:r>
    </w:p>
  </w:footnote>
  <w:footnote w:id="19">
    <w:p w:rsidR="00BD5B99" w:rsidRPr="000875CD" w:rsidRDefault="00BD5B99" w:rsidP="008750C0">
      <w:pPr>
        <w:pStyle w:val="FootnoteText"/>
        <w:spacing w:after="120"/>
        <w:jc w:val="both"/>
      </w:pPr>
      <w:r w:rsidRPr="000875CD">
        <w:rPr>
          <w:rStyle w:val="FootnoteReference"/>
        </w:rPr>
        <w:footnoteRef/>
      </w:r>
      <w:r w:rsidRPr="000875CD">
        <w:t xml:space="preserve"> Opposition at 5.</w:t>
      </w:r>
    </w:p>
  </w:footnote>
  <w:footnote w:id="20">
    <w:p w:rsidR="00BD5B99" w:rsidRPr="000875CD" w:rsidRDefault="00BD5B99" w:rsidP="008750C0">
      <w:pPr>
        <w:pStyle w:val="FootnoteText"/>
        <w:spacing w:after="120"/>
        <w:jc w:val="both"/>
      </w:pPr>
      <w:r w:rsidRPr="000875CD">
        <w:rPr>
          <w:rStyle w:val="FootnoteReference"/>
        </w:rPr>
        <w:footnoteRef/>
      </w:r>
      <w:r w:rsidRPr="000875CD">
        <w:t xml:space="preserve"> </w:t>
      </w:r>
      <w:r w:rsidR="004731B9">
        <w:rPr>
          <w:i/>
        </w:rPr>
        <w:t>Id.</w:t>
      </w:r>
      <w:r w:rsidRPr="000875CD">
        <w:t xml:space="preserve"> at 4.</w:t>
      </w:r>
    </w:p>
  </w:footnote>
  <w:footnote w:id="21">
    <w:p w:rsidR="00BD5B99" w:rsidRPr="000875CD" w:rsidRDefault="00BD5B99" w:rsidP="008750C0">
      <w:pPr>
        <w:pStyle w:val="FootnoteText"/>
        <w:spacing w:after="120"/>
        <w:jc w:val="both"/>
        <w:rPr>
          <w:b/>
        </w:rPr>
      </w:pPr>
      <w:r w:rsidRPr="000875CD">
        <w:rPr>
          <w:rStyle w:val="FootnoteReference"/>
        </w:rPr>
        <w:footnoteRef/>
      </w:r>
      <w:r w:rsidRPr="000875CD">
        <w:t xml:space="preserve"> </w:t>
      </w:r>
      <w:r w:rsidR="004731B9">
        <w:rPr>
          <w:i/>
        </w:rPr>
        <w:t>Id.</w:t>
      </w:r>
      <w:r w:rsidRPr="000875CD">
        <w:t xml:space="preserve"> at 5.  </w:t>
      </w:r>
    </w:p>
  </w:footnote>
  <w:footnote w:id="22">
    <w:p w:rsidR="00BD5B99" w:rsidRPr="00BD0CC8" w:rsidRDefault="00BD5B99" w:rsidP="008750C0">
      <w:pPr>
        <w:pStyle w:val="FootnoteText"/>
        <w:spacing w:after="120"/>
        <w:jc w:val="both"/>
        <w:rPr>
          <w:b/>
        </w:rPr>
      </w:pPr>
      <w:r w:rsidRPr="000875CD">
        <w:rPr>
          <w:rStyle w:val="FootnoteReference"/>
        </w:rPr>
        <w:footnoteRef/>
      </w:r>
      <w:r w:rsidRPr="000875CD">
        <w:t xml:space="preserve"> Opposition at 5, </w:t>
      </w:r>
      <w:r w:rsidRPr="000875CD">
        <w:rPr>
          <w:i/>
        </w:rPr>
        <w:t>citing Tax Treatment of the Sale or Exchange of Television Stations</w:t>
      </w:r>
      <w:r w:rsidRPr="000875CD">
        <w:t>, Internal Revenue Service Revenue Ruling, 85-135, 59 RR 2d 405 (rel. Sept. 3, 1985).</w:t>
      </w:r>
      <w:r w:rsidR="00BD0CC8">
        <w:t xml:space="preserve">  </w:t>
      </w:r>
    </w:p>
  </w:footnote>
  <w:footnote w:id="23">
    <w:p w:rsidR="00BD5B99" w:rsidRPr="000875CD" w:rsidRDefault="00BD5B99" w:rsidP="008750C0">
      <w:pPr>
        <w:pStyle w:val="FootnoteText"/>
        <w:spacing w:after="120"/>
        <w:jc w:val="both"/>
      </w:pPr>
      <w:r w:rsidRPr="000875CD">
        <w:rPr>
          <w:rStyle w:val="FootnoteReference"/>
        </w:rPr>
        <w:footnoteRef/>
      </w:r>
      <w:r w:rsidRPr="000875CD">
        <w:t xml:space="preserve"> </w:t>
      </w:r>
      <w:r w:rsidR="00D71D3A">
        <w:rPr>
          <w:i/>
        </w:rPr>
        <w:t xml:space="preserve">See, e.g., </w:t>
      </w:r>
      <w:r w:rsidRPr="000875CD">
        <w:rPr>
          <w:i/>
        </w:rPr>
        <w:t>Media General Communications, Inc. and MG Broadcasting, LLC, as E.A.T.</w:t>
      </w:r>
      <w:r w:rsidRPr="000875CD">
        <w:t>, Memorandum Opinion and Order, 21 FCC Rcd 7669 (2006)</w:t>
      </w:r>
      <w:r w:rsidR="00D71D3A">
        <w:t xml:space="preserve">; </w:t>
      </w:r>
      <w:r w:rsidRPr="000875CD">
        <w:rPr>
          <w:i/>
        </w:rPr>
        <w:t>Infinity Holdings Corp. of Orlando</w:t>
      </w:r>
      <w:r w:rsidRPr="000875CD">
        <w:t>, Opinion, 11 FCC Rcd 17813 (1996).</w:t>
      </w:r>
      <w:r w:rsidR="00B22C2A" w:rsidRPr="000875CD">
        <w:t xml:space="preserve">  Even CET concedes that “the Commission has in the past permitted assignment applications to go forward where a … like-kind exchange was contemplated as part of the transaction.”</w:t>
      </w:r>
      <w:r w:rsidR="00D71D3A">
        <w:t xml:space="preserve">  Reply at 7</w:t>
      </w:r>
      <w:r w:rsidR="00B22C2A" w:rsidRPr="000875CD">
        <w:t>.</w:t>
      </w:r>
    </w:p>
  </w:footnote>
  <w:footnote w:id="24">
    <w:p w:rsidR="00251D3B" w:rsidRPr="00251D3B" w:rsidRDefault="00251D3B" w:rsidP="008750C0">
      <w:pPr>
        <w:pStyle w:val="FootnoteText"/>
        <w:spacing w:after="120"/>
      </w:pPr>
      <w:r>
        <w:rPr>
          <w:rStyle w:val="FootnoteReference"/>
        </w:rPr>
        <w:footnoteRef/>
      </w:r>
      <w:r>
        <w:t xml:space="preserve"> </w:t>
      </w:r>
      <w:r>
        <w:rPr>
          <w:i/>
        </w:rPr>
        <w:t>See, e.g., Sunburst Media L.P.</w:t>
      </w:r>
      <w:r>
        <w:t>, Memorandum Opinion and Order, 17 FCC Rcd 1366</w:t>
      </w:r>
      <w:r w:rsidR="004156F9">
        <w:t>, 1368 ¶ 6</w:t>
      </w:r>
      <w:r w:rsidR="004731B9">
        <w:t xml:space="preserve"> </w:t>
      </w:r>
      <w:r>
        <w:t xml:space="preserve">(2002).  </w:t>
      </w:r>
      <w:r>
        <w:rPr>
          <w:i/>
        </w:rPr>
        <w:t xml:space="preserve">See also </w:t>
      </w:r>
      <w:r w:rsidR="00124842">
        <w:rPr>
          <w:i/>
          <w:iCs/>
        </w:rPr>
        <w:t xml:space="preserve">Great Empire Broadcasting, Inc., </w:t>
      </w:r>
      <w:r w:rsidR="00124842">
        <w:rPr>
          <w:iCs/>
        </w:rPr>
        <w:t xml:space="preserve">Memorandum Opinion and Order, </w:t>
      </w:r>
      <w:r w:rsidRPr="00124842">
        <w:rPr>
          <w:iCs/>
        </w:rPr>
        <w:t xml:space="preserve">14 FCC Rcd 11145, 11148 </w:t>
      </w:r>
      <w:r w:rsidR="00124842">
        <w:rPr>
          <w:iCs/>
        </w:rPr>
        <w:t xml:space="preserve">¶ 8 </w:t>
      </w:r>
      <w:r w:rsidRPr="00124842">
        <w:rPr>
          <w:iCs/>
        </w:rPr>
        <w:t>(1999</w:t>
      </w:r>
      <w:r w:rsidR="00886381" w:rsidRPr="00124842">
        <w:rPr>
          <w:iCs/>
        </w:rPr>
        <w:t>)</w:t>
      </w:r>
      <w:r>
        <w:rPr>
          <w:i/>
          <w:iCs/>
        </w:rPr>
        <w:t xml:space="preserve"> </w:t>
      </w:r>
      <w:r>
        <w:t>(</w:t>
      </w:r>
      <w:r w:rsidR="004156F9">
        <w:t xml:space="preserve">stating </w:t>
      </w:r>
      <w:r>
        <w:t>it is generally inappropriate to address arguments for a change in rules</w:t>
      </w:r>
      <w:r w:rsidR="004156F9">
        <w:t xml:space="preserve"> in an adjudicatory proceeding</w:t>
      </w:r>
      <w:r>
        <w:t xml:space="preserve"> </w:t>
      </w:r>
      <w:r w:rsidR="004156F9">
        <w:t>“</w:t>
      </w:r>
      <w:r>
        <w:t>where third parties, including those with substantial stakes in the outcome, have had no opportunity to participate, and in which we, as a result, have not had the benefit of a</w:t>
      </w:r>
      <w:r w:rsidR="004156F9">
        <w:t xml:space="preserve"> full and well-counseled record” and</w:t>
      </w:r>
      <w:r>
        <w:t xml:space="preserve"> citing </w:t>
      </w:r>
      <w:r>
        <w:rPr>
          <w:i/>
          <w:iCs/>
        </w:rPr>
        <w:t xml:space="preserve">Capital Cities/ABC, Inc., </w:t>
      </w:r>
      <w:r w:rsidR="004156F9">
        <w:rPr>
          <w:iCs/>
        </w:rPr>
        <w:t xml:space="preserve">Memorandum Opinion and Order, </w:t>
      </w:r>
      <w:r w:rsidRPr="004156F9">
        <w:rPr>
          <w:iCs/>
        </w:rPr>
        <w:t>11 FCC Rcd 5841, 5888</w:t>
      </w:r>
      <w:r w:rsidR="004156F9">
        <w:rPr>
          <w:iCs/>
        </w:rPr>
        <w:t xml:space="preserve"> ¶ 87</w:t>
      </w:r>
      <w:r w:rsidRPr="004156F9">
        <w:rPr>
          <w:iCs/>
        </w:rPr>
        <w:t>(1996));</w:t>
      </w:r>
      <w:r>
        <w:t xml:space="preserve"> </w:t>
      </w:r>
      <w:r>
        <w:rPr>
          <w:i/>
          <w:iCs/>
        </w:rPr>
        <w:t xml:space="preserve">Community Television of Southern California v. Gottfried, </w:t>
      </w:r>
      <w:r w:rsidRPr="004156F9">
        <w:rPr>
          <w:iCs/>
        </w:rPr>
        <w:t>459 U.S. 498, 511 (1983)</w:t>
      </w:r>
      <w:r w:rsidR="004156F9">
        <w:t xml:space="preserve"> (“</w:t>
      </w:r>
      <w:r>
        <w:t>rulemaking is generally better, fairer, and more effective method of implementing a new industry wide policy than the uneven application of conditions in isolated [adjudicatory] proceed</w:t>
      </w:r>
      <w:r w:rsidR="004156F9">
        <w:t>ings”</w:t>
      </w:r>
      <w:r>
        <w:t>).</w:t>
      </w:r>
    </w:p>
  </w:footnote>
  <w:footnote w:id="25">
    <w:p w:rsidR="00A8390E" w:rsidRPr="00E67B10" w:rsidRDefault="00A8390E" w:rsidP="008750C0">
      <w:pPr>
        <w:pStyle w:val="FootnoteText"/>
        <w:spacing w:after="120"/>
      </w:pPr>
      <w:r>
        <w:rPr>
          <w:rStyle w:val="FootnoteReference"/>
        </w:rPr>
        <w:footnoteRef/>
      </w:r>
      <w:r>
        <w:t xml:space="preserve"> </w:t>
      </w:r>
      <w:r w:rsidR="00713411">
        <w:rPr>
          <w:i/>
        </w:rPr>
        <w:t xml:space="preserve">See, e.g., </w:t>
      </w:r>
      <w:r w:rsidR="00E67B10">
        <w:rPr>
          <w:i/>
        </w:rPr>
        <w:t>Marnie K. Sarver, Esq.</w:t>
      </w:r>
      <w:r w:rsidR="00E67B10">
        <w:t xml:space="preserve">, Letter, 28 FCC Rcd 1009, 1010-11 (MB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92" w:rsidRDefault="00475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92" w:rsidRDefault="00475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9F" w:rsidRDefault="00FB47D3">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FD3BE6">
      <w:rPr>
        <w:b/>
        <w:sz w:val="22"/>
      </w:rPr>
      <w:t>Federal Communications Commission</w:t>
    </w:r>
  </w:p>
  <w:p w:rsidR="006F0D9F" w:rsidRDefault="00FD3BE6">
    <w:pPr>
      <w:jc w:val="center"/>
      <w:rPr>
        <w:b/>
        <w:sz w:val="22"/>
      </w:rPr>
    </w:pPr>
    <w:r>
      <w:rPr>
        <w:b/>
        <w:sz w:val="22"/>
      </w:rPr>
      <w:t>Washington, D.C. 20554</w:t>
    </w:r>
  </w:p>
  <w:p w:rsidR="006F0D9F" w:rsidRDefault="006F0D9F">
    <w:pPr>
      <w:jc w:val="center"/>
      <w:rPr>
        <w:b/>
        <w:sz w:val="22"/>
      </w:rPr>
    </w:pPr>
  </w:p>
  <w:p w:rsidR="006F0D9F" w:rsidRPr="00E75174" w:rsidRDefault="000803A2">
    <w:pPr>
      <w:jc w:val="center"/>
      <w:rPr>
        <w:sz w:val="22"/>
      </w:rPr>
    </w:pPr>
    <w:r>
      <w:t>April 26</w:t>
    </w:r>
    <w:r w:rsidR="00E75174" w:rsidRPr="00E75174">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6A21"/>
    <w:rsid w:val="000119BF"/>
    <w:rsid w:val="00014A21"/>
    <w:rsid w:val="00015521"/>
    <w:rsid w:val="00022812"/>
    <w:rsid w:val="00027B73"/>
    <w:rsid w:val="00041350"/>
    <w:rsid w:val="00041440"/>
    <w:rsid w:val="00041BEB"/>
    <w:rsid w:val="00052BEC"/>
    <w:rsid w:val="00064346"/>
    <w:rsid w:val="00065B19"/>
    <w:rsid w:val="0007780F"/>
    <w:rsid w:val="000803A2"/>
    <w:rsid w:val="000875CD"/>
    <w:rsid w:val="00097942"/>
    <w:rsid w:val="000B4A20"/>
    <w:rsid w:val="000B7906"/>
    <w:rsid w:val="000C28BC"/>
    <w:rsid w:val="000D6C6C"/>
    <w:rsid w:val="00124842"/>
    <w:rsid w:val="001365AA"/>
    <w:rsid w:val="00137A98"/>
    <w:rsid w:val="00140A2A"/>
    <w:rsid w:val="0016247C"/>
    <w:rsid w:val="00182B92"/>
    <w:rsid w:val="001911C0"/>
    <w:rsid w:val="0019721A"/>
    <w:rsid w:val="001A7A18"/>
    <w:rsid w:val="001B0A30"/>
    <w:rsid w:val="001B513D"/>
    <w:rsid w:val="001C03F9"/>
    <w:rsid w:val="001C1CA5"/>
    <w:rsid w:val="001D451B"/>
    <w:rsid w:val="001D6DF8"/>
    <w:rsid w:val="001E2C66"/>
    <w:rsid w:val="001E31D1"/>
    <w:rsid w:val="001E6E40"/>
    <w:rsid w:val="001F20E8"/>
    <w:rsid w:val="001F67CC"/>
    <w:rsid w:val="0020107B"/>
    <w:rsid w:val="002425B9"/>
    <w:rsid w:val="002459A0"/>
    <w:rsid w:val="00251D3B"/>
    <w:rsid w:val="00254339"/>
    <w:rsid w:val="002546EF"/>
    <w:rsid w:val="002630B6"/>
    <w:rsid w:val="00263F4F"/>
    <w:rsid w:val="002767A9"/>
    <w:rsid w:val="00277306"/>
    <w:rsid w:val="00296629"/>
    <w:rsid w:val="002A536C"/>
    <w:rsid w:val="002B6B90"/>
    <w:rsid w:val="002C09D8"/>
    <w:rsid w:val="002C57B5"/>
    <w:rsid w:val="002C7F03"/>
    <w:rsid w:val="002F1692"/>
    <w:rsid w:val="002F3037"/>
    <w:rsid w:val="002F68C8"/>
    <w:rsid w:val="00317D98"/>
    <w:rsid w:val="00351D2D"/>
    <w:rsid w:val="00360D0B"/>
    <w:rsid w:val="00361152"/>
    <w:rsid w:val="00363625"/>
    <w:rsid w:val="003651F5"/>
    <w:rsid w:val="00366591"/>
    <w:rsid w:val="00373482"/>
    <w:rsid w:val="003775D3"/>
    <w:rsid w:val="00377705"/>
    <w:rsid w:val="003938D2"/>
    <w:rsid w:val="003A4216"/>
    <w:rsid w:val="003C01E4"/>
    <w:rsid w:val="003D1413"/>
    <w:rsid w:val="003D649C"/>
    <w:rsid w:val="003E247B"/>
    <w:rsid w:val="003F2F34"/>
    <w:rsid w:val="003F420D"/>
    <w:rsid w:val="00400BB7"/>
    <w:rsid w:val="00412F0C"/>
    <w:rsid w:val="00413F45"/>
    <w:rsid w:val="00415063"/>
    <w:rsid w:val="004156F9"/>
    <w:rsid w:val="00416EF4"/>
    <w:rsid w:val="00417CFF"/>
    <w:rsid w:val="004325F4"/>
    <w:rsid w:val="00455AFC"/>
    <w:rsid w:val="004731B9"/>
    <w:rsid w:val="00473381"/>
    <w:rsid w:val="00473D9B"/>
    <w:rsid w:val="00475092"/>
    <w:rsid w:val="004776E3"/>
    <w:rsid w:val="00481C0E"/>
    <w:rsid w:val="004931C9"/>
    <w:rsid w:val="004949FD"/>
    <w:rsid w:val="004A1612"/>
    <w:rsid w:val="004A4D3B"/>
    <w:rsid w:val="004A6A85"/>
    <w:rsid w:val="004B29AD"/>
    <w:rsid w:val="004B3C56"/>
    <w:rsid w:val="004D09D4"/>
    <w:rsid w:val="004D19F7"/>
    <w:rsid w:val="004E51F6"/>
    <w:rsid w:val="0050653F"/>
    <w:rsid w:val="005360BF"/>
    <w:rsid w:val="00541E2A"/>
    <w:rsid w:val="005456B4"/>
    <w:rsid w:val="00546C8A"/>
    <w:rsid w:val="005671B5"/>
    <w:rsid w:val="00583441"/>
    <w:rsid w:val="0058393A"/>
    <w:rsid w:val="0059016C"/>
    <w:rsid w:val="005A5CAE"/>
    <w:rsid w:val="005A5F06"/>
    <w:rsid w:val="005B039F"/>
    <w:rsid w:val="005D5C0F"/>
    <w:rsid w:val="005E3E1F"/>
    <w:rsid w:val="00607E90"/>
    <w:rsid w:val="00615D74"/>
    <w:rsid w:val="00621EFF"/>
    <w:rsid w:val="00623FA1"/>
    <w:rsid w:val="00624F3F"/>
    <w:rsid w:val="00624F70"/>
    <w:rsid w:val="00637499"/>
    <w:rsid w:val="00641AFE"/>
    <w:rsid w:val="00647978"/>
    <w:rsid w:val="00651BA0"/>
    <w:rsid w:val="006541F9"/>
    <w:rsid w:val="00657192"/>
    <w:rsid w:val="00660105"/>
    <w:rsid w:val="00664485"/>
    <w:rsid w:val="006711B2"/>
    <w:rsid w:val="00671289"/>
    <w:rsid w:val="006858BE"/>
    <w:rsid w:val="006922CA"/>
    <w:rsid w:val="006A4C04"/>
    <w:rsid w:val="006B45A3"/>
    <w:rsid w:val="006B4AE8"/>
    <w:rsid w:val="006B6BEC"/>
    <w:rsid w:val="006C2D1D"/>
    <w:rsid w:val="006C49E1"/>
    <w:rsid w:val="006D0B1A"/>
    <w:rsid w:val="006F0D9F"/>
    <w:rsid w:val="006F2A77"/>
    <w:rsid w:val="006F70DE"/>
    <w:rsid w:val="0070496E"/>
    <w:rsid w:val="00705946"/>
    <w:rsid w:val="00705C6C"/>
    <w:rsid w:val="0071163A"/>
    <w:rsid w:val="00713411"/>
    <w:rsid w:val="00727FD9"/>
    <w:rsid w:val="007425E7"/>
    <w:rsid w:val="00742F2C"/>
    <w:rsid w:val="00756258"/>
    <w:rsid w:val="00761824"/>
    <w:rsid w:val="00766C7C"/>
    <w:rsid w:val="0078108A"/>
    <w:rsid w:val="0078329E"/>
    <w:rsid w:val="00792597"/>
    <w:rsid w:val="007939DE"/>
    <w:rsid w:val="007A2108"/>
    <w:rsid w:val="007A642B"/>
    <w:rsid w:val="007B3016"/>
    <w:rsid w:val="007C7EC6"/>
    <w:rsid w:val="007D14EF"/>
    <w:rsid w:val="007D1EF1"/>
    <w:rsid w:val="007E4FD2"/>
    <w:rsid w:val="007E53AB"/>
    <w:rsid w:val="00806BA9"/>
    <w:rsid w:val="00817B77"/>
    <w:rsid w:val="00821659"/>
    <w:rsid w:val="0082235C"/>
    <w:rsid w:val="008252AF"/>
    <w:rsid w:val="008353C8"/>
    <w:rsid w:val="008367BA"/>
    <w:rsid w:val="00847AB1"/>
    <w:rsid w:val="00854DDC"/>
    <w:rsid w:val="00861C7E"/>
    <w:rsid w:val="008750C0"/>
    <w:rsid w:val="00876091"/>
    <w:rsid w:val="00886381"/>
    <w:rsid w:val="008B2B40"/>
    <w:rsid w:val="008C23EC"/>
    <w:rsid w:val="008D3234"/>
    <w:rsid w:val="008D79DA"/>
    <w:rsid w:val="008E26FD"/>
    <w:rsid w:val="00900730"/>
    <w:rsid w:val="009072EF"/>
    <w:rsid w:val="009110A3"/>
    <w:rsid w:val="00923873"/>
    <w:rsid w:val="009276C7"/>
    <w:rsid w:val="00933C0D"/>
    <w:rsid w:val="00963720"/>
    <w:rsid w:val="00966502"/>
    <w:rsid w:val="00972FCC"/>
    <w:rsid w:val="00975274"/>
    <w:rsid w:val="00975BEB"/>
    <w:rsid w:val="009842BB"/>
    <w:rsid w:val="0099056F"/>
    <w:rsid w:val="009A1EA7"/>
    <w:rsid w:val="009C173B"/>
    <w:rsid w:val="009E73A0"/>
    <w:rsid w:val="00A03C04"/>
    <w:rsid w:val="00A04C3E"/>
    <w:rsid w:val="00A04F3E"/>
    <w:rsid w:val="00A1663C"/>
    <w:rsid w:val="00A21B31"/>
    <w:rsid w:val="00A24842"/>
    <w:rsid w:val="00A33388"/>
    <w:rsid w:val="00A43C2C"/>
    <w:rsid w:val="00A619AD"/>
    <w:rsid w:val="00A77D23"/>
    <w:rsid w:val="00A80603"/>
    <w:rsid w:val="00A8390E"/>
    <w:rsid w:val="00A925C9"/>
    <w:rsid w:val="00A9352F"/>
    <w:rsid w:val="00AA7DF1"/>
    <w:rsid w:val="00AB0F1A"/>
    <w:rsid w:val="00AB1A5A"/>
    <w:rsid w:val="00AB4F17"/>
    <w:rsid w:val="00AB6944"/>
    <w:rsid w:val="00AC28A4"/>
    <w:rsid w:val="00AE3B79"/>
    <w:rsid w:val="00AE6E46"/>
    <w:rsid w:val="00AF120C"/>
    <w:rsid w:val="00B01562"/>
    <w:rsid w:val="00B11099"/>
    <w:rsid w:val="00B225C2"/>
    <w:rsid w:val="00B22C2A"/>
    <w:rsid w:val="00B30CB3"/>
    <w:rsid w:val="00B43F8A"/>
    <w:rsid w:val="00B45059"/>
    <w:rsid w:val="00B70BC4"/>
    <w:rsid w:val="00B73961"/>
    <w:rsid w:val="00B74F0E"/>
    <w:rsid w:val="00B856BB"/>
    <w:rsid w:val="00BA037C"/>
    <w:rsid w:val="00BA6FFA"/>
    <w:rsid w:val="00BB66C2"/>
    <w:rsid w:val="00BD0CC8"/>
    <w:rsid w:val="00BD10F9"/>
    <w:rsid w:val="00BD5B99"/>
    <w:rsid w:val="00BE5338"/>
    <w:rsid w:val="00C01B4B"/>
    <w:rsid w:val="00C01C87"/>
    <w:rsid w:val="00C036E6"/>
    <w:rsid w:val="00C053A7"/>
    <w:rsid w:val="00C07807"/>
    <w:rsid w:val="00C100A6"/>
    <w:rsid w:val="00C20549"/>
    <w:rsid w:val="00C222CA"/>
    <w:rsid w:val="00C3301E"/>
    <w:rsid w:val="00C453F5"/>
    <w:rsid w:val="00C454AB"/>
    <w:rsid w:val="00C52E32"/>
    <w:rsid w:val="00C620E6"/>
    <w:rsid w:val="00C624A8"/>
    <w:rsid w:val="00C723FE"/>
    <w:rsid w:val="00C7556F"/>
    <w:rsid w:val="00C836AE"/>
    <w:rsid w:val="00C83CB9"/>
    <w:rsid w:val="00CA2531"/>
    <w:rsid w:val="00CB5B4D"/>
    <w:rsid w:val="00CB6D49"/>
    <w:rsid w:val="00CB79DD"/>
    <w:rsid w:val="00CC6D5A"/>
    <w:rsid w:val="00CF1154"/>
    <w:rsid w:val="00D05DAE"/>
    <w:rsid w:val="00D07BA8"/>
    <w:rsid w:val="00D15FDA"/>
    <w:rsid w:val="00D30057"/>
    <w:rsid w:val="00D35BF7"/>
    <w:rsid w:val="00D41EB1"/>
    <w:rsid w:val="00D42E08"/>
    <w:rsid w:val="00D64208"/>
    <w:rsid w:val="00D71D3A"/>
    <w:rsid w:val="00D75AFC"/>
    <w:rsid w:val="00D92F1D"/>
    <w:rsid w:val="00D95400"/>
    <w:rsid w:val="00DB639E"/>
    <w:rsid w:val="00DC08EB"/>
    <w:rsid w:val="00DD12B5"/>
    <w:rsid w:val="00DD2B5E"/>
    <w:rsid w:val="00DD6426"/>
    <w:rsid w:val="00DE0AC6"/>
    <w:rsid w:val="00DF2564"/>
    <w:rsid w:val="00E14835"/>
    <w:rsid w:val="00E155B0"/>
    <w:rsid w:val="00E25E1A"/>
    <w:rsid w:val="00E26C19"/>
    <w:rsid w:val="00E275EC"/>
    <w:rsid w:val="00E44980"/>
    <w:rsid w:val="00E46711"/>
    <w:rsid w:val="00E5589E"/>
    <w:rsid w:val="00E62117"/>
    <w:rsid w:val="00E675FA"/>
    <w:rsid w:val="00E67B10"/>
    <w:rsid w:val="00E75174"/>
    <w:rsid w:val="00E826DD"/>
    <w:rsid w:val="00E976D7"/>
    <w:rsid w:val="00EB3716"/>
    <w:rsid w:val="00EC0C4E"/>
    <w:rsid w:val="00ED3068"/>
    <w:rsid w:val="00ED45E7"/>
    <w:rsid w:val="00EF6006"/>
    <w:rsid w:val="00F10B2B"/>
    <w:rsid w:val="00F11C62"/>
    <w:rsid w:val="00F31E4C"/>
    <w:rsid w:val="00F456E4"/>
    <w:rsid w:val="00F45CF7"/>
    <w:rsid w:val="00F53E43"/>
    <w:rsid w:val="00F6106A"/>
    <w:rsid w:val="00F70EFE"/>
    <w:rsid w:val="00F80F65"/>
    <w:rsid w:val="00F82102"/>
    <w:rsid w:val="00F8577C"/>
    <w:rsid w:val="00FA2F2B"/>
    <w:rsid w:val="00FB0676"/>
    <w:rsid w:val="00FB47D3"/>
    <w:rsid w:val="00FC2D69"/>
    <w:rsid w:val="00FD2512"/>
    <w:rsid w:val="00FD3BE6"/>
    <w:rsid w:val="00FE51ED"/>
    <w:rsid w:val="00FE53D4"/>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7483</Characters>
  <Application>Microsoft Office Word</Application>
  <DocSecurity>0</DocSecurity>
  <Lines>163</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2013-04-26T13:43:00Z</dcterms:created>
  <dcterms:modified xsi:type="dcterms:W3CDTF">2013-04-26T13:43:00Z</dcterms:modified>
  <cp:category> </cp:category>
  <cp:contentStatus> </cp:contentStatus>
</cp:coreProperties>
</file>