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BC4A9F" w:rsidTr="00BC4A9F">
        <w:trPr>
          <w:trHeight w:val="1269"/>
        </w:trPr>
        <w:tc>
          <w:tcPr>
            <w:tcW w:w="4656" w:type="dxa"/>
          </w:tcPr>
          <w:p w:rsidR="00BC4A9F" w:rsidRDefault="00BC4A9F">
            <w:pPr>
              <w:ind w:right="-18"/>
              <w:rPr>
                <w:szCs w:val="22"/>
              </w:rPr>
            </w:pPr>
            <w:r>
              <w:rPr>
                <w:szCs w:val="22"/>
              </w:rPr>
              <w:t>In the Matter of</w:t>
            </w:r>
          </w:p>
          <w:p w:rsidR="00BC4A9F" w:rsidRDefault="00BC4A9F">
            <w:pPr>
              <w:ind w:right="-18"/>
              <w:rPr>
                <w:szCs w:val="22"/>
              </w:rPr>
            </w:pPr>
          </w:p>
          <w:p w:rsidR="00BC4A9F" w:rsidRDefault="00BC4A9F">
            <w:r>
              <w:rPr>
                <w:noProof/>
              </w:rPr>
              <w:t>R</w:t>
            </w:r>
            <w:r>
              <w:rPr>
                <w:noProof/>
                <w:highlight w:val="black"/>
              </w:rPr>
              <w:t>XXX</w:t>
            </w:r>
            <w:r>
              <w:t xml:space="preserve"> </w:t>
            </w:r>
            <w:r>
              <w:rPr>
                <w:noProof/>
              </w:rPr>
              <w:t>White</w:t>
            </w:r>
            <w:r>
              <w:rPr>
                <w:rStyle w:val="FootnoteReference"/>
                <w:szCs w:val="22"/>
              </w:rPr>
              <w:footnoteReference w:id="2"/>
            </w:r>
          </w:p>
          <w:p w:rsidR="00BC4A9F" w:rsidRDefault="00BC4A9F">
            <w:pPr>
              <w:ind w:right="-18"/>
              <w:rPr>
                <w:szCs w:val="22"/>
              </w:rPr>
            </w:pPr>
          </w:p>
          <w:p w:rsidR="00BC4A9F" w:rsidRDefault="00BC4A9F">
            <w:pPr>
              <w:ind w:right="-18"/>
              <w:rPr>
                <w:szCs w:val="22"/>
              </w:rPr>
            </w:pPr>
            <w:r>
              <w:rPr>
                <w:szCs w:val="22"/>
              </w:rPr>
              <w:t xml:space="preserve">Illegal Receipt of Duplicate </w:t>
            </w:r>
          </w:p>
          <w:p w:rsidR="00BC4A9F" w:rsidRDefault="00BC4A9F">
            <w:pPr>
              <w:ind w:right="-18"/>
              <w:rPr>
                <w:szCs w:val="22"/>
              </w:rPr>
            </w:pPr>
            <w:r>
              <w:rPr>
                <w:szCs w:val="22"/>
              </w:rPr>
              <w:t>Lifeline Support</w:t>
            </w:r>
          </w:p>
          <w:p w:rsidR="00BC4A9F" w:rsidRDefault="00BC4A9F">
            <w:pPr>
              <w:ind w:right="-18"/>
              <w:rPr>
                <w:szCs w:val="22"/>
              </w:rPr>
            </w:pPr>
          </w:p>
        </w:tc>
        <w:tc>
          <w:tcPr>
            <w:tcW w:w="714" w:type="dxa"/>
            <w:hideMark/>
          </w:tcPr>
          <w:p w:rsidR="00BC4A9F" w:rsidRDefault="00BC4A9F">
            <w:pPr>
              <w:rPr>
                <w:szCs w:val="22"/>
              </w:rPr>
            </w:pPr>
            <w:r>
              <w:rPr>
                <w:szCs w:val="22"/>
              </w:rPr>
              <w:t>)</w:t>
            </w:r>
          </w:p>
          <w:p w:rsidR="00BC4A9F" w:rsidRDefault="00BC4A9F">
            <w:pPr>
              <w:rPr>
                <w:szCs w:val="22"/>
              </w:rPr>
            </w:pPr>
            <w:r>
              <w:rPr>
                <w:szCs w:val="22"/>
              </w:rPr>
              <w:t>)</w:t>
            </w:r>
          </w:p>
          <w:p w:rsidR="00BC4A9F" w:rsidRDefault="00BC4A9F">
            <w:pPr>
              <w:rPr>
                <w:szCs w:val="22"/>
              </w:rPr>
            </w:pPr>
            <w:r>
              <w:rPr>
                <w:szCs w:val="22"/>
              </w:rPr>
              <w:t>)</w:t>
            </w:r>
          </w:p>
          <w:p w:rsidR="00BC4A9F" w:rsidRDefault="00BC4A9F">
            <w:pPr>
              <w:rPr>
                <w:szCs w:val="22"/>
              </w:rPr>
            </w:pPr>
            <w:r>
              <w:rPr>
                <w:szCs w:val="22"/>
              </w:rPr>
              <w:t>)</w:t>
            </w:r>
          </w:p>
          <w:p w:rsidR="00BC4A9F" w:rsidRDefault="00BC4A9F">
            <w:pPr>
              <w:rPr>
                <w:szCs w:val="22"/>
              </w:rPr>
            </w:pPr>
            <w:r>
              <w:rPr>
                <w:szCs w:val="22"/>
              </w:rPr>
              <w:t>)</w:t>
            </w:r>
          </w:p>
          <w:p w:rsidR="00BC4A9F" w:rsidRDefault="00BC4A9F">
            <w:pPr>
              <w:rPr>
                <w:szCs w:val="22"/>
              </w:rPr>
            </w:pPr>
            <w:r>
              <w:rPr>
                <w:szCs w:val="22"/>
              </w:rPr>
              <w:t>)</w:t>
            </w:r>
          </w:p>
        </w:tc>
        <w:tc>
          <w:tcPr>
            <w:tcW w:w="4192" w:type="dxa"/>
          </w:tcPr>
          <w:p w:rsidR="00BC4A9F" w:rsidRDefault="00BC4A9F">
            <w:pPr>
              <w:rPr>
                <w:szCs w:val="22"/>
              </w:rPr>
            </w:pPr>
          </w:p>
          <w:p w:rsidR="00BC4A9F" w:rsidRDefault="00BC4A9F">
            <w:pPr>
              <w:tabs>
                <w:tab w:val="left" w:pos="1995"/>
              </w:tabs>
              <w:rPr>
                <w:szCs w:val="22"/>
              </w:rPr>
            </w:pPr>
          </w:p>
          <w:p w:rsidR="00BC4A9F" w:rsidRDefault="00BC4A9F">
            <w:pPr>
              <w:tabs>
                <w:tab w:val="left" w:pos="1995"/>
              </w:tabs>
              <w:rPr>
                <w:spacing w:val="-2"/>
                <w:szCs w:val="22"/>
              </w:rPr>
            </w:pPr>
            <w:r>
              <w:rPr>
                <w:szCs w:val="22"/>
              </w:rPr>
              <w:t xml:space="preserve">File No.:  </w:t>
            </w:r>
            <w:r>
              <w:rPr>
                <w:noProof/>
                <w:szCs w:val="22"/>
              </w:rPr>
              <w:t>EB-13-IH-0888</w:t>
            </w:r>
            <w:r>
              <w:rPr>
                <w:szCs w:val="22"/>
              </w:rPr>
              <w:tab/>
            </w:r>
          </w:p>
          <w:p w:rsidR="00BC4A9F" w:rsidRDefault="00BC4A9F">
            <w:pPr>
              <w:rPr>
                <w:spacing w:val="-2"/>
                <w:szCs w:val="22"/>
              </w:rPr>
            </w:pPr>
          </w:p>
          <w:p w:rsidR="00BC4A9F" w:rsidRDefault="00BC4A9F">
            <w:pPr>
              <w:rPr>
                <w:szCs w:val="22"/>
              </w:rPr>
            </w:pPr>
          </w:p>
        </w:tc>
      </w:tr>
    </w:tbl>
    <w:p w:rsidR="00BC4A9F" w:rsidRDefault="00BC4A9F" w:rsidP="00BC4A9F">
      <w:pPr>
        <w:spacing w:before="120"/>
        <w:jc w:val="center"/>
        <w:rPr>
          <w:b/>
          <w:spacing w:val="-2"/>
          <w:szCs w:val="22"/>
        </w:rPr>
      </w:pPr>
      <w:r>
        <w:rPr>
          <w:b/>
          <w:spacing w:val="-2"/>
          <w:szCs w:val="22"/>
        </w:rPr>
        <w:t>CITATION AND ORDER</w:t>
      </w:r>
    </w:p>
    <w:p w:rsidR="00BC4A9F" w:rsidRDefault="00BC4A9F" w:rsidP="00BC4A9F">
      <w:pPr>
        <w:spacing w:before="120"/>
        <w:rPr>
          <w:b/>
          <w:szCs w:val="22"/>
        </w:rPr>
      </w:pPr>
    </w:p>
    <w:p w:rsidR="00BC4A9F" w:rsidRDefault="00BC4A9F" w:rsidP="00BC4A9F">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BC4A9F" w:rsidRDefault="00BC4A9F" w:rsidP="00BC4A9F">
      <w:pPr>
        <w:tabs>
          <w:tab w:val="left" w:pos="5760"/>
        </w:tabs>
        <w:rPr>
          <w:b/>
          <w:szCs w:val="22"/>
        </w:rPr>
      </w:pPr>
    </w:p>
    <w:p w:rsidR="00BC4A9F" w:rsidRDefault="00BC4A9F" w:rsidP="00BC4A9F">
      <w:pPr>
        <w:rPr>
          <w:szCs w:val="22"/>
        </w:rPr>
      </w:pPr>
      <w:r>
        <w:rPr>
          <w:szCs w:val="22"/>
        </w:rPr>
        <w:t>By the Deputy Chief, Investigations and Hearings Division, Enforcement Bureau:</w:t>
      </w:r>
    </w:p>
    <w:p w:rsidR="00BC4A9F" w:rsidRDefault="00BC4A9F" w:rsidP="00BC4A9F">
      <w:pPr>
        <w:rPr>
          <w:szCs w:val="22"/>
        </w:rPr>
      </w:pPr>
    </w:p>
    <w:p w:rsidR="00BC4A9F" w:rsidRDefault="00BC4A9F" w:rsidP="00BC4A9F">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R</w:t>
      </w:r>
      <w:r>
        <w:rPr>
          <w:noProof/>
          <w:highlight w:val="black"/>
        </w:rPr>
        <w:t>XXX</w:t>
      </w:r>
      <w:r>
        <w:t xml:space="preserve"> </w:t>
      </w:r>
      <w:r>
        <w:rPr>
          <w:noProof/>
        </w:rPr>
        <w:t>White</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BC4A9F" w:rsidRDefault="00BC4A9F" w:rsidP="00BC4A9F">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Nexus Communications, Inc. d/b/a Reachout Wireless; Virgin Mobile USA, LLC d/b/a Assurance Wireless; TracFone Wireless, Inc. d/b/a SafeLink Wireless</w:t>
      </w:r>
      <w:r>
        <w:rPr>
          <w:szCs w:val="22"/>
        </w:rPr>
        <w:t xml:space="preserve">; and </w:t>
      </w:r>
      <w:r>
        <w:rPr>
          <w:noProof/>
          <w:szCs w:val="22"/>
        </w:rPr>
        <w:t>Cinthex LLC d/b/a i-wireless, LLC</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BC4A9F" w:rsidRDefault="00BC4A9F" w:rsidP="00BC4A9F">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BC4A9F" w:rsidRDefault="00BC4A9F" w:rsidP="00BC4A9F">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January 29, 2013</w:t>
      </w:r>
      <w:r>
        <w:rPr>
          <w:szCs w:val="22"/>
        </w:rPr>
        <w:t xml:space="preserve"> directing you to choose a single Lifeline service provider and explaining that you would no longer receive benefits for more than one Lifeline-supported phone service.   </w:t>
      </w:r>
    </w:p>
    <w:p w:rsidR="00BC4A9F" w:rsidRDefault="00BC4A9F" w:rsidP="00BC4A9F">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BC4A9F" w:rsidRDefault="00BC4A9F" w:rsidP="00BC4A9F">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BC4A9F" w:rsidRDefault="00BC4A9F" w:rsidP="00BC4A9F">
      <w:pPr>
        <w:pStyle w:val="ParaNum"/>
        <w:numPr>
          <w:ilvl w:val="0"/>
          <w:numId w:val="0"/>
        </w:numPr>
        <w:spacing w:after="0"/>
      </w:pPr>
      <w:r>
        <w:rPr>
          <w:noProof/>
        </w:rPr>
        <w:tab/>
      </w:r>
      <w:r>
        <w:rPr>
          <w:noProof/>
        </w:rPr>
        <w:tab/>
        <w:t>Lifeline Citations</w:t>
      </w:r>
    </w:p>
    <w:p w:rsidR="00BC4A9F" w:rsidRDefault="00BC4A9F" w:rsidP="00BC4A9F">
      <w:pPr>
        <w:pStyle w:val="ParaNum"/>
        <w:numPr>
          <w:ilvl w:val="0"/>
          <w:numId w:val="0"/>
        </w:numPr>
        <w:spacing w:after="0"/>
      </w:pPr>
      <w:r>
        <w:tab/>
      </w:r>
      <w:r>
        <w:tab/>
        <w:t>Investigations &amp; Hearings Division</w:t>
      </w:r>
    </w:p>
    <w:p w:rsidR="00BC4A9F" w:rsidRDefault="00BC4A9F" w:rsidP="00BC4A9F">
      <w:pPr>
        <w:pStyle w:val="ParaNum"/>
        <w:numPr>
          <w:ilvl w:val="0"/>
          <w:numId w:val="0"/>
        </w:numPr>
        <w:spacing w:after="0"/>
        <w:rPr>
          <w:bCs/>
          <w:szCs w:val="22"/>
        </w:rPr>
      </w:pPr>
      <w:r>
        <w:tab/>
      </w:r>
      <w:r>
        <w:tab/>
      </w:r>
      <w:r>
        <w:rPr>
          <w:bCs/>
          <w:szCs w:val="22"/>
        </w:rPr>
        <w:t>Enforcement Bureau</w:t>
      </w:r>
    </w:p>
    <w:p w:rsidR="00BC4A9F" w:rsidRDefault="00BC4A9F" w:rsidP="00BC4A9F">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BC4A9F" w:rsidRDefault="00BC4A9F" w:rsidP="00BC4A9F">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BC4A9F" w:rsidRDefault="00BC4A9F" w:rsidP="00BC4A9F">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BC4A9F" w:rsidRDefault="00BC4A9F" w:rsidP="00BC4A9F">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EB-13-IH-0888</w:t>
      </w:r>
    </w:p>
    <w:p w:rsidR="00BC4A9F" w:rsidRDefault="00BC4A9F" w:rsidP="00BC4A9F">
      <w:pPr>
        <w:pStyle w:val="ParaNum"/>
        <w:widowControl/>
        <w:numPr>
          <w:ilvl w:val="0"/>
          <w:numId w:val="0"/>
        </w:numPr>
        <w:tabs>
          <w:tab w:val="left" w:pos="720"/>
        </w:tabs>
        <w:spacing w:after="240"/>
        <w:rPr>
          <w:b/>
          <w:bCs/>
          <w:szCs w:val="22"/>
        </w:rPr>
      </w:pPr>
    </w:p>
    <w:p w:rsidR="00BC4A9F" w:rsidRDefault="00BC4A9F" w:rsidP="00BC4A9F">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BC4A9F" w:rsidRDefault="00BC4A9F" w:rsidP="00BC4A9F">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C4A9F" w:rsidRDefault="00BC4A9F" w:rsidP="00BC4A9F">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BC4A9F" w:rsidRDefault="00BC4A9F" w:rsidP="00BC4A9F">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BC4A9F" w:rsidRDefault="00BC4A9F" w:rsidP="00BC4A9F">
      <w:pPr>
        <w:pStyle w:val="ParaNum"/>
        <w:widowControl/>
        <w:numPr>
          <w:ilvl w:val="0"/>
          <w:numId w:val="0"/>
        </w:numPr>
        <w:tabs>
          <w:tab w:val="left" w:pos="720"/>
        </w:tabs>
        <w:spacing w:after="0"/>
        <w:rPr>
          <w:szCs w:val="22"/>
        </w:rPr>
      </w:pPr>
    </w:p>
    <w:p w:rsidR="00BC4A9F" w:rsidRDefault="00BC4A9F" w:rsidP="00BC4A9F">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BC4A9F" w:rsidRDefault="00BC4A9F" w:rsidP="00BC4A9F">
      <w:pPr>
        <w:rPr>
          <w:szCs w:val="22"/>
        </w:rPr>
      </w:pPr>
      <w:r>
        <w:rPr>
          <w:szCs w:val="22"/>
        </w:rPr>
        <w:t xml:space="preserve">      </w:t>
      </w:r>
      <w:r>
        <w:rPr>
          <w:szCs w:val="22"/>
        </w:rPr>
        <w:tab/>
        <w:t xml:space="preserve">For sign language interpreters, CART, and other reasonable accommodations: </w:t>
      </w:r>
    </w:p>
    <w:p w:rsidR="00BC4A9F" w:rsidRDefault="00BC4A9F" w:rsidP="00BC4A9F">
      <w:pPr>
        <w:ind w:firstLine="720"/>
        <w:rPr>
          <w:szCs w:val="22"/>
        </w:rPr>
      </w:pPr>
      <w:r>
        <w:rPr>
          <w:szCs w:val="22"/>
        </w:rPr>
        <w:t>202-418-0530 (voice), 202-418-0432 (tty);</w:t>
      </w:r>
    </w:p>
    <w:p w:rsidR="00BC4A9F" w:rsidRDefault="00BC4A9F" w:rsidP="00BC4A9F">
      <w:pPr>
        <w:ind w:firstLine="720"/>
        <w:rPr>
          <w:szCs w:val="22"/>
        </w:rPr>
      </w:pPr>
    </w:p>
    <w:p w:rsidR="00BC4A9F" w:rsidRDefault="00BC4A9F" w:rsidP="00BC4A9F">
      <w:pPr>
        <w:rPr>
          <w:szCs w:val="22"/>
        </w:rPr>
      </w:pPr>
      <w:r>
        <w:rPr>
          <w:szCs w:val="22"/>
        </w:rPr>
        <w:t xml:space="preserve">      </w:t>
      </w:r>
      <w:r>
        <w:rPr>
          <w:szCs w:val="22"/>
        </w:rPr>
        <w:tab/>
        <w:t xml:space="preserve">For accessible format materials (braille, large print, electronic files, and audio format): </w:t>
      </w:r>
    </w:p>
    <w:p w:rsidR="00BC4A9F" w:rsidRDefault="00BC4A9F" w:rsidP="00BC4A9F">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BC4A9F" w:rsidRDefault="00BC4A9F" w:rsidP="00BC4A9F">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BC4A9F" w:rsidRDefault="00BC4A9F" w:rsidP="00BC4A9F">
      <w:pPr>
        <w:pStyle w:val="ParaNum"/>
        <w:widowControl/>
        <w:numPr>
          <w:ilvl w:val="0"/>
          <w:numId w:val="0"/>
        </w:numPr>
        <w:tabs>
          <w:tab w:val="left" w:pos="1080"/>
        </w:tabs>
        <w:spacing w:after="0"/>
        <w:ind w:left="720"/>
        <w:rPr>
          <w:szCs w:val="22"/>
        </w:rPr>
      </w:pPr>
    </w:p>
    <w:p w:rsidR="00BC4A9F" w:rsidRDefault="00BC4A9F" w:rsidP="00BC4A9F">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BC4A9F" w:rsidRDefault="00BC4A9F" w:rsidP="00BC4A9F">
      <w:pPr>
        <w:rPr>
          <w:noProof/>
          <w:color w:val="000000"/>
          <w:szCs w:val="22"/>
        </w:rPr>
      </w:pPr>
    </w:p>
    <w:p w:rsidR="00BC4A9F" w:rsidRDefault="00BC4A9F" w:rsidP="00BC4A9F">
      <w:pPr>
        <w:ind w:left="3600"/>
        <w:rPr>
          <w:b/>
          <w:bCs/>
          <w:noProof/>
          <w:color w:val="000000"/>
          <w:szCs w:val="22"/>
        </w:rPr>
      </w:pPr>
      <w:r>
        <w:rPr>
          <w:b/>
          <w:bCs/>
          <w:noProof/>
          <w:color w:val="000000"/>
          <w:szCs w:val="22"/>
        </w:rPr>
        <w:t>FEDERAL COMMUNICATIONS COMMISSION</w:t>
      </w:r>
    </w:p>
    <w:p w:rsidR="00BC4A9F" w:rsidRDefault="00BC4A9F" w:rsidP="00BC4A9F">
      <w:pPr>
        <w:ind w:left="3600"/>
        <w:rPr>
          <w:b/>
          <w:bCs/>
          <w:noProof/>
          <w:color w:val="000000"/>
          <w:szCs w:val="22"/>
        </w:rPr>
      </w:pPr>
    </w:p>
    <w:p w:rsidR="00BC4A9F" w:rsidRDefault="00BC4A9F" w:rsidP="00BC4A9F">
      <w:pPr>
        <w:ind w:left="3600"/>
        <w:rPr>
          <w:b/>
          <w:bCs/>
          <w:noProof/>
          <w:color w:val="000000"/>
          <w:szCs w:val="22"/>
        </w:rPr>
      </w:pPr>
    </w:p>
    <w:p w:rsidR="00BC4A9F" w:rsidRDefault="00BC4A9F" w:rsidP="00BC4A9F">
      <w:pPr>
        <w:ind w:left="3600"/>
        <w:rPr>
          <w:b/>
          <w:bCs/>
          <w:noProof/>
          <w:color w:val="000000"/>
          <w:szCs w:val="22"/>
        </w:rPr>
      </w:pPr>
    </w:p>
    <w:p w:rsidR="00BC4A9F" w:rsidRDefault="00BC4A9F" w:rsidP="00BC4A9F">
      <w:pPr>
        <w:ind w:left="3600"/>
        <w:rPr>
          <w:bCs/>
          <w:noProof/>
          <w:color w:val="000000"/>
          <w:szCs w:val="22"/>
        </w:rPr>
      </w:pPr>
    </w:p>
    <w:p w:rsidR="00BC4A9F" w:rsidRDefault="00BC4A9F" w:rsidP="00BC4A9F">
      <w:pPr>
        <w:pStyle w:val="ParaNum"/>
        <w:widowControl/>
        <w:numPr>
          <w:ilvl w:val="0"/>
          <w:numId w:val="0"/>
        </w:numPr>
        <w:spacing w:after="0"/>
        <w:ind w:left="1440"/>
        <w:rPr>
          <w:szCs w:val="22"/>
        </w:rPr>
      </w:pPr>
      <w:r>
        <w:rPr>
          <w:szCs w:val="22"/>
        </w:rPr>
        <w:tab/>
      </w:r>
      <w:r>
        <w:rPr>
          <w:szCs w:val="22"/>
        </w:rPr>
        <w:tab/>
      </w:r>
      <w:r>
        <w:rPr>
          <w:szCs w:val="22"/>
        </w:rPr>
        <w:tab/>
        <w:t>Pamela S. Kane</w:t>
      </w:r>
    </w:p>
    <w:p w:rsidR="00BC4A9F" w:rsidRDefault="00BC4A9F" w:rsidP="00BC4A9F">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BC4A9F" w:rsidRDefault="00BC4A9F" w:rsidP="00BC4A9F">
      <w:pPr>
        <w:pStyle w:val="ParaNum"/>
        <w:widowControl/>
        <w:numPr>
          <w:ilvl w:val="0"/>
          <w:numId w:val="0"/>
        </w:numPr>
        <w:spacing w:after="0"/>
        <w:ind w:left="1440"/>
        <w:rPr>
          <w:szCs w:val="22"/>
        </w:rPr>
      </w:pPr>
      <w:r>
        <w:rPr>
          <w:szCs w:val="22"/>
        </w:rPr>
        <w:tab/>
      </w:r>
      <w:r>
        <w:rPr>
          <w:szCs w:val="22"/>
        </w:rPr>
        <w:tab/>
      </w:r>
      <w:r>
        <w:rPr>
          <w:szCs w:val="22"/>
        </w:rPr>
        <w:tab/>
        <w:t>Enforcement Bureau</w:t>
      </w:r>
    </w:p>
    <w:p w:rsidR="00BC4A9F" w:rsidRDefault="00BC4A9F" w:rsidP="00BC4A9F">
      <w:pPr>
        <w:rPr>
          <w:noProof/>
          <w:szCs w:val="22"/>
        </w:rPr>
      </w:pPr>
    </w:p>
    <w:p w:rsidR="00BC4A9F" w:rsidRDefault="00BC4A9F" w:rsidP="00BC4A9F">
      <w:pPr>
        <w:ind w:left="-720"/>
        <w:rPr>
          <w:b/>
          <w:noProof/>
          <w:szCs w:val="22"/>
        </w:rPr>
      </w:pPr>
    </w:p>
    <w:p w:rsidR="00BC4A9F" w:rsidRDefault="00BC4A9F">
      <w:pPr>
        <w:jc w:val="center"/>
        <w:rPr>
          <w:b/>
        </w:rPr>
      </w:pPr>
    </w:p>
    <w:sectPr w:rsidR="00BC4A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F3" w:rsidRDefault="006A36F3">
      <w:r>
        <w:separator/>
      </w:r>
    </w:p>
  </w:endnote>
  <w:endnote w:type="continuationSeparator" w:id="0">
    <w:p w:rsidR="006A36F3" w:rsidRDefault="006A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9D" w:rsidRDefault="007F4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BC4A9F">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9D" w:rsidRDefault="007F4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F3" w:rsidRDefault="006A36F3">
      <w:pPr>
        <w:rPr>
          <w:sz w:val="20"/>
        </w:rPr>
      </w:pPr>
      <w:r>
        <w:rPr>
          <w:sz w:val="20"/>
        </w:rPr>
        <w:separator/>
      </w:r>
    </w:p>
  </w:footnote>
  <w:footnote w:type="continuationSeparator" w:id="0">
    <w:p w:rsidR="006A36F3" w:rsidRDefault="006A36F3">
      <w:pPr>
        <w:rPr>
          <w:sz w:val="20"/>
        </w:rPr>
      </w:pPr>
      <w:r>
        <w:rPr>
          <w:sz w:val="20"/>
        </w:rPr>
        <w:separator/>
      </w:r>
    </w:p>
    <w:p w:rsidR="006A36F3" w:rsidRDefault="006A36F3">
      <w:pPr>
        <w:rPr>
          <w:sz w:val="20"/>
        </w:rPr>
      </w:pPr>
      <w:r>
        <w:rPr>
          <w:sz w:val="20"/>
        </w:rPr>
        <w:t>(...continued from previous page)</w:t>
      </w:r>
    </w:p>
  </w:footnote>
  <w:footnote w:type="continuationNotice" w:id="1">
    <w:p w:rsidR="006A36F3" w:rsidRDefault="006A36F3">
      <w:pPr>
        <w:jc w:val="right"/>
        <w:rPr>
          <w:sz w:val="20"/>
        </w:rPr>
      </w:pPr>
      <w:r>
        <w:rPr>
          <w:sz w:val="20"/>
        </w:rPr>
        <w:t>(continued....)</w:t>
      </w:r>
    </w:p>
  </w:footnote>
  <w:footnote w:id="2">
    <w:p w:rsidR="00BC4A9F" w:rsidRDefault="00BC4A9F" w:rsidP="00BC4A9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BC4A9F" w:rsidRDefault="00BC4A9F" w:rsidP="00BC4A9F">
      <w:pPr>
        <w:pStyle w:val="FootnoteText"/>
      </w:pPr>
      <w:r>
        <w:rPr>
          <w:rStyle w:val="FootnoteReference"/>
        </w:rPr>
        <w:footnoteRef/>
      </w:r>
      <w:r>
        <w:t xml:space="preserve"> 47 U.S.C. § 503(b)(5).</w:t>
      </w:r>
    </w:p>
  </w:footnote>
  <w:footnote w:id="4">
    <w:p w:rsidR="00BC4A9F" w:rsidRDefault="00BC4A9F" w:rsidP="00BC4A9F">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BC4A9F" w:rsidRDefault="00BC4A9F" w:rsidP="00BC4A9F">
      <w:pPr>
        <w:pStyle w:val="FootnoteText"/>
      </w:pPr>
      <w:r>
        <w:rPr>
          <w:rStyle w:val="FootnoteReference"/>
        </w:rPr>
        <w:footnoteRef/>
      </w:r>
      <w:r>
        <w:t xml:space="preserve"> </w:t>
      </w:r>
      <w:r>
        <w:rPr>
          <w:i/>
        </w:rPr>
        <w:t xml:space="preserve">See </w:t>
      </w:r>
      <w:r>
        <w:rPr>
          <w:szCs w:val="22"/>
        </w:rPr>
        <w:t xml:space="preserve">47 U.S.C. § 54.410(d)(3).  </w:t>
      </w:r>
    </w:p>
  </w:footnote>
  <w:footnote w:id="6">
    <w:p w:rsidR="00BC4A9F" w:rsidRDefault="00BC4A9F" w:rsidP="00BC4A9F">
      <w:pPr>
        <w:pStyle w:val="FootnoteText"/>
      </w:pPr>
      <w:r>
        <w:rPr>
          <w:rStyle w:val="FootnoteReference"/>
        </w:rPr>
        <w:footnoteRef/>
      </w:r>
      <w:r>
        <w:t xml:space="preserve"> </w:t>
      </w:r>
      <w:r>
        <w:rPr>
          <w:i/>
        </w:rPr>
        <w:t xml:space="preserve">See </w:t>
      </w:r>
      <w:r>
        <w:t>47 C.F.R. § 54.410(d)(3)(vi).</w:t>
      </w:r>
    </w:p>
  </w:footnote>
  <w:footnote w:id="7">
    <w:p w:rsidR="00BC4A9F" w:rsidRDefault="00BC4A9F" w:rsidP="00BC4A9F">
      <w:pPr>
        <w:pStyle w:val="FootnoteText"/>
      </w:pPr>
      <w:r>
        <w:rPr>
          <w:rStyle w:val="FootnoteReference"/>
        </w:rPr>
        <w:footnoteRef/>
      </w:r>
      <w:r>
        <w:t xml:space="preserve"> </w:t>
      </w:r>
      <w:r>
        <w:rPr>
          <w:i/>
        </w:rPr>
        <w:t xml:space="preserve">See </w:t>
      </w:r>
      <w:r>
        <w:t>47 C.F.R. § 54.410(d)(3).</w:t>
      </w:r>
    </w:p>
  </w:footnote>
  <w:footnote w:id="8">
    <w:p w:rsidR="00BC4A9F" w:rsidRDefault="00BC4A9F" w:rsidP="00BC4A9F">
      <w:pPr>
        <w:pStyle w:val="FootnoteText"/>
      </w:pPr>
      <w:r>
        <w:rPr>
          <w:rStyle w:val="FootnoteReference"/>
        </w:rPr>
        <w:footnoteRef/>
      </w:r>
      <w:r>
        <w:t xml:space="preserve"> </w:t>
      </w:r>
      <w:r>
        <w:rPr>
          <w:i/>
        </w:rPr>
        <w:t xml:space="preserve">See </w:t>
      </w:r>
      <w:r>
        <w:t>47 C.F.R. § 1.80(b)(3).</w:t>
      </w:r>
    </w:p>
  </w:footnote>
  <w:footnote w:id="9">
    <w:p w:rsidR="00BC4A9F" w:rsidRDefault="00BC4A9F" w:rsidP="00BC4A9F">
      <w:pPr>
        <w:pStyle w:val="FootnoteText"/>
      </w:pPr>
      <w:r>
        <w:rPr>
          <w:rStyle w:val="FootnoteReference"/>
        </w:rPr>
        <w:footnoteRef/>
      </w:r>
      <w:r>
        <w:rPr>
          <w:i/>
          <w:iCs/>
        </w:rPr>
        <w:t xml:space="preserve"> See </w:t>
      </w:r>
      <w:r>
        <w:t>Privacy Act of 1974, 5 U.S.C. § 552a(e)(3).</w:t>
      </w:r>
    </w:p>
  </w:footnote>
  <w:footnote w:id="10">
    <w:p w:rsidR="00BC4A9F" w:rsidRDefault="00BC4A9F" w:rsidP="00BC4A9F">
      <w:pPr>
        <w:pStyle w:val="FootnoteText"/>
      </w:pPr>
      <w:r>
        <w:rPr>
          <w:rStyle w:val="FootnoteReference"/>
        </w:rPr>
        <w:footnoteRef/>
      </w:r>
      <w:r>
        <w:t xml:space="preserve"> </w:t>
      </w:r>
      <w:r>
        <w:rPr>
          <w:i/>
        </w:rPr>
        <w:t xml:space="preserve">See </w:t>
      </w:r>
      <w:r>
        <w:t>47 C.F.R. § 1.17.</w:t>
      </w:r>
    </w:p>
  </w:footnote>
  <w:footnote w:id="11">
    <w:p w:rsidR="00BC4A9F" w:rsidRDefault="00BC4A9F" w:rsidP="00BC4A9F">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9D" w:rsidRDefault="007F4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CF5939">
      <w:rPr>
        <w:b/>
      </w:rPr>
      <w:t>4</w:t>
    </w:r>
    <w:r w:rsidR="00BC4A9F">
      <w:rPr>
        <w:b/>
      </w:rPr>
      <w:t>7</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495FDBA" wp14:editId="4933B31E">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CF5939">
      <w:rPr>
        <w:b/>
      </w:rPr>
      <w:t>4</w:t>
    </w:r>
    <w:r w:rsidR="00BC4A9F">
      <w:rPr>
        <w:b/>
      </w:rPr>
      <w:t>7</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BE1DA17" wp14:editId="12785CB4">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5305A"/>
    <w:rsid w:val="001E59EA"/>
    <w:rsid w:val="002712A4"/>
    <w:rsid w:val="002C5DC8"/>
    <w:rsid w:val="002E63A1"/>
    <w:rsid w:val="0031123B"/>
    <w:rsid w:val="00342BF9"/>
    <w:rsid w:val="003765BF"/>
    <w:rsid w:val="0038383E"/>
    <w:rsid w:val="004167D9"/>
    <w:rsid w:val="00443412"/>
    <w:rsid w:val="004D21DF"/>
    <w:rsid w:val="005822CC"/>
    <w:rsid w:val="005F389F"/>
    <w:rsid w:val="00620019"/>
    <w:rsid w:val="00630867"/>
    <w:rsid w:val="00653F07"/>
    <w:rsid w:val="00677F8C"/>
    <w:rsid w:val="006A3611"/>
    <w:rsid w:val="006A36F3"/>
    <w:rsid w:val="006A5531"/>
    <w:rsid w:val="006D1925"/>
    <w:rsid w:val="0072064E"/>
    <w:rsid w:val="0075277F"/>
    <w:rsid w:val="007D685E"/>
    <w:rsid w:val="007F429D"/>
    <w:rsid w:val="008145DD"/>
    <w:rsid w:val="00840A91"/>
    <w:rsid w:val="00863652"/>
    <w:rsid w:val="008734DE"/>
    <w:rsid w:val="00876EDB"/>
    <w:rsid w:val="008C422A"/>
    <w:rsid w:val="009843ED"/>
    <w:rsid w:val="009B6503"/>
    <w:rsid w:val="00A325B2"/>
    <w:rsid w:val="00A72AA6"/>
    <w:rsid w:val="00AB5377"/>
    <w:rsid w:val="00AB6076"/>
    <w:rsid w:val="00BA52E2"/>
    <w:rsid w:val="00BB300B"/>
    <w:rsid w:val="00BC4A9F"/>
    <w:rsid w:val="00BE685A"/>
    <w:rsid w:val="00CA0E69"/>
    <w:rsid w:val="00CF5939"/>
    <w:rsid w:val="00D44A72"/>
    <w:rsid w:val="00E35F9F"/>
    <w:rsid w:val="00E95D1C"/>
    <w:rsid w:val="00ED428C"/>
    <w:rsid w:val="00EF6EFC"/>
    <w:rsid w:val="00F04262"/>
    <w:rsid w:val="00F1694D"/>
    <w:rsid w:val="00F360B9"/>
    <w:rsid w:val="00F44328"/>
    <w:rsid w:val="00FD0C80"/>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44608325">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09701815">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285700022">
      <w:bodyDiv w:val="1"/>
      <w:marLeft w:val="0"/>
      <w:marRight w:val="0"/>
      <w:marTop w:val="0"/>
      <w:marBottom w:val="0"/>
      <w:divBdr>
        <w:top w:val="none" w:sz="0" w:space="0" w:color="auto"/>
        <w:left w:val="none" w:sz="0" w:space="0" w:color="auto"/>
        <w:bottom w:val="none" w:sz="0" w:space="0" w:color="auto"/>
        <w:right w:val="none" w:sz="0" w:space="0" w:color="auto"/>
      </w:divBdr>
    </w:div>
    <w:div w:id="1351104245">
      <w:bodyDiv w:val="1"/>
      <w:marLeft w:val="0"/>
      <w:marRight w:val="0"/>
      <w:marTop w:val="0"/>
      <w:marBottom w:val="0"/>
      <w:divBdr>
        <w:top w:val="none" w:sz="0" w:space="0" w:color="auto"/>
        <w:left w:val="none" w:sz="0" w:space="0" w:color="auto"/>
        <w:bottom w:val="none" w:sz="0" w:space="0" w:color="auto"/>
        <w:right w:val="none" w:sz="0" w:space="0" w:color="auto"/>
      </w:divBdr>
    </w:div>
    <w:div w:id="1425807958">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782990003">
      <w:bodyDiv w:val="1"/>
      <w:marLeft w:val="0"/>
      <w:marRight w:val="0"/>
      <w:marTop w:val="0"/>
      <w:marBottom w:val="0"/>
      <w:divBdr>
        <w:top w:val="none" w:sz="0" w:space="0" w:color="auto"/>
        <w:left w:val="none" w:sz="0" w:space="0" w:color="auto"/>
        <w:bottom w:val="none" w:sz="0" w:space="0" w:color="auto"/>
        <w:right w:val="none" w:sz="0" w:space="0" w:color="auto"/>
      </w:divBdr>
    </w:div>
    <w:div w:id="18655104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 w:id="2022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4838</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2013-05-07T20:14:00Z</dcterms:created>
  <dcterms:modified xsi:type="dcterms:W3CDTF">2013-05-07T20:14:00Z</dcterms:modified>
  <cp:category> </cp:category>
  <cp:contentStatus> </cp:contentStatus>
</cp:coreProperties>
</file>