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3E" w:rsidRPr="009F29F8" w:rsidRDefault="00C4113E" w:rsidP="00C4113E">
      <w:pPr>
        <w:widowControl w:val="0"/>
        <w:jc w:val="right"/>
        <w:rPr>
          <w:b/>
          <w:snapToGrid w:val="0"/>
          <w:kern w:val="28"/>
          <w:szCs w:val="22"/>
        </w:rPr>
      </w:pPr>
      <w:bookmarkStart w:id="0" w:name="_GoBack"/>
      <w:bookmarkEnd w:id="0"/>
      <w:r w:rsidRPr="009F29F8">
        <w:rPr>
          <w:b/>
          <w:snapToGrid w:val="0"/>
          <w:kern w:val="28"/>
          <w:szCs w:val="22"/>
        </w:rPr>
        <w:t>DA 13-</w:t>
      </w:r>
      <w:r w:rsidR="004F389F">
        <w:rPr>
          <w:b/>
          <w:snapToGrid w:val="0"/>
          <w:kern w:val="28"/>
          <w:szCs w:val="22"/>
        </w:rPr>
        <w:t>955</w:t>
      </w:r>
    </w:p>
    <w:p w:rsidR="00C4113E" w:rsidRPr="009F29F8" w:rsidRDefault="004F389F" w:rsidP="00C4113E">
      <w:pPr>
        <w:widowControl w:val="0"/>
        <w:jc w:val="right"/>
        <w:rPr>
          <w:b/>
          <w:snapToGrid w:val="0"/>
          <w:kern w:val="28"/>
          <w:szCs w:val="22"/>
        </w:rPr>
      </w:pPr>
      <w:r>
        <w:rPr>
          <w:b/>
          <w:snapToGrid w:val="0"/>
          <w:kern w:val="28"/>
          <w:szCs w:val="22"/>
        </w:rPr>
        <w:t xml:space="preserve">Released:  </w:t>
      </w:r>
      <w:r w:rsidR="00A42862">
        <w:rPr>
          <w:b/>
          <w:snapToGrid w:val="0"/>
          <w:kern w:val="28"/>
          <w:szCs w:val="22"/>
        </w:rPr>
        <w:t>April 29</w:t>
      </w:r>
      <w:r w:rsidR="00C4113E" w:rsidRPr="009F29F8">
        <w:rPr>
          <w:b/>
          <w:snapToGrid w:val="0"/>
          <w:kern w:val="28"/>
          <w:szCs w:val="22"/>
        </w:rPr>
        <w:t>, 2013</w:t>
      </w:r>
    </w:p>
    <w:p w:rsidR="00C4113E" w:rsidRPr="00C4113E" w:rsidRDefault="00C4113E" w:rsidP="00C4113E">
      <w:pPr>
        <w:tabs>
          <w:tab w:val="left" w:pos="5760"/>
        </w:tabs>
        <w:rPr>
          <w:b/>
          <w:szCs w:val="22"/>
        </w:rPr>
      </w:pPr>
    </w:p>
    <w:p w:rsidR="00C4113E" w:rsidRPr="009F29F8" w:rsidRDefault="00C4113E" w:rsidP="00C4113E">
      <w:pPr>
        <w:widowControl w:val="0"/>
        <w:tabs>
          <w:tab w:val="center" w:pos="9270"/>
        </w:tabs>
        <w:jc w:val="center"/>
        <w:rPr>
          <w:b/>
          <w:spacing w:val="-2"/>
          <w:kern w:val="28"/>
          <w:szCs w:val="22"/>
        </w:rPr>
      </w:pPr>
      <w:bookmarkStart w:id="1" w:name="TOChere"/>
      <w:r w:rsidRPr="009F29F8">
        <w:rPr>
          <w:b/>
          <w:spacing w:val="-2"/>
          <w:kern w:val="28"/>
          <w:szCs w:val="22"/>
        </w:rPr>
        <w:t>QUIET PERIOD</w:t>
      </w:r>
      <w:r>
        <w:rPr>
          <w:b/>
          <w:spacing w:val="-2"/>
          <w:kern w:val="28"/>
          <w:szCs w:val="22"/>
        </w:rPr>
        <w:t xml:space="preserve"> ANNOUNCED</w:t>
      </w:r>
      <w:r w:rsidRPr="009F29F8">
        <w:rPr>
          <w:b/>
          <w:spacing w:val="-2"/>
          <w:kern w:val="28"/>
          <w:szCs w:val="22"/>
        </w:rPr>
        <w:t xml:space="preserve"> FOR THE </w:t>
      </w:r>
      <w:r w:rsidRPr="00C4113E">
        <w:rPr>
          <w:b/>
          <w:spacing w:val="-2"/>
          <w:kern w:val="28"/>
          <w:szCs w:val="22"/>
        </w:rPr>
        <w:t>USTELECOM</w:t>
      </w:r>
      <w:r w:rsidRPr="009F29F8">
        <w:rPr>
          <w:b/>
          <w:spacing w:val="-2"/>
          <w:kern w:val="28"/>
          <w:szCs w:val="22"/>
        </w:rPr>
        <w:t xml:space="preserve"> FORBEARANCE PETITION </w:t>
      </w:r>
    </w:p>
    <w:p w:rsidR="00C4113E" w:rsidRPr="009F29F8" w:rsidRDefault="00C4113E" w:rsidP="00C4113E">
      <w:pPr>
        <w:widowControl w:val="0"/>
        <w:tabs>
          <w:tab w:val="center" w:pos="9270"/>
        </w:tabs>
        <w:jc w:val="center"/>
        <w:rPr>
          <w:b/>
          <w:spacing w:val="-2"/>
          <w:kern w:val="28"/>
          <w:szCs w:val="22"/>
        </w:rPr>
      </w:pPr>
    </w:p>
    <w:p w:rsidR="00C4113E" w:rsidRPr="009F29F8" w:rsidRDefault="00C4113E" w:rsidP="00C4113E">
      <w:pPr>
        <w:widowControl w:val="0"/>
        <w:tabs>
          <w:tab w:val="center" w:pos="9270"/>
        </w:tabs>
        <w:jc w:val="center"/>
        <w:rPr>
          <w:b/>
          <w:bCs/>
          <w:color w:val="010101"/>
          <w:spacing w:val="-2"/>
          <w:szCs w:val="22"/>
        </w:rPr>
      </w:pPr>
      <w:r w:rsidRPr="009F29F8">
        <w:rPr>
          <w:b/>
          <w:bCs/>
          <w:color w:val="010101"/>
          <w:spacing w:val="-2"/>
          <w:szCs w:val="22"/>
        </w:rPr>
        <w:t>WC Doc</w:t>
      </w:r>
      <w:r w:rsidRPr="00C4113E">
        <w:rPr>
          <w:b/>
          <w:bCs/>
          <w:color w:val="010101"/>
          <w:spacing w:val="-2"/>
          <w:szCs w:val="22"/>
        </w:rPr>
        <w:t>ket No. 12</w:t>
      </w:r>
      <w:r w:rsidRPr="009F29F8">
        <w:rPr>
          <w:b/>
          <w:bCs/>
          <w:color w:val="010101"/>
          <w:spacing w:val="-2"/>
          <w:szCs w:val="22"/>
        </w:rPr>
        <w:t>-</w:t>
      </w:r>
      <w:r w:rsidRPr="00C4113E">
        <w:rPr>
          <w:b/>
          <w:bCs/>
          <w:color w:val="010101"/>
          <w:spacing w:val="-2"/>
          <w:szCs w:val="22"/>
        </w:rPr>
        <w:t>61</w:t>
      </w:r>
    </w:p>
    <w:p w:rsidR="00C4113E" w:rsidRPr="009F29F8" w:rsidRDefault="00C4113E" w:rsidP="00C4113E">
      <w:pPr>
        <w:widowControl w:val="0"/>
        <w:tabs>
          <w:tab w:val="center" w:pos="9270"/>
        </w:tabs>
        <w:jc w:val="center"/>
        <w:rPr>
          <w:b/>
          <w:bCs/>
          <w:color w:val="010101"/>
          <w:spacing w:val="-2"/>
          <w:szCs w:val="22"/>
        </w:rPr>
      </w:pPr>
    </w:p>
    <w:p w:rsidR="00C4113E" w:rsidRPr="004802EC" w:rsidRDefault="00C4113E" w:rsidP="004802EC">
      <w:pPr>
        <w:widowControl w:val="0"/>
        <w:tabs>
          <w:tab w:val="center" w:pos="9270"/>
        </w:tabs>
        <w:spacing w:after="100" w:afterAutospacing="1"/>
        <w:rPr>
          <w:b/>
          <w:spacing w:val="-2"/>
          <w:kern w:val="28"/>
          <w:szCs w:val="22"/>
        </w:rPr>
      </w:pPr>
      <w:r w:rsidRPr="009F29F8">
        <w:rPr>
          <w:b/>
          <w:bCs/>
          <w:color w:val="010101"/>
          <w:spacing w:val="-2"/>
          <w:szCs w:val="22"/>
        </w:rPr>
        <w:t xml:space="preserve">Quiet Period Begins:   </w:t>
      </w:r>
      <w:r w:rsidR="00B5270E">
        <w:rPr>
          <w:b/>
          <w:bCs/>
          <w:color w:val="010101"/>
          <w:spacing w:val="-2"/>
          <w:szCs w:val="22"/>
        </w:rPr>
        <w:t xml:space="preserve">5:00 PM (EDT) on </w:t>
      </w:r>
      <w:r w:rsidRPr="00C4113E">
        <w:rPr>
          <w:b/>
          <w:bCs/>
          <w:color w:val="010101"/>
          <w:spacing w:val="-2"/>
          <w:szCs w:val="22"/>
        </w:rPr>
        <w:t>May 3</w:t>
      </w:r>
      <w:r w:rsidRPr="009F29F8">
        <w:rPr>
          <w:b/>
          <w:bCs/>
          <w:color w:val="010101"/>
          <w:spacing w:val="-2"/>
          <w:szCs w:val="22"/>
        </w:rPr>
        <w:t>, 2013</w:t>
      </w:r>
      <w:bookmarkEnd w:id="1"/>
    </w:p>
    <w:p w:rsidR="003420B0" w:rsidRDefault="00C4113E" w:rsidP="003420B0">
      <w:pPr>
        <w:widowControl w:val="0"/>
        <w:tabs>
          <w:tab w:val="num" w:pos="1440"/>
        </w:tabs>
        <w:spacing w:after="120"/>
        <w:ind w:firstLine="720"/>
        <w:rPr>
          <w:kern w:val="28"/>
          <w:szCs w:val="22"/>
        </w:rPr>
      </w:pPr>
      <w:r w:rsidRPr="00C4113E">
        <w:rPr>
          <w:szCs w:val="22"/>
        </w:rPr>
        <w:t xml:space="preserve">On February 16, 2012, USTelecom filed a petition pursuant to section 10 of the </w:t>
      </w:r>
      <w:r w:rsidR="00C91DF2" w:rsidRPr="009F29F8">
        <w:rPr>
          <w:kern w:val="28"/>
          <w:szCs w:val="22"/>
        </w:rPr>
        <w:t>Communications Act of 1934, as amended (the Act</w:t>
      </w:r>
      <w:r w:rsidR="00C91DF2">
        <w:rPr>
          <w:kern w:val="28"/>
          <w:szCs w:val="22"/>
        </w:rPr>
        <w:t>),</w:t>
      </w:r>
      <w:r w:rsidRPr="00C4113E">
        <w:rPr>
          <w:szCs w:val="22"/>
        </w:rPr>
        <w:t xml:space="preserve"> requesting that the Commission forbear from enforcing certain “legacy telecommunications regulations.”</w:t>
      </w:r>
      <w:r w:rsidRPr="00C4113E">
        <w:rPr>
          <w:rStyle w:val="FootnoteReference"/>
          <w:szCs w:val="22"/>
        </w:rPr>
        <w:footnoteReference w:id="1"/>
      </w:r>
      <w:r w:rsidRPr="00C4113E">
        <w:rPr>
          <w:rStyle w:val="FootnoteReference"/>
          <w:szCs w:val="22"/>
        </w:rPr>
        <w:t xml:space="preserve"> </w:t>
      </w:r>
      <w:r w:rsidRPr="00C4113E">
        <w:rPr>
          <w:szCs w:val="22"/>
        </w:rPr>
        <w:t xml:space="preserve"> USTelecom seeks forbearance from a variety of statutory provisions and regulations that USTelecom characterizes as falling into one of </w:t>
      </w:r>
      <w:r w:rsidR="003A7FD2">
        <w:rPr>
          <w:szCs w:val="22"/>
        </w:rPr>
        <w:t>17</w:t>
      </w:r>
      <w:r w:rsidRPr="00C4113E">
        <w:rPr>
          <w:szCs w:val="22"/>
        </w:rPr>
        <w:t xml:space="preserve"> categories.</w:t>
      </w:r>
      <w:r w:rsidRPr="00C4113E">
        <w:rPr>
          <w:rStyle w:val="FootnoteReference"/>
          <w:szCs w:val="22"/>
        </w:rPr>
        <w:footnoteReference w:id="2"/>
      </w:r>
      <w:r w:rsidRPr="00C4113E">
        <w:rPr>
          <w:szCs w:val="22"/>
        </w:rPr>
        <w:t xml:space="preserve">  </w:t>
      </w:r>
      <w:r w:rsidRPr="009F29F8">
        <w:rPr>
          <w:kern w:val="28"/>
          <w:szCs w:val="22"/>
        </w:rPr>
        <w:t xml:space="preserve">The statutory date on which </w:t>
      </w:r>
      <w:r w:rsidRPr="00C4113E">
        <w:rPr>
          <w:kern w:val="28"/>
          <w:szCs w:val="22"/>
        </w:rPr>
        <w:t>USTelecom</w:t>
      </w:r>
      <w:r w:rsidRPr="009F29F8">
        <w:rPr>
          <w:kern w:val="28"/>
          <w:szCs w:val="22"/>
        </w:rPr>
        <w:t xml:space="preserve">’s forbearance petition shall be deemed granted, in the absence of a Commission denial of the petition, is </w:t>
      </w:r>
      <w:r w:rsidRPr="00C4113E">
        <w:rPr>
          <w:kern w:val="28"/>
          <w:szCs w:val="22"/>
        </w:rPr>
        <w:t>May 17</w:t>
      </w:r>
      <w:r w:rsidRPr="009F29F8">
        <w:rPr>
          <w:kern w:val="28"/>
          <w:szCs w:val="22"/>
        </w:rPr>
        <w:t>, 2013.</w:t>
      </w:r>
      <w:r w:rsidRPr="00C4113E">
        <w:rPr>
          <w:kern w:val="28"/>
          <w:szCs w:val="22"/>
          <w:vertAlign w:val="superscript"/>
        </w:rPr>
        <w:footnoteReference w:id="3"/>
      </w:r>
      <w:r w:rsidRPr="009F29F8">
        <w:rPr>
          <w:kern w:val="28"/>
          <w:szCs w:val="22"/>
        </w:rPr>
        <w:t xml:space="preserve">  </w:t>
      </w:r>
    </w:p>
    <w:p w:rsidR="00B5270E" w:rsidRPr="00B5270E" w:rsidRDefault="00C91DF2" w:rsidP="003420B0">
      <w:pPr>
        <w:widowControl w:val="0"/>
        <w:tabs>
          <w:tab w:val="num" w:pos="1440"/>
        </w:tabs>
        <w:spacing w:after="120"/>
        <w:ind w:firstLine="720"/>
        <w:rPr>
          <w:kern w:val="28"/>
          <w:szCs w:val="22"/>
        </w:rPr>
      </w:pPr>
      <w:r>
        <w:rPr>
          <w:kern w:val="28"/>
          <w:szCs w:val="22"/>
        </w:rPr>
        <w:t>T</w:t>
      </w:r>
      <w:r w:rsidRPr="009F29F8">
        <w:rPr>
          <w:kern w:val="28"/>
          <w:szCs w:val="22"/>
        </w:rPr>
        <w:t xml:space="preserve">he Commission </w:t>
      </w:r>
      <w:r>
        <w:rPr>
          <w:kern w:val="28"/>
          <w:szCs w:val="22"/>
        </w:rPr>
        <w:t xml:space="preserve">has implemented </w:t>
      </w:r>
      <w:r w:rsidRPr="009F29F8">
        <w:rPr>
          <w:kern w:val="28"/>
          <w:szCs w:val="22"/>
        </w:rPr>
        <w:t xml:space="preserve">procedural rules governing forbearance petitions under section </w:t>
      </w:r>
      <w:r w:rsidR="003420B0">
        <w:rPr>
          <w:kern w:val="28"/>
          <w:szCs w:val="22"/>
        </w:rPr>
        <w:t>10 of the Act.</w:t>
      </w:r>
      <w:r w:rsidR="003420B0" w:rsidRPr="00C4113E">
        <w:rPr>
          <w:kern w:val="28"/>
          <w:szCs w:val="22"/>
          <w:vertAlign w:val="superscript"/>
        </w:rPr>
        <w:footnoteReference w:id="4"/>
      </w:r>
      <w:r w:rsidR="003420B0">
        <w:rPr>
          <w:kern w:val="28"/>
          <w:szCs w:val="22"/>
        </w:rPr>
        <w:t xml:space="preserve">  Section 1.58 of the Commission’s rules provide for a two-week quiet period before the statutory </w:t>
      </w:r>
      <w:r w:rsidR="00B25F63" w:rsidRPr="009F29F8">
        <w:rPr>
          <w:kern w:val="28"/>
          <w:szCs w:val="22"/>
        </w:rPr>
        <w:t>deadline for Commission action in forbearance proceedings.</w:t>
      </w:r>
      <w:r w:rsidR="00B25F63" w:rsidRPr="00C4113E">
        <w:rPr>
          <w:kern w:val="28"/>
          <w:szCs w:val="22"/>
          <w:vertAlign w:val="superscript"/>
        </w:rPr>
        <w:footnoteReference w:id="5"/>
      </w:r>
      <w:r w:rsidR="00B25F63" w:rsidRPr="009F29F8">
        <w:rPr>
          <w:kern w:val="28"/>
          <w:szCs w:val="22"/>
        </w:rPr>
        <w:t xml:space="preserve">  Section 1.58 extends the prohibition in section 1.1203(a) (governing contacts with decision makers concerning matters listed in the Sunshine Agenda) to petitions for forbearance “for a period of 14 days prior to the statutory deadline.”</w:t>
      </w:r>
      <w:r w:rsidR="00B25F63" w:rsidRPr="00C4113E">
        <w:rPr>
          <w:kern w:val="28"/>
          <w:szCs w:val="22"/>
          <w:vertAlign w:val="superscript"/>
        </w:rPr>
        <w:footnoteReference w:id="6"/>
      </w:r>
      <w:r w:rsidR="00B25F63" w:rsidRPr="009F29F8">
        <w:rPr>
          <w:kern w:val="28"/>
          <w:szCs w:val="22"/>
        </w:rPr>
        <w:t xml:space="preserve">  </w:t>
      </w:r>
      <w:r w:rsidR="00B25F63">
        <w:rPr>
          <w:kern w:val="28"/>
          <w:szCs w:val="22"/>
        </w:rPr>
        <w:t>T</w:t>
      </w:r>
      <w:r w:rsidR="00B25F63" w:rsidRPr="009F29F8">
        <w:rPr>
          <w:kern w:val="28"/>
          <w:szCs w:val="22"/>
        </w:rPr>
        <w:t>his public notice announces the beginning of the two-week quiet period.</w:t>
      </w:r>
      <w:r w:rsidR="00B25F63" w:rsidRPr="00C4113E">
        <w:rPr>
          <w:kern w:val="28"/>
          <w:szCs w:val="22"/>
          <w:vertAlign w:val="superscript"/>
        </w:rPr>
        <w:footnoteReference w:id="7"/>
      </w:r>
      <w:r w:rsidR="00B25F63">
        <w:rPr>
          <w:kern w:val="28"/>
          <w:szCs w:val="22"/>
        </w:rPr>
        <w:t xml:space="preserve">  </w:t>
      </w:r>
      <w:r w:rsidR="00B238DF">
        <w:rPr>
          <w:kern w:val="28"/>
          <w:szCs w:val="22"/>
        </w:rPr>
        <w:t>T</w:t>
      </w:r>
      <w:r w:rsidR="00C4113E" w:rsidRPr="009F29F8">
        <w:rPr>
          <w:kern w:val="28"/>
          <w:szCs w:val="22"/>
        </w:rPr>
        <w:t xml:space="preserve">he quiet period for this </w:t>
      </w:r>
      <w:r w:rsidR="00C4113E" w:rsidRPr="009F29F8">
        <w:rPr>
          <w:kern w:val="28"/>
          <w:szCs w:val="22"/>
        </w:rPr>
        <w:lastRenderedPageBreak/>
        <w:t>proceeding begins</w:t>
      </w:r>
      <w:r w:rsidR="00B5270E">
        <w:rPr>
          <w:kern w:val="28"/>
          <w:szCs w:val="22"/>
        </w:rPr>
        <w:t xml:space="preserve"> at 5:00 pm (EDT) on</w:t>
      </w:r>
      <w:r w:rsidR="00C4113E" w:rsidRPr="009F29F8">
        <w:rPr>
          <w:kern w:val="28"/>
          <w:szCs w:val="22"/>
        </w:rPr>
        <w:t xml:space="preserve"> </w:t>
      </w:r>
      <w:r w:rsidR="00C4113E" w:rsidRPr="00C4113E">
        <w:rPr>
          <w:kern w:val="28"/>
          <w:szCs w:val="22"/>
        </w:rPr>
        <w:t>May 3</w:t>
      </w:r>
      <w:r w:rsidR="00C4113E" w:rsidRPr="009F29F8">
        <w:rPr>
          <w:kern w:val="28"/>
          <w:szCs w:val="22"/>
        </w:rPr>
        <w:t>, 2013.</w:t>
      </w:r>
      <w:r w:rsidR="00C4113E" w:rsidRPr="00C4113E">
        <w:rPr>
          <w:kern w:val="28"/>
          <w:szCs w:val="22"/>
          <w:vertAlign w:val="superscript"/>
        </w:rPr>
        <w:footnoteReference w:id="8"/>
      </w:r>
      <w:r w:rsidR="00C4113E" w:rsidRPr="009F29F8">
        <w:rPr>
          <w:kern w:val="28"/>
          <w:szCs w:val="22"/>
        </w:rPr>
        <w:t xml:space="preserve"> </w:t>
      </w:r>
      <w:r w:rsidR="00B25F63">
        <w:rPr>
          <w:kern w:val="28"/>
          <w:szCs w:val="22"/>
        </w:rPr>
        <w:t xml:space="preserve"> </w:t>
      </w:r>
      <w:r w:rsidR="00C4113E" w:rsidRPr="009F29F8">
        <w:rPr>
          <w:kern w:val="28"/>
          <w:szCs w:val="22"/>
        </w:rPr>
        <w:t xml:space="preserve">Accordingly, all presentations to decision makers concerning the </w:t>
      </w:r>
      <w:r w:rsidR="004673FC">
        <w:rPr>
          <w:kern w:val="28"/>
          <w:szCs w:val="22"/>
        </w:rPr>
        <w:t>USTelecom Petition</w:t>
      </w:r>
      <w:r w:rsidR="00C4113E" w:rsidRPr="009F29F8">
        <w:rPr>
          <w:kern w:val="28"/>
          <w:szCs w:val="22"/>
        </w:rPr>
        <w:t xml:space="preserve">, whether </w:t>
      </w:r>
      <w:r w:rsidR="00C4113E" w:rsidRPr="009F29F8">
        <w:rPr>
          <w:i/>
          <w:kern w:val="28"/>
          <w:szCs w:val="22"/>
        </w:rPr>
        <w:t xml:space="preserve">ex parte </w:t>
      </w:r>
      <w:r w:rsidR="00C4113E" w:rsidRPr="009F29F8">
        <w:rPr>
          <w:kern w:val="28"/>
          <w:szCs w:val="22"/>
        </w:rPr>
        <w:t xml:space="preserve">or not, are prohibited beginning </w:t>
      </w:r>
      <w:r w:rsidR="00B5270E">
        <w:rPr>
          <w:kern w:val="28"/>
          <w:szCs w:val="22"/>
        </w:rPr>
        <w:t xml:space="preserve">at 5:00 pm (EDT) on </w:t>
      </w:r>
      <w:r w:rsidR="00C4113E" w:rsidRPr="00C4113E">
        <w:rPr>
          <w:kern w:val="28"/>
          <w:szCs w:val="22"/>
        </w:rPr>
        <w:t>May 3</w:t>
      </w:r>
      <w:r w:rsidR="00C4113E" w:rsidRPr="009F29F8">
        <w:rPr>
          <w:kern w:val="28"/>
          <w:szCs w:val="22"/>
        </w:rPr>
        <w:t>, 2013.</w:t>
      </w:r>
      <w:r w:rsidR="00C4113E" w:rsidRPr="00C4113E">
        <w:rPr>
          <w:kern w:val="28"/>
          <w:szCs w:val="22"/>
          <w:vertAlign w:val="superscript"/>
        </w:rPr>
        <w:footnoteReference w:id="9"/>
      </w:r>
    </w:p>
    <w:p w:rsidR="00C4113E" w:rsidRPr="009F29F8" w:rsidRDefault="00C4113E" w:rsidP="00C4113E">
      <w:pPr>
        <w:widowControl w:val="0"/>
        <w:tabs>
          <w:tab w:val="num" w:pos="1440"/>
        </w:tabs>
        <w:spacing w:after="120"/>
        <w:ind w:firstLine="720"/>
        <w:rPr>
          <w:kern w:val="28"/>
          <w:szCs w:val="22"/>
        </w:rPr>
      </w:pPr>
      <w:r w:rsidRPr="009F29F8">
        <w:rPr>
          <w:kern w:val="28"/>
          <w:szCs w:val="22"/>
        </w:rPr>
        <w:t xml:space="preserve">For further information, please contact </w:t>
      </w:r>
      <w:r w:rsidRPr="00C4113E">
        <w:rPr>
          <w:kern w:val="28"/>
          <w:szCs w:val="22"/>
        </w:rPr>
        <w:t>Jennifer Prime</w:t>
      </w:r>
      <w:r w:rsidRPr="009F29F8">
        <w:rPr>
          <w:kern w:val="28"/>
          <w:szCs w:val="22"/>
        </w:rPr>
        <w:t xml:space="preserve">, </w:t>
      </w:r>
      <w:r w:rsidRPr="00C4113E">
        <w:rPr>
          <w:kern w:val="28"/>
          <w:szCs w:val="22"/>
        </w:rPr>
        <w:t xml:space="preserve">Competition Policy </w:t>
      </w:r>
      <w:r w:rsidR="00A42862" w:rsidRPr="00C4113E">
        <w:rPr>
          <w:kern w:val="28"/>
          <w:szCs w:val="22"/>
        </w:rPr>
        <w:t>Division</w:t>
      </w:r>
      <w:r w:rsidRPr="009F29F8">
        <w:rPr>
          <w:kern w:val="28"/>
          <w:szCs w:val="22"/>
        </w:rPr>
        <w:t>, Wireline Co</w:t>
      </w:r>
      <w:r w:rsidRPr="00C4113E">
        <w:rPr>
          <w:kern w:val="28"/>
          <w:szCs w:val="22"/>
        </w:rPr>
        <w:t xml:space="preserve">mpetition Bureau at (202) 418-2403 </w:t>
      </w:r>
      <w:r w:rsidRPr="009F29F8">
        <w:rPr>
          <w:kern w:val="28"/>
          <w:szCs w:val="22"/>
        </w:rPr>
        <w:t>or TTY (202) 418-0484.</w:t>
      </w:r>
    </w:p>
    <w:p w:rsidR="00C4113E" w:rsidRPr="009F29F8" w:rsidRDefault="00C4113E" w:rsidP="00C4113E">
      <w:pPr>
        <w:widowControl w:val="0"/>
        <w:rPr>
          <w:kern w:val="28"/>
          <w:szCs w:val="22"/>
        </w:rPr>
      </w:pPr>
    </w:p>
    <w:p w:rsidR="00C4113E" w:rsidRPr="009F29F8" w:rsidRDefault="00C4113E" w:rsidP="00C4113E">
      <w:pPr>
        <w:widowControl w:val="0"/>
        <w:jc w:val="center"/>
        <w:rPr>
          <w:kern w:val="28"/>
          <w:szCs w:val="22"/>
        </w:rPr>
      </w:pPr>
      <w:r w:rsidRPr="009F29F8">
        <w:rPr>
          <w:kern w:val="28"/>
          <w:szCs w:val="22"/>
        </w:rPr>
        <w:t>- FCC -</w:t>
      </w:r>
    </w:p>
    <w:p w:rsidR="00C4113E" w:rsidRPr="00C4113E" w:rsidRDefault="00C4113E" w:rsidP="00C4113E">
      <w:pPr>
        <w:tabs>
          <w:tab w:val="left" w:pos="5760"/>
        </w:tabs>
        <w:rPr>
          <w:szCs w:val="22"/>
        </w:rPr>
      </w:pPr>
    </w:p>
    <w:p w:rsidR="00C4113E" w:rsidRPr="00C4113E" w:rsidRDefault="00C4113E">
      <w:pPr>
        <w:spacing w:before="120" w:after="240"/>
        <w:rPr>
          <w:sz w:val="24"/>
        </w:rPr>
      </w:pPr>
    </w:p>
    <w:sectPr w:rsidR="00C4113E" w:rsidRPr="00C4113E" w:rsidSect="008E2E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CD" w:rsidRDefault="00E46ACD">
      <w:r>
        <w:separator/>
      </w:r>
    </w:p>
  </w:endnote>
  <w:endnote w:type="continuationSeparator" w:id="0">
    <w:p w:rsidR="00E46ACD" w:rsidRDefault="00E4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1" w:rsidRDefault="00FD4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02872"/>
      <w:docPartObj>
        <w:docPartGallery w:val="Page Numbers (Bottom of Page)"/>
        <w:docPartUnique/>
      </w:docPartObj>
    </w:sdtPr>
    <w:sdtEndPr>
      <w:rPr>
        <w:noProof/>
      </w:rPr>
    </w:sdtEndPr>
    <w:sdtContent>
      <w:p w:rsidR="00DB0735" w:rsidRDefault="00DB0735">
        <w:pPr>
          <w:pStyle w:val="Footer"/>
          <w:jc w:val="center"/>
        </w:pPr>
        <w:r>
          <w:fldChar w:fldCharType="begin"/>
        </w:r>
        <w:r>
          <w:instrText xml:space="preserve"> PAGE   \* MERGEFORMAT </w:instrText>
        </w:r>
        <w:r>
          <w:fldChar w:fldCharType="separate"/>
        </w:r>
        <w:r w:rsidR="00FC0E0D">
          <w:rPr>
            <w:noProof/>
          </w:rPr>
          <w:t>2</w:t>
        </w:r>
        <w:r>
          <w:rPr>
            <w:noProof/>
          </w:rPr>
          <w:fldChar w:fldCharType="end"/>
        </w:r>
      </w:p>
    </w:sdtContent>
  </w:sdt>
  <w:p w:rsidR="00DB0735" w:rsidRDefault="00DB0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1" w:rsidRDefault="00FD4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CD" w:rsidRDefault="00E46ACD">
      <w:r>
        <w:separator/>
      </w:r>
    </w:p>
  </w:footnote>
  <w:footnote w:type="continuationSeparator" w:id="0">
    <w:p w:rsidR="00E46ACD" w:rsidRDefault="00E46ACD">
      <w:r>
        <w:continuationSeparator/>
      </w:r>
    </w:p>
  </w:footnote>
  <w:footnote w:id="1">
    <w:p w:rsidR="00C4113E" w:rsidRPr="00F477F4" w:rsidRDefault="00C4113E" w:rsidP="00C4113E">
      <w:pPr>
        <w:pStyle w:val="FootnoteText"/>
        <w:rPr>
          <w:sz w:val="20"/>
        </w:rPr>
      </w:pPr>
      <w:r w:rsidRPr="00F477F4">
        <w:rPr>
          <w:rStyle w:val="FootnoteReference"/>
          <w:sz w:val="20"/>
        </w:rPr>
        <w:footnoteRef/>
      </w:r>
      <w:r w:rsidRPr="00F477F4">
        <w:rPr>
          <w:sz w:val="20"/>
        </w:rPr>
        <w:t xml:space="preserve"> </w:t>
      </w:r>
      <w:r w:rsidRPr="00F477F4">
        <w:rPr>
          <w:i/>
          <w:sz w:val="20"/>
        </w:rPr>
        <w:t>Petition of United States Telecom Association for Forbearance Pursuant to 47 U.S.C. § 160(c)</w:t>
      </w:r>
      <w:r w:rsidRPr="00F477F4">
        <w:rPr>
          <w:sz w:val="20"/>
        </w:rPr>
        <w:t>, WC Docket No. 12-61 (filed Feb. 16, 2012).</w:t>
      </w:r>
    </w:p>
  </w:footnote>
  <w:footnote w:id="2">
    <w:p w:rsidR="00C4113E" w:rsidRPr="00F477F4" w:rsidRDefault="00C4113E" w:rsidP="00C4113E">
      <w:pPr>
        <w:pStyle w:val="FootnoteText"/>
        <w:rPr>
          <w:sz w:val="20"/>
        </w:rPr>
      </w:pPr>
      <w:r w:rsidRPr="00F477F4">
        <w:rPr>
          <w:rStyle w:val="FootnoteReference"/>
          <w:sz w:val="20"/>
        </w:rPr>
        <w:footnoteRef/>
      </w:r>
      <w:r w:rsidRPr="00F477F4">
        <w:rPr>
          <w:sz w:val="20"/>
        </w:rPr>
        <w:t xml:space="preserve"> </w:t>
      </w:r>
      <w:r w:rsidRPr="00F477F4">
        <w:rPr>
          <w:i/>
          <w:sz w:val="20"/>
        </w:rPr>
        <w:t>Id.</w:t>
      </w:r>
    </w:p>
  </w:footnote>
  <w:footnote w:id="3">
    <w:p w:rsidR="00C4113E" w:rsidRPr="00F477F4" w:rsidRDefault="00C4113E" w:rsidP="00C4113E">
      <w:pPr>
        <w:pStyle w:val="FootnoteText"/>
        <w:rPr>
          <w:sz w:val="20"/>
        </w:rPr>
      </w:pPr>
      <w:r w:rsidRPr="00F477F4">
        <w:rPr>
          <w:rStyle w:val="FootnoteReference"/>
          <w:sz w:val="20"/>
        </w:rPr>
        <w:footnoteRef/>
      </w:r>
      <w:r w:rsidRPr="00F477F4">
        <w:rPr>
          <w:sz w:val="20"/>
        </w:rPr>
        <w:t xml:space="preserve"> Pursuant to section 10(c) </w:t>
      </w:r>
      <w:r w:rsidR="003A7FD2" w:rsidRPr="00F477F4">
        <w:rPr>
          <w:sz w:val="20"/>
        </w:rPr>
        <w:t xml:space="preserve">of </w:t>
      </w:r>
      <w:r w:rsidRPr="00F477F4">
        <w:rPr>
          <w:sz w:val="20"/>
        </w:rPr>
        <w:t>the Act</w:t>
      </w:r>
      <w:r w:rsidR="003A7FD2" w:rsidRPr="00F477F4">
        <w:rPr>
          <w:sz w:val="20"/>
        </w:rPr>
        <w:t>,</w:t>
      </w:r>
      <w:r w:rsidRPr="00F477F4">
        <w:rPr>
          <w:sz w:val="20"/>
        </w:rPr>
        <w:t xml:space="preserve"> the Wireline Competition Bureau extended the initial one-year statutory period by an additional 90 days, to May 17, 2013.  </w:t>
      </w:r>
      <w:r w:rsidRPr="00F477F4">
        <w:rPr>
          <w:i/>
          <w:sz w:val="20"/>
        </w:rPr>
        <w:t xml:space="preserve">See Petition of USTelecom for </w:t>
      </w:r>
      <w:r w:rsidR="00A42862" w:rsidRPr="00F477F4">
        <w:rPr>
          <w:i/>
          <w:sz w:val="20"/>
        </w:rPr>
        <w:t>Forbearance</w:t>
      </w:r>
      <w:r w:rsidRPr="00F477F4">
        <w:rPr>
          <w:i/>
          <w:sz w:val="20"/>
        </w:rPr>
        <w:t xml:space="preserve"> from Enforcement of Certain Legacy Telecommunications Regulations</w:t>
      </w:r>
      <w:r w:rsidRPr="00F477F4">
        <w:rPr>
          <w:sz w:val="20"/>
        </w:rPr>
        <w:t xml:space="preserve">, WC Docket No. 12-61, Order, </w:t>
      </w:r>
      <w:r w:rsidR="00F55B8B" w:rsidRPr="00F477F4">
        <w:rPr>
          <w:sz w:val="20"/>
        </w:rPr>
        <w:t>28</w:t>
      </w:r>
      <w:r w:rsidRPr="00F477F4">
        <w:rPr>
          <w:sz w:val="20"/>
        </w:rPr>
        <w:t xml:space="preserve"> FCC Rcd </w:t>
      </w:r>
      <w:r w:rsidR="00F55B8B" w:rsidRPr="00F477F4">
        <w:rPr>
          <w:sz w:val="20"/>
        </w:rPr>
        <w:t>1077</w:t>
      </w:r>
      <w:r w:rsidRPr="00F477F4">
        <w:rPr>
          <w:sz w:val="20"/>
        </w:rPr>
        <w:t xml:space="preserve"> (</w:t>
      </w:r>
      <w:r w:rsidRPr="00F477F4">
        <w:rPr>
          <w:sz w:val="20"/>
          <w:lang w:val="en"/>
        </w:rPr>
        <w:t>Wireline Comp. Bur. 2012)</w:t>
      </w:r>
      <w:r w:rsidRPr="00F477F4">
        <w:rPr>
          <w:sz w:val="20"/>
        </w:rPr>
        <w:t>.</w:t>
      </w:r>
    </w:p>
  </w:footnote>
  <w:footnote w:id="4">
    <w:p w:rsidR="003420B0" w:rsidRPr="00F477F4" w:rsidRDefault="003420B0" w:rsidP="003420B0">
      <w:pPr>
        <w:pStyle w:val="FootnoteText"/>
        <w:rPr>
          <w:sz w:val="20"/>
        </w:rPr>
      </w:pPr>
      <w:r w:rsidRPr="00F477F4">
        <w:rPr>
          <w:rStyle w:val="FootnoteReference"/>
          <w:sz w:val="20"/>
        </w:rPr>
        <w:footnoteRef/>
      </w:r>
      <w:r w:rsidRPr="00F477F4">
        <w:rPr>
          <w:sz w:val="20"/>
        </w:rPr>
        <w:t xml:space="preserve"> </w:t>
      </w:r>
      <w:r w:rsidRPr="00F477F4">
        <w:rPr>
          <w:i/>
          <w:sz w:val="20"/>
        </w:rPr>
        <w:t xml:space="preserve">Petition to Establish Procedural Requirements to Govern Proceedings for Forbearance Under Section 10 of the Communications Act of 1934, as amended, </w:t>
      </w:r>
      <w:r w:rsidRPr="00F477F4">
        <w:rPr>
          <w:sz w:val="20"/>
        </w:rPr>
        <w:t>WC Docket No. 07-267, Report and Order, 24 FCC Rcd 9543 (2009) (</w:t>
      </w:r>
      <w:r w:rsidRPr="00F477F4">
        <w:rPr>
          <w:i/>
          <w:sz w:val="20"/>
        </w:rPr>
        <w:t>Forbearance Procedures Order</w:t>
      </w:r>
      <w:r w:rsidRPr="00F477F4">
        <w:rPr>
          <w:sz w:val="20"/>
        </w:rPr>
        <w:t>).</w:t>
      </w:r>
    </w:p>
  </w:footnote>
  <w:footnote w:id="5">
    <w:p w:rsidR="00B25F63" w:rsidRPr="00F477F4" w:rsidRDefault="00B25F63" w:rsidP="00B25F63">
      <w:pPr>
        <w:pStyle w:val="FootnoteText"/>
        <w:rPr>
          <w:sz w:val="20"/>
        </w:rPr>
      </w:pPr>
      <w:r w:rsidRPr="00F477F4">
        <w:rPr>
          <w:rStyle w:val="FootnoteReference"/>
          <w:sz w:val="20"/>
        </w:rPr>
        <w:footnoteRef/>
      </w:r>
      <w:r w:rsidRPr="00F477F4">
        <w:rPr>
          <w:sz w:val="20"/>
        </w:rPr>
        <w:t xml:space="preserve"> 47 C.F.R. § 1.58 (stating that “[t]he prohibition in § 1.1203(a) on contacts with decision makers concerning matters listed in the Sunshine Agenda shall also apply to a petition for forbearance for a period of 14 days prior to the statutory deadline under 47 U.S.C. § 160(c) or as announced by the Commission”); 47 C.F.R. § 1.1203.</w:t>
      </w:r>
    </w:p>
  </w:footnote>
  <w:footnote w:id="6">
    <w:p w:rsidR="00B25F63" w:rsidRPr="00F477F4" w:rsidRDefault="00B25F63" w:rsidP="00B25F63">
      <w:pPr>
        <w:pStyle w:val="FootnoteText"/>
        <w:rPr>
          <w:sz w:val="20"/>
        </w:rPr>
      </w:pPr>
      <w:r w:rsidRPr="00F477F4">
        <w:rPr>
          <w:rStyle w:val="FootnoteReference"/>
          <w:sz w:val="20"/>
        </w:rPr>
        <w:footnoteRef/>
      </w:r>
      <w:r w:rsidRPr="00F477F4">
        <w:rPr>
          <w:sz w:val="20"/>
        </w:rPr>
        <w:t xml:space="preserve"> </w:t>
      </w:r>
      <w:r w:rsidR="00DB0735">
        <w:rPr>
          <w:i/>
          <w:sz w:val="20"/>
        </w:rPr>
        <w:t>Forbearance Procedures Order</w:t>
      </w:r>
      <w:r w:rsidR="00DB0735">
        <w:rPr>
          <w:sz w:val="20"/>
        </w:rPr>
        <w:t>, 24 FCC Rcd</w:t>
      </w:r>
      <w:r w:rsidRPr="00F477F4">
        <w:rPr>
          <w:i/>
          <w:sz w:val="20"/>
        </w:rPr>
        <w:t xml:space="preserve"> </w:t>
      </w:r>
      <w:r w:rsidRPr="00F477F4">
        <w:rPr>
          <w:sz w:val="20"/>
        </w:rPr>
        <w:t>at 9561, para. 33 n.110; 47 C.F.R. §§ 1.58, 1.1203.</w:t>
      </w:r>
    </w:p>
  </w:footnote>
  <w:footnote w:id="7">
    <w:p w:rsidR="00B25F63" w:rsidRPr="00F477F4" w:rsidRDefault="00B25F63" w:rsidP="00B25F63">
      <w:pPr>
        <w:pStyle w:val="FootnoteText"/>
        <w:rPr>
          <w:sz w:val="20"/>
        </w:rPr>
      </w:pPr>
      <w:r w:rsidRPr="00F477F4">
        <w:rPr>
          <w:rStyle w:val="FootnoteReference"/>
          <w:sz w:val="20"/>
        </w:rPr>
        <w:footnoteRef/>
      </w:r>
      <w:r w:rsidRPr="00F477F4">
        <w:rPr>
          <w:sz w:val="20"/>
        </w:rPr>
        <w:t xml:space="preserve"> </w:t>
      </w:r>
      <w:r w:rsidRPr="00F477F4">
        <w:rPr>
          <w:i/>
          <w:sz w:val="20"/>
        </w:rPr>
        <w:t>Forbearance Procedures Order</w:t>
      </w:r>
      <w:r w:rsidRPr="00DB0735">
        <w:rPr>
          <w:sz w:val="20"/>
        </w:rPr>
        <w:t>,</w:t>
      </w:r>
      <w:r w:rsidRPr="00F477F4">
        <w:rPr>
          <w:i/>
          <w:sz w:val="20"/>
        </w:rPr>
        <w:t xml:space="preserve"> </w:t>
      </w:r>
      <w:r w:rsidRPr="00F477F4">
        <w:rPr>
          <w:sz w:val="20"/>
        </w:rPr>
        <w:t>24 FCC Rcd at 9560-61, para. 33.</w:t>
      </w:r>
    </w:p>
  </w:footnote>
  <w:footnote w:id="8">
    <w:p w:rsidR="00C4113E" w:rsidRPr="00F477F4" w:rsidRDefault="00C4113E" w:rsidP="00C4113E">
      <w:pPr>
        <w:pStyle w:val="FootnoteText"/>
        <w:rPr>
          <w:sz w:val="20"/>
        </w:rPr>
      </w:pPr>
      <w:r w:rsidRPr="00F477F4">
        <w:rPr>
          <w:rStyle w:val="FootnoteReference"/>
          <w:sz w:val="20"/>
        </w:rPr>
        <w:footnoteRef/>
      </w:r>
      <w:r w:rsidRPr="00F477F4">
        <w:rPr>
          <w:sz w:val="20"/>
        </w:rPr>
        <w:t xml:space="preserve"> “Absent unusual circumstances, this quiet period will end with the release of a Commission order addressing the forbearance petition[s], or if approved by the Commission, withdrawal of the petition by the petitioner.”  </w:t>
      </w:r>
      <w:r w:rsidRPr="00F477F4">
        <w:rPr>
          <w:i/>
          <w:sz w:val="20"/>
        </w:rPr>
        <w:t>Forbearance Procedures Order</w:t>
      </w:r>
      <w:r w:rsidRPr="00DB0735">
        <w:rPr>
          <w:sz w:val="20"/>
        </w:rPr>
        <w:t>,</w:t>
      </w:r>
      <w:r w:rsidRPr="00F477F4">
        <w:rPr>
          <w:i/>
          <w:sz w:val="20"/>
        </w:rPr>
        <w:t xml:space="preserve"> </w:t>
      </w:r>
      <w:r w:rsidRPr="00F477F4">
        <w:rPr>
          <w:sz w:val="20"/>
        </w:rPr>
        <w:t>24 FCC Rcd at 9561, para. 34.</w:t>
      </w:r>
    </w:p>
  </w:footnote>
  <w:footnote w:id="9">
    <w:p w:rsidR="00C4113E" w:rsidRDefault="00C4113E" w:rsidP="00C4113E">
      <w:pPr>
        <w:pStyle w:val="FootnoteText"/>
      </w:pPr>
      <w:r w:rsidRPr="00F477F4">
        <w:rPr>
          <w:rStyle w:val="FootnoteReference"/>
          <w:sz w:val="20"/>
        </w:rPr>
        <w:footnoteRef/>
      </w:r>
      <w:r w:rsidRPr="00F477F4">
        <w:rPr>
          <w:sz w:val="20"/>
        </w:rPr>
        <w:t xml:space="preserve"> 47 C.F.R. §§ 1.58, 1.1203.  In accordance with the purpose of section 1.58 of the Commission’s rules, comments submitted on any Commission blog pages during the quiet period will not be considered by the Commission in finalizing the item under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1" w:rsidRDefault="00FD4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C1" w:rsidRDefault="00FD4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AA" w:rsidRDefault="00F55B8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2CE2B12" wp14:editId="2A571FEA">
          <wp:simplePos x="0" y="0"/>
          <wp:positionH relativeFrom="column">
            <wp:posOffset>30480</wp:posOffset>
          </wp:positionH>
          <wp:positionV relativeFrom="paragraph">
            <wp:posOffset>107950</wp:posOffset>
          </wp:positionV>
          <wp:extent cx="530225" cy="530225"/>
          <wp:effectExtent l="0" t="0" r="3175" b="3175"/>
          <wp:wrapTopAndBottom/>
          <wp:docPr id="12" name="Picture 12"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B702DB2" wp14:editId="4995EFC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2AA" w:rsidRDefault="004673FC">
                          <w:pPr>
                            <w:rPr>
                              <w:rFonts w:ascii="Arial" w:hAnsi="Arial"/>
                              <w:b/>
                            </w:rPr>
                          </w:pPr>
                          <w:r>
                            <w:rPr>
                              <w:rFonts w:ascii="Arial" w:hAnsi="Arial"/>
                              <w:b/>
                            </w:rPr>
                            <w:t>Federal Communications Commission</w:t>
                          </w:r>
                        </w:p>
                        <w:p w:rsidR="006042AA" w:rsidRDefault="004673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42AA" w:rsidRDefault="004673F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6042AA" w:rsidRDefault="004673FC">
                    <w:pPr>
                      <w:rPr>
                        <w:rFonts w:ascii="Arial" w:hAnsi="Arial"/>
                        <w:b/>
                      </w:rPr>
                    </w:pPr>
                    <w:r>
                      <w:rPr>
                        <w:rFonts w:ascii="Arial" w:hAnsi="Arial"/>
                        <w:b/>
                      </w:rPr>
                      <w:t>Federal Communications Commission</w:t>
                    </w:r>
                  </w:p>
                  <w:p w:rsidR="006042AA" w:rsidRDefault="004673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42AA" w:rsidRDefault="004673FC">
                    <w:pPr>
                      <w:rPr>
                        <w:rFonts w:ascii="Arial" w:hAnsi="Arial"/>
                        <w:sz w:val="24"/>
                      </w:rPr>
                    </w:pPr>
                    <w:r>
                      <w:rPr>
                        <w:rFonts w:ascii="Arial" w:hAnsi="Arial"/>
                        <w:b/>
                      </w:rPr>
                      <w:t>Washington, D.C. 20554</w:t>
                    </w:r>
                  </w:p>
                </w:txbxContent>
              </v:textbox>
            </v:shape>
          </w:pict>
        </mc:Fallback>
      </mc:AlternateContent>
    </w:r>
    <w:r w:rsidR="004673FC">
      <w:rPr>
        <w:rFonts w:ascii="News Gothic MT" w:hAnsi="News Gothic MT"/>
        <w:b/>
        <w:kern w:val="28"/>
        <w:sz w:val="96"/>
      </w:rPr>
      <w:t>PUBLIC NOTICE</w:t>
    </w:r>
  </w:p>
  <w:p w:rsidR="006042AA" w:rsidRDefault="00EE480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181BED79" wp14:editId="02720870">
              <wp:simplePos x="0" y="0"/>
              <wp:positionH relativeFrom="column">
                <wp:posOffset>3209150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2AA" w:rsidRDefault="004673FC">
                          <w:pPr>
                            <w:spacing w:before="40"/>
                            <w:jc w:val="right"/>
                            <w:rPr>
                              <w:rFonts w:ascii="Arial" w:hAnsi="Arial"/>
                              <w:b/>
                              <w:sz w:val="16"/>
                            </w:rPr>
                          </w:pPr>
                          <w:r>
                            <w:rPr>
                              <w:rFonts w:ascii="Arial" w:hAnsi="Arial"/>
                              <w:b/>
                              <w:sz w:val="16"/>
                            </w:rPr>
                            <w:t>News Media Information 202 / 418-0500</w:t>
                          </w:r>
                        </w:p>
                        <w:p w:rsidR="006042AA" w:rsidRDefault="004673F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42AA" w:rsidRDefault="004673FC">
                          <w:pPr>
                            <w:jc w:val="right"/>
                            <w:rPr>
                              <w:rFonts w:ascii="Arial" w:hAnsi="Arial"/>
                              <w:b/>
                              <w:sz w:val="16"/>
                            </w:rPr>
                          </w:pPr>
                          <w:r>
                            <w:rPr>
                              <w:rFonts w:ascii="Arial" w:hAnsi="Arial"/>
                              <w:b/>
                              <w:sz w:val="16"/>
                            </w:rPr>
                            <w:t>TTY: 1-888-835-5322</w:t>
                          </w:r>
                        </w:p>
                        <w:p w:rsidR="006042AA" w:rsidRDefault="006042A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" o:allowincell="f" stroked="f">
              <v:textbox inset=",0,,0">
                <w:txbxContent>
                  <w:p w:rsidR="006042AA" w:rsidRDefault="004673FC">
                    <w:pPr>
                      <w:spacing w:before="40"/>
                      <w:jc w:val="right"/>
                      <w:rPr>
                        <w:rFonts w:ascii="Arial" w:hAnsi="Arial"/>
                        <w:b/>
                        <w:sz w:val="16"/>
                      </w:rPr>
                    </w:pPr>
                    <w:r>
                      <w:rPr>
                        <w:rFonts w:ascii="Arial" w:hAnsi="Arial"/>
                        <w:b/>
                        <w:sz w:val="16"/>
                      </w:rPr>
                      <w:t>News Media Information 202 / 418-0500</w:t>
                    </w:r>
                  </w:p>
                  <w:p w:rsidR="006042AA" w:rsidRDefault="004673FC">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42AA" w:rsidRDefault="004673FC">
                    <w:pPr>
                      <w:jc w:val="right"/>
                      <w:rPr>
                        <w:rFonts w:ascii="Arial" w:hAnsi="Arial"/>
                        <w:b/>
                        <w:sz w:val="16"/>
                      </w:rPr>
                    </w:pPr>
                    <w:r>
                      <w:rPr>
                        <w:rFonts w:ascii="Arial" w:hAnsi="Arial"/>
                        <w:b/>
                        <w:sz w:val="16"/>
                      </w:rPr>
                      <w:t>TTY: 1-888-835-5322</w:t>
                    </w:r>
                  </w:p>
                  <w:p w:rsidR="006042AA" w:rsidRDefault="006042A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6BBA5D1E" wp14:editId="67933D16">
              <wp:simplePos x="0" y="0"/>
              <wp:positionH relativeFrom="column">
                <wp:posOffset>0</wp:posOffset>
              </wp:positionH>
              <wp:positionV relativeFrom="paragraph">
                <wp:posOffset>681990</wp:posOffset>
              </wp:positionV>
              <wp:extent cx="5972810" cy="13335"/>
              <wp:effectExtent l="0" t="0" r="27940" b="247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81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7pt" to="470.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" o:allowincell="f"/>
          </w:pict>
        </mc:Fallback>
      </mc:AlternateContent>
    </w:r>
  </w:p>
  <w:p w:rsidR="006042AA" w:rsidRDefault="006042A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3E"/>
    <w:rsid w:val="000365D1"/>
    <w:rsid w:val="00257D4A"/>
    <w:rsid w:val="003420B0"/>
    <w:rsid w:val="003467D4"/>
    <w:rsid w:val="003A7FD2"/>
    <w:rsid w:val="004673FC"/>
    <w:rsid w:val="004802EC"/>
    <w:rsid w:val="004F389F"/>
    <w:rsid w:val="006042AA"/>
    <w:rsid w:val="0061718F"/>
    <w:rsid w:val="0067041D"/>
    <w:rsid w:val="00814D87"/>
    <w:rsid w:val="008E2EF0"/>
    <w:rsid w:val="008F3331"/>
    <w:rsid w:val="00915F51"/>
    <w:rsid w:val="00A42862"/>
    <w:rsid w:val="00A75EED"/>
    <w:rsid w:val="00B238DF"/>
    <w:rsid w:val="00B25F63"/>
    <w:rsid w:val="00B5270E"/>
    <w:rsid w:val="00B60C70"/>
    <w:rsid w:val="00C4113E"/>
    <w:rsid w:val="00C91DF2"/>
    <w:rsid w:val="00DB0735"/>
    <w:rsid w:val="00E404E7"/>
    <w:rsid w:val="00E46ACD"/>
    <w:rsid w:val="00EE4808"/>
    <w:rsid w:val="00F477F4"/>
    <w:rsid w:val="00F55B8B"/>
    <w:rsid w:val="00FC0E0D"/>
    <w:rsid w:val="00FD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basedOn w:val="DefaultParagraphFont"/>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1">
    <w:name w:val="Footnote Text Char1"/>
    <w:aliases w:val="Footnote Text Char2 Char1,Footnote Text Char Char Char,Footnote Text Char2 Char Char Char,Footnote Text Char1 Char Char Char Char,Footnote Text Char Char2 Char Char Char Char,Footnote Text Char4 Char Char Char Char Char Char,f Char"/>
    <w:link w:val="FootnoteText"/>
    <w:semiHidden/>
    <w:rsid w:val="00C4113E"/>
    <w:rPr>
      <w:sz w:val="22"/>
    </w:rPr>
  </w:style>
  <w:style w:type="paragraph" w:styleId="HTMLPreformatted">
    <w:name w:val="HTML Preformatted"/>
    <w:basedOn w:val="Normal"/>
    <w:link w:val="HTMLPreformattedChar"/>
    <w:uiPriority w:val="99"/>
    <w:semiHidden/>
    <w:unhideWhenUsed/>
    <w:rsid w:val="00B5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5270E"/>
    <w:rPr>
      <w:rFonts w:ascii="Courier New" w:hAnsi="Courier New" w:cs="Courier New"/>
    </w:rPr>
  </w:style>
  <w:style w:type="paragraph" w:styleId="BalloonText">
    <w:name w:val="Balloon Text"/>
    <w:basedOn w:val="Normal"/>
    <w:link w:val="BalloonTextChar"/>
    <w:uiPriority w:val="99"/>
    <w:semiHidden/>
    <w:unhideWhenUsed/>
    <w:rsid w:val="00B25F63"/>
    <w:rPr>
      <w:rFonts w:ascii="Tahoma" w:hAnsi="Tahoma" w:cs="Tahoma"/>
      <w:sz w:val="16"/>
      <w:szCs w:val="16"/>
    </w:rPr>
  </w:style>
  <w:style w:type="character" w:customStyle="1" w:styleId="BalloonTextChar">
    <w:name w:val="Balloon Text Char"/>
    <w:basedOn w:val="DefaultParagraphFont"/>
    <w:link w:val="BalloonText"/>
    <w:uiPriority w:val="99"/>
    <w:semiHidden/>
    <w:rsid w:val="00B25F63"/>
    <w:rPr>
      <w:rFonts w:ascii="Tahoma" w:hAnsi="Tahoma" w:cs="Tahoma"/>
      <w:sz w:val="16"/>
      <w:szCs w:val="16"/>
    </w:rPr>
  </w:style>
  <w:style w:type="character" w:styleId="CommentReference">
    <w:name w:val="annotation reference"/>
    <w:basedOn w:val="DefaultParagraphFont"/>
    <w:uiPriority w:val="99"/>
    <w:semiHidden/>
    <w:unhideWhenUsed/>
    <w:rsid w:val="0061718F"/>
    <w:rPr>
      <w:sz w:val="16"/>
      <w:szCs w:val="16"/>
    </w:rPr>
  </w:style>
  <w:style w:type="paragraph" w:styleId="CommentText">
    <w:name w:val="annotation text"/>
    <w:basedOn w:val="Normal"/>
    <w:link w:val="CommentTextChar"/>
    <w:uiPriority w:val="99"/>
    <w:semiHidden/>
    <w:unhideWhenUsed/>
    <w:rsid w:val="0061718F"/>
    <w:rPr>
      <w:sz w:val="20"/>
    </w:rPr>
  </w:style>
  <w:style w:type="character" w:customStyle="1" w:styleId="CommentTextChar">
    <w:name w:val="Comment Text Char"/>
    <w:basedOn w:val="DefaultParagraphFont"/>
    <w:link w:val="CommentText"/>
    <w:uiPriority w:val="99"/>
    <w:semiHidden/>
    <w:rsid w:val="0061718F"/>
  </w:style>
  <w:style w:type="paragraph" w:styleId="CommentSubject">
    <w:name w:val="annotation subject"/>
    <w:basedOn w:val="CommentText"/>
    <w:next w:val="CommentText"/>
    <w:link w:val="CommentSubjectChar"/>
    <w:uiPriority w:val="99"/>
    <w:semiHidden/>
    <w:unhideWhenUsed/>
    <w:rsid w:val="0061718F"/>
    <w:rPr>
      <w:b/>
      <w:bCs/>
    </w:rPr>
  </w:style>
  <w:style w:type="character" w:customStyle="1" w:styleId="CommentSubjectChar">
    <w:name w:val="Comment Subject Char"/>
    <w:basedOn w:val="CommentTextChar"/>
    <w:link w:val="CommentSubject"/>
    <w:uiPriority w:val="99"/>
    <w:semiHidden/>
    <w:rsid w:val="0061718F"/>
    <w:rPr>
      <w:b/>
      <w:bCs/>
    </w:rPr>
  </w:style>
  <w:style w:type="character" w:customStyle="1" w:styleId="FooterChar">
    <w:name w:val="Footer Char"/>
    <w:basedOn w:val="DefaultParagraphFont"/>
    <w:link w:val="Footer"/>
    <w:uiPriority w:val="99"/>
    <w:rsid w:val="00DB073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basedOn w:val="DefaultParagraphFont"/>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1">
    <w:name w:val="Footnote Text Char1"/>
    <w:aliases w:val="Footnote Text Char2 Char1,Footnote Text Char Char Char,Footnote Text Char2 Char Char Char,Footnote Text Char1 Char Char Char Char,Footnote Text Char Char2 Char Char Char Char,Footnote Text Char4 Char Char Char Char Char Char,f Char"/>
    <w:link w:val="FootnoteText"/>
    <w:semiHidden/>
    <w:rsid w:val="00C4113E"/>
    <w:rPr>
      <w:sz w:val="22"/>
    </w:rPr>
  </w:style>
  <w:style w:type="paragraph" w:styleId="HTMLPreformatted">
    <w:name w:val="HTML Preformatted"/>
    <w:basedOn w:val="Normal"/>
    <w:link w:val="HTMLPreformattedChar"/>
    <w:uiPriority w:val="99"/>
    <w:semiHidden/>
    <w:unhideWhenUsed/>
    <w:rsid w:val="00B5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5270E"/>
    <w:rPr>
      <w:rFonts w:ascii="Courier New" w:hAnsi="Courier New" w:cs="Courier New"/>
    </w:rPr>
  </w:style>
  <w:style w:type="paragraph" w:styleId="BalloonText">
    <w:name w:val="Balloon Text"/>
    <w:basedOn w:val="Normal"/>
    <w:link w:val="BalloonTextChar"/>
    <w:uiPriority w:val="99"/>
    <w:semiHidden/>
    <w:unhideWhenUsed/>
    <w:rsid w:val="00B25F63"/>
    <w:rPr>
      <w:rFonts w:ascii="Tahoma" w:hAnsi="Tahoma" w:cs="Tahoma"/>
      <w:sz w:val="16"/>
      <w:szCs w:val="16"/>
    </w:rPr>
  </w:style>
  <w:style w:type="character" w:customStyle="1" w:styleId="BalloonTextChar">
    <w:name w:val="Balloon Text Char"/>
    <w:basedOn w:val="DefaultParagraphFont"/>
    <w:link w:val="BalloonText"/>
    <w:uiPriority w:val="99"/>
    <w:semiHidden/>
    <w:rsid w:val="00B25F63"/>
    <w:rPr>
      <w:rFonts w:ascii="Tahoma" w:hAnsi="Tahoma" w:cs="Tahoma"/>
      <w:sz w:val="16"/>
      <w:szCs w:val="16"/>
    </w:rPr>
  </w:style>
  <w:style w:type="character" w:styleId="CommentReference">
    <w:name w:val="annotation reference"/>
    <w:basedOn w:val="DefaultParagraphFont"/>
    <w:uiPriority w:val="99"/>
    <w:semiHidden/>
    <w:unhideWhenUsed/>
    <w:rsid w:val="0061718F"/>
    <w:rPr>
      <w:sz w:val="16"/>
      <w:szCs w:val="16"/>
    </w:rPr>
  </w:style>
  <w:style w:type="paragraph" w:styleId="CommentText">
    <w:name w:val="annotation text"/>
    <w:basedOn w:val="Normal"/>
    <w:link w:val="CommentTextChar"/>
    <w:uiPriority w:val="99"/>
    <w:semiHidden/>
    <w:unhideWhenUsed/>
    <w:rsid w:val="0061718F"/>
    <w:rPr>
      <w:sz w:val="20"/>
    </w:rPr>
  </w:style>
  <w:style w:type="character" w:customStyle="1" w:styleId="CommentTextChar">
    <w:name w:val="Comment Text Char"/>
    <w:basedOn w:val="DefaultParagraphFont"/>
    <w:link w:val="CommentText"/>
    <w:uiPriority w:val="99"/>
    <w:semiHidden/>
    <w:rsid w:val="0061718F"/>
  </w:style>
  <w:style w:type="paragraph" w:styleId="CommentSubject">
    <w:name w:val="annotation subject"/>
    <w:basedOn w:val="CommentText"/>
    <w:next w:val="CommentText"/>
    <w:link w:val="CommentSubjectChar"/>
    <w:uiPriority w:val="99"/>
    <w:semiHidden/>
    <w:unhideWhenUsed/>
    <w:rsid w:val="0061718F"/>
    <w:rPr>
      <w:b/>
      <w:bCs/>
    </w:rPr>
  </w:style>
  <w:style w:type="character" w:customStyle="1" w:styleId="CommentSubjectChar">
    <w:name w:val="Comment Subject Char"/>
    <w:basedOn w:val="CommentTextChar"/>
    <w:link w:val="CommentSubject"/>
    <w:uiPriority w:val="99"/>
    <w:semiHidden/>
    <w:rsid w:val="0061718F"/>
    <w:rPr>
      <w:b/>
      <w:bCs/>
    </w:rPr>
  </w:style>
  <w:style w:type="character" w:customStyle="1" w:styleId="FooterChar">
    <w:name w:val="Footer Char"/>
    <w:basedOn w:val="DefaultParagraphFont"/>
    <w:link w:val="Footer"/>
    <w:uiPriority w:val="99"/>
    <w:rsid w:val="00DB07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255</Words>
  <Characters>1442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1701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2013-04-29T14:47:00Z</cp:lastPrinted>
  <dcterms:created xsi:type="dcterms:W3CDTF">2013-04-29T16:36:00Z</dcterms:created>
  <dcterms:modified xsi:type="dcterms:W3CDTF">2013-04-29T16:36:00Z</dcterms:modified>
  <cp:category> </cp:category>
  <cp:contentStatus> </cp:contentStatus>
</cp:coreProperties>
</file>