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0D" w:rsidRDefault="00EE290D">
      <w:pPr>
        <w:tabs>
          <w:tab w:val="right" w:pos="9360"/>
        </w:tabs>
        <w:suppressAutoHyphens/>
        <w:spacing w:line="227" w:lineRule="auto"/>
        <w:rPr>
          <w:b/>
          <w:spacing w:val="-2"/>
          <w:sz w:val="22"/>
          <w:szCs w:val="22"/>
        </w:rPr>
        <w:sectPr w:rsidR="00EE290D" w:rsidSect="00756E4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720" w:gutter="0"/>
          <w:cols w:space="720"/>
          <w:titlePg/>
        </w:sectPr>
      </w:pPr>
      <w:bookmarkStart w:id="0" w:name="_GoBack"/>
      <w:bookmarkEnd w:id="0"/>
    </w:p>
    <w:p w:rsidR="00EE290D" w:rsidRDefault="00EE290D" w:rsidP="00756E4D">
      <w:pPr>
        <w:suppressAutoHyphens/>
        <w:ind w:left="720"/>
        <w:jc w:val="right"/>
        <w:rPr>
          <w:b/>
          <w:sz w:val="22"/>
          <w:szCs w:val="22"/>
        </w:rPr>
      </w:pPr>
      <w:r>
        <w:rPr>
          <w:sz w:val="22"/>
          <w:szCs w:val="22"/>
        </w:rPr>
        <w:lastRenderedPageBreak/>
        <w:tab/>
      </w:r>
      <w:r>
        <w:rPr>
          <w:b/>
          <w:sz w:val="22"/>
          <w:szCs w:val="22"/>
        </w:rPr>
        <w:t>DA 1</w:t>
      </w:r>
      <w:r w:rsidR="00F414C5">
        <w:rPr>
          <w:b/>
          <w:sz w:val="22"/>
          <w:szCs w:val="22"/>
        </w:rPr>
        <w:t>4</w:t>
      </w:r>
      <w:r>
        <w:rPr>
          <w:b/>
          <w:sz w:val="22"/>
          <w:szCs w:val="22"/>
        </w:rPr>
        <w:t>-</w:t>
      </w:r>
      <w:r w:rsidR="00D55FDB">
        <w:rPr>
          <w:b/>
          <w:sz w:val="22"/>
          <w:szCs w:val="22"/>
        </w:rPr>
        <w:t>1005</w:t>
      </w:r>
    </w:p>
    <w:p w:rsidR="00EE290D" w:rsidRDefault="00EE290D">
      <w:pPr>
        <w:suppressAutoHyphens/>
        <w:ind w:left="720"/>
        <w:jc w:val="right"/>
        <w:rPr>
          <w:b/>
          <w:sz w:val="22"/>
          <w:szCs w:val="22"/>
        </w:rPr>
      </w:pPr>
      <w:r>
        <w:rPr>
          <w:b/>
          <w:sz w:val="22"/>
          <w:szCs w:val="22"/>
        </w:rPr>
        <w:t xml:space="preserve">Released: </w:t>
      </w:r>
      <w:r w:rsidR="00756E4D">
        <w:rPr>
          <w:b/>
          <w:sz w:val="22"/>
          <w:szCs w:val="22"/>
        </w:rPr>
        <w:t xml:space="preserve"> </w:t>
      </w:r>
      <w:r w:rsidR="002E2BEA">
        <w:rPr>
          <w:b/>
          <w:sz w:val="22"/>
          <w:szCs w:val="22"/>
        </w:rPr>
        <w:t>July 16</w:t>
      </w:r>
      <w:r>
        <w:rPr>
          <w:b/>
          <w:sz w:val="22"/>
          <w:szCs w:val="22"/>
        </w:rPr>
        <w:t>, 201</w:t>
      </w:r>
      <w:r w:rsidR="00F414C5">
        <w:rPr>
          <w:b/>
          <w:sz w:val="22"/>
          <w:szCs w:val="22"/>
        </w:rPr>
        <w:t>4</w:t>
      </w:r>
    </w:p>
    <w:p w:rsidR="00EE290D" w:rsidRDefault="00EE290D">
      <w:pPr>
        <w:suppressAutoHyphens/>
        <w:ind w:left="720"/>
        <w:jc w:val="right"/>
        <w:rPr>
          <w:b/>
          <w:sz w:val="22"/>
          <w:szCs w:val="22"/>
        </w:rPr>
      </w:pPr>
    </w:p>
    <w:p w:rsidR="00EE290D" w:rsidRDefault="006B0C19">
      <w:pPr>
        <w:suppressAutoHyphens/>
        <w:jc w:val="center"/>
        <w:rPr>
          <w:b/>
          <w:sz w:val="22"/>
          <w:szCs w:val="22"/>
        </w:rPr>
      </w:pPr>
      <w:r>
        <w:rPr>
          <w:b/>
          <w:sz w:val="22"/>
          <w:szCs w:val="22"/>
        </w:rPr>
        <w:t xml:space="preserve">MEDIA BUREAU AND </w:t>
      </w:r>
      <w:r w:rsidR="00EE290D">
        <w:rPr>
          <w:b/>
          <w:sz w:val="22"/>
          <w:szCs w:val="22"/>
        </w:rPr>
        <w:t xml:space="preserve">PUBLIC SAFETY AND HOMELAND SECURITY </w:t>
      </w:r>
      <w:r w:rsidR="009E6DF9">
        <w:rPr>
          <w:b/>
          <w:sz w:val="22"/>
          <w:szCs w:val="22"/>
        </w:rPr>
        <w:t xml:space="preserve">BUREAU SEEK COMMENT ON REQUEST </w:t>
      </w:r>
      <w:r w:rsidR="00EE290D">
        <w:rPr>
          <w:b/>
          <w:sz w:val="22"/>
          <w:szCs w:val="22"/>
        </w:rPr>
        <w:t xml:space="preserve">FOR WAIVER </w:t>
      </w:r>
      <w:r w:rsidR="00EE290D" w:rsidRPr="00AC1084">
        <w:rPr>
          <w:b/>
          <w:sz w:val="22"/>
          <w:szCs w:val="22"/>
        </w:rPr>
        <w:t xml:space="preserve">FILED BY </w:t>
      </w:r>
      <w:r w:rsidR="008E495E" w:rsidRPr="008E495E">
        <w:rPr>
          <w:b/>
          <w:sz w:val="22"/>
          <w:szCs w:val="22"/>
        </w:rPr>
        <w:t>WLNY-TV INC.</w:t>
      </w:r>
      <w:r w:rsidR="00432358">
        <w:rPr>
          <w:b/>
          <w:sz w:val="22"/>
          <w:szCs w:val="22"/>
        </w:rPr>
        <w:t xml:space="preserve"> </w:t>
      </w:r>
      <w:r w:rsidR="009E6DF9">
        <w:rPr>
          <w:b/>
          <w:sz w:val="22"/>
          <w:szCs w:val="22"/>
        </w:rPr>
        <w:t>TO FLASHCUT FROM ANALOG CHANNEL 17 TO DIGITAL CHANNEL 17 FOR</w:t>
      </w:r>
      <w:r w:rsidR="00AC1084" w:rsidRPr="00AC1084">
        <w:rPr>
          <w:b/>
          <w:sz w:val="22"/>
          <w:szCs w:val="22"/>
        </w:rPr>
        <w:t xml:space="preserve"> </w:t>
      </w:r>
      <w:r w:rsidR="009E6DF9">
        <w:rPr>
          <w:b/>
          <w:sz w:val="22"/>
          <w:szCs w:val="22"/>
        </w:rPr>
        <w:t>LOW POWER</w:t>
      </w:r>
      <w:r w:rsidR="00AC1084" w:rsidRPr="00AC1084">
        <w:rPr>
          <w:b/>
          <w:sz w:val="22"/>
          <w:szCs w:val="22"/>
        </w:rPr>
        <w:t xml:space="preserve"> </w:t>
      </w:r>
      <w:r w:rsidR="009E6DF9">
        <w:rPr>
          <w:b/>
          <w:sz w:val="22"/>
          <w:szCs w:val="22"/>
        </w:rPr>
        <w:t>TELEVISION</w:t>
      </w:r>
      <w:r w:rsidR="00AC1084" w:rsidRPr="00AC1084">
        <w:rPr>
          <w:b/>
          <w:sz w:val="22"/>
          <w:szCs w:val="22"/>
        </w:rPr>
        <w:t xml:space="preserve"> </w:t>
      </w:r>
      <w:r w:rsidR="009E6DF9">
        <w:rPr>
          <w:b/>
          <w:sz w:val="22"/>
          <w:szCs w:val="22"/>
        </w:rPr>
        <w:t>STATION WLIG-LP, PLAINVIEW, NEW YORK</w:t>
      </w:r>
    </w:p>
    <w:p w:rsidR="00C62B97" w:rsidRPr="00FE1A71" w:rsidRDefault="00C62B97">
      <w:pPr>
        <w:suppressAutoHyphens/>
        <w:jc w:val="center"/>
        <w:rPr>
          <w:b/>
          <w:sz w:val="22"/>
        </w:rPr>
      </w:pPr>
    </w:p>
    <w:p w:rsidR="009E6DF9" w:rsidRDefault="005D2E4B">
      <w:pPr>
        <w:suppressAutoHyphens/>
        <w:jc w:val="center"/>
        <w:rPr>
          <w:b/>
          <w:spacing w:val="-2"/>
          <w:sz w:val="22"/>
          <w:szCs w:val="22"/>
        </w:rPr>
      </w:pPr>
      <w:r>
        <w:rPr>
          <w:b/>
          <w:spacing w:val="-2"/>
          <w:sz w:val="22"/>
          <w:szCs w:val="22"/>
        </w:rPr>
        <w:t>PS Docket No. 14-108</w:t>
      </w:r>
    </w:p>
    <w:p w:rsidR="00EE290D" w:rsidRDefault="00EE290D">
      <w:pPr>
        <w:suppressAutoHyphens/>
        <w:jc w:val="center"/>
        <w:rPr>
          <w:b/>
          <w:spacing w:val="-2"/>
          <w:sz w:val="22"/>
          <w:szCs w:val="22"/>
        </w:rPr>
      </w:pPr>
      <w:r>
        <w:rPr>
          <w:b/>
          <w:spacing w:val="-2"/>
          <w:sz w:val="22"/>
          <w:szCs w:val="22"/>
        </w:rPr>
        <w:t xml:space="preserve">File No. </w:t>
      </w:r>
      <w:r w:rsidR="00EC4EE6" w:rsidRPr="00EC4EE6">
        <w:rPr>
          <w:b/>
          <w:spacing w:val="-2"/>
          <w:sz w:val="22"/>
          <w:szCs w:val="22"/>
        </w:rPr>
        <w:t>BDFCDTL-20130603AUD</w:t>
      </w:r>
    </w:p>
    <w:p w:rsidR="00EE290D" w:rsidRDefault="00EE290D">
      <w:pPr>
        <w:suppressAutoHyphens/>
        <w:outlineLvl w:val="0"/>
        <w:rPr>
          <w:b/>
          <w:sz w:val="22"/>
          <w:szCs w:val="22"/>
        </w:rPr>
      </w:pPr>
      <w:r>
        <w:rPr>
          <w:b/>
          <w:sz w:val="22"/>
          <w:szCs w:val="22"/>
        </w:rPr>
        <w:t xml:space="preserve"> </w:t>
      </w:r>
    </w:p>
    <w:p w:rsidR="009E6DF9" w:rsidRPr="00B91E31" w:rsidRDefault="00EE290D" w:rsidP="009E6DF9">
      <w:pPr>
        <w:jc w:val="both"/>
        <w:rPr>
          <w:b/>
          <w:sz w:val="22"/>
          <w:szCs w:val="22"/>
        </w:rPr>
      </w:pPr>
      <w:r>
        <w:rPr>
          <w:b/>
          <w:sz w:val="22"/>
          <w:szCs w:val="22"/>
        </w:rPr>
        <w:t xml:space="preserve">Comment Date: </w:t>
      </w:r>
      <w:r w:rsidR="00E50C40">
        <w:rPr>
          <w:b/>
          <w:sz w:val="22"/>
          <w:szCs w:val="22"/>
        </w:rPr>
        <w:t xml:space="preserve"> </w:t>
      </w:r>
      <w:r w:rsidR="00C27321">
        <w:rPr>
          <w:b/>
          <w:sz w:val="22"/>
          <w:szCs w:val="22"/>
        </w:rPr>
        <w:t>August 15, 2014</w:t>
      </w:r>
    </w:p>
    <w:p w:rsidR="00EE290D" w:rsidRDefault="00EE290D">
      <w:pPr>
        <w:tabs>
          <w:tab w:val="left" w:pos="-720"/>
        </w:tabs>
        <w:suppressAutoHyphens/>
        <w:rPr>
          <w:b/>
          <w:sz w:val="22"/>
          <w:szCs w:val="22"/>
        </w:rPr>
      </w:pPr>
      <w:r>
        <w:rPr>
          <w:b/>
          <w:sz w:val="22"/>
          <w:szCs w:val="22"/>
        </w:rPr>
        <w:t xml:space="preserve">Reply Comment Date: </w:t>
      </w:r>
      <w:r w:rsidR="00E50C40">
        <w:rPr>
          <w:b/>
          <w:sz w:val="22"/>
          <w:szCs w:val="22"/>
        </w:rPr>
        <w:t xml:space="preserve"> </w:t>
      </w:r>
      <w:r w:rsidR="00C27321">
        <w:rPr>
          <w:b/>
          <w:sz w:val="22"/>
          <w:szCs w:val="22"/>
        </w:rPr>
        <w:t>August 29, 2014</w:t>
      </w:r>
    </w:p>
    <w:p w:rsidR="00EE290D" w:rsidRDefault="00EE290D">
      <w:pPr>
        <w:suppressAutoHyphens/>
        <w:rPr>
          <w:sz w:val="22"/>
          <w:szCs w:val="22"/>
        </w:rPr>
      </w:pPr>
    </w:p>
    <w:p w:rsidR="004B5590" w:rsidRDefault="00EE290D">
      <w:pPr>
        <w:autoSpaceDE w:val="0"/>
        <w:autoSpaceDN w:val="0"/>
        <w:adjustRightInd w:val="0"/>
        <w:ind w:firstLine="720"/>
        <w:rPr>
          <w:color w:val="000000"/>
          <w:sz w:val="22"/>
          <w:szCs w:val="22"/>
        </w:rPr>
      </w:pPr>
      <w:r>
        <w:rPr>
          <w:color w:val="000000"/>
          <w:sz w:val="22"/>
          <w:szCs w:val="22"/>
        </w:rPr>
        <w:t xml:space="preserve">The </w:t>
      </w:r>
      <w:r w:rsidR="006B0C19">
        <w:rPr>
          <w:color w:val="000000"/>
          <w:sz w:val="22"/>
          <w:szCs w:val="22"/>
        </w:rPr>
        <w:t xml:space="preserve">Media Bureau and the </w:t>
      </w:r>
      <w:r>
        <w:rPr>
          <w:color w:val="000000"/>
          <w:sz w:val="22"/>
          <w:szCs w:val="22"/>
        </w:rPr>
        <w:t>Public Safety and Homeland Security Bureau</w:t>
      </w:r>
      <w:r w:rsidR="006B0C19">
        <w:rPr>
          <w:color w:val="000000"/>
          <w:sz w:val="22"/>
          <w:szCs w:val="22"/>
        </w:rPr>
        <w:t xml:space="preserve"> </w:t>
      </w:r>
      <w:r>
        <w:rPr>
          <w:color w:val="000000"/>
          <w:sz w:val="22"/>
          <w:szCs w:val="22"/>
        </w:rPr>
        <w:t xml:space="preserve">seek comment on </w:t>
      </w:r>
      <w:r w:rsidR="00C73F13">
        <w:rPr>
          <w:color w:val="000000"/>
          <w:sz w:val="22"/>
          <w:szCs w:val="22"/>
        </w:rPr>
        <w:t xml:space="preserve">the </w:t>
      </w:r>
      <w:r>
        <w:rPr>
          <w:color w:val="000000"/>
          <w:sz w:val="22"/>
          <w:szCs w:val="22"/>
        </w:rPr>
        <w:t>application</w:t>
      </w:r>
      <w:r w:rsidR="00C73F13" w:rsidRPr="00C73F13">
        <w:rPr>
          <w:sz w:val="22"/>
          <w:szCs w:val="22"/>
        </w:rPr>
        <w:t xml:space="preserve"> </w:t>
      </w:r>
      <w:r w:rsidR="00C73F13">
        <w:rPr>
          <w:sz w:val="22"/>
          <w:szCs w:val="22"/>
        </w:rPr>
        <w:t>and waiver request, as amended, filed on J</w:t>
      </w:r>
      <w:r w:rsidR="0045350D">
        <w:rPr>
          <w:sz w:val="22"/>
          <w:szCs w:val="22"/>
        </w:rPr>
        <w:t>une</w:t>
      </w:r>
      <w:r w:rsidR="00C73F13">
        <w:rPr>
          <w:sz w:val="22"/>
          <w:szCs w:val="22"/>
        </w:rPr>
        <w:t xml:space="preserve"> </w:t>
      </w:r>
      <w:r w:rsidR="0045350D">
        <w:rPr>
          <w:sz w:val="22"/>
          <w:szCs w:val="22"/>
        </w:rPr>
        <w:t>04, 201</w:t>
      </w:r>
      <w:r w:rsidR="00475E40">
        <w:rPr>
          <w:sz w:val="22"/>
          <w:szCs w:val="22"/>
        </w:rPr>
        <w:t>3</w:t>
      </w:r>
      <w:r w:rsidR="0045350D">
        <w:rPr>
          <w:sz w:val="22"/>
          <w:szCs w:val="22"/>
        </w:rPr>
        <w:t xml:space="preserve">, by WLNY-TV Inc. </w:t>
      </w:r>
      <w:r w:rsidR="00C73F13">
        <w:rPr>
          <w:sz w:val="22"/>
          <w:szCs w:val="22"/>
        </w:rPr>
        <w:t>(</w:t>
      </w:r>
      <w:r w:rsidR="0045350D">
        <w:rPr>
          <w:sz w:val="22"/>
          <w:szCs w:val="22"/>
        </w:rPr>
        <w:t>W</w:t>
      </w:r>
      <w:r w:rsidR="00712795">
        <w:rPr>
          <w:sz w:val="22"/>
          <w:szCs w:val="22"/>
        </w:rPr>
        <w:t>L</w:t>
      </w:r>
      <w:r w:rsidR="0045350D">
        <w:rPr>
          <w:sz w:val="22"/>
          <w:szCs w:val="22"/>
        </w:rPr>
        <w:t>NY</w:t>
      </w:r>
      <w:r w:rsidR="00C73F13">
        <w:rPr>
          <w:sz w:val="22"/>
          <w:szCs w:val="22"/>
        </w:rPr>
        <w:t>).</w:t>
      </w:r>
      <w:r w:rsidR="00C73F13">
        <w:rPr>
          <w:rStyle w:val="FootnoteReference"/>
          <w:sz w:val="22"/>
          <w:szCs w:val="22"/>
        </w:rPr>
        <w:footnoteReference w:id="2"/>
      </w:r>
      <w:r w:rsidR="00C73F13">
        <w:rPr>
          <w:sz w:val="22"/>
          <w:szCs w:val="22"/>
        </w:rPr>
        <w:t xml:space="preserve">  </w:t>
      </w:r>
      <w:r w:rsidR="00475E40">
        <w:rPr>
          <w:color w:val="000000"/>
          <w:sz w:val="22"/>
          <w:szCs w:val="22"/>
        </w:rPr>
        <w:t>WLNY</w:t>
      </w:r>
      <w:r>
        <w:rPr>
          <w:color w:val="000000"/>
          <w:sz w:val="22"/>
          <w:szCs w:val="22"/>
        </w:rPr>
        <w:t xml:space="preserve"> seeks </w:t>
      </w:r>
      <w:r w:rsidR="00497CB8">
        <w:rPr>
          <w:color w:val="000000"/>
          <w:sz w:val="22"/>
          <w:szCs w:val="22"/>
        </w:rPr>
        <w:t>“approval for low power television</w:t>
      </w:r>
      <w:r w:rsidR="00C9275C">
        <w:rPr>
          <w:color w:val="000000"/>
          <w:sz w:val="22"/>
          <w:szCs w:val="22"/>
        </w:rPr>
        <w:t xml:space="preserve"> [LPTV]</w:t>
      </w:r>
      <w:r w:rsidR="00497CB8">
        <w:rPr>
          <w:color w:val="000000"/>
          <w:sz w:val="22"/>
          <w:szCs w:val="22"/>
        </w:rPr>
        <w:t xml:space="preserve"> station WLIG-LP, Plainview, NY to flashcut from analog channel 17 to digital channel 17.”</w:t>
      </w:r>
      <w:r w:rsidR="00712795">
        <w:rPr>
          <w:rStyle w:val="FootnoteReference"/>
          <w:color w:val="000000"/>
          <w:sz w:val="22"/>
          <w:szCs w:val="22"/>
        </w:rPr>
        <w:footnoteReference w:id="3"/>
      </w:r>
      <w:r w:rsidR="00497CB8">
        <w:rPr>
          <w:color w:val="000000"/>
          <w:sz w:val="22"/>
          <w:szCs w:val="22"/>
        </w:rPr>
        <w:t xml:space="preserve">  </w:t>
      </w:r>
      <w:r w:rsidR="00712795">
        <w:rPr>
          <w:color w:val="000000"/>
          <w:sz w:val="22"/>
          <w:szCs w:val="22"/>
        </w:rPr>
        <w:t xml:space="preserve">WLNY </w:t>
      </w:r>
      <w:r w:rsidR="0013598D">
        <w:rPr>
          <w:color w:val="000000"/>
          <w:sz w:val="22"/>
          <w:szCs w:val="22"/>
        </w:rPr>
        <w:t>request</w:t>
      </w:r>
      <w:r w:rsidR="00712795">
        <w:rPr>
          <w:color w:val="000000"/>
          <w:sz w:val="22"/>
          <w:szCs w:val="22"/>
        </w:rPr>
        <w:t>s</w:t>
      </w:r>
      <w:r w:rsidR="0013598D">
        <w:rPr>
          <w:color w:val="000000"/>
          <w:sz w:val="22"/>
          <w:szCs w:val="22"/>
        </w:rPr>
        <w:t xml:space="preserve"> </w:t>
      </w:r>
      <w:r>
        <w:rPr>
          <w:color w:val="000000"/>
          <w:sz w:val="22"/>
          <w:szCs w:val="22"/>
        </w:rPr>
        <w:t>waiv</w:t>
      </w:r>
      <w:r w:rsidR="00C9519D">
        <w:rPr>
          <w:color w:val="000000"/>
          <w:sz w:val="22"/>
          <w:szCs w:val="22"/>
        </w:rPr>
        <w:t>er</w:t>
      </w:r>
      <w:r w:rsidR="00712795">
        <w:rPr>
          <w:color w:val="000000"/>
          <w:sz w:val="22"/>
          <w:szCs w:val="22"/>
        </w:rPr>
        <w:t xml:space="preserve"> of Section 74.709 </w:t>
      </w:r>
      <w:r>
        <w:rPr>
          <w:color w:val="000000"/>
          <w:sz w:val="22"/>
          <w:szCs w:val="22"/>
        </w:rPr>
        <w:t>of the Commission’s rules,</w:t>
      </w:r>
      <w:r>
        <w:rPr>
          <w:rStyle w:val="FootnoteReference"/>
          <w:color w:val="000000"/>
          <w:sz w:val="22"/>
          <w:szCs w:val="22"/>
        </w:rPr>
        <w:footnoteReference w:id="4"/>
      </w:r>
      <w:r>
        <w:rPr>
          <w:color w:val="000000"/>
          <w:sz w:val="22"/>
          <w:szCs w:val="22"/>
        </w:rPr>
        <w:t xml:space="preserve"> </w:t>
      </w:r>
      <w:r w:rsidR="007E4C84">
        <w:rPr>
          <w:color w:val="000000"/>
          <w:sz w:val="22"/>
          <w:szCs w:val="22"/>
        </w:rPr>
        <w:t xml:space="preserve">for </w:t>
      </w:r>
      <w:r w:rsidR="0013598D">
        <w:rPr>
          <w:color w:val="000000"/>
          <w:sz w:val="22"/>
          <w:szCs w:val="22"/>
        </w:rPr>
        <w:t>“</w:t>
      </w:r>
      <w:r w:rsidR="007E4C84">
        <w:rPr>
          <w:color w:val="000000"/>
          <w:sz w:val="22"/>
          <w:szCs w:val="22"/>
        </w:rPr>
        <w:t>l</w:t>
      </w:r>
      <w:r w:rsidR="0013598D">
        <w:rPr>
          <w:color w:val="000000"/>
          <w:sz w:val="22"/>
          <w:szCs w:val="22"/>
        </w:rPr>
        <w:t>and mobile station protection insofar as th</w:t>
      </w:r>
      <w:r w:rsidR="007E4C84">
        <w:rPr>
          <w:color w:val="000000"/>
          <w:sz w:val="22"/>
          <w:szCs w:val="22"/>
        </w:rPr>
        <w:t>at</w:t>
      </w:r>
      <w:r w:rsidR="0013598D">
        <w:rPr>
          <w:color w:val="000000"/>
          <w:sz w:val="22"/>
          <w:szCs w:val="22"/>
        </w:rPr>
        <w:t xml:space="preserve"> rule applies to </w:t>
      </w:r>
      <w:r w:rsidR="007E4C84">
        <w:rPr>
          <w:color w:val="000000"/>
          <w:sz w:val="22"/>
          <w:szCs w:val="22"/>
        </w:rPr>
        <w:t xml:space="preserve">the </w:t>
      </w:r>
      <w:r w:rsidR="0013598D">
        <w:rPr>
          <w:color w:val="000000"/>
          <w:sz w:val="22"/>
          <w:szCs w:val="22"/>
        </w:rPr>
        <w:t>channel 16</w:t>
      </w:r>
      <w:r w:rsidR="009B056B">
        <w:rPr>
          <w:color w:val="000000"/>
          <w:sz w:val="22"/>
          <w:szCs w:val="22"/>
        </w:rPr>
        <w:t xml:space="preserve"> land mobile services in New York, NY.”</w:t>
      </w:r>
      <w:r>
        <w:rPr>
          <w:rStyle w:val="FootnoteReference"/>
          <w:color w:val="000000"/>
          <w:sz w:val="22"/>
          <w:szCs w:val="22"/>
        </w:rPr>
        <w:footnoteReference w:id="5"/>
      </w:r>
      <w:r w:rsidR="0008438C">
        <w:rPr>
          <w:color w:val="000000"/>
          <w:sz w:val="22"/>
          <w:szCs w:val="22"/>
        </w:rPr>
        <w:t xml:space="preserve">  </w:t>
      </w:r>
      <w:r w:rsidR="00C44F68">
        <w:rPr>
          <w:color w:val="000000"/>
          <w:sz w:val="22"/>
          <w:szCs w:val="22"/>
        </w:rPr>
        <w:t>The rule states that a</w:t>
      </w:r>
      <w:r w:rsidR="00C44F68" w:rsidRPr="00C44F68">
        <w:rPr>
          <w:color w:val="000000"/>
          <w:sz w:val="22"/>
          <w:szCs w:val="22"/>
        </w:rPr>
        <w:t xml:space="preserve"> low power TV or TV translator station application will not be accepted if it specifies a channel that is one channel above or below one of the land mobile assignments and its field strength at the land mobile protected contour exceeds 76 dBu</w:t>
      </w:r>
      <w:r w:rsidR="00C44F68">
        <w:rPr>
          <w:color w:val="000000"/>
          <w:sz w:val="22"/>
          <w:szCs w:val="22"/>
        </w:rPr>
        <w:t>.</w:t>
      </w:r>
      <w:r w:rsidR="00C44F68">
        <w:rPr>
          <w:rStyle w:val="FootnoteReference"/>
          <w:color w:val="000000"/>
          <w:sz w:val="22"/>
          <w:szCs w:val="22"/>
        </w:rPr>
        <w:footnoteReference w:id="6"/>
      </w:r>
      <w:r w:rsidR="00C44F68">
        <w:rPr>
          <w:color w:val="000000"/>
          <w:sz w:val="22"/>
          <w:szCs w:val="22"/>
        </w:rPr>
        <w:t xml:space="preserve">  </w:t>
      </w:r>
      <w:r w:rsidR="004D1E69">
        <w:rPr>
          <w:sz w:val="22"/>
          <w:szCs w:val="22"/>
        </w:rPr>
        <w:t xml:space="preserve">Station WLIG-LP is located within the </w:t>
      </w:r>
      <w:r w:rsidR="000B7A1C">
        <w:rPr>
          <w:sz w:val="22"/>
          <w:szCs w:val="22"/>
        </w:rPr>
        <w:t xml:space="preserve">land mobile </w:t>
      </w:r>
      <w:r w:rsidR="004D1E69">
        <w:rPr>
          <w:sz w:val="22"/>
          <w:szCs w:val="22"/>
        </w:rPr>
        <w:t>protected contour</w:t>
      </w:r>
      <w:r w:rsidR="0008438C">
        <w:rPr>
          <w:sz w:val="22"/>
          <w:szCs w:val="22"/>
        </w:rPr>
        <w:t>.</w:t>
      </w:r>
    </w:p>
    <w:p w:rsidR="007E4C84" w:rsidRDefault="007E4C84">
      <w:pPr>
        <w:autoSpaceDE w:val="0"/>
        <w:autoSpaceDN w:val="0"/>
        <w:adjustRightInd w:val="0"/>
        <w:ind w:firstLine="720"/>
        <w:rPr>
          <w:color w:val="000000"/>
          <w:sz w:val="22"/>
          <w:szCs w:val="22"/>
        </w:rPr>
      </w:pPr>
    </w:p>
    <w:p w:rsidR="00114120" w:rsidRDefault="00953E6C" w:rsidP="007B2594">
      <w:pPr>
        <w:autoSpaceDE w:val="0"/>
        <w:autoSpaceDN w:val="0"/>
        <w:adjustRightInd w:val="0"/>
        <w:ind w:firstLine="720"/>
        <w:rPr>
          <w:sz w:val="22"/>
          <w:szCs w:val="22"/>
        </w:rPr>
      </w:pPr>
      <w:r>
        <w:rPr>
          <w:sz w:val="22"/>
          <w:szCs w:val="22"/>
        </w:rPr>
        <w:t>WLNY</w:t>
      </w:r>
      <w:r w:rsidR="00EE290D" w:rsidRPr="004B5590">
        <w:rPr>
          <w:sz w:val="22"/>
          <w:szCs w:val="22"/>
        </w:rPr>
        <w:t xml:space="preserve"> states that “</w:t>
      </w:r>
      <w:r>
        <w:rPr>
          <w:sz w:val="22"/>
          <w:szCs w:val="22"/>
        </w:rPr>
        <w:t>WLIG-LP has been operating on analog channel 17 since 2005.”</w:t>
      </w:r>
      <w:r>
        <w:rPr>
          <w:rStyle w:val="FootnoteReference"/>
          <w:sz w:val="22"/>
          <w:szCs w:val="22"/>
        </w:rPr>
        <w:footnoteReference w:id="7"/>
      </w:r>
      <w:r w:rsidR="002B0899">
        <w:rPr>
          <w:sz w:val="22"/>
          <w:szCs w:val="22"/>
        </w:rPr>
        <w:t xml:space="preserve">  WLNY affirms that “during its nine years of operation, there have been no interference complaints by any users of the adjacent channel 16 spectrum or any other indication of interference</w:t>
      </w:r>
      <w:r w:rsidR="007E4C84">
        <w:rPr>
          <w:sz w:val="22"/>
          <w:szCs w:val="22"/>
        </w:rPr>
        <w:t>.</w:t>
      </w:r>
      <w:r w:rsidR="002B0899">
        <w:rPr>
          <w:sz w:val="22"/>
          <w:szCs w:val="22"/>
        </w:rPr>
        <w:t>”</w:t>
      </w:r>
      <w:r w:rsidR="002B0899">
        <w:rPr>
          <w:rStyle w:val="FootnoteReference"/>
          <w:sz w:val="22"/>
          <w:szCs w:val="22"/>
        </w:rPr>
        <w:footnoteReference w:id="8"/>
      </w:r>
      <w:r w:rsidR="002B0899">
        <w:rPr>
          <w:sz w:val="22"/>
          <w:szCs w:val="22"/>
        </w:rPr>
        <w:t xml:space="preserve">  WLNY further states that </w:t>
      </w:r>
      <w:r w:rsidR="002B0899">
        <w:rPr>
          <w:sz w:val="22"/>
          <w:szCs w:val="22"/>
        </w:rPr>
        <w:lastRenderedPageBreak/>
        <w:t>“</w:t>
      </w:r>
      <w:r w:rsidR="006124D3">
        <w:rPr>
          <w:sz w:val="22"/>
          <w:szCs w:val="22"/>
        </w:rPr>
        <w:t>a grant of the W</w:t>
      </w:r>
      <w:r w:rsidR="002B0899">
        <w:rPr>
          <w:sz w:val="22"/>
          <w:szCs w:val="22"/>
        </w:rPr>
        <w:t>LI</w:t>
      </w:r>
      <w:r w:rsidR="006124D3">
        <w:rPr>
          <w:sz w:val="22"/>
          <w:szCs w:val="22"/>
        </w:rPr>
        <w:t>G</w:t>
      </w:r>
      <w:r w:rsidR="002B0899">
        <w:rPr>
          <w:sz w:val="22"/>
          <w:szCs w:val="22"/>
        </w:rPr>
        <w:t>-LP</w:t>
      </w:r>
      <w:r w:rsidR="006124D3">
        <w:rPr>
          <w:sz w:val="22"/>
          <w:szCs w:val="22"/>
        </w:rPr>
        <w:t xml:space="preserve"> digital channel 17 proposal will afford the channel 16 land mobile service significantly more interference protection” than the current analog channel 17 operation.</w:t>
      </w:r>
      <w:r w:rsidR="006124D3">
        <w:rPr>
          <w:rStyle w:val="FootnoteReference"/>
          <w:sz w:val="22"/>
          <w:szCs w:val="22"/>
        </w:rPr>
        <w:footnoteReference w:id="9"/>
      </w:r>
    </w:p>
    <w:p w:rsidR="00C62B97" w:rsidRDefault="00C62B97" w:rsidP="00114120">
      <w:pPr>
        <w:autoSpaceDE w:val="0"/>
        <w:autoSpaceDN w:val="0"/>
        <w:adjustRightInd w:val="0"/>
        <w:ind w:firstLine="720"/>
        <w:rPr>
          <w:sz w:val="22"/>
          <w:szCs w:val="22"/>
        </w:rPr>
      </w:pPr>
    </w:p>
    <w:p w:rsidR="00EE290D" w:rsidRPr="00466E8B" w:rsidRDefault="006F3D1B" w:rsidP="00114120">
      <w:pPr>
        <w:autoSpaceDE w:val="0"/>
        <w:autoSpaceDN w:val="0"/>
        <w:adjustRightInd w:val="0"/>
        <w:ind w:firstLine="720"/>
        <w:rPr>
          <w:sz w:val="22"/>
          <w:szCs w:val="22"/>
        </w:rPr>
      </w:pPr>
      <w:r>
        <w:rPr>
          <w:sz w:val="22"/>
          <w:szCs w:val="22"/>
        </w:rPr>
        <w:t>Specifically</w:t>
      </w:r>
      <w:r w:rsidR="003A5170">
        <w:rPr>
          <w:sz w:val="22"/>
          <w:szCs w:val="22"/>
        </w:rPr>
        <w:t xml:space="preserve">, </w:t>
      </w:r>
      <w:r w:rsidR="00114120" w:rsidRPr="00466E8B">
        <w:rPr>
          <w:sz w:val="22"/>
          <w:szCs w:val="22"/>
        </w:rPr>
        <w:t xml:space="preserve">WLNY states that </w:t>
      </w:r>
      <w:r w:rsidR="00EC59E8" w:rsidRPr="00466E8B">
        <w:rPr>
          <w:sz w:val="22"/>
          <w:szCs w:val="22"/>
        </w:rPr>
        <w:t>“in actuality the flashcut to digital channel 17 with a full service</w:t>
      </w:r>
      <w:r w:rsidR="00B51F96" w:rsidRPr="00466E8B">
        <w:rPr>
          <w:sz w:val="22"/>
          <w:szCs w:val="22"/>
        </w:rPr>
        <w:t xml:space="preserve"> </w:t>
      </w:r>
      <w:r w:rsidR="00EC59E8" w:rsidRPr="00466E8B">
        <w:rPr>
          <w:sz w:val="22"/>
          <w:szCs w:val="22"/>
        </w:rPr>
        <w:t xml:space="preserve">mask filter together with the existing multi-section filter now used by the station, will dramatically decrease out-of-band emissions to the adjacent channel 16 spectrum </w:t>
      </w:r>
      <w:r w:rsidR="000907C3" w:rsidRPr="00466E8B">
        <w:rPr>
          <w:sz w:val="22"/>
          <w:szCs w:val="22"/>
        </w:rPr>
        <w:t xml:space="preserve">and will afford the channel </w:t>
      </w:r>
      <w:r w:rsidR="00343061" w:rsidRPr="00466E8B">
        <w:rPr>
          <w:sz w:val="22"/>
          <w:szCs w:val="22"/>
        </w:rPr>
        <w:t>16 land mobile service significantly greater protection against interference than currently exists.”</w:t>
      </w:r>
      <w:r w:rsidR="00343061" w:rsidRPr="00466E8B">
        <w:rPr>
          <w:rStyle w:val="FootnoteReference"/>
          <w:sz w:val="22"/>
          <w:szCs w:val="22"/>
        </w:rPr>
        <w:footnoteReference w:id="10"/>
      </w:r>
      <w:r w:rsidR="00114120" w:rsidRPr="00466E8B">
        <w:rPr>
          <w:sz w:val="22"/>
          <w:szCs w:val="22"/>
        </w:rPr>
        <w:t xml:space="preserve">  </w:t>
      </w:r>
      <w:r w:rsidR="00307701" w:rsidRPr="00466E8B">
        <w:rPr>
          <w:sz w:val="22"/>
          <w:szCs w:val="22"/>
        </w:rPr>
        <w:t>WLNY asserts that “</w:t>
      </w:r>
      <w:r w:rsidR="007B2594" w:rsidRPr="00466E8B">
        <w:rPr>
          <w:sz w:val="22"/>
          <w:szCs w:val="22"/>
        </w:rPr>
        <w:t>FCC rules recognize that the out-of-band emissions 3</w:t>
      </w:r>
      <w:r w:rsidR="003A5170">
        <w:rPr>
          <w:sz w:val="22"/>
          <w:szCs w:val="22"/>
        </w:rPr>
        <w:t xml:space="preserve"> </w:t>
      </w:r>
      <w:r w:rsidR="007B2594" w:rsidRPr="00466E8B">
        <w:rPr>
          <w:sz w:val="22"/>
          <w:szCs w:val="22"/>
        </w:rPr>
        <w:t>MHz from the LPTV channel band edge in the land mobile band are reduced 76 dB for digital LPTV operations compared to 60 dB for analog LPTV operations – a further reduction of 16 dB.</w:t>
      </w:r>
      <w:r w:rsidR="00307701" w:rsidRPr="00466E8B">
        <w:rPr>
          <w:sz w:val="22"/>
          <w:szCs w:val="22"/>
        </w:rPr>
        <w:t>”</w:t>
      </w:r>
      <w:r w:rsidR="00307701" w:rsidRPr="00466E8B">
        <w:rPr>
          <w:rStyle w:val="FootnoteReference"/>
          <w:sz w:val="22"/>
          <w:szCs w:val="22"/>
        </w:rPr>
        <w:footnoteReference w:id="11"/>
      </w:r>
      <w:r w:rsidR="00114120" w:rsidRPr="00466E8B">
        <w:rPr>
          <w:sz w:val="22"/>
          <w:szCs w:val="22"/>
        </w:rPr>
        <w:t xml:space="preserve"> </w:t>
      </w:r>
      <w:r w:rsidR="007B2594" w:rsidRPr="00466E8B">
        <w:rPr>
          <w:sz w:val="22"/>
          <w:szCs w:val="22"/>
        </w:rPr>
        <w:t xml:space="preserve"> </w:t>
      </w:r>
      <w:r w:rsidR="00117112">
        <w:rPr>
          <w:sz w:val="22"/>
          <w:szCs w:val="22"/>
        </w:rPr>
        <w:t>Further</w:t>
      </w:r>
      <w:r w:rsidR="00114120" w:rsidRPr="00466E8B">
        <w:rPr>
          <w:sz w:val="22"/>
          <w:szCs w:val="22"/>
        </w:rPr>
        <w:t>, WLNY states that “</w:t>
      </w:r>
      <w:r w:rsidR="007B2594" w:rsidRPr="00466E8B">
        <w:rPr>
          <w:sz w:val="22"/>
          <w:szCs w:val="22"/>
        </w:rPr>
        <w:t>if we consider the current analog radiated power of the LPTV station in the land mobile spectrum to be 100%, the proposed change to digital will reduce that radiated power to 2.5%</w:t>
      </w:r>
      <w:r w:rsidR="00114120" w:rsidRPr="00466E8B">
        <w:rPr>
          <w:sz w:val="22"/>
          <w:szCs w:val="22"/>
        </w:rPr>
        <w:t>”</w:t>
      </w:r>
      <w:r w:rsidR="00D24F4A" w:rsidRPr="00466E8B">
        <w:rPr>
          <w:rStyle w:val="FootnoteReference"/>
          <w:sz w:val="22"/>
          <w:szCs w:val="22"/>
        </w:rPr>
        <w:footnoteReference w:id="12"/>
      </w:r>
      <w:r w:rsidR="00114120" w:rsidRPr="00466E8B">
        <w:rPr>
          <w:sz w:val="22"/>
          <w:szCs w:val="22"/>
        </w:rPr>
        <w:t xml:space="preserve"> and </w:t>
      </w:r>
      <w:r w:rsidR="00D24F4A" w:rsidRPr="00466E8B">
        <w:rPr>
          <w:sz w:val="22"/>
          <w:szCs w:val="22"/>
        </w:rPr>
        <w:t>maintains</w:t>
      </w:r>
      <w:r w:rsidR="00114120" w:rsidRPr="00466E8B">
        <w:rPr>
          <w:sz w:val="22"/>
          <w:szCs w:val="22"/>
        </w:rPr>
        <w:t xml:space="preserve"> that the “</w:t>
      </w:r>
      <w:r w:rsidR="007B2594" w:rsidRPr="00466E8B">
        <w:rPr>
          <w:sz w:val="22"/>
          <w:szCs w:val="22"/>
        </w:rPr>
        <w:t>decrease in emissions will provide the land mobile service significantly greater interference protection than that which exists based on WLIG-LP’s current analog operation.</w:t>
      </w:r>
      <w:r w:rsidR="00114120" w:rsidRPr="00466E8B">
        <w:rPr>
          <w:sz w:val="22"/>
          <w:szCs w:val="22"/>
        </w:rPr>
        <w:t>”</w:t>
      </w:r>
      <w:r w:rsidR="00D24F4A" w:rsidRPr="00466E8B">
        <w:rPr>
          <w:rStyle w:val="FootnoteReference"/>
          <w:sz w:val="22"/>
          <w:szCs w:val="22"/>
        </w:rPr>
        <w:footnoteReference w:id="13"/>
      </w:r>
    </w:p>
    <w:p w:rsidR="00250285" w:rsidRDefault="00250285">
      <w:pPr>
        <w:autoSpaceDE w:val="0"/>
        <w:autoSpaceDN w:val="0"/>
        <w:adjustRightInd w:val="0"/>
        <w:ind w:firstLine="720"/>
        <w:rPr>
          <w:sz w:val="22"/>
          <w:szCs w:val="22"/>
        </w:rPr>
      </w:pPr>
    </w:p>
    <w:p w:rsidR="00CC53FB" w:rsidRPr="00466E8B" w:rsidRDefault="003751CC">
      <w:pPr>
        <w:autoSpaceDE w:val="0"/>
        <w:autoSpaceDN w:val="0"/>
        <w:adjustRightInd w:val="0"/>
        <w:ind w:firstLine="720"/>
        <w:rPr>
          <w:sz w:val="22"/>
          <w:szCs w:val="22"/>
        </w:rPr>
      </w:pPr>
      <w:r w:rsidRPr="00466E8B">
        <w:rPr>
          <w:sz w:val="22"/>
          <w:szCs w:val="22"/>
        </w:rPr>
        <w:t>WLNY concludes that granting its proposal “will enhance the interference protection for the channel 16 land mobile service [</w:t>
      </w:r>
      <w:r w:rsidR="005177BE">
        <w:rPr>
          <w:sz w:val="22"/>
          <w:szCs w:val="22"/>
        </w:rPr>
        <w:t xml:space="preserve">and </w:t>
      </w:r>
      <w:r w:rsidRPr="00466E8B">
        <w:rPr>
          <w:sz w:val="22"/>
          <w:szCs w:val="22"/>
        </w:rPr>
        <w:t>therefore] has no downside and is risk-free for all parties.”</w:t>
      </w:r>
      <w:r w:rsidRPr="00466E8B">
        <w:rPr>
          <w:rStyle w:val="FootnoteReference"/>
          <w:sz w:val="22"/>
          <w:szCs w:val="22"/>
        </w:rPr>
        <w:footnoteReference w:id="14"/>
      </w:r>
      <w:r w:rsidRPr="00466E8B">
        <w:rPr>
          <w:sz w:val="22"/>
          <w:szCs w:val="22"/>
        </w:rPr>
        <w:t xml:space="preserve"> </w:t>
      </w:r>
      <w:r w:rsidR="004E3F68" w:rsidRPr="00466E8B">
        <w:rPr>
          <w:sz w:val="22"/>
          <w:szCs w:val="22"/>
        </w:rPr>
        <w:t xml:space="preserve"> </w:t>
      </w:r>
      <w:r w:rsidRPr="00466E8B">
        <w:rPr>
          <w:sz w:val="22"/>
          <w:szCs w:val="22"/>
        </w:rPr>
        <w:t>WLNY asserts that “if interference ever occurs, WLIG-LP, as a secondary service, will be required to eliminate the i</w:t>
      </w:r>
      <w:r w:rsidR="00C81266" w:rsidRPr="00466E8B">
        <w:rPr>
          <w:sz w:val="22"/>
          <w:szCs w:val="22"/>
        </w:rPr>
        <w:t>nterference or cease operations</w:t>
      </w:r>
      <w:r w:rsidRPr="00466E8B">
        <w:rPr>
          <w:sz w:val="22"/>
          <w:szCs w:val="22"/>
        </w:rPr>
        <w:t>”</w:t>
      </w:r>
      <w:r w:rsidR="00C81266" w:rsidRPr="00466E8B">
        <w:rPr>
          <w:sz w:val="22"/>
          <w:szCs w:val="22"/>
        </w:rPr>
        <w:t xml:space="preserve"> and that “</w:t>
      </w:r>
      <w:r w:rsidRPr="00466E8B">
        <w:rPr>
          <w:sz w:val="22"/>
          <w:szCs w:val="22"/>
        </w:rPr>
        <w:t>FCC can condition the WLIG-LP construction permit to require the station to 1) eliminate interference or cease operation should interference ever occur and 2) install and operate with a full service mask filter and multi-section filter.</w:t>
      </w:r>
      <w:r w:rsidR="00C81266" w:rsidRPr="00466E8B">
        <w:rPr>
          <w:sz w:val="22"/>
          <w:szCs w:val="22"/>
        </w:rPr>
        <w:t>”</w:t>
      </w:r>
      <w:r w:rsidR="00EC181C" w:rsidRPr="00466E8B">
        <w:rPr>
          <w:rStyle w:val="FootnoteReference"/>
          <w:sz w:val="22"/>
          <w:szCs w:val="22"/>
        </w:rPr>
        <w:footnoteReference w:id="15"/>
      </w:r>
    </w:p>
    <w:p w:rsidR="008D23D4" w:rsidRDefault="008D23D4" w:rsidP="008D23D4">
      <w:pPr>
        <w:autoSpaceDE w:val="0"/>
        <w:autoSpaceDN w:val="0"/>
        <w:adjustRightInd w:val="0"/>
        <w:ind w:firstLine="720"/>
        <w:rPr>
          <w:sz w:val="23"/>
          <w:szCs w:val="23"/>
        </w:rPr>
      </w:pPr>
    </w:p>
    <w:p w:rsidR="008E3A55" w:rsidRDefault="00BD484D">
      <w:pPr>
        <w:autoSpaceDE w:val="0"/>
        <w:autoSpaceDN w:val="0"/>
        <w:adjustRightInd w:val="0"/>
        <w:ind w:firstLine="720"/>
        <w:rPr>
          <w:sz w:val="23"/>
          <w:szCs w:val="23"/>
        </w:rPr>
      </w:pPr>
      <w:r w:rsidRPr="00466E8B">
        <w:rPr>
          <w:sz w:val="22"/>
          <w:szCs w:val="22"/>
        </w:rPr>
        <w:t xml:space="preserve">In support of </w:t>
      </w:r>
      <w:r w:rsidR="00E1559A" w:rsidRPr="00466E8B">
        <w:rPr>
          <w:sz w:val="22"/>
          <w:szCs w:val="22"/>
        </w:rPr>
        <w:t>its</w:t>
      </w:r>
      <w:r w:rsidRPr="00466E8B">
        <w:rPr>
          <w:sz w:val="22"/>
          <w:szCs w:val="22"/>
        </w:rPr>
        <w:t xml:space="preserve"> waiver request, WLNY submit</w:t>
      </w:r>
      <w:r w:rsidR="00280EFA">
        <w:rPr>
          <w:sz w:val="22"/>
          <w:szCs w:val="22"/>
        </w:rPr>
        <w:t>ted</w:t>
      </w:r>
      <w:r w:rsidRPr="00466E8B">
        <w:rPr>
          <w:sz w:val="22"/>
          <w:szCs w:val="22"/>
        </w:rPr>
        <w:t xml:space="preserve">, an engineering analysis </w:t>
      </w:r>
      <w:r w:rsidR="00280EFA">
        <w:rPr>
          <w:sz w:val="22"/>
          <w:szCs w:val="22"/>
        </w:rPr>
        <w:t xml:space="preserve">(Exhibit 13) </w:t>
      </w:r>
      <w:r w:rsidR="001D3452" w:rsidRPr="00466E8B">
        <w:rPr>
          <w:sz w:val="22"/>
          <w:szCs w:val="22"/>
        </w:rPr>
        <w:t xml:space="preserve">which indicates </w:t>
      </w:r>
      <w:r w:rsidRPr="00466E8B">
        <w:rPr>
          <w:sz w:val="22"/>
          <w:szCs w:val="22"/>
        </w:rPr>
        <w:t>that</w:t>
      </w:r>
      <w:r w:rsidR="001D3452" w:rsidRPr="00466E8B">
        <w:rPr>
          <w:sz w:val="22"/>
          <w:szCs w:val="22"/>
        </w:rPr>
        <w:t xml:space="preserve"> </w:t>
      </w:r>
      <w:r w:rsidR="005C496B">
        <w:rPr>
          <w:sz w:val="22"/>
          <w:szCs w:val="22"/>
        </w:rPr>
        <w:t>“</w:t>
      </w:r>
      <w:r w:rsidR="001D3452" w:rsidRPr="00466E8B">
        <w:rPr>
          <w:sz w:val="22"/>
          <w:szCs w:val="22"/>
        </w:rPr>
        <w:t>the proposed WLIG-LP digital facility is identical [to] its licensed analog facility in terms of frequency, ERP, antenna system and site location.”</w:t>
      </w:r>
      <w:r w:rsidR="001D3452" w:rsidRPr="00466E8B">
        <w:rPr>
          <w:rStyle w:val="FootnoteReference"/>
          <w:sz w:val="22"/>
          <w:szCs w:val="22"/>
        </w:rPr>
        <w:footnoteReference w:id="16"/>
      </w:r>
      <w:r w:rsidR="001D3452" w:rsidRPr="00466E8B">
        <w:rPr>
          <w:sz w:val="22"/>
          <w:szCs w:val="22"/>
        </w:rPr>
        <w:t xml:space="preserve">  </w:t>
      </w:r>
    </w:p>
    <w:p w:rsidR="00CC53FB" w:rsidRPr="003F5243" w:rsidRDefault="00C81266" w:rsidP="00CC53FB">
      <w:pPr>
        <w:ind w:firstLine="720"/>
        <w:rPr>
          <w:sz w:val="22"/>
          <w:szCs w:val="22"/>
        </w:rPr>
      </w:pPr>
      <w:r>
        <w:rPr>
          <w:sz w:val="22"/>
          <w:szCs w:val="22"/>
        </w:rPr>
        <w:t>Accordingly, we</w:t>
      </w:r>
      <w:r w:rsidR="00CC53FB" w:rsidRPr="003F5243">
        <w:rPr>
          <w:sz w:val="22"/>
          <w:szCs w:val="22"/>
        </w:rPr>
        <w:t xml:space="preserve"> invite comment and analy</w:t>
      </w:r>
      <w:r w:rsidR="00CC53FB">
        <w:rPr>
          <w:sz w:val="22"/>
          <w:szCs w:val="22"/>
        </w:rPr>
        <w:t>sis on the impact of the WLNY’</w:t>
      </w:r>
      <w:r w:rsidR="00CC53FB" w:rsidRPr="003F5243">
        <w:rPr>
          <w:sz w:val="22"/>
          <w:szCs w:val="22"/>
        </w:rPr>
        <w:t xml:space="preserve">s waiver request on </w:t>
      </w:r>
      <w:r w:rsidR="0062486B">
        <w:rPr>
          <w:sz w:val="22"/>
          <w:szCs w:val="22"/>
        </w:rPr>
        <w:t>the land mobile service on the adjacent channel 16 in the New York metropolitan area.</w:t>
      </w:r>
      <w:r w:rsidR="0062486B">
        <w:rPr>
          <w:rStyle w:val="FootnoteReference"/>
          <w:sz w:val="22"/>
          <w:szCs w:val="22"/>
        </w:rPr>
        <w:footnoteReference w:id="17"/>
      </w:r>
    </w:p>
    <w:p w:rsidR="00EE290D" w:rsidRDefault="00EE290D">
      <w:pPr>
        <w:ind w:firstLine="720"/>
        <w:rPr>
          <w:color w:val="000000"/>
          <w:sz w:val="22"/>
          <w:szCs w:val="22"/>
        </w:rPr>
      </w:pPr>
    </w:p>
    <w:p w:rsidR="00D85C5E" w:rsidRPr="00D85C5E" w:rsidRDefault="00D85C5E" w:rsidP="00D85C5E">
      <w:pPr>
        <w:ind w:firstLine="720"/>
        <w:rPr>
          <w:sz w:val="22"/>
          <w:szCs w:val="22"/>
        </w:rPr>
      </w:pPr>
      <w:r w:rsidRPr="00D85C5E">
        <w:rPr>
          <w:sz w:val="22"/>
          <w:szCs w:val="22"/>
        </w:rPr>
        <w:t>Comments filed through the ECFS can be sent as an electronic file via the Internet to http:// www.fcc.gov/cgb/ecfs/.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w:t>
      </w:r>
    </w:p>
    <w:p w:rsidR="00D85C5E" w:rsidRPr="00D85C5E" w:rsidRDefault="00D85C5E" w:rsidP="00D85C5E">
      <w:pPr>
        <w:ind w:firstLine="720"/>
        <w:rPr>
          <w:sz w:val="22"/>
          <w:szCs w:val="22"/>
        </w:rPr>
      </w:pPr>
    </w:p>
    <w:p w:rsidR="00D85C5E" w:rsidRPr="00D85C5E" w:rsidRDefault="00D85C5E" w:rsidP="00D85C5E">
      <w:pPr>
        <w:ind w:firstLine="720"/>
        <w:rPr>
          <w:sz w:val="22"/>
          <w:szCs w:val="22"/>
        </w:rPr>
      </w:pPr>
      <w:r w:rsidRPr="00D85C5E">
        <w:rPr>
          <w:sz w:val="22"/>
          <w:szCs w:val="22"/>
        </w:rPr>
        <w:lastRenderedPageBreak/>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D85C5E" w:rsidRPr="00D85C5E" w:rsidRDefault="00D85C5E" w:rsidP="00D85C5E">
      <w:pPr>
        <w:ind w:firstLine="720"/>
        <w:rPr>
          <w:sz w:val="22"/>
          <w:szCs w:val="22"/>
        </w:rPr>
      </w:pPr>
    </w:p>
    <w:p w:rsidR="00D85C5E" w:rsidRPr="00D85C5E" w:rsidRDefault="00D85C5E" w:rsidP="00D85C5E">
      <w:pPr>
        <w:ind w:firstLine="720"/>
        <w:rPr>
          <w:sz w:val="22"/>
          <w:szCs w:val="22"/>
        </w:rPr>
      </w:pPr>
      <w:r w:rsidRPr="00D85C5E">
        <w:rPr>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85C5E" w:rsidRPr="00D85C5E" w:rsidRDefault="00D85C5E" w:rsidP="00D85C5E">
      <w:pPr>
        <w:ind w:firstLine="720"/>
        <w:rPr>
          <w:sz w:val="22"/>
          <w:szCs w:val="22"/>
        </w:rPr>
      </w:pPr>
    </w:p>
    <w:p w:rsidR="00D85C5E" w:rsidRPr="00D85C5E" w:rsidRDefault="00D85C5E" w:rsidP="00D85C5E">
      <w:pPr>
        <w:ind w:firstLine="720"/>
        <w:rPr>
          <w:sz w:val="22"/>
          <w:szCs w:val="22"/>
        </w:rPr>
      </w:pPr>
      <w:r w:rsidRPr="00D85C5E">
        <w:rPr>
          <w:sz w:val="22"/>
          <w:szCs w:val="22"/>
        </w:rPr>
        <w:t>-Deliver hand-delivered or messenger-delivered paper filings to FCC Headquarters at 445 12</w:t>
      </w:r>
      <w:r w:rsidRPr="00D85C5E">
        <w:rPr>
          <w:sz w:val="22"/>
          <w:szCs w:val="22"/>
          <w:vertAlign w:val="superscript"/>
        </w:rPr>
        <w:t>th</w:t>
      </w:r>
      <w:r w:rsidRPr="00D85C5E">
        <w:rPr>
          <w:sz w:val="22"/>
          <w:szCs w:val="22"/>
        </w:rPr>
        <w:t xml:space="preserve"> St., S.W., Room TW-A325, Washington, DC 20554.  All hand deliveries must be held together with rubber bands or fasteners.  Envelopes must be disposed of before entering the building.  The filing hours at this location are 8:00 a.m. to 7:00 p.m.  </w:t>
      </w:r>
    </w:p>
    <w:p w:rsidR="00D85C5E" w:rsidRPr="00D85C5E" w:rsidRDefault="00D85C5E" w:rsidP="00D85C5E">
      <w:pPr>
        <w:ind w:firstLine="720"/>
        <w:rPr>
          <w:sz w:val="22"/>
          <w:szCs w:val="22"/>
        </w:rPr>
      </w:pPr>
    </w:p>
    <w:p w:rsidR="00D85C5E" w:rsidRPr="00D85C5E" w:rsidRDefault="00D85C5E" w:rsidP="00D85C5E">
      <w:pPr>
        <w:ind w:firstLine="720"/>
        <w:rPr>
          <w:sz w:val="22"/>
          <w:szCs w:val="22"/>
        </w:rPr>
      </w:pPr>
      <w:r w:rsidRPr="00D85C5E">
        <w:rPr>
          <w:sz w:val="22"/>
          <w:szCs w:val="22"/>
        </w:rPr>
        <w:t>-Commercial overnight mail (other than U.S. Postal Service Express Mail and Priority Mail) must be sent to 9300 East Hampton Drive, Capitol Heights, MD 20743.</w:t>
      </w:r>
    </w:p>
    <w:p w:rsidR="00D85C5E" w:rsidRPr="00D85C5E" w:rsidRDefault="00D85C5E" w:rsidP="00D85C5E">
      <w:pPr>
        <w:ind w:firstLine="720"/>
        <w:rPr>
          <w:sz w:val="22"/>
          <w:szCs w:val="22"/>
        </w:rPr>
      </w:pPr>
    </w:p>
    <w:p w:rsidR="00D85C5E" w:rsidRPr="00D85C5E" w:rsidRDefault="00D85C5E" w:rsidP="00D85C5E">
      <w:pPr>
        <w:ind w:firstLine="720"/>
        <w:rPr>
          <w:sz w:val="22"/>
          <w:szCs w:val="22"/>
        </w:rPr>
      </w:pPr>
      <w:r w:rsidRPr="00D85C5E">
        <w:rPr>
          <w:sz w:val="22"/>
          <w:szCs w:val="22"/>
        </w:rPr>
        <w:t>-U.S. Postal Service first-class mail, Express Mail, and Priority Mail should be addressed to 445 12th Street, S.W., Washington, DC 20554.</w:t>
      </w:r>
    </w:p>
    <w:p w:rsidR="00D85C5E" w:rsidRPr="00D85C5E" w:rsidRDefault="00D85C5E" w:rsidP="00D85C5E">
      <w:pPr>
        <w:ind w:firstLine="720"/>
        <w:rPr>
          <w:sz w:val="22"/>
          <w:szCs w:val="22"/>
        </w:rPr>
      </w:pPr>
    </w:p>
    <w:p w:rsidR="00D85C5E" w:rsidRPr="00D85C5E" w:rsidRDefault="00D85C5E" w:rsidP="00D85C5E">
      <w:pPr>
        <w:ind w:firstLine="720"/>
        <w:rPr>
          <w:sz w:val="22"/>
          <w:szCs w:val="22"/>
        </w:rPr>
      </w:pPr>
      <w:r w:rsidRPr="00D85C5E">
        <w:rPr>
          <w:sz w:val="22"/>
          <w:szCs w:val="22"/>
        </w:rPr>
        <w:t>Parties are requested to send one copy of their comments and reply comments to Best Copy and Printing, Inc., Portals II, 445 12th Street, S.W., Room CY-B402, Washington, DC 20554, (800) 378-3160, e-mail FCC@BCPIWEB.com.</w:t>
      </w:r>
    </w:p>
    <w:p w:rsidR="00EE290D" w:rsidRDefault="00EE290D">
      <w:pPr>
        <w:rPr>
          <w:sz w:val="22"/>
          <w:szCs w:val="22"/>
        </w:rPr>
      </w:pPr>
    </w:p>
    <w:p w:rsidR="00D85C5E" w:rsidRPr="006247AA" w:rsidRDefault="00D85C5E" w:rsidP="00D85C5E">
      <w:pPr>
        <w:ind w:firstLine="720"/>
        <w:rPr>
          <w:sz w:val="22"/>
          <w:szCs w:val="22"/>
        </w:rPr>
      </w:pPr>
      <w:r w:rsidRPr="006247AA">
        <w:rPr>
          <w:sz w:val="22"/>
          <w:szCs w:val="22"/>
        </w:rPr>
        <w:t xml:space="preserve">The request, and comments and reply comments filed in response to this </w:t>
      </w:r>
      <w:r w:rsidRPr="006247AA">
        <w:rPr>
          <w:i/>
          <w:sz w:val="22"/>
          <w:szCs w:val="22"/>
        </w:rPr>
        <w:t>Public Notice</w:t>
      </w:r>
      <w:r w:rsidRPr="006247AA">
        <w:rPr>
          <w:sz w:val="22"/>
          <w:szCs w:val="22"/>
        </w:rPr>
        <w:t xml:space="preserve"> are available for viewing via the Commission's Electronic Comment Filing System (ECFS) by entering the docket number, </w:t>
      </w:r>
      <w:r w:rsidRPr="006247AA">
        <w:rPr>
          <w:b/>
          <w:sz w:val="22"/>
          <w:szCs w:val="22"/>
        </w:rPr>
        <w:t>14-</w:t>
      </w:r>
      <w:r w:rsidR="00483E36">
        <w:rPr>
          <w:b/>
          <w:sz w:val="22"/>
          <w:szCs w:val="22"/>
        </w:rPr>
        <w:t>10</w:t>
      </w:r>
      <w:r w:rsidR="005A432B">
        <w:rPr>
          <w:b/>
          <w:sz w:val="22"/>
          <w:szCs w:val="22"/>
        </w:rPr>
        <w:t>8</w:t>
      </w:r>
      <w:r w:rsidRPr="006247AA">
        <w:rPr>
          <w:sz w:val="22"/>
          <w:szCs w:val="22"/>
        </w:rPr>
        <w:t>.  The documents also will be available for public</w:t>
      </w:r>
      <w:r>
        <w:rPr>
          <w:szCs w:val="22"/>
        </w:rPr>
        <w:t xml:space="preserve"> inspection and copying </w:t>
      </w:r>
      <w:r w:rsidRPr="006247AA">
        <w:rPr>
          <w:sz w:val="22"/>
          <w:szCs w:val="22"/>
        </w:rPr>
        <w:t>during business hours in the FCC Reference Information Center, Portals II, 445 12th Street S.W., Room CY-A257, Washington, D.C. 20554.  They may also be purchased from Best Copy and Printing, Inc., telephone (800) 378-3160, facsimile (202) 488-5563, TTY (202) 488-5562, e-mail FCC@BCPIWEB.com.</w:t>
      </w:r>
    </w:p>
    <w:p w:rsidR="00D85C5E" w:rsidRPr="006247AA" w:rsidRDefault="00D85C5E" w:rsidP="00D85C5E">
      <w:pPr>
        <w:ind w:firstLine="720"/>
        <w:rPr>
          <w:sz w:val="22"/>
          <w:szCs w:val="22"/>
        </w:rPr>
      </w:pPr>
    </w:p>
    <w:p w:rsidR="00D85C5E" w:rsidRPr="006247AA" w:rsidRDefault="00D85C5E" w:rsidP="00D85C5E">
      <w:pPr>
        <w:ind w:firstLine="720"/>
        <w:rPr>
          <w:sz w:val="22"/>
          <w:szCs w:val="22"/>
        </w:rPr>
      </w:pPr>
      <w:r w:rsidRPr="006247AA">
        <w:rPr>
          <w:sz w:val="22"/>
          <w:szCs w:val="22"/>
        </w:rPr>
        <w:t xml:space="preserve">Alternate formats of this </w:t>
      </w:r>
      <w:r w:rsidRPr="006247AA">
        <w:rPr>
          <w:i/>
          <w:sz w:val="22"/>
          <w:szCs w:val="22"/>
        </w:rPr>
        <w:t>Public Notice</w:t>
      </w:r>
      <w:r w:rsidRPr="006247AA">
        <w:rPr>
          <w:sz w:val="22"/>
          <w:szCs w:val="22"/>
        </w:rPr>
        <w:t xml:space="preserve"> (computer diskette, large print, audio recording, and Braille) are available to persons with disabilities by contacting the Consumer &amp; Governmental Affairs Bureau at (202) 418-0530 (voice), (202) 418-0432 (TTY), or send an e-mail to </w:t>
      </w:r>
      <w:hyperlink r:id="rId14" w:history="1">
        <w:r w:rsidRPr="006247AA">
          <w:rPr>
            <w:color w:val="0000FF"/>
            <w:sz w:val="22"/>
            <w:szCs w:val="22"/>
            <w:u w:val="single"/>
          </w:rPr>
          <w:t>fcc504@fcc.gov</w:t>
        </w:r>
      </w:hyperlink>
      <w:r w:rsidRPr="006247AA">
        <w:rPr>
          <w:sz w:val="22"/>
          <w:szCs w:val="22"/>
        </w:rPr>
        <w:t>.</w:t>
      </w:r>
    </w:p>
    <w:p w:rsidR="00D85C5E" w:rsidRPr="006247AA" w:rsidRDefault="00D85C5E" w:rsidP="00D85C5E">
      <w:pPr>
        <w:ind w:firstLine="720"/>
        <w:rPr>
          <w:sz w:val="22"/>
          <w:szCs w:val="22"/>
        </w:rPr>
      </w:pPr>
    </w:p>
    <w:p w:rsidR="00D85C5E" w:rsidRPr="006247AA" w:rsidRDefault="00D85C5E" w:rsidP="00D85C5E">
      <w:pPr>
        <w:ind w:firstLine="720"/>
        <w:rPr>
          <w:sz w:val="22"/>
          <w:szCs w:val="22"/>
        </w:rPr>
      </w:pPr>
      <w:r w:rsidRPr="006247AA">
        <w:rPr>
          <w:sz w:val="22"/>
          <w:szCs w:val="22"/>
        </w:rPr>
        <w:t xml:space="preserve">This proceeding has been designated as a “permit-but-disclose” proceeding in accordance with the Commission's </w:t>
      </w:r>
      <w:r w:rsidRPr="006247AA">
        <w:rPr>
          <w:i/>
          <w:sz w:val="22"/>
          <w:szCs w:val="22"/>
        </w:rPr>
        <w:t>ex parte</w:t>
      </w:r>
      <w:r w:rsidRPr="006247AA">
        <w:rPr>
          <w:sz w:val="22"/>
          <w:szCs w:val="22"/>
        </w:rPr>
        <w:t xml:space="preserve"> rules.</w:t>
      </w:r>
      <w:r w:rsidRPr="006247AA">
        <w:rPr>
          <w:sz w:val="22"/>
          <w:szCs w:val="22"/>
          <w:vertAlign w:val="superscript"/>
        </w:rPr>
        <w:footnoteReference w:id="18"/>
      </w:r>
      <w:r w:rsidRPr="006247AA">
        <w:rPr>
          <w:sz w:val="22"/>
          <w:szCs w:val="22"/>
        </w:rPr>
        <w:t xml:space="preserve">  Persons making </w:t>
      </w:r>
      <w:r w:rsidRPr="006247AA">
        <w:rPr>
          <w:i/>
          <w:sz w:val="22"/>
          <w:szCs w:val="22"/>
        </w:rPr>
        <w:t xml:space="preserve">ex parte </w:t>
      </w:r>
      <w:r w:rsidRPr="006247AA">
        <w:rPr>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247AA">
        <w:rPr>
          <w:i/>
          <w:iCs/>
          <w:sz w:val="22"/>
          <w:szCs w:val="22"/>
        </w:rPr>
        <w:t xml:space="preserve">ex parte </w:t>
      </w:r>
      <w:r w:rsidRPr="006247AA">
        <w:rPr>
          <w:sz w:val="22"/>
          <w:szCs w:val="22"/>
        </w:rPr>
        <w:t xml:space="preserve">presentations are reminded that memoranda summarizing the presentation must (1) list all persons attending or otherwise participating in the meeting at which the </w:t>
      </w:r>
      <w:r w:rsidRPr="006247AA">
        <w:rPr>
          <w:i/>
          <w:iCs/>
          <w:sz w:val="22"/>
          <w:szCs w:val="22"/>
        </w:rPr>
        <w:t xml:space="preserve">ex parte </w:t>
      </w:r>
      <w:r w:rsidRPr="006247AA">
        <w:rPr>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247AA">
        <w:rPr>
          <w:i/>
          <w:iCs/>
          <w:sz w:val="22"/>
          <w:szCs w:val="22"/>
        </w:rPr>
        <w:t xml:space="preserve">ex parte </w:t>
      </w:r>
      <w:r w:rsidRPr="006247AA">
        <w:rPr>
          <w:sz w:val="22"/>
          <w:szCs w:val="22"/>
        </w:rPr>
        <w:t xml:space="preserve">meetings are deemed to be written </w:t>
      </w:r>
      <w:r w:rsidRPr="006247AA">
        <w:rPr>
          <w:i/>
          <w:iCs/>
          <w:sz w:val="22"/>
          <w:szCs w:val="22"/>
        </w:rPr>
        <w:t>ex parte</w:t>
      </w:r>
      <w:r w:rsidRPr="006247AA">
        <w:rPr>
          <w:sz w:val="22"/>
          <w:szCs w:val="22"/>
        </w:rPr>
        <w:t xml:space="preserve"> presentations and must be filed consistent with rule 1.1206(b).  In proceedings governed by rule 1.49(f) or for which the Commission has made available a method of electronic filing, written </w:t>
      </w:r>
      <w:r w:rsidRPr="006247AA">
        <w:rPr>
          <w:i/>
          <w:iCs/>
          <w:sz w:val="22"/>
          <w:szCs w:val="22"/>
        </w:rPr>
        <w:t xml:space="preserve">ex parte </w:t>
      </w:r>
      <w:r w:rsidRPr="006247AA">
        <w:rPr>
          <w:sz w:val="22"/>
          <w:szCs w:val="22"/>
        </w:rPr>
        <w:t xml:space="preserve">presentations and memoranda summarizing oral </w:t>
      </w:r>
      <w:r w:rsidRPr="006247AA">
        <w:rPr>
          <w:i/>
          <w:iCs/>
          <w:sz w:val="22"/>
          <w:szCs w:val="22"/>
        </w:rPr>
        <w:t xml:space="preserve">ex parte </w:t>
      </w:r>
      <w:r w:rsidRPr="006247AA">
        <w:rPr>
          <w:sz w:val="22"/>
          <w:szCs w:val="22"/>
        </w:rPr>
        <w:t>presentations, and all attachments thereto, must be filed through the electronic comment filing system available for that proceeding, and must be filed in their native format (</w:t>
      </w:r>
      <w:r w:rsidRPr="006247AA">
        <w:rPr>
          <w:i/>
          <w:iCs/>
          <w:sz w:val="22"/>
          <w:szCs w:val="22"/>
        </w:rPr>
        <w:t>e.g.</w:t>
      </w:r>
      <w:r w:rsidRPr="006247AA">
        <w:rPr>
          <w:sz w:val="22"/>
          <w:szCs w:val="22"/>
        </w:rPr>
        <w:t xml:space="preserve">, .doc, .xml, .ppt, searchable .pdf).  Participants in this proceeding should familiarize themselves with the Commission’s </w:t>
      </w:r>
      <w:r w:rsidRPr="006247AA">
        <w:rPr>
          <w:i/>
          <w:iCs/>
          <w:sz w:val="22"/>
          <w:szCs w:val="22"/>
        </w:rPr>
        <w:t xml:space="preserve">ex parte </w:t>
      </w:r>
      <w:r w:rsidRPr="006247AA">
        <w:rPr>
          <w:sz w:val="22"/>
          <w:szCs w:val="22"/>
        </w:rPr>
        <w:t>rules.</w:t>
      </w:r>
    </w:p>
    <w:p w:rsidR="00EE290D" w:rsidRDefault="00EE290D">
      <w:pPr>
        <w:rPr>
          <w:sz w:val="22"/>
          <w:szCs w:val="22"/>
        </w:rPr>
      </w:pPr>
    </w:p>
    <w:p w:rsidR="00EE290D" w:rsidRDefault="00EE290D">
      <w:pPr>
        <w:ind w:firstLine="720"/>
        <w:rPr>
          <w:rFonts w:eastAsia="MS Mincho"/>
          <w:sz w:val="22"/>
          <w:szCs w:val="22"/>
        </w:rPr>
      </w:pPr>
      <w:r>
        <w:rPr>
          <w:rFonts w:eastAsia="MS Mincho"/>
          <w:sz w:val="22"/>
          <w:szCs w:val="22"/>
        </w:rPr>
        <w:t>For further information, contact</w:t>
      </w:r>
      <w:r w:rsidR="00A659CA">
        <w:rPr>
          <w:rFonts w:eastAsia="MS Mincho"/>
          <w:sz w:val="22"/>
          <w:szCs w:val="22"/>
        </w:rPr>
        <w:t xml:space="preserve"> Mr. </w:t>
      </w:r>
      <w:r w:rsidR="00361CFB">
        <w:rPr>
          <w:rFonts w:eastAsia="MS Mincho"/>
          <w:sz w:val="22"/>
          <w:szCs w:val="22"/>
        </w:rPr>
        <w:t>Hossein Hashemzadeh</w:t>
      </w:r>
      <w:r w:rsidR="00A659CA">
        <w:rPr>
          <w:rFonts w:eastAsia="MS Mincho"/>
          <w:sz w:val="22"/>
          <w:szCs w:val="22"/>
        </w:rPr>
        <w:t xml:space="preserve"> of the Video Division, Media Bureau at (202) 418-</w:t>
      </w:r>
      <w:r w:rsidR="00361CFB">
        <w:rPr>
          <w:rFonts w:eastAsia="MS Mincho"/>
          <w:sz w:val="22"/>
          <w:szCs w:val="22"/>
        </w:rPr>
        <w:t>1658</w:t>
      </w:r>
      <w:r w:rsidR="00A659CA">
        <w:rPr>
          <w:rFonts w:eastAsia="MS Mincho"/>
          <w:sz w:val="22"/>
          <w:szCs w:val="22"/>
        </w:rPr>
        <w:t xml:space="preserve"> (voice), (202) 418-7233 (tty), or via e-mail to </w:t>
      </w:r>
      <w:r w:rsidR="00361CFB">
        <w:rPr>
          <w:rFonts w:eastAsia="MS Mincho"/>
          <w:sz w:val="22"/>
          <w:szCs w:val="22"/>
        </w:rPr>
        <w:t>Hossein.Hashemzadeh</w:t>
      </w:r>
      <w:r w:rsidR="00A659CA">
        <w:rPr>
          <w:rFonts w:eastAsia="MS Mincho"/>
          <w:sz w:val="22"/>
          <w:szCs w:val="22"/>
        </w:rPr>
        <w:t>@fcc.gov, or</w:t>
      </w:r>
      <w:r>
        <w:rPr>
          <w:rFonts w:eastAsia="MS Mincho"/>
          <w:sz w:val="22"/>
          <w:szCs w:val="22"/>
        </w:rPr>
        <w:t xml:space="preserve"> M</w:t>
      </w:r>
      <w:r w:rsidR="006A0CFE">
        <w:rPr>
          <w:rFonts w:eastAsia="MS Mincho"/>
          <w:sz w:val="22"/>
          <w:szCs w:val="22"/>
        </w:rPr>
        <w:t>s</w:t>
      </w:r>
      <w:r>
        <w:rPr>
          <w:rFonts w:eastAsia="MS Mincho"/>
          <w:sz w:val="22"/>
          <w:szCs w:val="22"/>
        </w:rPr>
        <w:t>.</w:t>
      </w:r>
      <w:r w:rsidR="006A0CFE">
        <w:rPr>
          <w:rFonts w:eastAsia="MS Mincho"/>
          <w:sz w:val="22"/>
          <w:szCs w:val="22"/>
        </w:rPr>
        <w:t xml:space="preserve"> Uche Patrick </w:t>
      </w:r>
      <w:r>
        <w:rPr>
          <w:rFonts w:eastAsia="MS Mincho"/>
          <w:sz w:val="22"/>
          <w:szCs w:val="22"/>
        </w:rPr>
        <w:t>of the Policy and Licensing Division, Public Safety and Homeland Security Bureau at (202) 418-</w:t>
      </w:r>
      <w:r w:rsidR="006A0CFE">
        <w:rPr>
          <w:rFonts w:eastAsia="MS Mincho"/>
          <w:sz w:val="22"/>
          <w:szCs w:val="22"/>
        </w:rPr>
        <w:t>25</w:t>
      </w:r>
      <w:r w:rsidR="00A255EE">
        <w:rPr>
          <w:rFonts w:eastAsia="MS Mincho"/>
          <w:sz w:val="22"/>
          <w:szCs w:val="22"/>
        </w:rPr>
        <w:t>1</w:t>
      </w:r>
      <w:r w:rsidR="006A0CFE">
        <w:rPr>
          <w:rFonts w:eastAsia="MS Mincho"/>
          <w:sz w:val="22"/>
          <w:szCs w:val="22"/>
        </w:rPr>
        <w:t>8</w:t>
      </w:r>
      <w:r>
        <w:rPr>
          <w:rFonts w:eastAsia="MS Mincho"/>
          <w:sz w:val="22"/>
          <w:szCs w:val="22"/>
        </w:rPr>
        <w:t xml:space="preserve"> (voice), (202) 418-7233 (tty), or via e-mail to </w:t>
      </w:r>
      <w:r w:rsidR="006A0CFE">
        <w:rPr>
          <w:rFonts w:eastAsia="MS Mincho"/>
          <w:sz w:val="22"/>
          <w:szCs w:val="22"/>
        </w:rPr>
        <w:t>Uche.Patrick</w:t>
      </w:r>
      <w:r>
        <w:rPr>
          <w:rFonts w:eastAsia="MS Mincho"/>
          <w:sz w:val="22"/>
          <w:szCs w:val="22"/>
        </w:rPr>
        <w:t xml:space="preserve">@fcc.gov. </w:t>
      </w:r>
    </w:p>
    <w:p w:rsidR="00EE290D" w:rsidRDefault="00EE290D">
      <w:pPr>
        <w:autoSpaceDE w:val="0"/>
        <w:autoSpaceDN w:val="0"/>
        <w:adjustRightInd w:val="0"/>
        <w:rPr>
          <w:color w:val="000000"/>
          <w:sz w:val="22"/>
          <w:szCs w:val="22"/>
        </w:rPr>
      </w:pPr>
    </w:p>
    <w:p w:rsidR="00EE290D" w:rsidRDefault="00EE290D">
      <w:pPr>
        <w:ind w:firstLine="720"/>
        <w:rPr>
          <w:sz w:val="22"/>
          <w:szCs w:val="22"/>
        </w:rPr>
      </w:pPr>
      <w:r>
        <w:rPr>
          <w:sz w:val="22"/>
          <w:szCs w:val="22"/>
        </w:rPr>
        <w:t xml:space="preserve">By the </w:t>
      </w:r>
      <w:r w:rsidR="00A659CA">
        <w:rPr>
          <w:sz w:val="22"/>
          <w:szCs w:val="22"/>
        </w:rPr>
        <w:t xml:space="preserve">Deputy Chief, Media Bureau and </w:t>
      </w:r>
      <w:r>
        <w:rPr>
          <w:sz w:val="22"/>
          <w:szCs w:val="22"/>
        </w:rPr>
        <w:t>Deputy Chief, Public Safety and Homeland Security Bureau.</w:t>
      </w:r>
    </w:p>
    <w:p w:rsidR="00EE290D" w:rsidRDefault="00EE290D">
      <w:pPr>
        <w:autoSpaceDE w:val="0"/>
        <w:autoSpaceDN w:val="0"/>
        <w:adjustRightInd w:val="0"/>
        <w:rPr>
          <w:color w:val="000000"/>
          <w:sz w:val="22"/>
          <w:szCs w:val="22"/>
        </w:rPr>
      </w:pPr>
    </w:p>
    <w:p w:rsidR="00EE290D" w:rsidRDefault="00EE290D">
      <w:pPr>
        <w:jc w:val="center"/>
        <w:rPr>
          <w:sz w:val="22"/>
          <w:szCs w:val="22"/>
        </w:rPr>
      </w:pPr>
      <w:r>
        <w:rPr>
          <w:sz w:val="22"/>
          <w:szCs w:val="22"/>
        </w:rPr>
        <w:t xml:space="preserve">- </w:t>
      </w:r>
      <w:r w:rsidRPr="00756E4D">
        <w:rPr>
          <w:b/>
          <w:sz w:val="22"/>
          <w:szCs w:val="22"/>
        </w:rPr>
        <w:t>FCC</w:t>
      </w:r>
      <w:r>
        <w:rPr>
          <w:sz w:val="22"/>
          <w:szCs w:val="22"/>
        </w:rPr>
        <w:t xml:space="preserve"> -</w:t>
      </w:r>
    </w:p>
    <w:sectPr w:rsidR="00EE290D" w:rsidSect="00756E4D">
      <w:footerReference w:type="even" r:id="rId15"/>
      <w:footerReference w:type="default" r:id="rId16"/>
      <w:headerReference w:type="first" r:id="rId17"/>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0C" w:rsidRDefault="00BB420C">
      <w:r>
        <w:separator/>
      </w:r>
    </w:p>
  </w:endnote>
  <w:endnote w:type="continuationSeparator" w:id="0">
    <w:p w:rsidR="00BB420C" w:rsidRDefault="00BB420C">
      <w:r>
        <w:continuationSeparator/>
      </w:r>
    </w:p>
  </w:endnote>
  <w:endnote w:type="continuationNotice" w:id="1">
    <w:p w:rsidR="00BB420C" w:rsidRDefault="00BB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8C" w:rsidRDefault="00084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438C" w:rsidRDefault="000843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8C" w:rsidRDefault="00084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8438C" w:rsidRDefault="00084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C0" w:rsidRDefault="00A36B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8C" w:rsidRDefault="00084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8438C" w:rsidRDefault="000843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8C" w:rsidRDefault="00084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BCB">
      <w:rPr>
        <w:rStyle w:val="PageNumber"/>
        <w:noProof/>
      </w:rPr>
      <w:t>2</w:t>
    </w:r>
    <w:r>
      <w:rPr>
        <w:rStyle w:val="PageNumber"/>
      </w:rPr>
      <w:fldChar w:fldCharType="end"/>
    </w:r>
  </w:p>
  <w:p w:rsidR="0008438C" w:rsidRDefault="00084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0C" w:rsidRDefault="00BB420C">
      <w:r>
        <w:separator/>
      </w:r>
    </w:p>
  </w:footnote>
  <w:footnote w:type="continuationSeparator" w:id="0">
    <w:p w:rsidR="00BB420C" w:rsidRDefault="00BB420C">
      <w:r>
        <w:continuationSeparator/>
      </w:r>
    </w:p>
  </w:footnote>
  <w:footnote w:type="continuationNotice" w:id="1">
    <w:p w:rsidR="00BB420C" w:rsidRDefault="00BB420C"/>
  </w:footnote>
  <w:footnote w:id="2">
    <w:p w:rsidR="0008438C" w:rsidRDefault="0008438C" w:rsidP="00057273">
      <w:pPr>
        <w:pStyle w:val="FootnoteText"/>
      </w:pPr>
      <w:r w:rsidRPr="004E7DAA">
        <w:rPr>
          <w:rStyle w:val="FootnoteReference"/>
        </w:rPr>
        <w:footnoteRef/>
      </w:r>
      <w:r>
        <w:t xml:space="preserve"> </w:t>
      </w:r>
      <w:r w:rsidRPr="004E7DAA">
        <w:rPr>
          <w:i/>
        </w:rPr>
        <w:t>See</w:t>
      </w:r>
      <w:r>
        <w:t xml:space="preserve"> File No. BDFCDTL-20130603AUD (filed June 04, 2013, amended, June 17, 2014</w:t>
      </w:r>
      <w:r w:rsidR="00F32811">
        <w:t xml:space="preserve">, </w:t>
      </w:r>
      <w:hyperlink r:id="rId1" w:history="1">
        <w:r w:rsidR="007D6DCD" w:rsidRPr="007D6DCD">
          <w:rPr>
            <w:rStyle w:val="Hyperlink"/>
          </w:rPr>
          <w:t>https://licensing.fcc.gov/cgi-bin/ws.exe/prod/cdbs/forms/prod/cdbsmenu.hts?context=25&amp;appn=101641338&amp;formid=346&amp;fac_num=9378</w:t>
        </w:r>
      </w:hyperlink>
      <w:r w:rsidR="00F32811">
        <w:t xml:space="preserve"> </w:t>
      </w:r>
      <w:r w:rsidRPr="00057273">
        <w:t xml:space="preserve">).  </w:t>
      </w:r>
      <w:r w:rsidRPr="004E7DAA">
        <w:rPr>
          <w:i/>
        </w:rPr>
        <w:t>See also</w:t>
      </w:r>
      <w:r w:rsidRPr="00057273">
        <w:t xml:space="preserve"> attachment 12: Further Statement in Support of Waiver Request and Grant of Application </w:t>
      </w:r>
      <w:r>
        <w:t xml:space="preserve">(Waiver Request) and Clarification of </w:t>
      </w:r>
      <w:r w:rsidRPr="00057273">
        <w:t>Further Statement in Support of Waiver Request and Grant of Application</w:t>
      </w:r>
      <w:r>
        <w:t xml:space="preserve"> (Clarification Request).</w:t>
      </w:r>
    </w:p>
  </w:footnote>
  <w:footnote w:id="3">
    <w:p w:rsidR="0008438C" w:rsidRDefault="0008438C">
      <w:pPr>
        <w:pStyle w:val="FootnoteText"/>
      </w:pPr>
      <w:r>
        <w:rPr>
          <w:rStyle w:val="FootnoteReference"/>
        </w:rPr>
        <w:footnoteRef/>
      </w:r>
      <w:r>
        <w:t xml:space="preserve"> Waiver Request at 1. </w:t>
      </w:r>
    </w:p>
  </w:footnote>
  <w:footnote w:id="4">
    <w:p w:rsidR="0008438C" w:rsidRDefault="0008438C">
      <w:pPr>
        <w:pStyle w:val="FootnoteText"/>
      </w:pPr>
      <w:r>
        <w:rPr>
          <w:rStyle w:val="FootnoteReference"/>
        </w:rPr>
        <w:footnoteRef/>
      </w:r>
      <w:r>
        <w:t xml:space="preserve"> 47 C.F.R. § 74.709.</w:t>
      </w:r>
    </w:p>
  </w:footnote>
  <w:footnote w:id="5">
    <w:p w:rsidR="0008438C" w:rsidRDefault="0008438C">
      <w:pPr>
        <w:pStyle w:val="FootnoteText"/>
      </w:pPr>
      <w:r>
        <w:rPr>
          <w:rStyle w:val="FootnoteReference"/>
        </w:rPr>
        <w:footnoteRef/>
      </w:r>
      <w:r>
        <w:t xml:space="preserve"> Waiver Request at 1.</w:t>
      </w:r>
    </w:p>
  </w:footnote>
  <w:footnote w:id="6">
    <w:p w:rsidR="00C44F68" w:rsidRDefault="00C44F68">
      <w:pPr>
        <w:pStyle w:val="FootnoteText"/>
      </w:pPr>
      <w:r>
        <w:rPr>
          <w:rStyle w:val="FootnoteReference"/>
        </w:rPr>
        <w:footnoteRef/>
      </w:r>
      <w:r>
        <w:t xml:space="preserve"> 47 C.F.R. § 74.709(d)(3).  </w:t>
      </w:r>
      <w:r w:rsidRPr="00C44F68">
        <w:t>The protected contours for the land mobile radio service are 130 kilometers from the coordinates</w:t>
      </w:r>
      <w:r>
        <w:t xml:space="preserve"> in the table in paragraph (a). </w:t>
      </w:r>
      <w:r w:rsidRPr="00C44F68">
        <w:t xml:space="preserve"> </w:t>
      </w:r>
      <w:r>
        <w:t>47 C.F.R. § 74.709(b).</w:t>
      </w:r>
    </w:p>
  </w:footnote>
  <w:footnote w:id="7">
    <w:p w:rsidR="0008438C" w:rsidRDefault="0008438C">
      <w:pPr>
        <w:pStyle w:val="FootnoteText"/>
      </w:pPr>
      <w:r>
        <w:rPr>
          <w:rStyle w:val="FootnoteReference"/>
        </w:rPr>
        <w:footnoteRef/>
      </w:r>
      <w:r>
        <w:t xml:space="preserve"> </w:t>
      </w:r>
      <w:r w:rsidR="00A659CA">
        <w:t>Waiver Request at 1.</w:t>
      </w:r>
    </w:p>
  </w:footnote>
  <w:footnote w:id="8">
    <w:p w:rsidR="0008438C" w:rsidRDefault="0008438C">
      <w:pPr>
        <w:pStyle w:val="FootnoteText"/>
      </w:pPr>
      <w:r>
        <w:rPr>
          <w:rStyle w:val="FootnoteReference"/>
        </w:rPr>
        <w:footnoteRef/>
      </w:r>
      <w:r>
        <w:t xml:space="preserve"> </w:t>
      </w:r>
      <w:r>
        <w:rPr>
          <w:i/>
        </w:rPr>
        <w:t>Id.</w:t>
      </w:r>
    </w:p>
  </w:footnote>
  <w:footnote w:id="9">
    <w:p w:rsidR="0008438C" w:rsidRPr="006124D3" w:rsidRDefault="0008438C">
      <w:pPr>
        <w:pStyle w:val="FootnoteText"/>
      </w:pPr>
      <w:r>
        <w:rPr>
          <w:rStyle w:val="FootnoteReference"/>
        </w:rPr>
        <w:footnoteRef/>
      </w:r>
      <w:r>
        <w:t xml:space="preserve"> </w:t>
      </w:r>
      <w:r>
        <w:rPr>
          <w:i/>
        </w:rPr>
        <w:t>See id</w:t>
      </w:r>
      <w:r>
        <w:t>.</w:t>
      </w:r>
    </w:p>
  </w:footnote>
  <w:footnote w:id="10">
    <w:p w:rsidR="0008438C" w:rsidRPr="00343061" w:rsidRDefault="0008438C">
      <w:pPr>
        <w:pStyle w:val="FootnoteText"/>
      </w:pPr>
      <w:r>
        <w:rPr>
          <w:rStyle w:val="FootnoteReference"/>
        </w:rPr>
        <w:footnoteRef/>
      </w:r>
      <w:r>
        <w:t xml:space="preserve"> </w:t>
      </w:r>
      <w:r>
        <w:rPr>
          <w:i/>
        </w:rPr>
        <w:t>Id</w:t>
      </w:r>
      <w:r>
        <w:t>.</w:t>
      </w:r>
    </w:p>
  </w:footnote>
  <w:footnote w:id="11">
    <w:p w:rsidR="0008438C" w:rsidRPr="00B27561" w:rsidRDefault="0008438C">
      <w:pPr>
        <w:pStyle w:val="FootnoteText"/>
      </w:pPr>
      <w:r>
        <w:rPr>
          <w:rStyle w:val="FootnoteReference"/>
        </w:rPr>
        <w:footnoteRef/>
      </w:r>
      <w:r>
        <w:t xml:space="preserve"> Clarification Request at 1.  </w:t>
      </w:r>
      <w:r>
        <w:rPr>
          <w:i/>
        </w:rPr>
        <w:t>See also</w:t>
      </w:r>
      <w:r w:rsidRPr="00114120">
        <w:rPr>
          <w:sz w:val="22"/>
          <w:szCs w:val="22"/>
        </w:rPr>
        <w:t xml:space="preserve"> </w:t>
      </w:r>
      <w:r>
        <w:rPr>
          <w:szCs w:val="22"/>
        </w:rPr>
        <w:t xml:space="preserve">47 C.F.R. </w:t>
      </w:r>
      <w:r>
        <w:t>§§</w:t>
      </w:r>
      <w:r w:rsidRPr="002C699C">
        <w:t xml:space="preserve"> 74.736(c)(3) [analog] and 74.794(a)(2)(ii) [digital].</w:t>
      </w:r>
    </w:p>
  </w:footnote>
  <w:footnote w:id="12">
    <w:p w:rsidR="0008438C" w:rsidRDefault="0008438C">
      <w:pPr>
        <w:pStyle w:val="FootnoteText"/>
      </w:pPr>
      <w:r>
        <w:rPr>
          <w:rStyle w:val="FootnoteReference"/>
        </w:rPr>
        <w:footnoteRef/>
      </w:r>
      <w:r>
        <w:t xml:space="preserve"> Clarification Request at 1.</w:t>
      </w:r>
    </w:p>
  </w:footnote>
  <w:footnote w:id="13">
    <w:p w:rsidR="0008438C" w:rsidRPr="00D24F4A" w:rsidRDefault="0008438C">
      <w:pPr>
        <w:pStyle w:val="FootnoteText"/>
      </w:pPr>
      <w:r>
        <w:rPr>
          <w:rStyle w:val="FootnoteReference"/>
        </w:rPr>
        <w:footnoteRef/>
      </w:r>
      <w:r>
        <w:t xml:space="preserve"> </w:t>
      </w:r>
      <w:r>
        <w:rPr>
          <w:i/>
        </w:rPr>
        <w:t>Id</w:t>
      </w:r>
      <w:r>
        <w:t>.</w:t>
      </w:r>
    </w:p>
  </w:footnote>
  <w:footnote w:id="14">
    <w:p w:rsidR="0008438C" w:rsidRDefault="0008438C">
      <w:pPr>
        <w:pStyle w:val="FootnoteText"/>
      </w:pPr>
      <w:r>
        <w:rPr>
          <w:rStyle w:val="FootnoteReference"/>
        </w:rPr>
        <w:footnoteRef/>
      </w:r>
      <w:r>
        <w:t xml:space="preserve"> </w:t>
      </w:r>
      <w:r>
        <w:rPr>
          <w:i/>
        </w:rPr>
        <w:t>Id</w:t>
      </w:r>
      <w:r>
        <w:t>.</w:t>
      </w:r>
    </w:p>
  </w:footnote>
  <w:footnote w:id="15">
    <w:p w:rsidR="0008438C" w:rsidRDefault="0008438C">
      <w:pPr>
        <w:pStyle w:val="FootnoteText"/>
      </w:pPr>
      <w:r>
        <w:rPr>
          <w:rStyle w:val="FootnoteReference"/>
        </w:rPr>
        <w:footnoteRef/>
      </w:r>
      <w:r>
        <w:rPr>
          <w:i/>
        </w:rPr>
        <w:t>Id</w:t>
      </w:r>
      <w:r>
        <w:t xml:space="preserve">. </w:t>
      </w:r>
    </w:p>
  </w:footnote>
  <w:footnote w:id="16">
    <w:p w:rsidR="0008438C" w:rsidRPr="00250285" w:rsidRDefault="0008438C" w:rsidP="001D3452">
      <w:pPr>
        <w:pStyle w:val="FootnoteText"/>
      </w:pPr>
      <w:r>
        <w:rPr>
          <w:rStyle w:val="FootnoteReference"/>
        </w:rPr>
        <w:footnoteRef/>
      </w:r>
      <w:r>
        <w:t xml:space="preserve"> </w:t>
      </w:r>
      <w:r>
        <w:rPr>
          <w:i/>
        </w:rPr>
        <w:t>Id</w:t>
      </w:r>
      <w:r>
        <w:t xml:space="preserve">.  </w:t>
      </w:r>
      <w:r>
        <w:rPr>
          <w:i/>
        </w:rPr>
        <w:t>See also</w:t>
      </w:r>
      <w:r>
        <w:t xml:space="preserve"> Waiver Request at 1.</w:t>
      </w:r>
    </w:p>
  </w:footnote>
  <w:footnote w:id="17">
    <w:p w:rsidR="0008438C" w:rsidRDefault="0008438C">
      <w:pPr>
        <w:pStyle w:val="FootnoteText"/>
      </w:pPr>
      <w:r>
        <w:rPr>
          <w:rStyle w:val="FootnoteReference"/>
        </w:rPr>
        <w:footnoteRef/>
      </w:r>
      <w:r>
        <w:t xml:space="preserve"> </w:t>
      </w:r>
      <w:r w:rsidRPr="0062486B">
        <w:rPr>
          <w:i/>
        </w:rPr>
        <w:t>See</w:t>
      </w:r>
      <w:r>
        <w:t xml:space="preserve"> 47 C.F.R. § 90.303(c).</w:t>
      </w:r>
    </w:p>
  </w:footnote>
  <w:footnote w:id="18">
    <w:p w:rsidR="00D85C5E" w:rsidRDefault="00D85C5E" w:rsidP="00D85C5E">
      <w:pPr>
        <w:pStyle w:val="FootnoteText"/>
      </w:pPr>
      <w:r>
        <w:rPr>
          <w:rStyle w:val="FootnoteReference"/>
        </w:rPr>
        <w:footnoteRef/>
      </w:r>
      <w:r>
        <w:rPr>
          <w:i/>
        </w:rPr>
        <w:t xml:space="preserve"> 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C0" w:rsidRDefault="00A36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C0" w:rsidRDefault="00A36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8C" w:rsidRDefault="00907BC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2.4pt;margin-top:8.5pt;width:41.75pt;height:41.75pt;z-index:251661312" o:allowincell="f">
          <v:imagedata r:id="rId1" o:title="fcc_logo"/>
          <w10:wrap type="topAndBottom"/>
        </v:shape>
      </w:pict>
    </w:r>
    <w:r w:rsidR="0008438C">
      <w:rPr>
        <w:rFonts w:ascii="News Gothic MT" w:hAnsi="News Gothic MT"/>
        <w:b/>
        <w:kern w:val="28"/>
        <w:sz w:val="96"/>
      </w:rPr>
      <w:t>PUBLIC NOTICE</w:t>
    </w:r>
  </w:p>
  <w:p w:rsidR="0008438C" w:rsidRDefault="00907BCB">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type id="_x0000_t202" coordsize="21600,21600" o:spt="202" path="m,l,21600r21600,l21600,xe">
          <v:stroke joinstyle="miter"/>
          <v:path gradientshapeok="t" o:connecttype="rect"/>
        </v:shapetype>
        <v:shape id="_x0000_s2062" type="#_x0000_t202" style="position:absolute;left:0;text-align:left;margin-left:264.7pt;margin-top:7.6pt;width:207.95pt;height:43.2pt;z-index:251660288" o:allowincell="f" stroked="f">
          <v:textbox style="mso-next-textbox:#_x0000_s2062" inset=",0,,0">
            <w:txbxContent>
              <w:p w:rsidR="0008438C" w:rsidRDefault="0008438C">
                <w:pPr>
                  <w:spacing w:before="40"/>
                  <w:jc w:val="right"/>
                  <w:rPr>
                    <w:rFonts w:ascii="Arial" w:hAnsi="Arial"/>
                    <w:b/>
                    <w:sz w:val="16"/>
                  </w:rPr>
                </w:pPr>
                <w:r>
                  <w:rPr>
                    <w:rFonts w:ascii="Arial" w:hAnsi="Arial"/>
                    <w:b/>
                    <w:sz w:val="16"/>
                  </w:rPr>
                  <w:t>News Media Information 202 / 418-0500</w:t>
                </w:r>
              </w:p>
              <w:p w:rsidR="0008438C" w:rsidRDefault="0008438C">
                <w:pPr>
                  <w:jc w:val="right"/>
                  <w:rPr>
                    <w:rFonts w:ascii="Arial" w:hAnsi="Arial"/>
                    <w:b/>
                    <w:sz w:val="16"/>
                  </w:rPr>
                </w:pPr>
                <w:r>
                  <w:rPr>
                    <w:rFonts w:ascii="Arial" w:hAnsi="Arial"/>
                    <w:b/>
                    <w:sz w:val="16"/>
                  </w:rPr>
                  <w:tab/>
                  <w:t>Internet: http://www.fcc.gov</w:t>
                </w:r>
              </w:p>
              <w:p w:rsidR="0008438C" w:rsidRDefault="0008438C">
                <w:pPr>
                  <w:jc w:val="right"/>
                  <w:rPr>
                    <w:rFonts w:ascii="Arial" w:hAnsi="Arial"/>
                    <w:b/>
                    <w:sz w:val="16"/>
                  </w:rPr>
                </w:pPr>
                <w:r>
                  <w:rPr>
                    <w:rFonts w:ascii="Arial" w:hAnsi="Arial"/>
                    <w:b/>
                    <w:sz w:val="16"/>
                  </w:rPr>
                  <w:t>TTY: 1-888-835-5322</w:t>
                </w:r>
              </w:p>
              <w:p w:rsidR="0008438C" w:rsidRDefault="0008438C">
                <w:pPr>
                  <w:jc w:val="right"/>
                </w:pPr>
              </w:p>
            </w:txbxContent>
          </v:textbox>
        </v:shape>
      </w:pict>
    </w:r>
    <w:r>
      <w:rPr>
        <w:rFonts w:ascii="News Gothic MT" w:hAnsi="News Gothic MT"/>
        <w:b/>
        <w:noProof/>
        <w:sz w:val="24"/>
      </w:rPr>
      <w:pict>
        <v:shape id="_x0000_s2060" type="#_x0000_t202" style="position:absolute;left:0;text-align:left;margin-left:-4.9pt;margin-top:.4pt;width:244.8pt;height:50.4pt;z-index:251658240" o:allowincell="f" stroked="f">
          <v:textbox style="mso-next-textbox:#_x0000_s2060">
            <w:txbxContent>
              <w:p w:rsidR="0008438C" w:rsidRDefault="0008438C">
                <w:pPr>
                  <w:rPr>
                    <w:rFonts w:ascii="Arial" w:hAnsi="Arial"/>
                    <w:b/>
                  </w:rPr>
                </w:pPr>
                <w:r>
                  <w:rPr>
                    <w:rFonts w:ascii="Arial" w:hAnsi="Arial"/>
                    <w:b/>
                  </w:rPr>
                  <w:t>Federal Communications Commission</w:t>
                </w:r>
              </w:p>
              <w:p w:rsidR="0008438C" w:rsidRDefault="0008438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8438C" w:rsidRDefault="0008438C">
                <w:pPr>
                  <w:rPr>
                    <w:rFonts w:ascii="Arial" w:hAnsi="Arial"/>
                  </w:rPr>
                </w:pPr>
                <w:r>
                  <w:rPr>
                    <w:rFonts w:ascii="Arial" w:hAnsi="Arial"/>
                    <w:b/>
                  </w:rPr>
                  <w:t>Washington, D.C. 20554</w:t>
                </w:r>
              </w:p>
            </w:txbxContent>
          </v:textbox>
        </v:shape>
      </w:pict>
    </w:r>
    <w:r>
      <w:rPr>
        <w:rFonts w:ascii="Arial" w:hAnsi="Arial"/>
        <w:b/>
        <w:noProof/>
      </w:rPr>
      <w:pict>
        <v:line id="_x0000_s2061" style="position:absolute;left:0;text-align:left;z-index:251659264" from="0,54.95pt" to="468pt,54.95pt" o:allowincell="f"/>
      </w:pict>
    </w:r>
  </w:p>
  <w:p w:rsidR="0008438C" w:rsidRDefault="0008438C">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8C" w:rsidRDefault="00907BC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4pt;margin-top:8.5pt;width:41.75pt;height:41.75pt;z-index:251657216"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7.6pt;margin-top:57.6pt;width:244.8pt;height:50.4pt;z-index:251654144" o:allowincell="f" stroked="f">
          <v:textbox style="mso-next-textbox:#_x0000_s2050">
            <w:txbxContent>
              <w:p w:rsidR="0008438C" w:rsidRDefault="0008438C">
                <w:pPr>
                  <w:rPr>
                    <w:rFonts w:ascii="Arial" w:hAnsi="Arial"/>
                    <w:b/>
                  </w:rPr>
                </w:pPr>
                <w:r>
                  <w:rPr>
                    <w:rFonts w:ascii="Arial" w:hAnsi="Arial"/>
                    <w:b/>
                  </w:rPr>
                  <w:t>Federal Communications Commission</w:t>
                </w:r>
              </w:p>
              <w:p w:rsidR="0008438C" w:rsidRDefault="0008438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8438C" w:rsidRDefault="0008438C">
                <w:pPr>
                  <w:rPr>
                    <w:rFonts w:ascii="Arial" w:hAnsi="Arial"/>
                  </w:rPr>
                </w:pPr>
                <w:r>
                  <w:rPr>
                    <w:rFonts w:ascii="Arial" w:hAnsi="Arial"/>
                    <w:b/>
                  </w:rPr>
                  <w:t>Washington, D.C. 20554</w:t>
                </w:r>
              </w:p>
            </w:txbxContent>
          </v:textbox>
        </v:shape>
      </w:pict>
    </w:r>
    <w:r w:rsidR="0008438C">
      <w:rPr>
        <w:rFonts w:ascii="News Gothic MT" w:hAnsi="News Gothic MT"/>
        <w:b/>
        <w:kern w:val="28"/>
        <w:sz w:val="96"/>
      </w:rPr>
      <w:t>PUBLIC NOTICE</w:t>
    </w:r>
  </w:p>
  <w:p w:rsidR="0008438C" w:rsidRDefault="00907BC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0,54.95pt" to="540pt,55.15pt" o:allowincell="f"/>
      </w:pict>
    </w:r>
    <w:r>
      <w:rPr>
        <w:rFonts w:ascii="News Gothic MT" w:hAnsi="News Gothic MT"/>
        <w:b/>
        <w:noProof/>
        <w:sz w:val="24"/>
      </w:rPr>
      <w:pict>
        <v:shape id="_x0000_s2053" type="#_x0000_t202" style="position:absolute;left:0;text-align:left;margin-left:336.7pt;margin-top:10.25pt;width:207.95pt;height:43.2pt;z-index:251656192" o:allowincell="f" stroked="f">
          <v:textbox style="mso-next-textbox:#_x0000_s2053" inset=",0,,0">
            <w:txbxContent>
              <w:p w:rsidR="0008438C" w:rsidRDefault="0008438C">
                <w:pPr>
                  <w:spacing w:before="40"/>
                  <w:jc w:val="right"/>
                  <w:rPr>
                    <w:rFonts w:ascii="Arial" w:hAnsi="Arial"/>
                    <w:b/>
                    <w:sz w:val="16"/>
                  </w:rPr>
                </w:pPr>
                <w:r>
                  <w:rPr>
                    <w:rFonts w:ascii="Arial" w:hAnsi="Arial"/>
                    <w:b/>
                    <w:sz w:val="16"/>
                  </w:rPr>
                  <w:t>News Media Information 202 / 418-0500</w:t>
                </w:r>
              </w:p>
              <w:p w:rsidR="0008438C" w:rsidRDefault="000843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8438C" w:rsidRDefault="0008438C">
                <w:pPr>
                  <w:jc w:val="right"/>
                  <w:rPr>
                    <w:rFonts w:ascii="Arial" w:hAnsi="Arial"/>
                    <w:b/>
                    <w:sz w:val="16"/>
                  </w:rPr>
                </w:pPr>
                <w:r>
                  <w:rPr>
                    <w:rFonts w:ascii="Arial" w:hAnsi="Arial"/>
                    <w:b/>
                    <w:sz w:val="16"/>
                  </w:rPr>
                  <w:t>TTY: 1-888-835-5322</w:t>
                </w:r>
              </w:p>
              <w:p w:rsidR="0008438C" w:rsidRDefault="0008438C">
                <w:pPr>
                  <w:jc w:val="right"/>
                </w:pPr>
              </w:p>
            </w:txbxContent>
          </v:textbox>
        </v:shape>
      </w:pict>
    </w:r>
  </w:p>
  <w:p w:rsidR="0008438C" w:rsidRDefault="0008438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7FA"/>
    <w:multiLevelType w:val="multilevel"/>
    <w:tmpl w:val="3544F22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7955C95"/>
    <w:multiLevelType w:val="hybridMultilevel"/>
    <w:tmpl w:val="3544F2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40954AC7"/>
    <w:multiLevelType w:val="hybridMultilevel"/>
    <w:tmpl w:val="12FEFD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5B21C5B"/>
    <w:multiLevelType w:val="multilevel"/>
    <w:tmpl w:val="F9387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E5025"/>
    <w:multiLevelType w:val="hybridMultilevel"/>
    <w:tmpl w:val="AC966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5F86D16"/>
    <w:multiLevelType w:val="hybridMultilevel"/>
    <w:tmpl w:val="47BC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3"/>
  </w:num>
  <w:num w:numId="13">
    <w:abstractNumId w:val="1"/>
  </w:num>
  <w:num w:numId="14">
    <w:abstractNumId w:val="0"/>
  </w:num>
  <w:num w:numId="15">
    <w:abstractNumId w:val="5"/>
  </w:num>
  <w:num w:numId="16">
    <w:abstractNumId w:val="12"/>
  </w:num>
  <w:num w:numId="17">
    <w:abstractNumId w:val="10"/>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290D"/>
    <w:rsid w:val="0000478B"/>
    <w:rsid w:val="00051E3B"/>
    <w:rsid w:val="00054AC4"/>
    <w:rsid w:val="00057273"/>
    <w:rsid w:val="0008438C"/>
    <w:rsid w:val="000907C3"/>
    <w:rsid w:val="00091B31"/>
    <w:rsid w:val="000B7A1C"/>
    <w:rsid w:val="000D4655"/>
    <w:rsid w:val="000E5C63"/>
    <w:rsid w:val="000E7DA8"/>
    <w:rsid w:val="000F21B5"/>
    <w:rsid w:val="00114120"/>
    <w:rsid w:val="00117112"/>
    <w:rsid w:val="0013598D"/>
    <w:rsid w:val="00141507"/>
    <w:rsid w:val="00181C1E"/>
    <w:rsid w:val="0019694B"/>
    <w:rsid w:val="001C64B7"/>
    <w:rsid w:val="001D3452"/>
    <w:rsid w:val="001F3392"/>
    <w:rsid w:val="00250285"/>
    <w:rsid w:val="00253238"/>
    <w:rsid w:val="00280EFA"/>
    <w:rsid w:val="002B0899"/>
    <w:rsid w:val="002C699C"/>
    <w:rsid w:val="002D5D36"/>
    <w:rsid w:val="002E2BEA"/>
    <w:rsid w:val="002E6051"/>
    <w:rsid w:val="00307701"/>
    <w:rsid w:val="00343061"/>
    <w:rsid w:val="00361CFB"/>
    <w:rsid w:val="00362CB0"/>
    <w:rsid w:val="003751CC"/>
    <w:rsid w:val="003A4738"/>
    <w:rsid w:val="003A5170"/>
    <w:rsid w:val="003C080F"/>
    <w:rsid w:val="00411C3B"/>
    <w:rsid w:val="00432358"/>
    <w:rsid w:val="00433ECF"/>
    <w:rsid w:val="00434D37"/>
    <w:rsid w:val="0043572E"/>
    <w:rsid w:val="0044208E"/>
    <w:rsid w:val="0045350D"/>
    <w:rsid w:val="00466E8B"/>
    <w:rsid w:val="00475E40"/>
    <w:rsid w:val="00483046"/>
    <w:rsid w:val="00483E36"/>
    <w:rsid w:val="0049390A"/>
    <w:rsid w:val="00494022"/>
    <w:rsid w:val="00497CB8"/>
    <w:rsid w:val="004B5590"/>
    <w:rsid w:val="004D1E69"/>
    <w:rsid w:val="004D24AB"/>
    <w:rsid w:val="004E3F68"/>
    <w:rsid w:val="004E7DAA"/>
    <w:rsid w:val="004F7053"/>
    <w:rsid w:val="005153C7"/>
    <w:rsid w:val="005177BE"/>
    <w:rsid w:val="00536C9B"/>
    <w:rsid w:val="005A0C95"/>
    <w:rsid w:val="005A432B"/>
    <w:rsid w:val="005A4914"/>
    <w:rsid w:val="005C496B"/>
    <w:rsid w:val="005C60DF"/>
    <w:rsid w:val="005D2E4B"/>
    <w:rsid w:val="005F284D"/>
    <w:rsid w:val="006124D3"/>
    <w:rsid w:val="006247AA"/>
    <w:rsid w:val="0062486B"/>
    <w:rsid w:val="00695D7B"/>
    <w:rsid w:val="006A0CFE"/>
    <w:rsid w:val="006B0C19"/>
    <w:rsid w:val="006C22DA"/>
    <w:rsid w:val="006C3364"/>
    <w:rsid w:val="006F3D1B"/>
    <w:rsid w:val="006F4EEE"/>
    <w:rsid w:val="00712795"/>
    <w:rsid w:val="0071736E"/>
    <w:rsid w:val="0075616B"/>
    <w:rsid w:val="00756E4D"/>
    <w:rsid w:val="00763259"/>
    <w:rsid w:val="00792F2A"/>
    <w:rsid w:val="007B2594"/>
    <w:rsid w:val="007B360E"/>
    <w:rsid w:val="007D6DCD"/>
    <w:rsid w:val="007E4C84"/>
    <w:rsid w:val="007F5C10"/>
    <w:rsid w:val="00800E25"/>
    <w:rsid w:val="008230BE"/>
    <w:rsid w:val="008336A0"/>
    <w:rsid w:val="00835957"/>
    <w:rsid w:val="008A66DF"/>
    <w:rsid w:val="008A7DC9"/>
    <w:rsid w:val="008C2E99"/>
    <w:rsid w:val="008D23D4"/>
    <w:rsid w:val="008D3E14"/>
    <w:rsid w:val="008E3A55"/>
    <w:rsid w:val="008E495E"/>
    <w:rsid w:val="00907BCB"/>
    <w:rsid w:val="009179C8"/>
    <w:rsid w:val="00945940"/>
    <w:rsid w:val="00953E6C"/>
    <w:rsid w:val="00993889"/>
    <w:rsid w:val="00996175"/>
    <w:rsid w:val="009B056B"/>
    <w:rsid w:val="009E6DF9"/>
    <w:rsid w:val="00A22B60"/>
    <w:rsid w:val="00A255EE"/>
    <w:rsid w:val="00A25641"/>
    <w:rsid w:val="00A25A6A"/>
    <w:rsid w:val="00A36BC0"/>
    <w:rsid w:val="00A659CA"/>
    <w:rsid w:val="00AB77D0"/>
    <w:rsid w:val="00AC1084"/>
    <w:rsid w:val="00AE5853"/>
    <w:rsid w:val="00B07CCE"/>
    <w:rsid w:val="00B20BFF"/>
    <w:rsid w:val="00B27561"/>
    <w:rsid w:val="00B51F96"/>
    <w:rsid w:val="00B6794D"/>
    <w:rsid w:val="00B72830"/>
    <w:rsid w:val="00B809ED"/>
    <w:rsid w:val="00B95D6D"/>
    <w:rsid w:val="00BA2AAA"/>
    <w:rsid w:val="00BB420C"/>
    <w:rsid w:val="00BB72DC"/>
    <w:rsid w:val="00BD2CDF"/>
    <w:rsid w:val="00BD484D"/>
    <w:rsid w:val="00BE547E"/>
    <w:rsid w:val="00BE5C12"/>
    <w:rsid w:val="00C111DD"/>
    <w:rsid w:val="00C27321"/>
    <w:rsid w:val="00C3729F"/>
    <w:rsid w:val="00C44F68"/>
    <w:rsid w:val="00C62B97"/>
    <w:rsid w:val="00C67C59"/>
    <w:rsid w:val="00C718A7"/>
    <w:rsid w:val="00C73F13"/>
    <w:rsid w:val="00C81266"/>
    <w:rsid w:val="00C9275C"/>
    <w:rsid w:val="00C9519D"/>
    <w:rsid w:val="00CC0C6C"/>
    <w:rsid w:val="00CC175A"/>
    <w:rsid w:val="00CC53FB"/>
    <w:rsid w:val="00CD4232"/>
    <w:rsid w:val="00CD5116"/>
    <w:rsid w:val="00CE04C3"/>
    <w:rsid w:val="00CE34DF"/>
    <w:rsid w:val="00D1276F"/>
    <w:rsid w:val="00D17931"/>
    <w:rsid w:val="00D24F4A"/>
    <w:rsid w:val="00D26949"/>
    <w:rsid w:val="00D52993"/>
    <w:rsid w:val="00D55FDB"/>
    <w:rsid w:val="00D6766E"/>
    <w:rsid w:val="00D822F0"/>
    <w:rsid w:val="00D848B0"/>
    <w:rsid w:val="00D85C5E"/>
    <w:rsid w:val="00DA0742"/>
    <w:rsid w:val="00DA6753"/>
    <w:rsid w:val="00DA7274"/>
    <w:rsid w:val="00DB4077"/>
    <w:rsid w:val="00DE2BA5"/>
    <w:rsid w:val="00E1559A"/>
    <w:rsid w:val="00E50C40"/>
    <w:rsid w:val="00E63712"/>
    <w:rsid w:val="00EC181C"/>
    <w:rsid w:val="00EC4EE6"/>
    <w:rsid w:val="00EC59E8"/>
    <w:rsid w:val="00ED1FFA"/>
    <w:rsid w:val="00ED6DC5"/>
    <w:rsid w:val="00EE290D"/>
    <w:rsid w:val="00F32811"/>
    <w:rsid w:val="00F414C5"/>
    <w:rsid w:val="00F50B1D"/>
    <w:rsid w:val="00F81919"/>
    <w:rsid w:val="00FD47F0"/>
    <w:rsid w:val="00FD76E0"/>
    <w:rsid w:val="00FE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Style 13,o,fr,Style 3,FR"/>
    <w:uiPriority w:val="99"/>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sz w:val="22"/>
    </w:rPr>
  </w:style>
  <w:style w:type="paragraph" w:styleId="BodyText2">
    <w:name w:val="Body Text 2"/>
    <w:basedOn w:val="Normal"/>
    <w:pPr>
      <w:widowControl w:val="0"/>
      <w:tabs>
        <w:tab w:val="right" w:pos="9360"/>
      </w:tabs>
      <w:suppressAutoHyphens/>
      <w:spacing w:line="227" w:lineRule="auto"/>
      <w:jc w:val="both"/>
    </w:pPr>
    <w:rPr>
      <w:snapToGrid w:val="0"/>
      <w:spacing w:val="-2"/>
      <w:sz w:val="22"/>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Pr>
      <w:lang w:val="en-US" w:eastAsia="en-US" w:bidi="ar-SA"/>
    </w:rPr>
  </w:style>
  <w:style w:type="character" w:styleId="PageNumber">
    <w:name w:val="page number"/>
    <w:basedOn w:val="DefaultParagraphFont"/>
  </w:style>
  <w:style w:type="paragraph" w:customStyle="1" w:styleId="ParaNum0">
    <w:name w:val="ParaNum"/>
    <w:basedOn w:val="Normal"/>
    <w:pPr>
      <w:tabs>
        <w:tab w:val="left" w:pos="1440"/>
      </w:tabs>
      <w:spacing w:after="220"/>
    </w:pPr>
    <w:rPr>
      <w:rFonts w:eastAsia="PMingLiU"/>
      <w:snapToGrid w:val="0"/>
      <w:kern w:val="28"/>
      <w:sz w:val="22"/>
    </w:rPr>
  </w:style>
  <w:style w:type="character" w:customStyle="1" w:styleId="FootnoteTextCharChar3CharChar">
    <w:name w:val="Footnote Text Char Char3 Char Char"/>
    <w:aliases w:val="Footnote Text Char1 Char Char1 Char Char,Footnote Text Char Char3 Char Char Char Char,Footnote Text Char1 Char Char1 Char Char1 Char Char,Footnote Text Char1 Char1,Footnote Text Char Char Char1"/>
    <w:rPr>
      <w:lang w:val="en-US" w:eastAsia="en-US" w:bidi="ar-SA"/>
    </w:rPr>
  </w:style>
  <w:style w:type="paragraph" w:customStyle="1" w:styleId="Default">
    <w:name w:val="Default"/>
    <w:rsid w:val="00057273"/>
    <w:pPr>
      <w:autoSpaceDE w:val="0"/>
      <w:autoSpaceDN w:val="0"/>
      <w:adjustRightInd w:val="0"/>
    </w:pPr>
    <w:rPr>
      <w:color w:val="000000"/>
      <w:sz w:val="24"/>
      <w:szCs w:val="24"/>
    </w:rPr>
  </w:style>
  <w:style w:type="character" w:styleId="CommentReference">
    <w:name w:val="annotation reference"/>
    <w:rsid w:val="00DE2BA5"/>
    <w:rPr>
      <w:sz w:val="16"/>
      <w:szCs w:val="16"/>
    </w:rPr>
  </w:style>
  <w:style w:type="paragraph" w:styleId="CommentText">
    <w:name w:val="annotation text"/>
    <w:basedOn w:val="Normal"/>
    <w:link w:val="CommentTextChar"/>
    <w:rsid w:val="00DE2BA5"/>
    <w:rPr>
      <w:sz w:val="20"/>
    </w:rPr>
  </w:style>
  <w:style w:type="character" w:customStyle="1" w:styleId="CommentTextChar">
    <w:name w:val="Comment Text Char"/>
    <w:basedOn w:val="DefaultParagraphFont"/>
    <w:link w:val="CommentText"/>
    <w:rsid w:val="00DE2BA5"/>
  </w:style>
  <w:style w:type="paragraph" w:styleId="CommentSubject">
    <w:name w:val="annotation subject"/>
    <w:basedOn w:val="CommentText"/>
    <w:next w:val="CommentText"/>
    <w:link w:val="CommentSubjectChar"/>
    <w:rsid w:val="00DE2BA5"/>
    <w:rPr>
      <w:b/>
      <w:bCs/>
    </w:rPr>
  </w:style>
  <w:style w:type="character" w:customStyle="1" w:styleId="CommentSubjectChar">
    <w:name w:val="Comment Subject Char"/>
    <w:link w:val="CommentSubject"/>
    <w:rsid w:val="00DE2BA5"/>
    <w:rPr>
      <w:b/>
      <w:bCs/>
    </w:rPr>
  </w:style>
  <w:style w:type="character" w:customStyle="1" w:styleId="FootnoteCharacters">
    <w:name w:val="Footnote Characters"/>
    <w:rsid w:val="00624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Style 13,o,fr,Style 3,FR"/>
    <w:uiPriority w:val="99"/>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sz w:val="22"/>
    </w:rPr>
  </w:style>
  <w:style w:type="paragraph" w:styleId="BodyText2">
    <w:name w:val="Body Text 2"/>
    <w:basedOn w:val="Normal"/>
    <w:pPr>
      <w:widowControl w:val="0"/>
      <w:tabs>
        <w:tab w:val="right" w:pos="9360"/>
      </w:tabs>
      <w:suppressAutoHyphens/>
      <w:spacing w:line="227" w:lineRule="auto"/>
      <w:jc w:val="both"/>
    </w:pPr>
    <w:rPr>
      <w:snapToGrid w:val="0"/>
      <w:spacing w:val="-2"/>
      <w:sz w:val="22"/>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Pr>
      <w:lang w:val="en-US" w:eastAsia="en-US" w:bidi="ar-SA"/>
    </w:rPr>
  </w:style>
  <w:style w:type="character" w:styleId="PageNumber">
    <w:name w:val="page number"/>
    <w:basedOn w:val="DefaultParagraphFont"/>
  </w:style>
  <w:style w:type="paragraph" w:customStyle="1" w:styleId="ParaNum0">
    <w:name w:val="ParaNum"/>
    <w:basedOn w:val="Normal"/>
    <w:pPr>
      <w:tabs>
        <w:tab w:val="left" w:pos="1440"/>
      </w:tabs>
      <w:spacing w:after="220"/>
    </w:pPr>
    <w:rPr>
      <w:rFonts w:eastAsia="PMingLiU"/>
      <w:snapToGrid w:val="0"/>
      <w:kern w:val="28"/>
      <w:sz w:val="22"/>
    </w:rPr>
  </w:style>
  <w:style w:type="character" w:customStyle="1" w:styleId="FootnoteTextCharChar3CharChar">
    <w:name w:val="Footnote Text Char Char3 Char Char"/>
    <w:aliases w:val="Footnote Text Char1 Char Char1 Char Char,Footnote Text Char Char3 Char Char Char Char,Footnote Text Char1 Char Char1 Char Char1 Char Char,Footnote Text Char1 Char1,Footnote Text Char Char Char1"/>
    <w:rPr>
      <w:lang w:val="en-US" w:eastAsia="en-US" w:bidi="ar-SA"/>
    </w:rPr>
  </w:style>
  <w:style w:type="paragraph" w:customStyle="1" w:styleId="Default">
    <w:name w:val="Default"/>
    <w:rsid w:val="00057273"/>
    <w:pPr>
      <w:autoSpaceDE w:val="0"/>
      <w:autoSpaceDN w:val="0"/>
      <w:adjustRightInd w:val="0"/>
    </w:pPr>
    <w:rPr>
      <w:color w:val="000000"/>
      <w:sz w:val="24"/>
      <w:szCs w:val="24"/>
    </w:rPr>
  </w:style>
  <w:style w:type="character" w:styleId="CommentReference">
    <w:name w:val="annotation reference"/>
    <w:rsid w:val="00DE2BA5"/>
    <w:rPr>
      <w:sz w:val="16"/>
      <w:szCs w:val="16"/>
    </w:rPr>
  </w:style>
  <w:style w:type="paragraph" w:styleId="CommentText">
    <w:name w:val="annotation text"/>
    <w:basedOn w:val="Normal"/>
    <w:link w:val="CommentTextChar"/>
    <w:rsid w:val="00DE2BA5"/>
    <w:rPr>
      <w:sz w:val="20"/>
    </w:rPr>
  </w:style>
  <w:style w:type="character" w:customStyle="1" w:styleId="CommentTextChar">
    <w:name w:val="Comment Text Char"/>
    <w:basedOn w:val="DefaultParagraphFont"/>
    <w:link w:val="CommentText"/>
    <w:rsid w:val="00DE2BA5"/>
  </w:style>
  <w:style w:type="paragraph" w:styleId="CommentSubject">
    <w:name w:val="annotation subject"/>
    <w:basedOn w:val="CommentText"/>
    <w:next w:val="CommentText"/>
    <w:link w:val="CommentSubjectChar"/>
    <w:rsid w:val="00DE2BA5"/>
    <w:rPr>
      <w:b/>
      <w:bCs/>
    </w:rPr>
  </w:style>
  <w:style w:type="character" w:customStyle="1" w:styleId="CommentSubjectChar">
    <w:name w:val="Comment Subject Char"/>
    <w:link w:val="CommentSubject"/>
    <w:rsid w:val="00DE2BA5"/>
    <w:rPr>
      <w:b/>
      <w:bCs/>
    </w:rPr>
  </w:style>
  <w:style w:type="character" w:customStyle="1" w:styleId="FootnoteCharacters">
    <w:name w:val="Footnote Characters"/>
    <w:rsid w:val="00624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219">
      <w:bodyDiv w:val="1"/>
      <w:marLeft w:val="0"/>
      <w:marRight w:val="0"/>
      <w:marTop w:val="0"/>
      <w:marBottom w:val="0"/>
      <w:divBdr>
        <w:top w:val="none" w:sz="0" w:space="0" w:color="auto"/>
        <w:left w:val="none" w:sz="0" w:space="0" w:color="auto"/>
        <w:bottom w:val="none" w:sz="0" w:space="0" w:color="auto"/>
        <w:right w:val="none" w:sz="0" w:space="0" w:color="auto"/>
      </w:divBdr>
    </w:div>
    <w:div w:id="875387347">
      <w:bodyDiv w:val="1"/>
      <w:marLeft w:val="0"/>
      <w:marRight w:val="0"/>
      <w:marTop w:val="0"/>
      <w:marBottom w:val="0"/>
      <w:divBdr>
        <w:top w:val="none" w:sz="0" w:space="0" w:color="auto"/>
        <w:left w:val="none" w:sz="0" w:space="0" w:color="auto"/>
        <w:bottom w:val="none" w:sz="0" w:space="0" w:color="auto"/>
        <w:right w:val="none" w:sz="0" w:space="0" w:color="auto"/>
      </w:divBdr>
      <w:divsChild>
        <w:div w:id="54672056">
          <w:marLeft w:val="0"/>
          <w:marRight w:val="0"/>
          <w:marTop w:val="0"/>
          <w:marBottom w:val="0"/>
          <w:divBdr>
            <w:top w:val="none" w:sz="0" w:space="0" w:color="auto"/>
            <w:left w:val="none" w:sz="0" w:space="0" w:color="auto"/>
            <w:bottom w:val="none" w:sz="0" w:space="0" w:color="auto"/>
            <w:right w:val="none" w:sz="0" w:space="0" w:color="auto"/>
          </w:divBdr>
          <w:divsChild>
            <w:div w:id="1476335344">
              <w:marLeft w:val="0"/>
              <w:marRight w:val="0"/>
              <w:marTop w:val="0"/>
              <w:marBottom w:val="0"/>
              <w:divBdr>
                <w:top w:val="none" w:sz="0" w:space="0" w:color="auto"/>
                <w:left w:val="none" w:sz="0" w:space="0" w:color="auto"/>
                <w:bottom w:val="none" w:sz="0" w:space="0" w:color="auto"/>
                <w:right w:val="none" w:sz="0" w:space="0" w:color="auto"/>
              </w:divBdr>
              <w:divsChild>
                <w:div w:id="569122156">
                  <w:marLeft w:val="0"/>
                  <w:marRight w:val="0"/>
                  <w:marTop w:val="0"/>
                  <w:marBottom w:val="0"/>
                  <w:divBdr>
                    <w:top w:val="none" w:sz="0" w:space="0" w:color="auto"/>
                    <w:left w:val="none" w:sz="0" w:space="0" w:color="auto"/>
                    <w:bottom w:val="none" w:sz="0" w:space="0" w:color="auto"/>
                    <w:right w:val="none" w:sz="0" w:space="0" w:color="auto"/>
                  </w:divBdr>
                  <w:divsChild>
                    <w:div w:id="6822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2637">
      <w:bodyDiv w:val="1"/>
      <w:marLeft w:val="0"/>
      <w:marRight w:val="0"/>
      <w:marTop w:val="0"/>
      <w:marBottom w:val="0"/>
      <w:divBdr>
        <w:top w:val="none" w:sz="0" w:space="0" w:color="auto"/>
        <w:left w:val="none" w:sz="0" w:space="0" w:color="auto"/>
        <w:bottom w:val="none" w:sz="0" w:space="0" w:color="auto"/>
        <w:right w:val="none" w:sz="0" w:space="0" w:color="auto"/>
      </w:divBdr>
    </w:div>
    <w:div w:id="1880900121">
      <w:bodyDiv w:val="1"/>
      <w:marLeft w:val="0"/>
      <w:marRight w:val="0"/>
      <w:marTop w:val="0"/>
      <w:marBottom w:val="0"/>
      <w:divBdr>
        <w:top w:val="none" w:sz="0" w:space="0" w:color="auto"/>
        <w:left w:val="none" w:sz="0" w:space="0" w:color="auto"/>
        <w:bottom w:val="none" w:sz="0" w:space="0" w:color="auto"/>
        <w:right w:val="none" w:sz="0" w:space="0" w:color="auto"/>
      </w:divBdr>
      <w:divsChild>
        <w:div w:id="1501001255">
          <w:marLeft w:val="0"/>
          <w:marRight w:val="0"/>
          <w:marTop w:val="0"/>
          <w:marBottom w:val="0"/>
          <w:divBdr>
            <w:top w:val="none" w:sz="0" w:space="0" w:color="auto"/>
            <w:left w:val="none" w:sz="0" w:space="0" w:color="auto"/>
            <w:bottom w:val="none" w:sz="0" w:space="0" w:color="auto"/>
            <w:right w:val="none" w:sz="0" w:space="0" w:color="auto"/>
          </w:divBdr>
          <w:divsChild>
            <w:div w:id="1694766484">
              <w:marLeft w:val="0"/>
              <w:marRight w:val="0"/>
              <w:marTop w:val="0"/>
              <w:marBottom w:val="0"/>
              <w:divBdr>
                <w:top w:val="none" w:sz="0" w:space="0" w:color="auto"/>
                <w:left w:val="none" w:sz="0" w:space="0" w:color="auto"/>
                <w:bottom w:val="none" w:sz="0" w:space="0" w:color="auto"/>
                <w:right w:val="none" w:sz="0" w:space="0" w:color="auto"/>
              </w:divBdr>
              <w:divsChild>
                <w:div w:id="1077821460">
                  <w:marLeft w:val="0"/>
                  <w:marRight w:val="0"/>
                  <w:marTop w:val="0"/>
                  <w:marBottom w:val="0"/>
                  <w:divBdr>
                    <w:top w:val="none" w:sz="0" w:space="0" w:color="auto"/>
                    <w:left w:val="none" w:sz="0" w:space="0" w:color="auto"/>
                    <w:bottom w:val="none" w:sz="0" w:space="0" w:color="auto"/>
                    <w:right w:val="none" w:sz="0" w:space="0" w:color="auto"/>
                  </w:divBdr>
                  <w:divsChild>
                    <w:div w:id="9762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censing.fcc.gov/cgi-bin/ws.exe/prod/cdbs/forms/prod/cdbsmenu.hts?context=25&amp;appn=101641338&amp;formid=346&amp;fac_num=937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7801</Characters>
  <Application>Microsoft Office Word</Application>
  <DocSecurity>0</DocSecurity>
  <Lines>129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2011-09-29T15:31:00Z</cp:lastPrinted>
  <dcterms:created xsi:type="dcterms:W3CDTF">2014-07-17T16:10:00Z</dcterms:created>
  <dcterms:modified xsi:type="dcterms:W3CDTF">2014-07-17T16:10:00Z</dcterms:modified>
  <cp:category> </cp:category>
  <cp:contentStatus> </cp:contentStatus>
</cp:coreProperties>
</file>