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94A6F" w14:textId="77777777" w:rsidR="00C94EB8" w:rsidRDefault="00C94EB8">
      <w:pPr>
        <w:widowControl/>
        <w:jc w:val="center"/>
        <w:rPr>
          <w:b/>
          <w:szCs w:val="22"/>
        </w:rPr>
      </w:pPr>
      <w:bookmarkStart w:id="0" w:name="_GoBack"/>
      <w:bookmarkEnd w:id="0"/>
      <w:r>
        <w:rPr>
          <w:b/>
          <w:kern w:val="0"/>
          <w:szCs w:val="22"/>
        </w:rPr>
        <w:t>Before</w:t>
      </w:r>
      <w:r>
        <w:rPr>
          <w:b/>
          <w:szCs w:val="22"/>
        </w:rPr>
        <w:t xml:space="preserve"> the</w:t>
      </w:r>
    </w:p>
    <w:p w14:paraId="7B197743" w14:textId="77777777" w:rsidR="00C94EB8" w:rsidRDefault="00C94EB8">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14:paraId="1B0137C2" w14:textId="77777777" w:rsidR="00C94EB8" w:rsidRDefault="00C94EB8">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14:paraId="18C4CF0B" w14:textId="77777777" w:rsidR="00C94EB8" w:rsidRDefault="00C94EB8">
      <w:pPr>
        <w:widowControl/>
        <w:rPr>
          <w:szCs w:val="22"/>
        </w:rPr>
      </w:pPr>
    </w:p>
    <w:tbl>
      <w:tblPr>
        <w:tblW w:w="9554" w:type="dxa"/>
        <w:tblLayout w:type="fixed"/>
        <w:tblLook w:val="0000" w:firstRow="0" w:lastRow="0" w:firstColumn="0" w:lastColumn="0" w:noHBand="0" w:noVBand="0"/>
      </w:tblPr>
      <w:tblGrid>
        <w:gridCol w:w="4676"/>
        <w:gridCol w:w="630"/>
        <w:gridCol w:w="4248"/>
      </w:tblGrid>
      <w:tr w:rsidR="00C94EB8" w14:paraId="37480FE1" w14:textId="77777777" w:rsidTr="00DA13C4">
        <w:tc>
          <w:tcPr>
            <w:tcW w:w="4676" w:type="dxa"/>
          </w:tcPr>
          <w:p w14:paraId="51478A00" w14:textId="77777777" w:rsidR="00C94EB8" w:rsidRDefault="00C94EB8">
            <w:pPr>
              <w:widowControl/>
              <w:rPr>
                <w:szCs w:val="22"/>
              </w:rPr>
            </w:pPr>
            <w:r>
              <w:rPr>
                <w:spacing w:val="-2"/>
                <w:szCs w:val="22"/>
              </w:rPr>
              <w:t>In the Matter of</w:t>
            </w:r>
            <w:r>
              <w:rPr>
                <w:szCs w:val="22"/>
              </w:rPr>
              <w:t xml:space="preserve"> </w:t>
            </w:r>
          </w:p>
          <w:p w14:paraId="4085F3E6" w14:textId="77777777" w:rsidR="00C94EB8" w:rsidRDefault="00C94EB8">
            <w:pPr>
              <w:widowControl/>
              <w:rPr>
                <w:szCs w:val="22"/>
              </w:rPr>
            </w:pPr>
          </w:p>
          <w:p w14:paraId="6DEA867C" w14:textId="77777777" w:rsidR="00E82DCC" w:rsidRPr="00842746" w:rsidRDefault="00E82DCC" w:rsidP="00E82DCC">
            <w:pPr>
              <w:rPr>
                <w:szCs w:val="22"/>
              </w:rPr>
            </w:pPr>
            <w:smartTag w:uri="urn:schemas-microsoft-com:office:smarttags" w:element="State">
              <w:smartTag w:uri="urn:schemas-microsoft-com:office:smarttags" w:element="place">
                <w:r w:rsidRPr="00842746">
                  <w:rPr>
                    <w:szCs w:val="22"/>
                  </w:rPr>
                  <w:t>Washington</w:t>
                </w:r>
              </w:smartTag>
            </w:smartTag>
            <w:r w:rsidRPr="00842746">
              <w:rPr>
                <w:szCs w:val="22"/>
              </w:rPr>
              <w:t xml:space="preserve"> Gas Light </w:t>
            </w:r>
          </w:p>
          <w:p w14:paraId="59362B45" w14:textId="77777777" w:rsidR="00E82DCC" w:rsidRPr="00842746" w:rsidRDefault="00E82DCC" w:rsidP="00E82DCC">
            <w:pPr>
              <w:rPr>
                <w:szCs w:val="22"/>
              </w:rPr>
            </w:pPr>
          </w:p>
          <w:p w14:paraId="0E26E962" w14:textId="77777777" w:rsidR="00E82DCC" w:rsidRPr="00842746" w:rsidRDefault="00E82DCC" w:rsidP="00E82DCC">
            <w:pPr>
              <w:rPr>
                <w:szCs w:val="22"/>
              </w:rPr>
            </w:pPr>
            <w:r w:rsidRPr="00842746">
              <w:rPr>
                <w:szCs w:val="22"/>
              </w:rPr>
              <w:t>Antenna Structure Registrant</w:t>
            </w:r>
          </w:p>
          <w:p w14:paraId="05D41CFC" w14:textId="77777777" w:rsidR="00E82DCC" w:rsidRPr="00842746" w:rsidRDefault="00E82DCC" w:rsidP="00E82DCC">
            <w:pPr>
              <w:rPr>
                <w:szCs w:val="22"/>
              </w:rPr>
            </w:pPr>
            <w:smartTag w:uri="urn:schemas-microsoft-com:office:smarttags" w:element="place">
              <w:smartTag w:uri="urn:schemas-microsoft-com:office:smarttags" w:element="City">
                <w:r w:rsidRPr="00842746">
                  <w:rPr>
                    <w:szCs w:val="22"/>
                  </w:rPr>
                  <w:t>Springfield</w:t>
                </w:r>
              </w:smartTag>
              <w:r w:rsidRPr="00842746">
                <w:rPr>
                  <w:szCs w:val="22"/>
                </w:rPr>
                <w:t xml:space="preserve">, </w:t>
              </w:r>
              <w:smartTag w:uri="urn:schemas-microsoft-com:office:smarttags" w:element="State">
                <w:r w:rsidRPr="00842746">
                  <w:rPr>
                    <w:szCs w:val="22"/>
                  </w:rPr>
                  <w:t>Virginia</w:t>
                </w:r>
              </w:smartTag>
            </w:smartTag>
          </w:p>
          <w:p w14:paraId="3568B4DB" w14:textId="77777777" w:rsidR="003B6C3B" w:rsidRPr="00A00B01" w:rsidRDefault="00E82DCC" w:rsidP="00A00B01">
            <w:pPr>
              <w:rPr>
                <w:szCs w:val="22"/>
              </w:rPr>
            </w:pPr>
            <w:r w:rsidRPr="00842746">
              <w:rPr>
                <w:szCs w:val="22"/>
              </w:rPr>
              <w:t>ASR # 1035329</w:t>
            </w:r>
          </w:p>
          <w:p w14:paraId="0CEF1013" w14:textId="77777777" w:rsidR="00C94EB8" w:rsidRDefault="00C94EB8" w:rsidP="003B6C3B">
            <w:pPr>
              <w:widowControl/>
              <w:rPr>
                <w:spacing w:val="-2"/>
                <w:szCs w:val="22"/>
                <w:lang w:val="es-ES"/>
              </w:rPr>
            </w:pPr>
          </w:p>
        </w:tc>
        <w:tc>
          <w:tcPr>
            <w:tcW w:w="630" w:type="dxa"/>
          </w:tcPr>
          <w:p w14:paraId="4A486C90" w14:textId="77777777" w:rsidR="00C94EB8" w:rsidRDefault="00C94EB8">
            <w:pPr>
              <w:widowControl/>
              <w:tabs>
                <w:tab w:val="center" w:pos="4680"/>
              </w:tabs>
              <w:suppressAutoHyphens/>
              <w:spacing w:line="240" w:lineRule="atLeast"/>
              <w:jc w:val="both"/>
              <w:outlineLvl w:val="0"/>
              <w:rPr>
                <w:szCs w:val="22"/>
              </w:rPr>
            </w:pPr>
            <w:r>
              <w:rPr>
                <w:szCs w:val="22"/>
              </w:rPr>
              <w:t>)</w:t>
            </w:r>
          </w:p>
          <w:p w14:paraId="5779AAFA" w14:textId="77777777" w:rsidR="00C94EB8" w:rsidRDefault="00C94EB8">
            <w:pPr>
              <w:widowControl/>
              <w:tabs>
                <w:tab w:val="center" w:pos="4680"/>
              </w:tabs>
              <w:suppressAutoHyphens/>
              <w:spacing w:line="240" w:lineRule="atLeast"/>
              <w:jc w:val="both"/>
              <w:outlineLvl w:val="0"/>
              <w:rPr>
                <w:szCs w:val="22"/>
              </w:rPr>
            </w:pPr>
            <w:r>
              <w:rPr>
                <w:szCs w:val="22"/>
              </w:rPr>
              <w:t>)</w:t>
            </w:r>
          </w:p>
          <w:p w14:paraId="71A10A6A" w14:textId="77777777" w:rsidR="00C94EB8" w:rsidRDefault="00C94EB8">
            <w:pPr>
              <w:widowControl/>
              <w:tabs>
                <w:tab w:val="center" w:pos="4680"/>
              </w:tabs>
              <w:suppressAutoHyphens/>
              <w:spacing w:line="240" w:lineRule="atLeast"/>
              <w:jc w:val="both"/>
              <w:outlineLvl w:val="0"/>
              <w:rPr>
                <w:szCs w:val="22"/>
              </w:rPr>
            </w:pPr>
            <w:r>
              <w:rPr>
                <w:szCs w:val="22"/>
              </w:rPr>
              <w:t>)</w:t>
            </w:r>
          </w:p>
          <w:p w14:paraId="4A197D4B" w14:textId="77777777" w:rsidR="00C94EB8" w:rsidRDefault="00C94EB8">
            <w:pPr>
              <w:widowControl/>
              <w:tabs>
                <w:tab w:val="center" w:pos="4680"/>
              </w:tabs>
              <w:suppressAutoHyphens/>
              <w:spacing w:line="240" w:lineRule="atLeast"/>
              <w:jc w:val="both"/>
              <w:outlineLvl w:val="0"/>
              <w:rPr>
                <w:szCs w:val="22"/>
              </w:rPr>
            </w:pPr>
            <w:r>
              <w:rPr>
                <w:szCs w:val="22"/>
              </w:rPr>
              <w:t>)</w:t>
            </w:r>
          </w:p>
          <w:p w14:paraId="4EE87897" w14:textId="77777777" w:rsidR="00C94EB8" w:rsidRDefault="00C94EB8">
            <w:pPr>
              <w:widowControl/>
              <w:tabs>
                <w:tab w:val="center" w:pos="4680"/>
              </w:tabs>
              <w:suppressAutoHyphens/>
              <w:spacing w:line="240" w:lineRule="atLeast"/>
              <w:jc w:val="both"/>
              <w:outlineLvl w:val="0"/>
              <w:rPr>
                <w:szCs w:val="22"/>
              </w:rPr>
            </w:pPr>
            <w:r>
              <w:rPr>
                <w:szCs w:val="22"/>
              </w:rPr>
              <w:t>)</w:t>
            </w:r>
          </w:p>
          <w:p w14:paraId="47672A99" w14:textId="77777777" w:rsidR="00C94EB8" w:rsidRDefault="00E82DCC">
            <w:pPr>
              <w:widowControl/>
              <w:tabs>
                <w:tab w:val="center" w:pos="4680"/>
              </w:tabs>
              <w:suppressAutoHyphens/>
              <w:spacing w:line="240" w:lineRule="atLeast"/>
              <w:jc w:val="both"/>
              <w:outlineLvl w:val="0"/>
              <w:rPr>
                <w:szCs w:val="22"/>
              </w:rPr>
            </w:pPr>
            <w:r>
              <w:rPr>
                <w:szCs w:val="22"/>
              </w:rPr>
              <w:t>)</w:t>
            </w:r>
          </w:p>
          <w:p w14:paraId="5BD9FF14" w14:textId="77777777" w:rsidR="00E82DCC" w:rsidRDefault="00E82DCC">
            <w:pPr>
              <w:widowControl/>
              <w:tabs>
                <w:tab w:val="center" w:pos="4680"/>
              </w:tabs>
              <w:suppressAutoHyphens/>
              <w:spacing w:line="240" w:lineRule="atLeast"/>
              <w:jc w:val="both"/>
              <w:outlineLvl w:val="0"/>
              <w:rPr>
                <w:szCs w:val="22"/>
              </w:rPr>
            </w:pPr>
            <w:r>
              <w:rPr>
                <w:szCs w:val="22"/>
              </w:rPr>
              <w:t>)</w:t>
            </w:r>
          </w:p>
        </w:tc>
        <w:tc>
          <w:tcPr>
            <w:tcW w:w="4248" w:type="dxa"/>
          </w:tcPr>
          <w:p w14:paraId="551B97C1" w14:textId="77777777" w:rsidR="00C94EB8" w:rsidRDefault="00C94EB8">
            <w:pPr>
              <w:widowControl/>
              <w:rPr>
                <w:spacing w:val="-2"/>
                <w:szCs w:val="22"/>
              </w:rPr>
            </w:pPr>
          </w:p>
          <w:p w14:paraId="1E9999C3" w14:textId="77777777" w:rsidR="00E82DCC" w:rsidRDefault="00E82DCC" w:rsidP="00E82DCC">
            <w:pPr>
              <w:rPr>
                <w:szCs w:val="22"/>
              </w:rPr>
            </w:pPr>
          </w:p>
          <w:p w14:paraId="05AC8EBB" w14:textId="77777777" w:rsidR="00E82DCC" w:rsidRDefault="00E82DCC" w:rsidP="00E82DCC">
            <w:pPr>
              <w:rPr>
                <w:szCs w:val="22"/>
              </w:rPr>
            </w:pPr>
            <w:r w:rsidRPr="00842746">
              <w:rPr>
                <w:szCs w:val="22"/>
              </w:rPr>
              <w:t>File No</w:t>
            </w:r>
            <w:r w:rsidR="00BC1B19">
              <w:rPr>
                <w:szCs w:val="22"/>
              </w:rPr>
              <w:t>s</w:t>
            </w:r>
            <w:r w:rsidRPr="00842746">
              <w:rPr>
                <w:szCs w:val="22"/>
              </w:rPr>
              <w:t>.</w:t>
            </w:r>
            <w:r>
              <w:rPr>
                <w:szCs w:val="22"/>
              </w:rPr>
              <w:t>:</w:t>
            </w:r>
            <w:r w:rsidRPr="00842746">
              <w:rPr>
                <w:szCs w:val="22"/>
              </w:rPr>
              <w:t xml:space="preserve"> </w:t>
            </w:r>
            <w:r>
              <w:rPr>
                <w:szCs w:val="22"/>
              </w:rPr>
              <w:t xml:space="preserve"> </w:t>
            </w:r>
            <w:r w:rsidRPr="00842746">
              <w:rPr>
                <w:szCs w:val="22"/>
              </w:rPr>
              <w:t>EB-10-CF-0209</w:t>
            </w:r>
            <w:r w:rsidR="00BC1B19">
              <w:rPr>
                <w:szCs w:val="22"/>
              </w:rPr>
              <w:t xml:space="preserve">; </w:t>
            </w:r>
            <w:r w:rsidR="009A7888" w:rsidRPr="009A7888">
              <w:t>EB-FIELDNER-13-00006816</w:t>
            </w:r>
          </w:p>
          <w:p w14:paraId="47EC5AF3" w14:textId="77777777" w:rsidR="00E82DCC" w:rsidRPr="00842746" w:rsidRDefault="00E82DCC" w:rsidP="00E82DCC">
            <w:pPr>
              <w:rPr>
                <w:szCs w:val="22"/>
              </w:rPr>
            </w:pPr>
            <w:r w:rsidRPr="00842746">
              <w:rPr>
                <w:szCs w:val="22"/>
              </w:rPr>
              <w:t>NAL/Acct. No.</w:t>
            </w:r>
            <w:r>
              <w:rPr>
                <w:szCs w:val="22"/>
              </w:rPr>
              <w:t>:</w:t>
            </w:r>
            <w:r w:rsidRPr="00842746">
              <w:rPr>
                <w:szCs w:val="22"/>
              </w:rPr>
              <w:t xml:space="preserve"> </w:t>
            </w:r>
            <w:r>
              <w:rPr>
                <w:szCs w:val="22"/>
              </w:rPr>
              <w:t xml:space="preserve"> </w:t>
            </w:r>
            <w:r w:rsidRPr="00842746">
              <w:rPr>
                <w:szCs w:val="22"/>
              </w:rPr>
              <w:t>2011</w:t>
            </w:r>
            <w:r>
              <w:rPr>
                <w:szCs w:val="22"/>
              </w:rPr>
              <w:t>32340003</w:t>
            </w:r>
          </w:p>
          <w:p w14:paraId="5169ECE6" w14:textId="77777777" w:rsidR="00E82DCC" w:rsidRPr="00E34AAE" w:rsidRDefault="00E82DCC" w:rsidP="00E82DCC">
            <w:pPr>
              <w:rPr>
                <w:szCs w:val="22"/>
              </w:rPr>
            </w:pPr>
            <w:r w:rsidRPr="00842746">
              <w:rPr>
                <w:szCs w:val="22"/>
              </w:rPr>
              <w:t>FRN</w:t>
            </w:r>
            <w:r>
              <w:rPr>
                <w:szCs w:val="22"/>
              </w:rPr>
              <w:t>:  0016494148</w:t>
            </w:r>
          </w:p>
          <w:p w14:paraId="67B21E7A" w14:textId="77777777" w:rsidR="00C94EB8" w:rsidRDefault="00C94EB8" w:rsidP="003B6C3B">
            <w:pPr>
              <w:widowControl/>
              <w:rPr>
                <w:szCs w:val="22"/>
              </w:rPr>
            </w:pPr>
            <w:r>
              <w:rPr>
                <w:szCs w:val="22"/>
              </w:rPr>
              <w:t xml:space="preserve"> </w:t>
            </w:r>
          </w:p>
        </w:tc>
      </w:tr>
    </w:tbl>
    <w:p w14:paraId="6295F13E" w14:textId="77777777" w:rsidR="00C94EB8" w:rsidRDefault="00C94EB8" w:rsidP="00A00B01">
      <w:pPr>
        <w:pStyle w:val="StyleBoldCentered"/>
        <w:widowControl/>
        <w:rPr>
          <w:rFonts w:ascii="Times New Roman" w:hAnsi="Times New Roman"/>
        </w:rPr>
      </w:pPr>
      <w:r>
        <w:rPr>
          <w:rFonts w:ascii="Times New Roman" w:hAnsi="Times New Roman"/>
        </w:rPr>
        <w:t>Forfeiture Order</w:t>
      </w:r>
    </w:p>
    <w:p w14:paraId="2D54D4CE" w14:textId="77777777" w:rsidR="00C94EB8" w:rsidRDefault="00C94EB8">
      <w:pPr>
        <w:widowControl/>
        <w:tabs>
          <w:tab w:val="left" w:pos="-720"/>
        </w:tabs>
        <w:suppressAutoHyphens/>
        <w:spacing w:line="227" w:lineRule="auto"/>
        <w:rPr>
          <w:spacing w:val="-2"/>
          <w:szCs w:val="22"/>
        </w:rPr>
      </w:pPr>
    </w:p>
    <w:p w14:paraId="2A74B14A" w14:textId="350094AC" w:rsidR="00C94EB8" w:rsidRDefault="00C94EB8" w:rsidP="003B6C3B">
      <w:pPr>
        <w:widowControl/>
        <w:tabs>
          <w:tab w:val="left" w:pos="720"/>
          <w:tab w:val="left" w:pos="5760"/>
        </w:tabs>
        <w:suppressAutoHyphens/>
        <w:spacing w:line="227" w:lineRule="auto"/>
        <w:rPr>
          <w:b/>
          <w:bCs/>
          <w:spacing w:val="-2"/>
          <w:szCs w:val="22"/>
        </w:rPr>
      </w:pPr>
      <w:r>
        <w:rPr>
          <w:b/>
          <w:spacing w:val="-2"/>
          <w:szCs w:val="22"/>
        </w:rPr>
        <w:t xml:space="preserve">Adopted:  </w:t>
      </w:r>
      <w:r w:rsidR="008B7CE1">
        <w:rPr>
          <w:b/>
          <w:spacing w:val="-2"/>
          <w:szCs w:val="22"/>
        </w:rPr>
        <w:t>July 22, 2014</w:t>
      </w:r>
      <w:r>
        <w:rPr>
          <w:b/>
          <w:spacing w:val="-2"/>
          <w:szCs w:val="22"/>
        </w:rPr>
        <w:tab/>
        <w:t xml:space="preserve">           Released:  </w:t>
      </w:r>
      <w:r w:rsidR="008B7CE1">
        <w:rPr>
          <w:b/>
          <w:spacing w:val="-2"/>
          <w:szCs w:val="22"/>
        </w:rPr>
        <w:t>July 22, 2014</w:t>
      </w:r>
    </w:p>
    <w:p w14:paraId="59C21E2D" w14:textId="77777777" w:rsidR="00C94EB8" w:rsidRDefault="00C94EB8">
      <w:pPr>
        <w:widowControl/>
        <w:rPr>
          <w:szCs w:val="22"/>
        </w:rPr>
      </w:pPr>
    </w:p>
    <w:p w14:paraId="070C8A54" w14:textId="77777777" w:rsidR="00C94EB8" w:rsidRDefault="00C94EB8">
      <w:pPr>
        <w:widowControl/>
        <w:rPr>
          <w:spacing w:val="-2"/>
          <w:szCs w:val="22"/>
        </w:rPr>
      </w:pPr>
      <w:r>
        <w:rPr>
          <w:szCs w:val="22"/>
        </w:rPr>
        <w:t xml:space="preserve">By the </w:t>
      </w:r>
      <w:r w:rsidR="003B6C3B">
        <w:rPr>
          <w:spacing w:val="-2"/>
          <w:szCs w:val="22"/>
        </w:rPr>
        <w:t>Regional Director, Northeast</w:t>
      </w:r>
      <w:r>
        <w:rPr>
          <w:spacing w:val="-2"/>
          <w:szCs w:val="22"/>
        </w:rPr>
        <w:t xml:space="preserve"> Region, Enforcement Bureau:</w:t>
      </w:r>
    </w:p>
    <w:p w14:paraId="0723742A" w14:textId="77777777" w:rsidR="00C94EB8" w:rsidRDefault="00C94EB8">
      <w:pPr>
        <w:widowControl/>
        <w:rPr>
          <w:szCs w:val="22"/>
        </w:rPr>
      </w:pPr>
    </w:p>
    <w:p w14:paraId="762C12D9" w14:textId="77777777" w:rsidR="00C94EB8" w:rsidRDefault="00C94EB8" w:rsidP="00DA13C4">
      <w:pPr>
        <w:pStyle w:val="Heading1"/>
        <w:widowControl/>
        <w:rPr>
          <w:rFonts w:ascii="Times New Roman" w:hAnsi="Times New Roman"/>
          <w:szCs w:val="22"/>
        </w:rPr>
      </w:pPr>
      <w:r>
        <w:rPr>
          <w:rFonts w:ascii="Times New Roman" w:hAnsi="Times New Roman"/>
          <w:szCs w:val="22"/>
        </w:rPr>
        <w:t>Introduction</w:t>
      </w:r>
    </w:p>
    <w:p w14:paraId="13DBF364" w14:textId="43499C10" w:rsidR="00DA73C3" w:rsidRPr="00DA73C3" w:rsidRDefault="003D5B56" w:rsidP="00DA13C4">
      <w:pPr>
        <w:widowControl/>
        <w:numPr>
          <w:ilvl w:val="0"/>
          <w:numId w:val="7"/>
        </w:numPr>
        <w:tabs>
          <w:tab w:val="clear" w:pos="1260"/>
          <w:tab w:val="left" w:pos="0"/>
          <w:tab w:val="num" w:pos="1440"/>
        </w:tabs>
        <w:suppressAutoHyphens/>
        <w:autoSpaceDE w:val="0"/>
        <w:autoSpaceDN w:val="0"/>
        <w:adjustRightInd w:val="0"/>
        <w:spacing w:after="120"/>
        <w:ind w:left="0"/>
        <w:rPr>
          <w:spacing w:val="-2"/>
        </w:rPr>
      </w:pPr>
      <w:r w:rsidRPr="003D5B56">
        <w:rPr>
          <w:spacing w:val="-2"/>
        </w:rPr>
        <w:t>We impose a penalty of $10,400 against Washington Gas Light (Washington Ga</w:t>
      </w:r>
      <w:r w:rsidR="005B3331">
        <w:rPr>
          <w:spacing w:val="-2"/>
        </w:rPr>
        <w:t xml:space="preserve">s) </w:t>
      </w:r>
      <w:r w:rsidRPr="003D5B56">
        <w:rPr>
          <w:spacing w:val="-2"/>
        </w:rPr>
        <w:t xml:space="preserve">for </w:t>
      </w:r>
      <w:r w:rsidR="005B3331">
        <w:rPr>
          <w:spacing w:val="-2"/>
        </w:rPr>
        <w:t>violations of the Commission’s antenna structure rules.  The Enforcement Bureau alleged that Washington Gas failed to exhibit required lig</w:t>
      </w:r>
      <w:r w:rsidR="0040195D">
        <w:rPr>
          <w:spacing w:val="-2"/>
        </w:rPr>
        <w:t>hting on its antenna structure,</w:t>
      </w:r>
      <w:r w:rsidR="008E2ED9">
        <w:rPr>
          <w:spacing w:val="-2"/>
        </w:rPr>
        <w:t xml:space="preserve"> </w:t>
      </w:r>
      <w:r w:rsidR="005B3331">
        <w:rPr>
          <w:spacing w:val="-2"/>
        </w:rPr>
        <w:t xml:space="preserve">notify the Federal Aviation Administration (FAA) </w:t>
      </w:r>
      <w:r w:rsidR="0040195D">
        <w:rPr>
          <w:spacing w:val="-2"/>
        </w:rPr>
        <w:t xml:space="preserve">immediately </w:t>
      </w:r>
      <w:r w:rsidR="005B3331">
        <w:rPr>
          <w:spacing w:val="-2"/>
        </w:rPr>
        <w:t xml:space="preserve">of the lighting outage, and inform the Commission regarding its </w:t>
      </w:r>
      <w:r w:rsidRPr="003D5B56">
        <w:rPr>
          <w:spacing w:val="-2"/>
        </w:rPr>
        <w:t>purchase of the antenna structure.</w:t>
      </w:r>
      <w:r w:rsidR="005B3331">
        <w:rPr>
          <w:spacing w:val="-2"/>
        </w:rPr>
        <w:t xml:space="preserve">  </w:t>
      </w:r>
      <w:bookmarkStart w:id="1" w:name="SearchTerm"/>
      <w:r w:rsidR="005B3331">
        <w:rPr>
          <w:spacing w:val="-2"/>
        </w:rPr>
        <w:t xml:space="preserve">Washington Gas does not dispute the violations, but requests a </w:t>
      </w:r>
      <w:r w:rsidR="005B3331" w:rsidRPr="00DA13C4">
        <w:rPr>
          <w:spacing w:val="-2"/>
        </w:rPr>
        <w:t xml:space="preserve">forfeiture </w:t>
      </w:r>
      <w:r w:rsidR="005B3331">
        <w:rPr>
          <w:spacing w:val="-2"/>
        </w:rPr>
        <w:t xml:space="preserve">reduction because it purportedly </w:t>
      </w:r>
      <w:r w:rsidR="005B3331" w:rsidRPr="00900FB2">
        <w:rPr>
          <w:spacing w:val="-2"/>
          <w:szCs w:val="22"/>
        </w:rPr>
        <w:t>notified the FAA of the light</w:t>
      </w:r>
      <w:r w:rsidR="005B3331">
        <w:rPr>
          <w:spacing w:val="-2"/>
          <w:szCs w:val="22"/>
        </w:rPr>
        <w:t>ing</w:t>
      </w:r>
      <w:r w:rsidR="005B3331" w:rsidRPr="00900FB2">
        <w:rPr>
          <w:spacing w:val="-2"/>
          <w:szCs w:val="22"/>
        </w:rPr>
        <w:t xml:space="preserve"> outage </w:t>
      </w:r>
      <w:r w:rsidR="005B3331">
        <w:rPr>
          <w:szCs w:val="22"/>
        </w:rPr>
        <w:t xml:space="preserve">prior to the Enforcement Bureau’s </w:t>
      </w:r>
      <w:r w:rsidR="005B3331" w:rsidRPr="004864DB">
        <w:rPr>
          <w:szCs w:val="22"/>
        </w:rPr>
        <w:t>investigation</w:t>
      </w:r>
      <w:r w:rsidR="005B3331">
        <w:rPr>
          <w:szCs w:val="22"/>
        </w:rPr>
        <w:t xml:space="preserve"> and has a history of compliance with the Commission’s rules. </w:t>
      </w:r>
      <w:bookmarkEnd w:id="1"/>
      <w:r w:rsidR="005B3331">
        <w:rPr>
          <w:szCs w:val="22"/>
        </w:rPr>
        <w:t xml:space="preserve"> While we </w:t>
      </w:r>
      <w:r w:rsidR="00DA73C3">
        <w:rPr>
          <w:szCs w:val="22"/>
        </w:rPr>
        <w:t>are not persuaded that Washington Gas notified the FAA of the lighting outage in a timely manner, we find that its history of compliance warrants a forfeiture reduction.</w:t>
      </w:r>
    </w:p>
    <w:p w14:paraId="7814EDCF" w14:textId="50D9D774" w:rsidR="001D5401" w:rsidRPr="001D5401" w:rsidRDefault="00DA73C3" w:rsidP="00DA13C4">
      <w:pPr>
        <w:widowControl/>
        <w:numPr>
          <w:ilvl w:val="0"/>
          <w:numId w:val="7"/>
        </w:numPr>
        <w:tabs>
          <w:tab w:val="clear" w:pos="1260"/>
          <w:tab w:val="left" w:pos="0"/>
          <w:tab w:val="num" w:pos="1440"/>
        </w:tabs>
        <w:suppressAutoHyphens/>
        <w:autoSpaceDE w:val="0"/>
        <w:autoSpaceDN w:val="0"/>
        <w:adjustRightInd w:val="0"/>
        <w:spacing w:after="120"/>
        <w:ind w:left="0"/>
        <w:rPr>
          <w:szCs w:val="22"/>
        </w:rPr>
      </w:pPr>
      <w:r>
        <w:rPr>
          <w:spacing w:val="-2"/>
          <w:szCs w:val="22"/>
        </w:rPr>
        <w:t>Specifically</w:t>
      </w:r>
      <w:r w:rsidR="001D5401" w:rsidRPr="001D5401">
        <w:rPr>
          <w:spacing w:val="-2"/>
          <w:szCs w:val="22"/>
        </w:rPr>
        <w:t xml:space="preserve">, we issue a monetary forfeiture </w:t>
      </w:r>
      <w:r>
        <w:rPr>
          <w:spacing w:val="-2"/>
          <w:szCs w:val="22"/>
        </w:rPr>
        <w:t xml:space="preserve">to Washington Gas, </w:t>
      </w:r>
      <w:r w:rsidR="001D5401" w:rsidRPr="001D5401">
        <w:rPr>
          <w:spacing w:val="-2"/>
          <w:szCs w:val="22"/>
        </w:rPr>
        <w:t>owner of anten</w:t>
      </w:r>
      <w:r>
        <w:rPr>
          <w:spacing w:val="-2"/>
          <w:szCs w:val="22"/>
        </w:rPr>
        <w:t xml:space="preserve">na structure </w:t>
      </w:r>
      <w:r w:rsidR="001D5401" w:rsidRPr="001D5401">
        <w:rPr>
          <w:spacing w:val="-2"/>
          <w:szCs w:val="22"/>
        </w:rPr>
        <w:t>number 1035329 in Prince Frederick, Maryland</w:t>
      </w:r>
      <w:r>
        <w:rPr>
          <w:spacing w:val="-2"/>
          <w:szCs w:val="22"/>
        </w:rPr>
        <w:t xml:space="preserve"> (Antenna Structure)</w:t>
      </w:r>
      <w:r w:rsidR="001D5401" w:rsidRPr="001D5401">
        <w:rPr>
          <w:spacing w:val="-2"/>
          <w:szCs w:val="22"/>
        </w:rPr>
        <w:t xml:space="preserve">, for willfully and repeatedly violating Sections </w:t>
      </w:r>
      <w:r>
        <w:rPr>
          <w:spacing w:val="-2"/>
          <w:szCs w:val="22"/>
        </w:rPr>
        <w:t xml:space="preserve">17.48, 17.51(a), </w:t>
      </w:r>
      <w:r w:rsidR="001D5401" w:rsidRPr="001D5401">
        <w:rPr>
          <w:spacing w:val="-2"/>
          <w:szCs w:val="22"/>
        </w:rPr>
        <w:t>and 17.57 of the Commission’s rules (Rules).</w:t>
      </w:r>
      <w:r w:rsidR="001D5401" w:rsidRPr="00E34AAE">
        <w:rPr>
          <w:rStyle w:val="FootnoteReference"/>
          <w:spacing w:val="-2"/>
          <w:szCs w:val="22"/>
        </w:rPr>
        <w:footnoteReference w:id="2"/>
      </w:r>
      <w:r w:rsidR="001D5401" w:rsidRPr="001D5401">
        <w:rPr>
          <w:spacing w:val="-2"/>
          <w:szCs w:val="22"/>
        </w:rPr>
        <w:t xml:space="preserve">  </w:t>
      </w:r>
    </w:p>
    <w:p w14:paraId="55F41E07" w14:textId="77777777" w:rsidR="00471537" w:rsidRDefault="00C94EB8" w:rsidP="00DA13C4">
      <w:pPr>
        <w:pStyle w:val="Heading1"/>
        <w:widowControl/>
        <w:rPr>
          <w:rFonts w:ascii="Times New Roman" w:hAnsi="Times New Roman"/>
          <w:szCs w:val="22"/>
        </w:rPr>
      </w:pPr>
      <w:r w:rsidRPr="00B7076D">
        <w:rPr>
          <w:rFonts w:ascii="Times New Roman" w:hAnsi="Times New Roman"/>
          <w:szCs w:val="22"/>
        </w:rPr>
        <w:t>Background</w:t>
      </w:r>
    </w:p>
    <w:p w14:paraId="1130C7E4" w14:textId="18A97DE0" w:rsidR="00B7076D" w:rsidRPr="008E2ED9" w:rsidRDefault="001D5401" w:rsidP="00DA13C4">
      <w:pPr>
        <w:widowControl/>
        <w:numPr>
          <w:ilvl w:val="0"/>
          <w:numId w:val="7"/>
        </w:numPr>
        <w:tabs>
          <w:tab w:val="clear" w:pos="1260"/>
          <w:tab w:val="left" w:pos="0"/>
          <w:tab w:val="num" w:pos="1440"/>
        </w:tabs>
        <w:suppressAutoHyphens/>
        <w:autoSpaceDE w:val="0"/>
        <w:autoSpaceDN w:val="0"/>
        <w:adjustRightInd w:val="0"/>
        <w:spacing w:after="120"/>
        <w:ind w:left="0"/>
        <w:rPr>
          <w:spacing w:val="-2"/>
          <w:szCs w:val="22"/>
        </w:rPr>
      </w:pPr>
      <w:r w:rsidRPr="008E2ED9">
        <w:rPr>
          <w:szCs w:val="22"/>
        </w:rPr>
        <w:t>On September 1, 2011</w:t>
      </w:r>
      <w:r w:rsidR="00326F2C" w:rsidRPr="008E2ED9">
        <w:rPr>
          <w:szCs w:val="22"/>
        </w:rPr>
        <w:t xml:space="preserve">, the Enforcement Bureau’s </w:t>
      </w:r>
      <w:r w:rsidRPr="008E2ED9">
        <w:rPr>
          <w:szCs w:val="22"/>
        </w:rPr>
        <w:t xml:space="preserve">Columbia Office </w:t>
      </w:r>
      <w:r w:rsidR="00875AB8">
        <w:rPr>
          <w:szCs w:val="22"/>
        </w:rPr>
        <w:t xml:space="preserve">(Columbia Office) </w:t>
      </w:r>
      <w:r w:rsidR="00326F2C" w:rsidRPr="008E2ED9">
        <w:rPr>
          <w:szCs w:val="22"/>
        </w:rPr>
        <w:t xml:space="preserve">issued a Notice of Apparent </w:t>
      </w:r>
      <w:r w:rsidRPr="008E2ED9">
        <w:rPr>
          <w:szCs w:val="22"/>
        </w:rPr>
        <w:t xml:space="preserve">Liability for Forfeiture </w:t>
      </w:r>
      <w:r w:rsidR="00DA73C3" w:rsidRPr="008E2ED9">
        <w:rPr>
          <w:szCs w:val="22"/>
        </w:rPr>
        <w:t>(</w:t>
      </w:r>
      <w:r w:rsidR="00DA73C3" w:rsidRPr="008E2ED9">
        <w:rPr>
          <w:i/>
          <w:szCs w:val="22"/>
        </w:rPr>
        <w:t>NAL</w:t>
      </w:r>
      <w:r w:rsidR="00DA73C3" w:rsidRPr="008E2ED9">
        <w:rPr>
          <w:szCs w:val="22"/>
        </w:rPr>
        <w:t>)</w:t>
      </w:r>
      <w:r w:rsidR="00DA73C3" w:rsidRPr="008E2ED9">
        <w:rPr>
          <w:i/>
          <w:szCs w:val="22"/>
        </w:rPr>
        <w:t xml:space="preserve"> </w:t>
      </w:r>
      <w:r w:rsidRPr="008E2ED9">
        <w:rPr>
          <w:szCs w:val="22"/>
        </w:rPr>
        <w:t>to Washington Gas</w:t>
      </w:r>
      <w:r w:rsidR="00326F2C" w:rsidRPr="008E2ED9">
        <w:rPr>
          <w:szCs w:val="22"/>
        </w:rPr>
        <w:t xml:space="preserve"> </w:t>
      </w:r>
      <w:r w:rsidR="00537523" w:rsidRPr="008E2ED9">
        <w:rPr>
          <w:szCs w:val="22"/>
        </w:rPr>
        <w:t xml:space="preserve">proposing a $13,000 forfeiture </w:t>
      </w:r>
      <w:r w:rsidR="0040195D">
        <w:rPr>
          <w:szCs w:val="22"/>
        </w:rPr>
        <w:t xml:space="preserve">against it </w:t>
      </w:r>
      <w:r w:rsidR="00326F2C" w:rsidRPr="008E2ED9">
        <w:rPr>
          <w:szCs w:val="22"/>
        </w:rPr>
        <w:t xml:space="preserve">for </w:t>
      </w:r>
      <w:r w:rsidR="00537523" w:rsidRPr="008E2ED9">
        <w:rPr>
          <w:szCs w:val="22"/>
        </w:rPr>
        <w:t>apparent violations</w:t>
      </w:r>
      <w:r w:rsidR="00537523" w:rsidRPr="00DA13C4">
        <w:t xml:space="preserve"> of the Commission’</w:t>
      </w:r>
      <w:r w:rsidR="00867CCE" w:rsidRPr="00DA13C4">
        <w:t xml:space="preserve">s </w:t>
      </w:r>
      <w:r w:rsidR="00867CCE" w:rsidRPr="008E2ED9">
        <w:rPr>
          <w:szCs w:val="22"/>
        </w:rPr>
        <w:t>antenna structure rules</w:t>
      </w:r>
      <w:r w:rsidR="00CF733D" w:rsidRPr="008E2ED9">
        <w:rPr>
          <w:spacing w:val="-2"/>
          <w:szCs w:val="22"/>
        </w:rPr>
        <w:t>.</w:t>
      </w:r>
      <w:r w:rsidR="00326F2C">
        <w:rPr>
          <w:rStyle w:val="FootnoteReference"/>
          <w:szCs w:val="22"/>
        </w:rPr>
        <w:footnoteReference w:id="3"/>
      </w:r>
      <w:r w:rsidR="00BC1B19" w:rsidRPr="008E2ED9">
        <w:rPr>
          <w:szCs w:val="22"/>
        </w:rPr>
        <w:t xml:space="preserve">  </w:t>
      </w:r>
      <w:r w:rsidR="00471537" w:rsidRPr="008E2ED9">
        <w:rPr>
          <w:szCs w:val="22"/>
        </w:rPr>
        <w:t xml:space="preserve">In its </w:t>
      </w:r>
      <w:r w:rsidR="00471537" w:rsidRPr="008E2ED9">
        <w:rPr>
          <w:i/>
          <w:iCs/>
          <w:szCs w:val="22"/>
        </w:rPr>
        <w:t>NAL Response</w:t>
      </w:r>
      <w:r w:rsidR="00471537" w:rsidRPr="008E2ED9">
        <w:rPr>
          <w:szCs w:val="22"/>
        </w:rPr>
        <w:t xml:space="preserve">, Washington Gas does not dispute the </w:t>
      </w:r>
      <w:r w:rsidR="0040195D">
        <w:rPr>
          <w:i/>
          <w:szCs w:val="22"/>
        </w:rPr>
        <w:t>NAL</w:t>
      </w:r>
      <w:r w:rsidR="0040195D">
        <w:rPr>
          <w:szCs w:val="22"/>
        </w:rPr>
        <w:t>’s</w:t>
      </w:r>
      <w:r w:rsidR="0040195D">
        <w:rPr>
          <w:i/>
          <w:szCs w:val="22"/>
        </w:rPr>
        <w:t xml:space="preserve"> </w:t>
      </w:r>
      <w:r w:rsidR="0040195D">
        <w:rPr>
          <w:szCs w:val="22"/>
        </w:rPr>
        <w:t>findings</w:t>
      </w:r>
      <w:r w:rsidR="00471537" w:rsidRPr="008E2ED9">
        <w:rPr>
          <w:szCs w:val="22"/>
        </w:rPr>
        <w:t xml:space="preserve">, but claims that a reduction in the proposed forfeiture is warranted </w:t>
      </w:r>
      <w:r w:rsidR="00875AB8">
        <w:rPr>
          <w:szCs w:val="22"/>
        </w:rPr>
        <w:t xml:space="preserve">because </w:t>
      </w:r>
      <w:r w:rsidR="00471537" w:rsidRPr="008E2ED9">
        <w:rPr>
          <w:szCs w:val="22"/>
        </w:rPr>
        <w:t xml:space="preserve">it </w:t>
      </w:r>
      <w:r w:rsidR="0040195D">
        <w:rPr>
          <w:szCs w:val="22"/>
        </w:rPr>
        <w:t xml:space="preserve">eventually </w:t>
      </w:r>
      <w:r w:rsidR="005D5AE0" w:rsidRPr="008E2ED9">
        <w:rPr>
          <w:spacing w:val="-2"/>
          <w:szCs w:val="22"/>
        </w:rPr>
        <w:t xml:space="preserve">notified the FAA of the Antenna Structure light outage </w:t>
      </w:r>
      <w:r w:rsidR="008E2ED9">
        <w:rPr>
          <w:szCs w:val="22"/>
        </w:rPr>
        <w:t xml:space="preserve">and </w:t>
      </w:r>
      <w:r w:rsidR="008E2ED9" w:rsidRPr="008E2ED9">
        <w:rPr>
          <w:szCs w:val="22"/>
        </w:rPr>
        <w:t>has a history of co</w:t>
      </w:r>
      <w:r w:rsidR="008E2ED9">
        <w:rPr>
          <w:szCs w:val="22"/>
        </w:rPr>
        <w:t>mpliance with the Rules</w:t>
      </w:r>
      <w:r w:rsidR="00471537" w:rsidRPr="008E2ED9">
        <w:rPr>
          <w:szCs w:val="22"/>
        </w:rPr>
        <w:t>.</w:t>
      </w:r>
      <w:r w:rsidR="008E2ED9">
        <w:rPr>
          <w:rStyle w:val="FootnoteReference"/>
          <w:szCs w:val="22"/>
        </w:rPr>
        <w:footnoteReference w:id="4"/>
      </w:r>
    </w:p>
    <w:p w14:paraId="17712509" w14:textId="77777777" w:rsidR="00C94EB8" w:rsidRDefault="00C94EB8" w:rsidP="00DA13C4">
      <w:pPr>
        <w:pStyle w:val="Heading1"/>
        <w:widowControl/>
        <w:tabs>
          <w:tab w:val="left" w:pos="720"/>
        </w:tabs>
        <w:rPr>
          <w:rFonts w:ascii="Times New Roman" w:hAnsi="Times New Roman"/>
          <w:szCs w:val="22"/>
        </w:rPr>
      </w:pPr>
      <w:r>
        <w:rPr>
          <w:rFonts w:ascii="Times New Roman" w:hAnsi="Times New Roman"/>
          <w:szCs w:val="22"/>
        </w:rPr>
        <w:t>Discussion</w:t>
      </w:r>
    </w:p>
    <w:p w14:paraId="6AA68E61" w14:textId="77777777" w:rsidR="008E2ED9" w:rsidRPr="008E2ED9" w:rsidRDefault="008E2ED9" w:rsidP="00A00B01">
      <w:pPr>
        <w:widowControl/>
        <w:numPr>
          <w:ilvl w:val="0"/>
          <w:numId w:val="7"/>
        </w:numPr>
        <w:tabs>
          <w:tab w:val="clear" w:pos="1260"/>
          <w:tab w:val="left" w:pos="0"/>
          <w:tab w:val="num" w:pos="1440"/>
        </w:tabs>
        <w:suppressAutoHyphens/>
        <w:autoSpaceDE w:val="0"/>
        <w:autoSpaceDN w:val="0"/>
        <w:adjustRightInd w:val="0"/>
        <w:spacing w:after="120"/>
        <w:ind w:left="0"/>
      </w:pPr>
      <w:r>
        <w:t xml:space="preserve">As Washington Gas does not deny any of the facts stated in the </w:t>
      </w:r>
      <w:r>
        <w:rPr>
          <w:i/>
        </w:rPr>
        <w:t>NAL</w:t>
      </w:r>
      <w:r>
        <w:t xml:space="preserve">, we affirm the </w:t>
      </w:r>
      <w:r>
        <w:rPr>
          <w:i/>
        </w:rPr>
        <w:t>NAL</w:t>
      </w:r>
      <w:r>
        <w:t xml:space="preserve">’s findings and conclude that Washington Gas </w:t>
      </w:r>
      <w:r w:rsidRPr="001D5401">
        <w:rPr>
          <w:spacing w:val="-2"/>
          <w:szCs w:val="22"/>
        </w:rPr>
        <w:t>wil</w:t>
      </w:r>
      <w:r>
        <w:rPr>
          <w:spacing w:val="-2"/>
          <w:szCs w:val="22"/>
        </w:rPr>
        <w:t xml:space="preserve">lfully and repeatedly violated </w:t>
      </w:r>
      <w:r w:rsidRPr="001D5401">
        <w:rPr>
          <w:spacing w:val="-2"/>
          <w:szCs w:val="22"/>
        </w:rPr>
        <w:t xml:space="preserve">Sections </w:t>
      </w:r>
      <w:r>
        <w:rPr>
          <w:spacing w:val="-2"/>
          <w:szCs w:val="22"/>
        </w:rPr>
        <w:t>17.48, 17.51(a), and 17.57 of the R</w:t>
      </w:r>
      <w:r w:rsidRPr="001D5401">
        <w:rPr>
          <w:spacing w:val="-2"/>
          <w:szCs w:val="22"/>
        </w:rPr>
        <w:t>ules</w:t>
      </w:r>
      <w:r>
        <w:rPr>
          <w:spacing w:val="-2"/>
          <w:szCs w:val="22"/>
        </w:rPr>
        <w:t xml:space="preserve"> by failing to:  (1) </w:t>
      </w:r>
      <w:r>
        <w:rPr>
          <w:spacing w:val="-2"/>
        </w:rPr>
        <w:t xml:space="preserve">exhibit required lighting on the Antenna Structure, (2) </w:t>
      </w:r>
      <w:r>
        <w:rPr>
          <w:spacing w:val="-2"/>
        </w:rPr>
        <w:lastRenderedPageBreak/>
        <w:t xml:space="preserve">immediately notify the FAA of the Antenna Structure lighting outage, and (3) inform the Commission upon a change in ownership of the Antenna Structure. </w:t>
      </w:r>
    </w:p>
    <w:p w14:paraId="12B0FD5A" w14:textId="135CC0B6" w:rsidR="00875AB8" w:rsidRPr="00875AB8" w:rsidRDefault="00C94EB8" w:rsidP="00DA13C4">
      <w:pPr>
        <w:widowControl/>
        <w:numPr>
          <w:ilvl w:val="0"/>
          <w:numId w:val="7"/>
        </w:numPr>
        <w:tabs>
          <w:tab w:val="clear" w:pos="1260"/>
          <w:tab w:val="left" w:pos="0"/>
          <w:tab w:val="num" w:pos="1440"/>
        </w:tabs>
        <w:suppressAutoHyphens/>
        <w:autoSpaceDE w:val="0"/>
        <w:autoSpaceDN w:val="0"/>
        <w:adjustRightInd w:val="0"/>
        <w:spacing w:after="120"/>
        <w:ind w:left="0"/>
      </w:pPr>
      <w:r>
        <w:t xml:space="preserve">The proposed forfeiture amount in this case was assessed in accordance with Section 503(b) of the </w:t>
      </w:r>
      <w:r w:rsidR="008E2ED9">
        <w:t xml:space="preserve">Communications </w:t>
      </w:r>
      <w:r>
        <w:t>Act</w:t>
      </w:r>
      <w:r w:rsidR="008E2ED9">
        <w:t xml:space="preserve"> of 1934, as amended (Act)</w:t>
      </w:r>
      <w:r>
        <w:t>,</w:t>
      </w:r>
      <w:r>
        <w:rPr>
          <w:rStyle w:val="FootnoteReference"/>
          <w:szCs w:val="22"/>
        </w:rPr>
        <w:footnoteReference w:id="5"/>
      </w:r>
      <w:r>
        <w:t xml:space="preserve"> Section 1.80 of the Rules,</w:t>
      </w:r>
      <w:r>
        <w:rPr>
          <w:rStyle w:val="FootnoteReference"/>
          <w:szCs w:val="22"/>
        </w:rPr>
        <w:footnoteReference w:id="6"/>
      </w:r>
      <w:r>
        <w:t xml:space="preserve"> and the </w:t>
      </w:r>
      <w:r>
        <w:rPr>
          <w:i/>
        </w:rPr>
        <w:t>Forfeiture Policy Statement</w:t>
      </w:r>
      <w:r>
        <w:t>.</w:t>
      </w:r>
      <w:r>
        <w:rPr>
          <w:rStyle w:val="FootnoteReference"/>
          <w:szCs w:val="22"/>
        </w:rPr>
        <w:footnoteReference w:id="7"/>
      </w:r>
      <w:r w:rsidR="00875AB8">
        <w:t xml:space="preserve">  In examining Washington Gas’s </w:t>
      </w:r>
      <w:r w:rsidR="00875AB8">
        <w:rPr>
          <w:i/>
        </w:rPr>
        <w:t>NAL Response</w:t>
      </w:r>
      <w:r>
        <w:t>, 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Pr>
          <w:rStyle w:val="FootnoteReference"/>
          <w:szCs w:val="22"/>
        </w:rPr>
        <w:footnoteReference w:id="8"/>
      </w:r>
      <w:r w:rsidR="00875AB8">
        <w:t xml:space="preserve">  W</w:t>
      </w:r>
      <w:r>
        <w:t>e</w:t>
      </w:r>
      <w:r w:rsidR="00875AB8">
        <w:t xml:space="preserve"> have</w:t>
      </w:r>
      <w:r w:rsidR="00471537">
        <w:t xml:space="preserve"> considered </w:t>
      </w:r>
      <w:r w:rsidR="00875AB8">
        <w:t xml:space="preserve">Washington Gas’s </w:t>
      </w:r>
      <w:r w:rsidR="00875AB8">
        <w:rPr>
          <w:i/>
        </w:rPr>
        <w:t>NAL Response</w:t>
      </w:r>
      <w:r w:rsidR="00875AB8" w:rsidRPr="00DA13C4">
        <w:t xml:space="preserve"> </w:t>
      </w:r>
      <w:r>
        <w:t xml:space="preserve">in light of these statutory factors and find that </w:t>
      </w:r>
      <w:r>
        <w:rPr>
          <w:spacing w:val="-2"/>
        </w:rPr>
        <w:t>reductio</w:t>
      </w:r>
      <w:r w:rsidR="00471537">
        <w:rPr>
          <w:spacing w:val="-2"/>
        </w:rPr>
        <w:t>n of the forfeiture is warranted</w:t>
      </w:r>
      <w:r>
        <w:rPr>
          <w:spacing w:val="-2"/>
        </w:rPr>
        <w:t xml:space="preserve"> based sole</w:t>
      </w:r>
      <w:r w:rsidR="00875AB8">
        <w:rPr>
          <w:spacing w:val="-2"/>
        </w:rPr>
        <w:t>ly on its</w:t>
      </w:r>
      <w:r w:rsidR="006E653E">
        <w:rPr>
          <w:spacing w:val="-2"/>
        </w:rPr>
        <w:t xml:space="preserve"> </w:t>
      </w:r>
      <w:r w:rsidR="006E653E" w:rsidRPr="00F00AEE">
        <w:rPr>
          <w:spacing w:val="-2"/>
        </w:rPr>
        <w:t>history of compliance with the Rules</w:t>
      </w:r>
      <w:r>
        <w:rPr>
          <w:spacing w:val="-2"/>
        </w:rPr>
        <w:t>.</w:t>
      </w:r>
    </w:p>
    <w:p w14:paraId="2AF41E91" w14:textId="0A7FFE73" w:rsidR="009810FC" w:rsidRPr="009810FC" w:rsidRDefault="00875AB8" w:rsidP="009810FC">
      <w:pPr>
        <w:widowControl/>
        <w:numPr>
          <w:ilvl w:val="0"/>
          <w:numId w:val="7"/>
        </w:numPr>
        <w:tabs>
          <w:tab w:val="clear" w:pos="1260"/>
          <w:tab w:val="left" w:pos="0"/>
          <w:tab w:val="num" w:pos="1440"/>
        </w:tabs>
        <w:suppressAutoHyphens/>
        <w:autoSpaceDE w:val="0"/>
        <w:autoSpaceDN w:val="0"/>
        <w:adjustRightInd w:val="0"/>
        <w:spacing w:after="120"/>
        <w:ind w:left="0"/>
      </w:pPr>
      <w:r w:rsidRPr="00DA13C4">
        <w:rPr>
          <w:spacing w:val="-2"/>
        </w:rPr>
        <w:t xml:space="preserve">Washington Gas </w:t>
      </w:r>
      <w:r>
        <w:rPr>
          <w:spacing w:val="-2"/>
        </w:rPr>
        <w:t xml:space="preserve">requests a forfeiture reduction </w:t>
      </w:r>
      <w:r w:rsidR="00CF733D" w:rsidRPr="00875AB8">
        <w:rPr>
          <w:spacing w:val="-2"/>
          <w:szCs w:val="22"/>
        </w:rPr>
        <w:t xml:space="preserve">because it </w:t>
      </w:r>
      <w:r w:rsidR="009A7BB7">
        <w:rPr>
          <w:spacing w:val="-2"/>
        </w:rPr>
        <w:t xml:space="preserve">purportedly </w:t>
      </w:r>
      <w:r w:rsidR="009A7BB7" w:rsidRPr="00900FB2">
        <w:rPr>
          <w:spacing w:val="-2"/>
          <w:szCs w:val="22"/>
        </w:rPr>
        <w:t>notified the FAA of the light</w:t>
      </w:r>
      <w:r w:rsidR="009A7BB7">
        <w:rPr>
          <w:spacing w:val="-2"/>
          <w:szCs w:val="22"/>
        </w:rPr>
        <w:t>ing</w:t>
      </w:r>
      <w:r w:rsidR="009A7BB7" w:rsidRPr="00900FB2">
        <w:rPr>
          <w:spacing w:val="-2"/>
          <w:szCs w:val="22"/>
        </w:rPr>
        <w:t xml:space="preserve"> outage </w:t>
      </w:r>
      <w:r w:rsidR="009A7BB7">
        <w:rPr>
          <w:szCs w:val="22"/>
        </w:rPr>
        <w:t xml:space="preserve">prior to the Enforcement Bureau’s </w:t>
      </w:r>
      <w:r w:rsidR="009A7BB7" w:rsidRPr="004864DB">
        <w:rPr>
          <w:szCs w:val="22"/>
        </w:rPr>
        <w:t>investigation</w:t>
      </w:r>
      <w:r>
        <w:rPr>
          <w:spacing w:val="-2"/>
          <w:szCs w:val="22"/>
        </w:rPr>
        <w:t>.</w:t>
      </w:r>
      <w:r>
        <w:rPr>
          <w:rStyle w:val="FootnoteReference"/>
          <w:spacing w:val="-2"/>
          <w:szCs w:val="22"/>
        </w:rPr>
        <w:footnoteReference w:id="9"/>
      </w:r>
      <w:r w:rsidR="00275BD9">
        <w:rPr>
          <w:spacing w:val="-2"/>
          <w:szCs w:val="22"/>
        </w:rPr>
        <w:t xml:space="preserve">  </w:t>
      </w:r>
      <w:r w:rsidR="00432700">
        <w:rPr>
          <w:spacing w:val="-2"/>
          <w:szCs w:val="22"/>
        </w:rPr>
        <w:t>Although the Commission will generally reduce a forfeiture based on good faith corrective actions taken by a violator, we find no such basis to reduce the forfeiture against Washington Gas.</w:t>
      </w:r>
      <w:r w:rsidR="00432700">
        <w:rPr>
          <w:rStyle w:val="FootnoteReference"/>
          <w:spacing w:val="-2"/>
          <w:szCs w:val="22"/>
        </w:rPr>
        <w:footnoteReference w:id="10"/>
      </w:r>
      <w:r w:rsidR="00432700">
        <w:rPr>
          <w:spacing w:val="-2"/>
          <w:szCs w:val="22"/>
        </w:rPr>
        <w:t xml:space="preserve">  </w:t>
      </w:r>
      <w:r w:rsidR="007F658A">
        <w:rPr>
          <w:spacing w:val="-2"/>
          <w:szCs w:val="22"/>
        </w:rPr>
        <w:t>T</w:t>
      </w:r>
      <w:r w:rsidR="009A7BB7">
        <w:rPr>
          <w:spacing w:val="-2"/>
          <w:szCs w:val="22"/>
        </w:rPr>
        <w:t xml:space="preserve">he </w:t>
      </w:r>
      <w:r w:rsidR="0040195D">
        <w:rPr>
          <w:spacing w:val="-2"/>
          <w:szCs w:val="22"/>
        </w:rPr>
        <w:t>Rules require antenna structure</w:t>
      </w:r>
      <w:r w:rsidR="009A7BB7">
        <w:rPr>
          <w:spacing w:val="-2"/>
          <w:szCs w:val="22"/>
        </w:rPr>
        <w:t xml:space="preserve"> owners to “</w:t>
      </w:r>
      <w:r w:rsidR="009A7BB7" w:rsidRPr="009810FC">
        <w:rPr>
          <w:spacing w:val="-2"/>
          <w:szCs w:val="22"/>
        </w:rPr>
        <w:t>immediately” report lighting outages lasting longer than 30 minutes to the FAA.</w:t>
      </w:r>
      <w:r w:rsidR="009A7BB7" w:rsidRPr="009810FC">
        <w:rPr>
          <w:rStyle w:val="FootnoteReference"/>
          <w:spacing w:val="-2"/>
          <w:szCs w:val="22"/>
        </w:rPr>
        <w:footnoteReference w:id="11"/>
      </w:r>
      <w:r w:rsidR="009A7BB7" w:rsidRPr="009810FC">
        <w:rPr>
          <w:spacing w:val="-2"/>
          <w:szCs w:val="22"/>
        </w:rPr>
        <w:t xml:space="preserve">  By its own admission, Washington Gas knew about</w:t>
      </w:r>
      <w:r w:rsidR="0040195D">
        <w:rPr>
          <w:spacing w:val="-2"/>
          <w:szCs w:val="22"/>
        </w:rPr>
        <w:t xml:space="preserve"> the lighting outage by</w:t>
      </w:r>
      <w:r w:rsidR="009A7BB7" w:rsidRPr="009810FC">
        <w:rPr>
          <w:spacing w:val="-2"/>
          <w:szCs w:val="22"/>
        </w:rPr>
        <w:t xml:space="preserve"> October 15, 2010, but did not notify the FAA until October 19, 2010.</w:t>
      </w:r>
      <w:r w:rsidR="00AB52AF" w:rsidRPr="009810FC">
        <w:rPr>
          <w:rStyle w:val="FootnoteReference"/>
          <w:spacing w:val="-2"/>
          <w:szCs w:val="22"/>
        </w:rPr>
        <w:footnoteReference w:id="12"/>
      </w:r>
      <w:r w:rsidR="00AB52AF" w:rsidRPr="009810FC">
        <w:rPr>
          <w:spacing w:val="-2"/>
          <w:szCs w:val="22"/>
        </w:rPr>
        <w:t xml:space="preserve">  This delay undercuts Washington Gas’s good faith compliance efforts claim.  </w:t>
      </w:r>
      <w:r w:rsidR="007F658A" w:rsidRPr="009810FC">
        <w:rPr>
          <w:spacing w:val="-2"/>
          <w:szCs w:val="22"/>
        </w:rPr>
        <w:t>In addition</w:t>
      </w:r>
      <w:r w:rsidR="00AB52AF" w:rsidRPr="009810FC">
        <w:rPr>
          <w:spacing w:val="-2"/>
          <w:szCs w:val="22"/>
        </w:rPr>
        <w:t>, the record indicates that</w:t>
      </w:r>
      <w:r w:rsidR="007F658A" w:rsidRPr="009810FC">
        <w:rPr>
          <w:spacing w:val="-2"/>
          <w:szCs w:val="22"/>
        </w:rPr>
        <w:t xml:space="preserve"> Washington Gas had not reported the lighting outage </w:t>
      </w:r>
      <w:r w:rsidR="00AB52AF" w:rsidRPr="009810FC">
        <w:rPr>
          <w:spacing w:val="-2"/>
          <w:szCs w:val="22"/>
        </w:rPr>
        <w:t>until after the Columbia Office agent inspected the Antenna Structure and contacted the FAA.</w:t>
      </w:r>
      <w:r w:rsidR="00AB52AF" w:rsidRPr="009810FC">
        <w:rPr>
          <w:rStyle w:val="FootnoteReference"/>
          <w:spacing w:val="-2"/>
          <w:szCs w:val="22"/>
        </w:rPr>
        <w:footnoteReference w:id="13"/>
      </w:r>
      <w:r w:rsidR="00AB52AF" w:rsidRPr="009810FC">
        <w:rPr>
          <w:spacing w:val="-2"/>
          <w:szCs w:val="22"/>
        </w:rPr>
        <w:t xml:space="preserve">  </w:t>
      </w:r>
      <w:r w:rsidR="009810FC">
        <w:rPr>
          <w:color w:val="000000"/>
          <w:szCs w:val="22"/>
        </w:rPr>
        <w:t xml:space="preserve">We have repeatedly held </w:t>
      </w:r>
      <w:r w:rsidR="007F658A" w:rsidRPr="009810FC">
        <w:rPr>
          <w:color w:val="000000"/>
          <w:szCs w:val="22"/>
        </w:rPr>
        <w:t xml:space="preserve">that </w:t>
      </w:r>
      <w:r w:rsidRPr="009810FC">
        <w:rPr>
          <w:color w:val="000000"/>
          <w:szCs w:val="22"/>
        </w:rPr>
        <w:t xml:space="preserve">corrective action taken to come into compliance with the Rules is expected, and such corrective action does not </w:t>
      </w:r>
      <w:r w:rsidR="007F658A" w:rsidRPr="009810FC">
        <w:rPr>
          <w:color w:val="000000"/>
          <w:szCs w:val="22"/>
        </w:rPr>
        <w:t xml:space="preserve">automatically </w:t>
      </w:r>
      <w:r w:rsidRPr="009810FC">
        <w:rPr>
          <w:color w:val="000000"/>
          <w:szCs w:val="22"/>
        </w:rPr>
        <w:t>nullify or mitigate prior violations or associated forfeiture liability.</w:t>
      </w:r>
      <w:r w:rsidR="007F658A" w:rsidRPr="009810FC">
        <w:rPr>
          <w:rStyle w:val="FootnoteReference"/>
          <w:szCs w:val="22"/>
        </w:rPr>
        <w:footnoteReference w:id="14"/>
      </w:r>
      <w:r w:rsidR="009810FC">
        <w:rPr>
          <w:color w:val="000000"/>
          <w:szCs w:val="22"/>
        </w:rPr>
        <w:t xml:space="preserve">  We therefore decline to reduce the forfeiture against Washi</w:t>
      </w:r>
      <w:r w:rsidR="0040195D">
        <w:rPr>
          <w:color w:val="000000"/>
          <w:szCs w:val="22"/>
        </w:rPr>
        <w:t xml:space="preserve">ngton Gas based on its late </w:t>
      </w:r>
      <w:r w:rsidR="009810FC">
        <w:rPr>
          <w:color w:val="000000"/>
          <w:szCs w:val="22"/>
        </w:rPr>
        <w:t>notice to the FAA of the lighting outage at its Antenna Structure.</w:t>
      </w:r>
      <w:r w:rsidR="009810FC">
        <w:rPr>
          <w:rStyle w:val="FootnoteReference"/>
          <w:szCs w:val="22"/>
        </w:rPr>
        <w:footnoteReference w:id="15"/>
      </w:r>
    </w:p>
    <w:p w14:paraId="72457558" w14:textId="6B514091" w:rsidR="00875AB8" w:rsidRDefault="009810FC" w:rsidP="00DA13C4">
      <w:pPr>
        <w:widowControl/>
        <w:numPr>
          <w:ilvl w:val="0"/>
          <w:numId w:val="7"/>
        </w:numPr>
        <w:tabs>
          <w:tab w:val="clear" w:pos="1260"/>
          <w:tab w:val="left" w:pos="0"/>
          <w:tab w:val="num" w:pos="1440"/>
        </w:tabs>
        <w:suppressAutoHyphens/>
        <w:autoSpaceDE w:val="0"/>
        <w:autoSpaceDN w:val="0"/>
        <w:adjustRightInd w:val="0"/>
        <w:spacing w:after="120"/>
        <w:ind w:left="0"/>
      </w:pPr>
      <w:r>
        <w:rPr>
          <w:color w:val="000000"/>
          <w:szCs w:val="22"/>
        </w:rPr>
        <w:t>Washington Gas also requested a reduction in the forfeiture amount due to its overall history of compliance with the Rules.</w:t>
      </w:r>
      <w:r>
        <w:rPr>
          <w:rStyle w:val="FootnoteReference"/>
          <w:szCs w:val="22"/>
        </w:rPr>
        <w:footnoteReference w:id="16"/>
      </w:r>
      <w:r>
        <w:rPr>
          <w:color w:val="000000"/>
          <w:szCs w:val="22"/>
        </w:rPr>
        <w:t xml:space="preserve">  We have reviewed the Commission’s records and concur that </w:t>
      </w:r>
      <w:r>
        <w:rPr>
          <w:color w:val="000000"/>
          <w:szCs w:val="22"/>
        </w:rPr>
        <w:lastRenderedPageBreak/>
        <w:t xml:space="preserve">Washington Gas has not been previously cited with a violation of the Rules.  Accordingly, we reduce the proposed forfeiture to $10,400 </w:t>
      </w:r>
      <w:r w:rsidRPr="00DA13C4">
        <w:rPr>
          <w:color w:val="000000"/>
        </w:rPr>
        <w:t>based on Washington Gas’s history of compliance</w:t>
      </w:r>
      <w:r>
        <w:rPr>
          <w:color w:val="000000"/>
          <w:szCs w:val="22"/>
        </w:rPr>
        <w:t>.</w:t>
      </w:r>
      <w:r w:rsidR="00875AB8" w:rsidRPr="007F658A">
        <w:rPr>
          <w:color w:val="000000"/>
          <w:sz w:val="20"/>
        </w:rPr>
        <w:t xml:space="preserve"> </w:t>
      </w:r>
      <w:r w:rsidR="00875AB8" w:rsidRPr="00DA13C4">
        <w:rPr>
          <w:color w:val="000000"/>
          <w:sz w:val="20"/>
        </w:rPr>
        <w:t xml:space="preserve"> </w:t>
      </w:r>
    </w:p>
    <w:p w14:paraId="6DB3948C" w14:textId="77777777" w:rsidR="00C94EB8" w:rsidRDefault="009062B2" w:rsidP="00DA13C4">
      <w:pPr>
        <w:pStyle w:val="Heading1"/>
        <w:widowControl/>
        <w:rPr>
          <w:rFonts w:ascii="Times New Roman" w:hAnsi="Times New Roman"/>
          <w:szCs w:val="22"/>
        </w:rPr>
      </w:pPr>
      <w:r>
        <w:rPr>
          <w:rFonts w:ascii="Times New Roman" w:hAnsi="Times New Roman"/>
          <w:szCs w:val="22"/>
        </w:rPr>
        <w:t>O</w:t>
      </w:r>
      <w:r w:rsidR="00C94EB8">
        <w:rPr>
          <w:rFonts w:ascii="Times New Roman" w:hAnsi="Times New Roman"/>
          <w:szCs w:val="22"/>
        </w:rPr>
        <w:t>rdering clauses</w:t>
      </w:r>
    </w:p>
    <w:p w14:paraId="1D56A823" w14:textId="21D36260" w:rsidR="009062B2" w:rsidRDefault="00C94EB8" w:rsidP="00DA13C4">
      <w:pPr>
        <w:widowControl/>
        <w:numPr>
          <w:ilvl w:val="0"/>
          <w:numId w:val="7"/>
        </w:numPr>
        <w:tabs>
          <w:tab w:val="clear" w:pos="1260"/>
          <w:tab w:val="left" w:pos="0"/>
          <w:tab w:val="num" w:pos="1440"/>
        </w:tabs>
        <w:suppressAutoHyphens/>
        <w:autoSpaceDE w:val="0"/>
        <w:autoSpaceDN w:val="0"/>
        <w:adjustRightInd w:val="0"/>
        <w:spacing w:after="120"/>
        <w:ind w:left="0"/>
        <w:rPr>
          <w:szCs w:val="22"/>
        </w:rPr>
      </w:pPr>
      <w:r>
        <w:rPr>
          <w:szCs w:val="22"/>
        </w:rPr>
        <w:t xml:space="preserve">Accordingly, </w:t>
      </w:r>
      <w:r>
        <w:rPr>
          <w:b/>
          <w:szCs w:val="22"/>
        </w:rPr>
        <w:t>IT IS ORDERED</w:t>
      </w:r>
      <w:r>
        <w:rPr>
          <w:szCs w:val="22"/>
        </w:rPr>
        <w:t xml:space="preserve"> that, pursuant </w:t>
      </w:r>
      <w:r w:rsidR="009810FC">
        <w:rPr>
          <w:szCs w:val="22"/>
        </w:rPr>
        <w:t>to Section 503(b) of the Act</w:t>
      </w:r>
      <w:r>
        <w:rPr>
          <w:szCs w:val="22"/>
        </w:rPr>
        <w:t xml:space="preserve"> and Sections 0.111, 0.204, 0.311, 0.314, and </w:t>
      </w:r>
      <w:r w:rsidR="009810FC">
        <w:rPr>
          <w:szCs w:val="22"/>
        </w:rPr>
        <w:t>1.80(f)(4) of the R</w:t>
      </w:r>
      <w:r>
        <w:rPr>
          <w:szCs w:val="22"/>
        </w:rPr>
        <w:t xml:space="preserve">ules, </w:t>
      </w:r>
      <w:r w:rsidR="002A341F">
        <w:rPr>
          <w:szCs w:val="22"/>
        </w:rPr>
        <w:t xml:space="preserve">Washington Gas Light </w:t>
      </w:r>
      <w:r>
        <w:rPr>
          <w:b/>
          <w:szCs w:val="22"/>
        </w:rPr>
        <w:t>IS LIABLE FOR A MONETARY FORFEITURE</w:t>
      </w:r>
      <w:r w:rsidR="002A341F">
        <w:rPr>
          <w:szCs w:val="22"/>
        </w:rPr>
        <w:t xml:space="preserve"> in the amount of ten thousand four </w:t>
      </w:r>
      <w:r>
        <w:rPr>
          <w:szCs w:val="22"/>
        </w:rPr>
        <w:t xml:space="preserve">hundred </w:t>
      </w:r>
      <w:r w:rsidR="002A341F">
        <w:rPr>
          <w:szCs w:val="22"/>
        </w:rPr>
        <w:t>dollars ($10,40</w:t>
      </w:r>
      <w:r>
        <w:rPr>
          <w:szCs w:val="22"/>
        </w:rPr>
        <w:t xml:space="preserve">0) for violations of </w:t>
      </w:r>
      <w:r w:rsidR="0048407D" w:rsidRPr="001D5401">
        <w:rPr>
          <w:spacing w:val="-2"/>
          <w:szCs w:val="22"/>
        </w:rPr>
        <w:t xml:space="preserve">Sections </w:t>
      </w:r>
      <w:r w:rsidR="0048407D">
        <w:rPr>
          <w:spacing w:val="-2"/>
          <w:szCs w:val="22"/>
        </w:rPr>
        <w:t xml:space="preserve">17.48, 17.51(a), </w:t>
      </w:r>
      <w:r w:rsidR="0048407D" w:rsidRPr="001D5401">
        <w:rPr>
          <w:spacing w:val="-2"/>
          <w:szCs w:val="22"/>
        </w:rPr>
        <w:t xml:space="preserve">and 17.57 </w:t>
      </w:r>
      <w:r>
        <w:rPr>
          <w:szCs w:val="22"/>
        </w:rPr>
        <w:t>of the Rules.</w:t>
      </w:r>
      <w:r>
        <w:rPr>
          <w:rStyle w:val="FootnoteReference"/>
          <w:szCs w:val="22"/>
        </w:rPr>
        <w:footnoteReference w:id="17"/>
      </w:r>
      <w:r>
        <w:rPr>
          <w:szCs w:val="22"/>
        </w:rPr>
        <w:t xml:space="preserve"> </w:t>
      </w:r>
    </w:p>
    <w:p w14:paraId="207D0223" w14:textId="38A93A49" w:rsidR="00C94EB8" w:rsidRPr="009062B2" w:rsidRDefault="00C94EB8" w:rsidP="00DA13C4">
      <w:pPr>
        <w:widowControl/>
        <w:numPr>
          <w:ilvl w:val="0"/>
          <w:numId w:val="7"/>
        </w:numPr>
        <w:tabs>
          <w:tab w:val="clear" w:pos="1260"/>
          <w:tab w:val="left" w:pos="0"/>
          <w:tab w:val="num" w:pos="1440"/>
        </w:tabs>
        <w:suppressAutoHyphens/>
        <w:autoSpaceDE w:val="0"/>
        <w:autoSpaceDN w:val="0"/>
        <w:adjustRightInd w:val="0"/>
        <w:spacing w:after="120"/>
        <w:ind w:left="0"/>
        <w:rPr>
          <w:szCs w:val="22"/>
        </w:rPr>
      </w:pPr>
      <w:r w:rsidRPr="009062B2">
        <w:rPr>
          <w:szCs w:val="22"/>
        </w:rPr>
        <w:t>Payment</w:t>
      </w:r>
      <w:r w:rsidRPr="009062B2">
        <w:rPr>
          <w:rFonts w:eastAsia="MS Mincho"/>
          <w:szCs w:val="22"/>
        </w:rPr>
        <w:t xml:space="preserve"> of the forfeiture shall be made in the manner provided for in Section 1.80 of the Rules </w:t>
      </w:r>
      <w:r w:rsidRPr="009062B2">
        <w:rPr>
          <w:rFonts w:eastAsia="MS Mincho"/>
        </w:rPr>
        <w:t>within thirty (30) calendar days after the release date of this Forfeiture Order</w:t>
      </w:r>
      <w:r w:rsidRPr="009062B2">
        <w:rPr>
          <w:rFonts w:eastAsia="MS Mincho"/>
          <w:szCs w:val="22"/>
        </w:rPr>
        <w:t>.</w:t>
      </w:r>
      <w:r>
        <w:rPr>
          <w:rStyle w:val="FootnoteReference"/>
          <w:rFonts w:eastAsia="MS Mincho"/>
          <w:szCs w:val="22"/>
        </w:rPr>
        <w:footnoteReference w:id="18"/>
      </w:r>
      <w:r w:rsidRPr="009062B2">
        <w:rPr>
          <w:rFonts w:eastAsia="MS Mincho"/>
          <w:szCs w:val="22"/>
        </w:rPr>
        <w:t xml:space="preserve">  If the forfeiture is not paid within the period specified, the case may be referred to the U.S. Department of Justice for enforcement of the forfeiture pursuant to Section 504(a) of the Act.</w:t>
      </w:r>
      <w:r>
        <w:rPr>
          <w:rStyle w:val="FootnoteReference"/>
          <w:rFonts w:eastAsia="MS Mincho"/>
          <w:szCs w:val="22"/>
        </w:rPr>
        <w:footnoteReference w:id="19"/>
      </w:r>
      <w:r w:rsidRPr="009062B2">
        <w:rPr>
          <w:rFonts w:eastAsia="MS Mincho"/>
          <w:szCs w:val="22"/>
        </w:rPr>
        <w:t xml:space="preserve">  </w:t>
      </w:r>
      <w:r w:rsidR="002A341F">
        <w:rPr>
          <w:rFonts w:eastAsia="MS Mincho"/>
          <w:szCs w:val="22"/>
        </w:rPr>
        <w:t xml:space="preserve">Washington Gas </w:t>
      </w:r>
      <w:r w:rsidR="0048407D">
        <w:rPr>
          <w:rFonts w:eastAsia="MS Mincho"/>
          <w:szCs w:val="22"/>
        </w:rPr>
        <w:t xml:space="preserve">Light </w:t>
      </w:r>
      <w:r w:rsidRPr="009062B2">
        <w:rPr>
          <w:rFonts w:eastAsia="MS Mincho"/>
          <w:szCs w:val="22"/>
        </w:rPr>
        <w:t xml:space="preserve">shall send electronic notification of payment to </w:t>
      </w:r>
      <w:r w:rsidR="002A341F">
        <w:rPr>
          <w:szCs w:val="22"/>
        </w:rPr>
        <w:t>NER</w:t>
      </w:r>
      <w:r w:rsidRPr="009062B2">
        <w:rPr>
          <w:szCs w:val="22"/>
        </w:rPr>
        <w:t>-Response@fcc.gov</w:t>
      </w:r>
      <w:r w:rsidRPr="009062B2">
        <w:rPr>
          <w:rFonts w:eastAsia="MS Mincho"/>
          <w:szCs w:val="22"/>
        </w:rPr>
        <w:t xml:space="preserve"> on the date said payment is made.</w:t>
      </w:r>
      <w:r w:rsidRPr="009062B2">
        <w:rPr>
          <w:szCs w:val="22"/>
        </w:rPr>
        <w:t xml:space="preserve">  </w:t>
      </w:r>
      <w:r w:rsidRPr="009062B2">
        <w:rPr>
          <w:rFonts w:eastAsia="MS Mincho"/>
          <w:szCs w:val="22"/>
        </w:rPr>
        <w:t>The </w:t>
      </w:r>
      <w:r w:rsidRPr="009062B2">
        <w:rPr>
          <w:szCs w:val="22"/>
        </w:rPr>
        <w:t>payment</w:t>
      </w:r>
      <w:r w:rsidRPr="009062B2">
        <w:rPr>
          <w:rFonts w:eastAsia="MS Mincho"/>
          <w:szCs w:val="22"/>
        </w:rPr>
        <w:t xml:space="preserve"> must be made by check or similar instrument, wire transfer, or credit card, an</w:t>
      </w:r>
      <w:r w:rsidR="0048407D">
        <w:rPr>
          <w:rFonts w:eastAsia="MS Mincho"/>
          <w:szCs w:val="22"/>
        </w:rPr>
        <w:t>d must include the NAL/Account N</w:t>
      </w:r>
      <w:r w:rsidRPr="009062B2">
        <w:rPr>
          <w:rFonts w:eastAsia="MS Mincho"/>
          <w:szCs w:val="22"/>
        </w:rPr>
        <w:t>umber and FRN referenced above.  Regardless of the form of payment, a completed FCC Form 159 (Remittance Advice) must be submitted.</w:t>
      </w:r>
      <w:r>
        <w:rPr>
          <w:rStyle w:val="FootnoteReference"/>
          <w:rFonts w:eastAsia="MS Mincho"/>
          <w:szCs w:val="22"/>
        </w:rPr>
        <w:footnoteReference w:id="20"/>
      </w:r>
      <w:r w:rsidRPr="009062B2">
        <w:rPr>
          <w:rFonts w:eastAsia="MS Mincho"/>
          <w:szCs w:val="22"/>
        </w:rPr>
        <w:t xml:space="preserve">  When completing the FCC Form 159, enter the Account Number in block number 23A (call sign/other ID) and enter the letters “FORF” in block nu</w:t>
      </w:r>
      <w:r w:rsidR="0048407D">
        <w:rPr>
          <w:rFonts w:eastAsia="MS Mincho"/>
          <w:szCs w:val="22"/>
        </w:rPr>
        <w:t>mber 24A (payment type code).  </w:t>
      </w:r>
      <w:r w:rsidRPr="009062B2">
        <w:rPr>
          <w:color w:val="000000"/>
          <w:szCs w:val="22"/>
        </w:rPr>
        <w:t>Below are additional instructions you should follow based on the form of payment you select:</w:t>
      </w:r>
    </w:p>
    <w:p w14:paraId="76C7ADC3" w14:textId="77777777" w:rsidR="00C94EB8" w:rsidRDefault="00C94EB8" w:rsidP="00DA13C4">
      <w:pPr>
        <w:pStyle w:val="ParaNum"/>
        <w:widowControl/>
        <w:numPr>
          <w:ilvl w:val="0"/>
          <w:numId w:val="8"/>
        </w:numPr>
        <w:snapToGrid w:val="0"/>
        <w:rPr>
          <w:rFonts w:eastAsia="MS Mincho"/>
          <w:szCs w:val="22"/>
        </w:rPr>
      </w:pPr>
      <w:r>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656202C1" w14:textId="77777777" w:rsidR="00C94EB8" w:rsidRDefault="00C94EB8" w:rsidP="00DA13C4">
      <w:pPr>
        <w:pStyle w:val="ParaNum"/>
        <w:widowControl/>
        <w:numPr>
          <w:ilvl w:val="0"/>
          <w:numId w:val="8"/>
        </w:numPr>
        <w:snapToGrid w:val="0"/>
        <w:rPr>
          <w:rFonts w:eastAsia="MS Mincho"/>
          <w:szCs w:val="22"/>
        </w:rPr>
      </w:pPr>
      <w:r>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7C109C1F" w14:textId="4F2DDD08" w:rsidR="00C94EB8" w:rsidRDefault="00C94EB8" w:rsidP="00DA13C4">
      <w:pPr>
        <w:pStyle w:val="ParaNum"/>
        <w:widowControl/>
        <w:numPr>
          <w:ilvl w:val="0"/>
          <w:numId w:val="8"/>
        </w:numPr>
        <w:snapToGrid w:val="0"/>
        <w:rPr>
          <w:rFonts w:eastAsia="MS Mincho"/>
          <w:szCs w:val="22"/>
        </w:rPr>
      </w:pPr>
      <w:r>
        <w:rPr>
          <w:rFonts w:eastAsia="MS Mincho"/>
          <w:szCs w:val="22"/>
        </w:rPr>
        <w:t>Payment by credit card must be made by providing the required credit card information on FCC Form 159 and signing and dating the Form 159 to autho</w:t>
      </w:r>
      <w:r w:rsidR="0048407D">
        <w:rPr>
          <w:rFonts w:eastAsia="MS Mincho"/>
          <w:szCs w:val="22"/>
        </w:rPr>
        <w:t xml:space="preserve">rize the credit card payment.  </w:t>
      </w:r>
      <w:r>
        <w:rPr>
          <w:rFonts w:eastAsia="MS Mincho"/>
          <w:szCs w:val="22"/>
        </w:rPr>
        <w:t xml:space="preserve">The completed Form 159 must then be mailed to Federal Communications Commission, P.O. Box 979088, St. Louis, MO 63197-9000, or sent via overnight mail to U.S. Bank – Government Lockbox #979088, SL-MO-C2-GL, 1005 Convention Plaza, St. Louis, MO 63101.  </w:t>
      </w:r>
    </w:p>
    <w:p w14:paraId="244254B0" w14:textId="4FAA79DC" w:rsidR="009062B2" w:rsidRPr="0048407D" w:rsidRDefault="009062B2" w:rsidP="00DA13C4">
      <w:pPr>
        <w:widowControl/>
        <w:numPr>
          <w:ilvl w:val="0"/>
          <w:numId w:val="7"/>
        </w:numPr>
        <w:tabs>
          <w:tab w:val="clear" w:pos="1260"/>
          <w:tab w:val="left" w:pos="0"/>
          <w:tab w:val="num" w:pos="1440"/>
        </w:tabs>
        <w:suppressAutoHyphens/>
        <w:autoSpaceDE w:val="0"/>
        <w:autoSpaceDN w:val="0"/>
        <w:adjustRightInd w:val="0"/>
        <w:spacing w:after="120"/>
        <w:ind w:left="0"/>
        <w:rPr>
          <w:rFonts w:eastAsia="MS Mincho"/>
        </w:rPr>
      </w:pPr>
      <w:bookmarkStart w:id="2" w:name="_Ref351630271"/>
      <w:r>
        <w:t>A</w:t>
      </w:r>
      <w:r w:rsidR="00C94EB8">
        <w:t>ny</w:t>
      </w:r>
      <w:r w:rsidR="00C94EB8">
        <w:rPr>
          <w:rFonts w:eastAsia="MS Mincho"/>
        </w:rPr>
        <w:t xml:space="preserve"> request for making full payment over time under an installment plan should be sent to:  Chief Financial Officer—</w:t>
      </w:r>
      <w:r w:rsidR="00C94EB8">
        <w:rPr>
          <w:szCs w:val="22"/>
        </w:rPr>
        <w:t>Financial</w:t>
      </w:r>
      <w:r w:rsidR="00C94EB8">
        <w:rPr>
          <w:rFonts w:eastAsia="MS Mincho"/>
        </w:rPr>
        <w:t xml:space="preserve"> Operations, Federal Communications Commission, 445 12th Street, S.W., Room 1-A625, Washington, D.C.  20554.</w:t>
      </w:r>
      <w:r w:rsidR="00C94EB8">
        <w:rPr>
          <w:rStyle w:val="FootnoteReference"/>
          <w:rFonts w:eastAsia="MS Mincho"/>
          <w:szCs w:val="22"/>
        </w:rPr>
        <w:footnoteReference w:id="21"/>
      </w:r>
      <w:r w:rsidR="00C94EB8">
        <w:rPr>
          <w:rFonts w:eastAsia="MS Mincho"/>
        </w:rPr>
        <w:t>  If you have questions regarding payment procedures, please contact the Financial Operations Group Help Desk by phone, 1-877-480-3201, or by e</w:t>
      </w:r>
      <w:r w:rsidR="00C94EB8">
        <w:rPr>
          <w:rFonts w:eastAsia="MS Mincho"/>
        </w:rPr>
        <w:noBreakHyphen/>
        <w:t xml:space="preserve">mail, </w:t>
      </w:r>
      <w:hyperlink r:id="rId8" w:history="1">
        <w:r w:rsidR="00C94EB8">
          <w:rPr>
            <w:rStyle w:val="Hyperlink"/>
            <w:rFonts w:eastAsia="MS Mincho"/>
            <w:color w:val="auto"/>
            <w:szCs w:val="22"/>
            <w:u w:val="none"/>
          </w:rPr>
          <w:t>ARINQUIRIES@fcc.gov</w:t>
        </w:r>
      </w:hyperlink>
      <w:r w:rsidR="00C94EB8">
        <w:rPr>
          <w:rFonts w:eastAsia="MS Mincho"/>
        </w:rPr>
        <w:t>.</w:t>
      </w:r>
      <w:bookmarkEnd w:id="2"/>
    </w:p>
    <w:p w14:paraId="1FB7AE7E" w14:textId="4D95CC34" w:rsidR="00C94EB8" w:rsidRPr="009656F0" w:rsidRDefault="00C94EB8" w:rsidP="00DA13C4">
      <w:pPr>
        <w:widowControl/>
        <w:numPr>
          <w:ilvl w:val="0"/>
          <w:numId w:val="7"/>
        </w:numPr>
        <w:tabs>
          <w:tab w:val="clear" w:pos="1260"/>
          <w:tab w:val="left" w:pos="0"/>
          <w:tab w:val="num" w:pos="1440"/>
        </w:tabs>
        <w:suppressAutoHyphens/>
        <w:autoSpaceDE w:val="0"/>
        <w:autoSpaceDN w:val="0"/>
        <w:adjustRightInd w:val="0"/>
        <w:spacing w:after="120"/>
        <w:ind w:left="0"/>
        <w:rPr>
          <w:snapToGrid/>
          <w:spacing w:val="-3"/>
          <w:kern w:val="0"/>
        </w:rPr>
      </w:pPr>
      <w:r w:rsidRPr="009656F0">
        <w:rPr>
          <w:b/>
          <w:szCs w:val="22"/>
        </w:rPr>
        <w:lastRenderedPageBreak/>
        <w:t>IT IS FURTHER ORDERED</w:t>
      </w:r>
      <w:r w:rsidRPr="009656F0">
        <w:rPr>
          <w:szCs w:val="22"/>
        </w:rPr>
        <w:t xml:space="preserve"> that a copy of this Forfeiture Order shall be sent by both First Class Mail and Certified Mail, Return Receipt Requested, to</w:t>
      </w:r>
      <w:r w:rsidR="002A341F" w:rsidRPr="009656F0">
        <w:rPr>
          <w:szCs w:val="22"/>
        </w:rPr>
        <w:t xml:space="preserve"> Washington Gas </w:t>
      </w:r>
      <w:r w:rsidR="009656F0" w:rsidRPr="009656F0">
        <w:rPr>
          <w:szCs w:val="22"/>
        </w:rPr>
        <w:t xml:space="preserve">Light </w:t>
      </w:r>
      <w:r w:rsidR="002A341F" w:rsidRPr="009656F0">
        <w:rPr>
          <w:szCs w:val="22"/>
        </w:rPr>
        <w:t xml:space="preserve">at </w:t>
      </w:r>
      <w:r w:rsidR="002A341F" w:rsidRPr="009656F0">
        <w:rPr>
          <w:snapToGrid/>
          <w:spacing w:val="-3"/>
          <w:kern w:val="0"/>
        </w:rPr>
        <w:t>6801 Industrial Road</w:t>
      </w:r>
      <w:r w:rsidR="009656F0">
        <w:rPr>
          <w:snapToGrid/>
          <w:spacing w:val="-3"/>
          <w:kern w:val="0"/>
        </w:rPr>
        <w:t xml:space="preserve">, </w:t>
      </w:r>
      <w:r w:rsidR="0048407D">
        <w:rPr>
          <w:snapToGrid/>
          <w:spacing w:val="-3"/>
          <w:kern w:val="0"/>
        </w:rPr>
        <w:t xml:space="preserve">Springfield, VA </w:t>
      </w:r>
      <w:r w:rsidR="002A341F" w:rsidRPr="009656F0">
        <w:rPr>
          <w:snapToGrid/>
          <w:spacing w:val="-3"/>
          <w:kern w:val="0"/>
        </w:rPr>
        <w:t>22151</w:t>
      </w:r>
      <w:r w:rsidR="0048407D">
        <w:rPr>
          <w:snapToGrid/>
          <w:spacing w:val="-3"/>
          <w:kern w:val="0"/>
        </w:rPr>
        <w:t>,</w:t>
      </w:r>
      <w:r w:rsidR="009656F0" w:rsidRPr="009656F0">
        <w:rPr>
          <w:snapToGrid/>
          <w:spacing w:val="-3"/>
          <w:kern w:val="0"/>
        </w:rPr>
        <w:t xml:space="preserve"> and to </w:t>
      </w:r>
      <w:r w:rsidR="0048407D">
        <w:rPr>
          <w:snapToGrid/>
          <w:spacing w:val="-3"/>
          <w:kern w:val="0"/>
        </w:rPr>
        <w:t xml:space="preserve">its counsel, Alan Tilles, at </w:t>
      </w:r>
      <w:r w:rsidR="009656F0">
        <w:rPr>
          <w:snapToGrid/>
          <w:spacing w:val="-3"/>
          <w:kern w:val="0"/>
        </w:rPr>
        <w:t>Shulman, Rogers, Gandal, Pordy, and Ecker, P.A., 12505</w:t>
      </w:r>
      <w:r w:rsidR="0048407D">
        <w:rPr>
          <w:snapToGrid/>
          <w:spacing w:val="-3"/>
          <w:kern w:val="0"/>
        </w:rPr>
        <w:t xml:space="preserve"> Park Potomac, Potomac, MD</w:t>
      </w:r>
      <w:r w:rsidR="009656F0">
        <w:rPr>
          <w:snapToGrid/>
          <w:spacing w:val="-3"/>
          <w:kern w:val="0"/>
        </w:rPr>
        <w:t xml:space="preserve"> 20854</w:t>
      </w:r>
      <w:r w:rsidR="002A341F" w:rsidRPr="009656F0">
        <w:rPr>
          <w:snapToGrid/>
          <w:spacing w:val="-3"/>
          <w:kern w:val="0"/>
        </w:rPr>
        <w:t>.</w:t>
      </w:r>
    </w:p>
    <w:p w14:paraId="64ADE758" w14:textId="77777777" w:rsidR="00C94EB8" w:rsidRDefault="00C94EB8">
      <w:pPr>
        <w:pStyle w:val="ParaNum"/>
        <w:widowControl/>
        <w:numPr>
          <w:ilvl w:val="0"/>
          <w:numId w:val="0"/>
        </w:numPr>
        <w:spacing w:after="220"/>
        <w:rPr>
          <w:szCs w:val="22"/>
        </w:rPr>
      </w:pPr>
    </w:p>
    <w:p w14:paraId="7E91176C" w14:textId="77777777" w:rsidR="00C94EB8" w:rsidRDefault="00C94EB8">
      <w:pPr>
        <w:pStyle w:val="ParaNum"/>
        <w:widowControl/>
        <w:numPr>
          <w:ilvl w:val="0"/>
          <w:numId w:val="0"/>
        </w:numPr>
        <w:spacing w:after="0"/>
        <w:ind w:left="4320"/>
        <w:rPr>
          <w:szCs w:val="22"/>
        </w:rPr>
      </w:pPr>
      <w:r>
        <w:rPr>
          <w:szCs w:val="22"/>
        </w:rPr>
        <w:t>FEDERAL COMMUNICATIONS COMMISSION</w:t>
      </w:r>
    </w:p>
    <w:p w14:paraId="1F3C7F20" w14:textId="77777777" w:rsidR="00C94EB8" w:rsidRDefault="00C94EB8">
      <w:pPr>
        <w:pStyle w:val="ParaNum"/>
        <w:widowControl/>
        <w:numPr>
          <w:ilvl w:val="0"/>
          <w:numId w:val="0"/>
        </w:numPr>
        <w:spacing w:after="0"/>
        <w:ind w:left="4320"/>
        <w:rPr>
          <w:szCs w:val="22"/>
          <w:lang w:val="en-US"/>
        </w:rPr>
      </w:pPr>
    </w:p>
    <w:p w14:paraId="6EE5AFE3" w14:textId="77777777" w:rsidR="00C94EB8" w:rsidRDefault="00C94EB8">
      <w:pPr>
        <w:pStyle w:val="ParaNum"/>
        <w:widowControl/>
        <w:numPr>
          <w:ilvl w:val="0"/>
          <w:numId w:val="0"/>
        </w:numPr>
        <w:spacing w:after="0"/>
        <w:ind w:left="4320"/>
        <w:rPr>
          <w:szCs w:val="22"/>
          <w:lang w:val="en-US"/>
        </w:rPr>
      </w:pPr>
    </w:p>
    <w:p w14:paraId="7C997951" w14:textId="77777777" w:rsidR="00C94EB8" w:rsidRDefault="00C94EB8">
      <w:pPr>
        <w:pStyle w:val="ParaNum"/>
        <w:widowControl/>
        <w:numPr>
          <w:ilvl w:val="0"/>
          <w:numId w:val="0"/>
        </w:numPr>
        <w:spacing w:after="0"/>
        <w:ind w:left="4320"/>
        <w:rPr>
          <w:szCs w:val="22"/>
        </w:rPr>
      </w:pPr>
    </w:p>
    <w:p w14:paraId="26D02152" w14:textId="77777777" w:rsidR="00C94EB8" w:rsidRDefault="00C94EB8">
      <w:pPr>
        <w:pStyle w:val="ParaNum"/>
        <w:widowControl/>
        <w:numPr>
          <w:ilvl w:val="0"/>
          <w:numId w:val="0"/>
        </w:numPr>
        <w:spacing w:after="0"/>
        <w:ind w:left="4320"/>
        <w:rPr>
          <w:szCs w:val="22"/>
        </w:rPr>
      </w:pPr>
    </w:p>
    <w:p w14:paraId="199B1B3C" w14:textId="77777777" w:rsidR="00490D7D" w:rsidRDefault="00490D7D">
      <w:pPr>
        <w:pStyle w:val="ParaNum"/>
        <w:numPr>
          <w:ilvl w:val="0"/>
          <w:numId w:val="0"/>
        </w:numPr>
        <w:spacing w:after="0"/>
        <w:ind w:left="3600" w:firstLine="720"/>
        <w:rPr>
          <w:lang w:val="en-US"/>
        </w:rPr>
      </w:pPr>
      <w:r>
        <w:rPr>
          <w:lang w:val="en-US"/>
        </w:rPr>
        <w:t>G. Michael Moffitt</w:t>
      </w:r>
    </w:p>
    <w:p w14:paraId="6E709B78" w14:textId="77777777" w:rsidR="00C94EB8" w:rsidRDefault="00490D7D">
      <w:pPr>
        <w:pStyle w:val="ParaNum"/>
        <w:numPr>
          <w:ilvl w:val="0"/>
          <w:numId w:val="0"/>
        </w:numPr>
        <w:spacing w:after="0"/>
        <w:ind w:left="3600" w:firstLine="720"/>
      </w:pPr>
      <w:r>
        <w:t xml:space="preserve">Regional Director, </w:t>
      </w:r>
      <w:r>
        <w:rPr>
          <w:lang w:val="en-US"/>
        </w:rPr>
        <w:t>Northeast</w:t>
      </w:r>
      <w:r w:rsidR="00C94EB8">
        <w:t xml:space="preserve"> Region</w:t>
      </w:r>
    </w:p>
    <w:p w14:paraId="71094027" w14:textId="77777777" w:rsidR="00C94EB8" w:rsidRDefault="00C94EB8">
      <w:pPr>
        <w:pStyle w:val="ParaNum"/>
        <w:widowControl/>
        <w:numPr>
          <w:ilvl w:val="0"/>
          <w:numId w:val="0"/>
        </w:numPr>
        <w:spacing w:after="0"/>
        <w:ind w:left="3600" w:firstLine="720"/>
      </w:pPr>
      <w:r>
        <w:rPr>
          <w:szCs w:val="22"/>
        </w:rPr>
        <w:t>Enforcement Bureau</w:t>
      </w:r>
    </w:p>
    <w:sectPr w:rsidR="00C94EB8" w:rsidSect="004F21E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293C7" w14:textId="77777777" w:rsidR="006872BD" w:rsidRDefault="006872BD">
      <w:pPr>
        <w:spacing w:line="20" w:lineRule="exact"/>
      </w:pPr>
    </w:p>
  </w:endnote>
  <w:endnote w:type="continuationSeparator" w:id="0">
    <w:p w14:paraId="7CD1B317" w14:textId="77777777" w:rsidR="006872BD" w:rsidRDefault="006872BD">
      <w:r>
        <w:t xml:space="preserve"> </w:t>
      </w:r>
    </w:p>
  </w:endnote>
  <w:endnote w:type="continuationNotice" w:id="1">
    <w:p w14:paraId="41442424" w14:textId="77777777" w:rsidR="006872BD" w:rsidRDefault="006872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68B16" w14:textId="77777777" w:rsidR="00C94EB8" w:rsidRDefault="00C94EB8">
    <w:pPr>
      <w:pStyle w:val="Footer"/>
      <w:framePr w:wrap="around" w:vAnchor="text" w:hAnchor="margin" w:xAlign="center" w:y="1"/>
    </w:pPr>
    <w:r>
      <w:fldChar w:fldCharType="begin"/>
    </w:r>
    <w:r>
      <w:instrText xml:space="preserve">PAGE  </w:instrText>
    </w:r>
    <w:r>
      <w:fldChar w:fldCharType="end"/>
    </w:r>
  </w:p>
  <w:p w14:paraId="55B27CE5" w14:textId="77777777" w:rsidR="00C94EB8" w:rsidRDefault="00C94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9C164" w14:textId="77777777" w:rsidR="00C94EB8" w:rsidRDefault="00C94EB8">
    <w:pPr>
      <w:pStyle w:val="Footer"/>
      <w:framePr w:wrap="around" w:vAnchor="text" w:hAnchor="margin" w:xAlign="center" w:y="1"/>
    </w:pPr>
    <w:r>
      <w:fldChar w:fldCharType="begin"/>
    </w:r>
    <w:r>
      <w:instrText xml:space="preserve">PAGE  </w:instrText>
    </w:r>
    <w:r>
      <w:fldChar w:fldCharType="separate"/>
    </w:r>
    <w:r w:rsidR="00874875">
      <w:rPr>
        <w:noProof/>
      </w:rPr>
      <w:t>4</w:t>
    </w:r>
    <w:r>
      <w:fldChar w:fldCharType="end"/>
    </w:r>
  </w:p>
  <w:p w14:paraId="0D1CDFB0" w14:textId="77777777" w:rsidR="00C94EB8" w:rsidRDefault="00C94EB8">
    <w:pPr>
      <w:spacing w:before="140" w:line="100" w:lineRule="exact"/>
      <w:rPr>
        <w:sz w:val="10"/>
      </w:rPr>
    </w:pPr>
  </w:p>
  <w:p w14:paraId="27BE2BEB" w14:textId="77777777" w:rsidR="00C94EB8" w:rsidRDefault="00C94EB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D98AE" w14:textId="77777777" w:rsidR="00407244" w:rsidRDefault="00407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FB9BB" w14:textId="77777777" w:rsidR="006872BD" w:rsidRDefault="006872BD">
      <w:r>
        <w:separator/>
      </w:r>
    </w:p>
  </w:footnote>
  <w:footnote w:type="continuationSeparator" w:id="0">
    <w:p w14:paraId="48D5C074" w14:textId="77777777" w:rsidR="006872BD" w:rsidRDefault="006872BD">
      <w:pPr>
        <w:rPr>
          <w:sz w:val="20"/>
        </w:rPr>
      </w:pPr>
      <w:r>
        <w:rPr>
          <w:sz w:val="20"/>
        </w:rPr>
        <w:t xml:space="preserve">(Continued from previous page)  </w:t>
      </w:r>
      <w:r>
        <w:rPr>
          <w:sz w:val="20"/>
        </w:rPr>
        <w:separator/>
      </w:r>
    </w:p>
  </w:footnote>
  <w:footnote w:type="continuationNotice" w:id="1">
    <w:p w14:paraId="31A310ED" w14:textId="77777777" w:rsidR="006872BD" w:rsidRDefault="006872BD">
      <w:pPr>
        <w:rPr>
          <w:sz w:val="20"/>
        </w:rPr>
      </w:pPr>
      <w:r>
        <w:rPr>
          <w:sz w:val="20"/>
        </w:rPr>
        <w:t>(continued….)</w:t>
      </w:r>
    </w:p>
  </w:footnote>
  <w:footnote w:id="2">
    <w:p w14:paraId="0AEF1839" w14:textId="06C7C035" w:rsidR="001D5401" w:rsidRPr="00A00B01" w:rsidRDefault="001D5401" w:rsidP="00867CCE">
      <w:pPr>
        <w:pStyle w:val="FootnoteText"/>
      </w:pPr>
      <w:r w:rsidRPr="00D649B5">
        <w:rPr>
          <w:rStyle w:val="FootnoteReference"/>
          <w:sz w:val="20"/>
        </w:rPr>
        <w:footnoteRef/>
      </w:r>
      <w:r w:rsidRPr="00A00B01">
        <w:t xml:space="preserve"> 47 C.F.R. §</w:t>
      </w:r>
      <w:r w:rsidR="002A341F" w:rsidRPr="00A00B01">
        <w:t>§ 17.48</w:t>
      </w:r>
      <w:r w:rsidR="005B3331">
        <w:t xml:space="preserve">, 17.51(a), </w:t>
      </w:r>
      <w:r w:rsidRPr="00A00B01">
        <w:t>17.57.</w:t>
      </w:r>
    </w:p>
  </w:footnote>
  <w:footnote w:id="3">
    <w:p w14:paraId="11810685" w14:textId="77777777" w:rsidR="00326F2C" w:rsidRPr="00867CCE" w:rsidRDefault="00326F2C" w:rsidP="00867CCE">
      <w:pPr>
        <w:spacing w:after="120"/>
      </w:pPr>
      <w:r w:rsidRPr="00A00B01">
        <w:rPr>
          <w:rStyle w:val="FootnoteReference"/>
          <w:sz w:val="20"/>
        </w:rPr>
        <w:footnoteRef/>
      </w:r>
      <w:r w:rsidRPr="00A00B01">
        <w:rPr>
          <w:sz w:val="20"/>
        </w:rPr>
        <w:t xml:space="preserve"> </w:t>
      </w:r>
      <w:r w:rsidR="00BC1B19" w:rsidRPr="00A00B01">
        <w:rPr>
          <w:i/>
          <w:iCs/>
          <w:sz w:val="20"/>
        </w:rPr>
        <w:t>Washington Gas Light</w:t>
      </w:r>
      <w:r w:rsidRPr="00A00B01">
        <w:rPr>
          <w:sz w:val="20"/>
        </w:rPr>
        <w:t>, Notice of Apparent Liability for Forfeiture</w:t>
      </w:r>
      <w:r w:rsidR="00774ED0" w:rsidRPr="00A00B01">
        <w:rPr>
          <w:sz w:val="20"/>
        </w:rPr>
        <w:t>,</w:t>
      </w:r>
      <w:r w:rsidR="00867CCE">
        <w:rPr>
          <w:sz w:val="20"/>
        </w:rPr>
        <w:t xml:space="preserve"> 26 FCC Rcd 12640 (Enf. Bur. 2011) </w:t>
      </w:r>
      <w:r w:rsidR="00967457" w:rsidRPr="00A00B01">
        <w:rPr>
          <w:sz w:val="20"/>
        </w:rPr>
        <w:t>(</w:t>
      </w:r>
      <w:r w:rsidR="00967457" w:rsidRPr="00A00B01">
        <w:rPr>
          <w:i/>
          <w:iCs/>
          <w:sz w:val="20"/>
        </w:rPr>
        <w:t>NAL</w:t>
      </w:r>
      <w:r w:rsidR="00967457" w:rsidRPr="00A00B01">
        <w:rPr>
          <w:sz w:val="20"/>
        </w:rPr>
        <w:t>)</w:t>
      </w:r>
      <w:r w:rsidRPr="00A00B01">
        <w:rPr>
          <w:sz w:val="20"/>
        </w:rPr>
        <w:t>.</w:t>
      </w:r>
      <w:r w:rsidR="008E2ED9">
        <w:rPr>
          <w:sz w:val="20"/>
        </w:rPr>
        <w:t xml:space="preserve">  A comprehensive recitation of the facts and history of this case can be found in the </w:t>
      </w:r>
      <w:r w:rsidR="008E2ED9">
        <w:rPr>
          <w:i/>
          <w:sz w:val="20"/>
        </w:rPr>
        <w:t xml:space="preserve">NAL </w:t>
      </w:r>
      <w:r w:rsidR="008E2ED9">
        <w:rPr>
          <w:sz w:val="20"/>
        </w:rPr>
        <w:t xml:space="preserve">and is incorporated by reference. </w:t>
      </w:r>
    </w:p>
  </w:footnote>
  <w:footnote w:id="4">
    <w:p w14:paraId="1DE3DE8E" w14:textId="77777777" w:rsidR="008E2ED9" w:rsidRPr="00A00B01" w:rsidRDefault="008E2ED9" w:rsidP="008E2ED9">
      <w:pPr>
        <w:pStyle w:val="FootnoteText"/>
      </w:pPr>
      <w:r w:rsidRPr="00A00B01">
        <w:rPr>
          <w:rStyle w:val="FootnoteReference"/>
          <w:sz w:val="20"/>
        </w:rPr>
        <w:footnoteRef/>
      </w:r>
      <w:r w:rsidRPr="00A00B01">
        <w:t xml:space="preserve"> </w:t>
      </w:r>
      <w:r w:rsidRPr="00A00B01">
        <w:rPr>
          <w:i/>
          <w:iCs/>
        </w:rPr>
        <w:t>Washington Gas Light</w:t>
      </w:r>
      <w:r w:rsidRPr="00A00B01">
        <w:t>, Re</w:t>
      </w:r>
      <w:r>
        <w:t>quest for Reconsideration (rec. Oct.</w:t>
      </w:r>
      <w:r w:rsidRPr="00A00B01">
        <w:t xml:space="preserve"> 5, 2011) (on file in EB-FIELDNER-13-00006816</w:t>
      </w:r>
      <w:r w:rsidRPr="00A00B01">
        <w:rPr>
          <w:color w:val="1F497D"/>
        </w:rPr>
        <w:t>)</w:t>
      </w:r>
      <w:r w:rsidRPr="00A00B01">
        <w:t xml:space="preserve"> (</w:t>
      </w:r>
      <w:r w:rsidRPr="00A00B01">
        <w:rPr>
          <w:i/>
          <w:iCs/>
        </w:rPr>
        <w:t>NAL Response</w:t>
      </w:r>
      <w:r w:rsidRPr="00A00B01">
        <w:t xml:space="preserve">).  </w:t>
      </w:r>
    </w:p>
  </w:footnote>
  <w:footnote w:id="5">
    <w:p w14:paraId="49DDB6F1" w14:textId="77777777" w:rsidR="00C94EB8" w:rsidRPr="00A00B01" w:rsidRDefault="00C94EB8" w:rsidP="00867CCE">
      <w:pPr>
        <w:pStyle w:val="FootnoteText"/>
      </w:pPr>
      <w:r w:rsidRPr="00A00B01">
        <w:rPr>
          <w:rStyle w:val="FootnoteReference"/>
          <w:sz w:val="20"/>
        </w:rPr>
        <w:footnoteRef/>
      </w:r>
      <w:r w:rsidRPr="00A00B01">
        <w:t xml:space="preserve"> 47 U.S.C. § 503(b).</w:t>
      </w:r>
    </w:p>
  </w:footnote>
  <w:footnote w:id="6">
    <w:p w14:paraId="59C00EB8" w14:textId="77777777" w:rsidR="00C94EB8" w:rsidRPr="00A00B01" w:rsidRDefault="00C94EB8" w:rsidP="00867CCE">
      <w:pPr>
        <w:pStyle w:val="FootnoteText"/>
      </w:pPr>
      <w:r w:rsidRPr="00A00B01">
        <w:rPr>
          <w:rStyle w:val="FootnoteReference"/>
          <w:sz w:val="20"/>
        </w:rPr>
        <w:footnoteRef/>
      </w:r>
      <w:r w:rsidRPr="00A00B01">
        <w:t xml:space="preserve"> 47 C.F.R. § 1.80.</w:t>
      </w:r>
    </w:p>
  </w:footnote>
  <w:footnote w:id="7">
    <w:p w14:paraId="38019A83" w14:textId="77777777" w:rsidR="00C94EB8" w:rsidRPr="00A00B01" w:rsidRDefault="00C94EB8" w:rsidP="00867CCE">
      <w:pPr>
        <w:pStyle w:val="FootnoteText"/>
      </w:pPr>
      <w:r w:rsidRPr="00A00B01">
        <w:rPr>
          <w:rStyle w:val="FootnoteReference"/>
          <w:sz w:val="20"/>
        </w:rPr>
        <w:footnoteRef/>
      </w:r>
      <w:r w:rsidRPr="00A00B01">
        <w:t xml:space="preserve"> </w:t>
      </w:r>
      <w:r w:rsidRPr="00A00B01">
        <w:rPr>
          <w:i/>
        </w:rPr>
        <w:t>The Commission’s Forfeiture Policy Statement and Amendment of Section 1.80 of the Rules to Incorporate the Forfeiture Guidelines</w:t>
      </w:r>
      <w:r w:rsidRPr="00A00B01">
        <w:t xml:space="preserve">, Report and Order, 12 FCC Rcd 17087 (1997), </w:t>
      </w:r>
      <w:r w:rsidRPr="00A00B01">
        <w:rPr>
          <w:i/>
        </w:rPr>
        <w:t>recons. denied</w:t>
      </w:r>
      <w:r w:rsidRPr="00A00B01">
        <w:t>, 15 FCC Rcd 303 (1999) (</w:t>
      </w:r>
      <w:r w:rsidRPr="00A00B01">
        <w:rPr>
          <w:i/>
        </w:rPr>
        <w:t>Forfeiture Policy Statement</w:t>
      </w:r>
      <w:r w:rsidRPr="00A00B01">
        <w:t xml:space="preserve">).  </w:t>
      </w:r>
    </w:p>
  </w:footnote>
  <w:footnote w:id="8">
    <w:p w14:paraId="30915C1F" w14:textId="77777777" w:rsidR="00C94EB8" w:rsidRPr="00A00B01" w:rsidRDefault="00C94EB8" w:rsidP="00867CCE">
      <w:pPr>
        <w:pStyle w:val="FootnoteText"/>
      </w:pPr>
      <w:r w:rsidRPr="00A00B01">
        <w:rPr>
          <w:rStyle w:val="FootnoteReference"/>
          <w:sz w:val="20"/>
        </w:rPr>
        <w:footnoteRef/>
      </w:r>
      <w:r w:rsidRPr="00A00B01">
        <w:t xml:space="preserve"> 47 U.S.C. § 503(b)(2)(E).</w:t>
      </w:r>
    </w:p>
  </w:footnote>
  <w:footnote w:id="9">
    <w:p w14:paraId="5387E482" w14:textId="33626551" w:rsidR="00875AB8" w:rsidRPr="00875AB8" w:rsidRDefault="00875AB8">
      <w:pPr>
        <w:pStyle w:val="FootnoteText"/>
        <w:rPr>
          <w:b/>
        </w:rPr>
      </w:pPr>
      <w:r>
        <w:rPr>
          <w:rStyle w:val="FootnoteReference"/>
        </w:rPr>
        <w:footnoteRef/>
      </w:r>
      <w:r>
        <w:t xml:space="preserve"> </w:t>
      </w:r>
      <w:r w:rsidR="005036B9">
        <w:rPr>
          <w:i/>
          <w:iCs/>
        </w:rPr>
        <w:t>See NAL Respons</w:t>
      </w:r>
      <w:r w:rsidR="008B7CE1">
        <w:rPr>
          <w:i/>
          <w:iCs/>
        </w:rPr>
        <w:t xml:space="preserve">e </w:t>
      </w:r>
      <w:r w:rsidR="008B7CE1">
        <w:rPr>
          <w:iCs/>
        </w:rPr>
        <w:t>at 4</w:t>
      </w:r>
      <w:r w:rsidR="005036B9">
        <w:t xml:space="preserve">.  </w:t>
      </w:r>
    </w:p>
  </w:footnote>
  <w:footnote w:id="10">
    <w:p w14:paraId="1F562180" w14:textId="77777777" w:rsidR="00432700" w:rsidRPr="00432700" w:rsidRDefault="00432700">
      <w:pPr>
        <w:pStyle w:val="FootnoteText"/>
      </w:pPr>
      <w:r>
        <w:rPr>
          <w:rStyle w:val="FootnoteReference"/>
        </w:rPr>
        <w:footnoteRef/>
      </w:r>
      <w:r>
        <w:t xml:space="preserve"> </w:t>
      </w:r>
      <w:r>
        <w:rPr>
          <w:i/>
        </w:rPr>
        <w:t>See, e.g.</w:t>
      </w:r>
      <w:r>
        <w:t xml:space="preserve">, </w:t>
      </w:r>
      <w:r>
        <w:rPr>
          <w:i/>
        </w:rPr>
        <w:t>Catholic Radio Network of Loveland, Inc.</w:t>
      </w:r>
      <w:r>
        <w:t xml:space="preserve">, Forfeiture Order, 29 FCC Rcd 121 (Enf. Bur. 2014); </w:t>
      </w:r>
      <w:r>
        <w:rPr>
          <w:i/>
        </w:rPr>
        <w:t>Argos Net, Inc.</w:t>
      </w:r>
      <w:r>
        <w:t xml:space="preserve">, Forfeiture Order, 28 FCC Rcd 1126 (Enf. Bur. 2013); </w:t>
      </w:r>
      <w:r>
        <w:rPr>
          <w:i/>
        </w:rPr>
        <w:t>LawMate Tech. Co.</w:t>
      </w:r>
      <w:r>
        <w:t xml:space="preserve">, 27 FCC Rcd 15159 (Enf. Bur. 2012).  </w:t>
      </w:r>
    </w:p>
  </w:footnote>
  <w:footnote w:id="11">
    <w:p w14:paraId="464FEFE9" w14:textId="77777777" w:rsidR="009A7BB7" w:rsidRDefault="009A7BB7">
      <w:pPr>
        <w:pStyle w:val="FootnoteText"/>
      </w:pPr>
      <w:r>
        <w:rPr>
          <w:rStyle w:val="FootnoteReference"/>
        </w:rPr>
        <w:footnoteRef/>
      </w:r>
      <w:r>
        <w:t xml:space="preserve"> 47 C.F.R. § 17.48.</w:t>
      </w:r>
    </w:p>
  </w:footnote>
  <w:footnote w:id="12">
    <w:p w14:paraId="03B39145" w14:textId="77777777" w:rsidR="00AB52AF" w:rsidRDefault="00AB52AF">
      <w:pPr>
        <w:pStyle w:val="FootnoteText"/>
      </w:pPr>
      <w:r>
        <w:rPr>
          <w:rStyle w:val="FootnoteReference"/>
        </w:rPr>
        <w:footnoteRef/>
      </w:r>
      <w:r>
        <w:t xml:space="preserve"> </w:t>
      </w:r>
      <w:r>
        <w:rPr>
          <w:i/>
        </w:rPr>
        <w:t>NAL</w:t>
      </w:r>
      <w:r>
        <w:t>, 26 FCC Rcd at 12641, para. 5.</w:t>
      </w:r>
    </w:p>
  </w:footnote>
  <w:footnote w:id="13">
    <w:p w14:paraId="1AD8AC75" w14:textId="77777777" w:rsidR="00AB52AF" w:rsidRPr="00AB52AF" w:rsidRDefault="00AB52AF">
      <w:pPr>
        <w:pStyle w:val="FootnoteText"/>
      </w:pPr>
      <w:r>
        <w:rPr>
          <w:rStyle w:val="FootnoteReference"/>
        </w:rPr>
        <w:footnoteRef/>
      </w:r>
      <w:r>
        <w:t xml:space="preserve"> </w:t>
      </w:r>
      <w:r w:rsidR="007F658A">
        <w:rPr>
          <w:i/>
        </w:rPr>
        <w:t>See i</w:t>
      </w:r>
      <w:r>
        <w:rPr>
          <w:i/>
        </w:rPr>
        <w:t xml:space="preserve">d. </w:t>
      </w:r>
      <w:r>
        <w:t>at 12640–41, para. 3</w:t>
      </w:r>
      <w:r w:rsidR="007F658A">
        <w:t xml:space="preserve"> (noting that no Notice to </w:t>
      </w:r>
      <w:r w:rsidR="00F35093">
        <w:t>Airmen had been issued for the Antenna Structure l</w:t>
      </w:r>
      <w:r w:rsidR="007F658A">
        <w:t>ighting outage by the time the Columbia Office agent contacted the FAA on October 19, 2010</w:t>
      </w:r>
      <w:r w:rsidR="009810FC">
        <w:t>)</w:t>
      </w:r>
      <w:r w:rsidR="007F658A">
        <w:t>.</w:t>
      </w:r>
    </w:p>
  </w:footnote>
  <w:footnote w:id="14">
    <w:p w14:paraId="055CB450" w14:textId="2FE85876" w:rsidR="007F658A" w:rsidRPr="009810FC" w:rsidRDefault="007F658A">
      <w:pPr>
        <w:pStyle w:val="FootnoteText"/>
      </w:pPr>
      <w:r>
        <w:rPr>
          <w:rStyle w:val="FootnoteReference"/>
        </w:rPr>
        <w:footnoteRef/>
      </w:r>
      <w:r>
        <w:t xml:space="preserve"> </w:t>
      </w:r>
      <w:r w:rsidR="009810FC">
        <w:rPr>
          <w:i/>
        </w:rPr>
        <w:t>See, e.g.</w:t>
      </w:r>
      <w:r w:rsidR="009810FC">
        <w:t xml:space="preserve">, </w:t>
      </w:r>
      <w:r w:rsidR="009810FC">
        <w:rPr>
          <w:i/>
        </w:rPr>
        <w:t>Mattoon Broad. Co.</w:t>
      </w:r>
      <w:r w:rsidR="009810FC">
        <w:t xml:space="preserve">, Forfeiture Order, 29 FCC Rcd 2925, 2926, para. 5 (Enf. Bur. 2014); </w:t>
      </w:r>
      <w:r w:rsidR="009810FC">
        <w:rPr>
          <w:i/>
        </w:rPr>
        <w:t>Argos Net</w:t>
      </w:r>
      <w:r w:rsidR="00F35093">
        <w:t>, 2</w:t>
      </w:r>
      <w:r w:rsidR="00E602EE">
        <w:t>8</w:t>
      </w:r>
      <w:r w:rsidR="00F35093">
        <w:t xml:space="preserve"> FCC Rcd at 1127, para. 4.</w:t>
      </w:r>
      <w:r w:rsidR="009810FC">
        <w:t xml:space="preserve"> </w:t>
      </w:r>
    </w:p>
  </w:footnote>
  <w:footnote w:id="15">
    <w:p w14:paraId="507E1031" w14:textId="77777777" w:rsidR="009810FC" w:rsidRPr="009810FC" w:rsidRDefault="009810FC">
      <w:pPr>
        <w:pStyle w:val="FootnoteText"/>
      </w:pPr>
      <w:r w:rsidRPr="009810FC">
        <w:rPr>
          <w:rStyle w:val="FootnoteReference"/>
          <w:sz w:val="20"/>
        </w:rPr>
        <w:footnoteRef/>
      </w:r>
      <w:r w:rsidRPr="009810FC">
        <w:t xml:space="preserve"> </w:t>
      </w:r>
      <w:r w:rsidRPr="009810FC">
        <w:rPr>
          <w:i/>
        </w:rPr>
        <w:t>See Int’l Broad. Corp.</w:t>
      </w:r>
      <w:r w:rsidRPr="009810FC">
        <w:t>, Order on Revi</w:t>
      </w:r>
      <w:r w:rsidR="00F35093">
        <w:t>ew, 25 FCC Rcd 1538 (2010) (“T</w:t>
      </w:r>
      <w:r w:rsidRPr="009A7BB7">
        <w:t xml:space="preserve">o reduce the forfeiture as requested would be to reward postponement of compliance with the Rules until after a Commission inspection. </w:t>
      </w:r>
      <w:r w:rsidR="00F35093">
        <w:t xml:space="preserve"> </w:t>
      </w:r>
      <w:r w:rsidRPr="009A7BB7">
        <w:t>We find such an approach contrary to the public interest.</w:t>
      </w:r>
      <w:r>
        <w:t>”).</w:t>
      </w:r>
    </w:p>
  </w:footnote>
  <w:footnote w:id="16">
    <w:p w14:paraId="0F400B4F" w14:textId="1CF4EF1A" w:rsidR="009810FC" w:rsidRDefault="009810FC">
      <w:pPr>
        <w:pStyle w:val="FootnoteText"/>
      </w:pPr>
      <w:r>
        <w:rPr>
          <w:rStyle w:val="FootnoteReference"/>
        </w:rPr>
        <w:footnoteRef/>
      </w:r>
      <w:r>
        <w:t xml:space="preserve"> </w:t>
      </w:r>
      <w:r w:rsidR="005036B9">
        <w:rPr>
          <w:i/>
          <w:iCs/>
        </w:rPr>
        <w:t xml:space="preserve">See NAL Response </w:t>
      </w:r>
      <w:r w:rsidR="005036B9">
        <w:rPr>
          <w:iCs/>
        </w:rPr>
        <w:t>at 4</w:t>
      </w:r>
      <w:r w:rsidR="005036B9">
        <w:t xml:space="preserve">.  </w:t>
      </w:r>
    </w:p>
  </w:footnote>
  <w:footnote w:id="17">
    <w:p w14:paraId="26FE9192" w14:textId="77777777" w:rsidR="00C94EB8" w:rsidRPr="00A00B01" w:rsidRDefault="00C94EB8" w:rsidP="00867CCE">
      <w:pPr>
        <w:pStyle w:val="FootnoteText"/>
      </w:pPr>
      <w:r w:rsidRPr="00A00B01">
        <w:rPr>
          <w:rStyle w:val="FootnoteReference"/>
          <w:sz w:val="20"/>
        </w:rPr>
        <w:footnoteRef/>
      </w:r>
      <w:r w:rsidR="002A341F" w:rsidRPr="00A00B01">
        <w:t xml:space="preserve"> 47 U.S.C. §</w:t>
      </w:r>
      <w:r w:rsidR="0048407D">
        <w:t xml:space="preserve"> </w:t>
      </w:r>
      <w:r w:rsidRPr="00A00B01">
        <w:t xml:space="preserve">503(b); 47 C.F.R. §§ 0.111, 0.204, </w:t>
      </w:r>
      <w:r w:rsidR="002A341F" w:rsidRPr="00A00B01">
        <w:t xml:space="preserve">0.311, 0.314, 1.80(f)(4), </w:t>
      </w:r>
      <w:r w:rsidR="0048407D" w:rsidRPr="00A00B01">
        <w:t>17.48</w:t>
      </w:r>
      <w:r w:rsidR="0048407D">
        <w:t xml:space="preserve">, 17.51(a), </w:t>
      </w:r>
      <w:r w:rsidR="0048407D" w:rsidRPr="00A00B01">
        <w:t>17.57</w:t>
      </w:r>
      <w:r w:rsidRPr="00A00B01">
        <w:t>.</w:t>
      </w:r>
    </w:p>
  </w:footnote>
  <w:footnote w:id="18">
    <w:p w14:paraId="0F23468A" w14:textId="77777777" w:rsidR="00C94EB8" w:rsidRPr="00A00B01" w:rsidRDefault="00C94EB8" w:rsidP="00867CCE">
      <w:pPr>
        <w:pStyle w:val="FootnoteText"/>
      </w:pPr>
      <w:r w:rsidRPr="00A00B01">
        <w:rPr>
          <w:rStyle w:val="FootnoteReference"/>
          <w:sz w:val="20"/>
        </w:rPr>
        <w:footnoteRef/>
      </w:r>
      <w:r w:rsidRPr="00A00B01">
        <w:t xml:space="preserve"> 47 C.F.R. § 1.80.</w:t>
      </w:r>
    </w:p>
  </w:footnote>
  <w:footnote w:id="19">
    <w:p w14:paraId="5755CDF6" w14:textId="77777777" w:rsidR="00C94EB8" w:rsidRPr="00A00B01" w:rsidRDefault="00C94EB8" w:rsidP="00867CCE">
      <w:pPr>
        <w:pStyle w:val="FootnoteText"/>
      </w:pPr>
      <w:r w:rsidRPr="00A00B01">
        <w:rPr>
          <w:rStyle w:val="FootnoteReference"/>
          <w:sz w:val="20"/>
        </w:rPr>
        <w:footnoteRef/>
      </w:r>
      <w:r w:rsidRPr="00A00B01">
        <w:t xml:space="preserve"> 47 U.S.C. § 504(a).</w:t>
      </w:r>
    </w:p>
  </w:footnote>
  <w:footnote w:id="20">
    <w:p w14:paraId="11CB2831" w14:textId="77777777" w:rsidR="00C94EB8" w:rsidRPr="00A00B01" w:rsidRDefault="00C94EB8" w:rsidP="00867CCE">
      <w:pPr>
        <w:pStyle w:val="FootnoteText"/>
      </w:pPr>
      <w:r w:rsidRPr="00A00B01">
        <w:rPr>
          <w:rStyle w:val="FootnoteReference"/>
          <w:sz w:val="20"/>
        </w:rPr>
        <w:footnoteRef/>
      </w:r>
      <w:r w:rsidRPr="00A00B01">
        <w:t xml:space="preserve"> </w:t>
      </w:r>
      <w:r w:rsidRPr="00A00B01">
        <w:rPr>
          <w:rFonts w:eastAsia="MS Mincho"/>
        </w:rPr>
        <w:t>An FCC Form 159 and detailed instructions for completing the form may be obtained at http://www.fcc.gov/Forms/Form159/159.pdf.</w:t>
      </w:r>
    </w:p>
  </w:footnote>
  <w:footnote w:id="21">
    <w:p w14:paraId="39D1A0C4" w14:textId="77777777" w:rsidR="00C94EB8" w:rsidRPr="00A00B01" w:rsidRDefault="00C94EB8" w:rsidP="00867CCE">
      <w:pPr>
        <w:pStyle w:val="FootnoteText"/>
      </w:pPr>
      <w:r w:rsidRPr="00A00B01">
        <w:rPr>
          <w:rStyle w:val="FootnoteReference"/>
          <w:sz w:val="20"/>
        </w:rPr>
        <w:footnoteRef/>
      </w:r>
      <w:r w:rsidRPr="00A00B01">
        <w:t xml:space="preserve"> </w:t>
      </w:r>
      <w:r w:rsidRPr="00A00B01">
        <w:rPr>
          <w:i/>
        </w:rPr>
        <w:t>See</w:t>
      </w:r>
      <w:r w:rsidRPr="00A00B01">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D2433" w14:textId="77777777" w:rsidR="00407244" w:rsidRDefault="00407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3A55E" w14:textId="77777777" w:rsidR="004F21E3" w:rsidRPr="004F21E3" w:rsidRDefault="004F21E3" w:rsidP="004F21E3">
    <w:pPr>
      <w:pStyle w:val="Header"/>
      <w:rPr>
        <w:szCs w:val="22"/>
        <w:lang w:val="en-US"/>
      </w:rPr>
    </w:pPr>
    <w:r w:rsidRPr="004F21E3">
      <w:tab/>
    </w:r>
    <w:r w:rsidRPr="004F21E3">
      <w:rPr>
        <w:szCs w:val="22"/>
      </w:rPr>
      <w:t>Federal Comm</w:t>
    </w:r>
    <w:r>
      <w:rPr>
        <w:szCs w:val="22"/>
      </w:rPr>
      <w:t>unications Commission</w:t>
    </w:r>
    <w:r>
      <w:rPr>
        <w:szCs w:val="22"/>
      </w:rPr>
      <w:tab/>
      <w:t>DA 14-10</w:t>
    </w:r>
    <w:r>
      <w:rPr>
        <w:szCs w:val="22"/>
        <w:lang w:val="en-US"/>
      </w:rPr>
      <w:t>07</w:t>
    </w:r>
  </w:p>
  <w:p w14:paraId="43980EF0" w14:textId="483839FB" w:rsidR="00C94EB8" w:rsidRPr="004F21E3" w:rsidRDefault="004F21E3" w:rsidP="004F21E3">
    <w:pPr>
      <w:pStyle w:val="Header"/>
      <w:rPr>
        <w:sz w:val="20"/>
        <w:lang w:val="en-US"/>
      </w:rPr>
    </w:pPr>
    <w:r w:rsidRPr="004F21E3">
      <w:rPr>
        <w:noProof/>
        <w:snapToGrid/>
        <w:sz w:val="20"/>
        <w:lang w:val="en-US" w:eastAsia="en-US"/>
      </w:rPr>
      <mc:AlternateContent>
        <mc:Choice Requires="wps">
          <w:drawing>
            <wp:anchor distT="0" distB="0" distL="114300" distR="114300" simplePos="0" relativeHeight="251661312" behindDoc="0" locked="0" layoutInCell="0" allowOverlap="1" wp14:anchorId="069A5077" wp14:editId="690D8F1D">
              <wp:simplePos x="0" y="0"/>
              <wp:positionH relativeFrom="column">
                <wp:posOffset>0</wp:posOffset>
              </wp:positionH>
              <wp:positionV relativeFrom="paragraph">
                <wp:posOffset>22225</wp:posOffset>
              </wp:positionV>
              <wp:extent cx="5943600" cy="0"/>
              <wp:effectExtent l="9525" t="12700" r="9525" b="158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JYeLBR0CAAA3BAAADgAAAAAAAAAAAAAAAAAuAgAAZHJzL2Uyb0RvYy54bWxQSwECLQAUAAYA&#10;CAAAACEA7ikortgAAAAEAQAADwAAAAAAAAAAAAAAAAB3BAAAZHJzL2Rvd25yZXYueG1sUEsFBgAA&#10;AAAEAAQA8wAAAHwFA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9257" w14:textId="19D1F149" w:rsidR="004F21E3" w:rsidRPr="004F21E3" w:rsidRDefault="004F21E3" w:rsidP="004F21E3">
    <w:pPr>
      <w:pStyle w:val="Header"/>
      <w:rPr>
        <w:szCs w:val="22"/>
        <w:lang w:val="en-US"/>
      </w:rPr>
    </w:pPr>
    <w:r w:rsidRPr="004F21E3">
      <w:tab/>
    </w:r>
    <w:r w:rsidRPr="004F21E3">
      <w:rPr>
        <w:szCs w:val="22"/>
      </w:rPr>
      <w:t>Federal Comm</w:t>
    </w:r>
    <w:r>
      <w:rPr>
        <w:szCs w:val="22"/>
      </w:rPr>
      <w:t>unications Commission</w:t>
    </w:r>
    <w:r>
      <w:rPr>
        <w:szCs w:val="22"/>
      </w:rPr>
      <w:tab/>
      <w:t>DA 14-10</w:t>
    </w:r>
    <w:r>
      <w:rPr>
        <w:szCs w:val="22"/>
        <w:lang w:val="en-US"/>
      </w:rPr>
      <w:t>07</w:t>
    </w:r>
  </w:p>
  <w:p w14:paraId="4725E760" w14:textId="02F95420" w:rsidR="004F21E3" w:rsidRPr="004F21E3" w:rsidRDefault="004F21E3" w:rsidP="004F21E3">
    <w:pPr>
      <w:pStyle w:val="Header"/>
      <w:rPr>
        <w:sz w:val="20"/>
      </w:rPr>
    </w:pPr>
    <w:r w:rsidRPr="004F21E3">
      <w:rPr>
        <w:noProof/>
        <w:snapToGrid/>
        <w:sz w:val="20"/>
        <w:lang w:val="en-US" w:eastAsia="en-US"/>
      </w:rPr>
      <mc:AlternateContent>
        <mc:Choice Requires="wps">
          <w:drawing>
            <wp:anchor distT="0" distB="0" distL="114300" distR="114300" simplePos="0" relativeHeight="251659264" behindDoc="0" locked="0" layoutInCell="0" allowOverlap="1" wp14:anchorId="22EF6CA4" wp14:editId="772FE1E0">
              <wp:simplePos x="0" y="0"/>
              <wp:positionH relativeFrom="column">
                <wp:posOffset>0</wp:posOffset>
              </wp:positionH>
              <wp:positionV relativeFrom="paragraph">
                <wp:posOffset>22225</wp:posOffset>
              </wp:positionV>
              <wp:extent cx="5943600" cy="0"/>
              <wp:effectExtent l="9525" t="12700" r="952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624EB1E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90E17F6"/>
    <w:multiLevelType w:val="hybridMultilevel"/>
    <w:tmpl w:val="3398CFF2"/>
    <w:lvl w:ilvl="0" w:tplc="52C60B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8A1A2F"/>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6">
    <w:nsid w:val="3D0F1B3D"/>
    <w:multiLevelType w:val="singleLevel"/>
    <w:tmpl w:val="FBEE92A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41127E7E"/>
    <w:multiLevelType w:val="hybridMultilevel"/>
    <w:tmpl w:val="EDD0E9C6"/>
    <w:lvl w:ilvl="0" w:tplc="B32AC060">
      <w:start w:val="1"/>
      <w:numFmt w:val="bullet"/>
      <w:lvlText w:val=""/>
      <w:lvlJc w:val="left"/>
      <w:pPr>
        <w:tabs>
          <w:tab w:val="num" w:pos="1080"/>
        </w:tabs>
        <w:ind w:left="1080" w:hanging="360"/>
      </w:pPr>
      <w:rPr>
        <w:rFonts w:ascii="Wingdings" w:hAnsi="Wingdings" w:hint="default"/>
        <w:color w:val="auto"/>
        <w:sz w:val="16"/>
      </w:rPr>
    </w:lvl>
    <w:lvl w:ilvl="1" w:tplc="A046200E">
      <w:start w:val="1"/>
      <w:numFmt w:val="lowerLetter"/>
      <w:lvlText w:val="%2."/>
      <w:lvlJc w:val="left"/>
      <w:pPr>
        <w:tabs>
          <w:tab w:val="num" w:pos="0"/>
        </w:tabs>
        <w:ind w:left="0" w:hanging="360"/>
      </w:pPr>
    </w:lvl>
    <w:lvl w:ilvl="2" w:tplc="38B037B4">
      <w:start w:val="1"/>
      <w:numFmt w:val="lowerRoman"/>
      <w:lvlText w:val="%3."/>
      <w:lvlJc w:val="right"/>
      <w:pPr>
        <w:tabs>
          <w:tab w:val="num" w:pos="720"/>
        </w:tabs>
        <w:ind w:left="720" w:hanging="180"/>
      </w:pPr>
    </w:lvl>
    <w:lvl w:ilvl="3" w:tplc="7A688018">
      <w:start w:val="1"/>
      <w:numFmt w:val="decimal"/>
      <w:lvlText w:val="%4."/>
      <w:lvlJc w:val="left"/>
      <w:pPr>
        <w:tabs>
          <w:tab w:val="num" w:pos="1440"/>
        </w:tabs>
        <w:ind w:left="1440" w:hanging="360"/>
      </w:pPr>
    </w:lvl>
    <w:lvl w:ilvl="4" w:tplc="AAAE3FCE">
      <w:start w:val="1"/>
      <w:numFmt w:val="lowerLetter"/>
      <w:lvlText w:val="%5."/>
      <w:lvlJc w:val="left"/>
      <w:pPr>
        <w:tabs>
          <w:tab w:val="num" w:pos="2160"/>
        </w:tabs>
        <w:ind w:left="2160" w:hanging="360"/>
      </w:pPr>
    </w:lvl>
    <w:lvl w:ilvl="5" w:tplc="3F365116">
      <w:start w:val="1"/>
      <w:numFmt w:val="lowerRoman"/>
      <w:lvlText w:val="%6."/>
      <w:lvlJc w:val="right"/>
      <w:pPr>
        <w:tabs>
          <w:tab w:val="num" w:pos="2880"/>
        </w:tabs>
        <w:ind w:left="2880" w:hanging="180"/>
      </w:pPr>
    </w:lvl>
    <w:lvl w:ilvl="6" w:tplc="45BCBF5C">
      <w:start w:val="1"/>
      <w:numFmt w:val="decimal"/>
      <w:lvlText w:val="%7."/>
      <w:lvlJc w:val="left"/>
      <w:pPr>
        <w:tabs>
          <w:tab w:val="num" w:pos="3600"/>
        </w:tabs>
        <w:ind w:left="3600" w:hanging="360"/>
      </w:pPr>
    </w:lvl>
    <w:lvl w:ilvl="7" w:tplc="A4F4B244">
      <w:start w:val="1"/>
      <w:numFmt w:val="lowerLetter"/>
      <w:lvlText w:val="%8."/>
      <w:lvlJc w:val="left"/>
      <w:pPr>
        <w:tabs>
          <w:tab w:val="num" w:pos="4320"/>
        </w:tabs>
        <w:ind w:left="4320" w:hanging="360"/>
      </w:pPr>
    </w:lvl>
    <w:lvl w:ilvl="8" w:tplc="84508BF4">
      <w:start w:val="1"/>
      <w:numFmt w:val="lowerRoman"/>
      <w:lvlText w:val="%9."/>
      <w:lvlJc w:val="right"/>
      <w:pPr>
        <w:tabs>
          <w:tab w:val="num" w:pos="5040"/>
        </w:tabs>
        <w:ind w:left="5040" w:hanging="180"/>
      </w:pPr>
    </w:lvl>
  </w:abstractNum>
  <w:abstractNum w:abstractNumId="8">
    <w:nsid w:val="432817C4"/>
    <w:multiLevelType w:val="singleLevel"/>
    <w:tmpl w:val="C2CC7D3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9">
    <w:nsid w:val="472A5047"/>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780C3996"/>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num w:numId="1">
    <w:abstractNumId w:val="1"/>
  </w:num>
  <w:num w:numId="2">
    <w:abstractNumId w:val="11"/>
  </w:num>
  <w:num w:numId="3">
    <w:abstractNumId w:val="3"/>
  </w:num>
  <w:num w:numId="4">
    <w:abstractNumId w:val="10"/>
  </w:num>
  <w:num w:numId="5">
    <w:abstractNumId w:val="2"/>
  </w:num>
  <w:num w:numId="6">
    <w:abstractNumId w:val="0"/>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3"/>
  </w:num>
  <w:num w:numId="12">
    <w:abstractNumId w:val="3"/>
  </w:num>
  <w:num w:numId="13">
    <w:abstractNumId w:val="4"/>
  </w:num>
  <w:num w:numId="14">
    <w:abstractNumId w:val="11"/>
  </w:num>
  <w:num w:numId="15">
    <w:abstractNumId w:val="3"/>
  </w:num>
  <w:num w:numId="16">
    <w:abstractNumId w:val="11"/>
    <w:lvlOverride w:ilvl="0">
      <w:startOverride w:val="1"/>
    </w:lvlOverride>
  </w:num>
  <w:num w:numId="17">
    <w:abstractNumId w:val="11"/>
  </w:num>
  <w:num w:numId="18">
    <w:abstractNumId w:val="3"/>
  </w:num>
  <w:num w:numId="19">
    <w:abstractNumId w:val="3"/>
  </w:num>
  <w:num w:numId="20">
    <w:abstractNumId w:val="3"/>
  </w:num>
  <w:num w:numId="21">
    <w:abstractNumId w:val="3"/>
  </w:num>
  <w:num w:numId="22">
    <w:abstractNumId w:val="3"/>
  </w:num>
  <w:num w:numId="23">
    <w:abstractNumId w:val="11"/>
  </w:num>
  <w:num w:numId="24">
    <w:abstractNumId w:val="11"/>
  </w:num>
  <w:num w:numId="25">
    <w:abstractNumId w:val="11"/>
  </w:num>
  <w:num w:numId="26">
    <w:abstractNumId w:val="6"/>
  </w:num>
  <w:num w:numId="27">
    <w:abstractNumId w:val="3"/>
  </w:num>
  <w:num w:numId="28">
    <w:abstractNumId w:val="12"/>
  </w:num>
  <w:num w:numId="29">
    <w:abstractNumId w:val="3"/>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1599"/>
    <w:rsid w:val="00021CA6"/>
    <w:rsid w:val="00022702"/>
    <w:rsid w:val="000D1599"/>
    <w:rsid w:val="001568F4"/>
    <w:rsid w:val="00174CCB"/>
    <w:rsid w:val="00183996"/>
    <w:rsid w:val="001D5401"/>
    <w:rsid w:val="00275BD9"/>
    <w:rsid w:val="002A341F"/>
    <w:rsid w:val="00326F2C"/>
    <w:rsid w:val="0033232F"/>
    <w:rsid w:val="003A2B6B"/>
    <w:rsid w:val="003A42E4"/>
    <w:rsid w:val="003B6C3B"/>
    <w:rsid w:val="003D5B56"/>
    <w:rsid w:val="0040195D"/>
    <w:rsid w:val="00407244"/>
    <w:rsid w:val="00432700"/>
    <w:rsid w:val="00471537"/>
    <w:rsid w:val="00472DDC"/>
    <w:rsid w:val="0048407D"/>
    <w:rsid w:val="004864DB"/>
    <w:rsid w:val="00490D7D"/>
    <w:rsid w:val="004B7AB8"/>
    <w:rsid w:val="004E3FE9"/>
    <w:rsid w:val="004F21E3"/>
    <w:rsid w:val="005001DC"/>
    <w:rsid w:val="005036B9"/>
    <w:rsid w:val="00537523"/>
    <w:rsid w:val="005A7F1B"/>
    <w:rsid w:val="005B3331"/>
    <w:rsid w:val="005C473D"/>
    <w:rsid w:val="005D52E7"/>
    <w:rsid w:val="005D5AE0"/>
    <w:rsid w:val="00660B4F"/>
    <w:rsid w:val="006872BD"/>
    <w:rsid w:val="00692888"/>
    <w:rsid w:val="006E653E"/>
    <w:rsid w:val="006F2EA4"/>
    <w:rsid w:val="0071230B"/>
    <w:rsid w:val="00743A76"/>
    <w:rsid w:val="00774ED0"/>
    <w:rsid w:val="007F316C"/>
    <w:rsid w:val="007F658A"/>
    <w:rsid w:val="00867CCE"/>
    <w:rsid w:val="00874875"/>
    <w:rsid w:val="00875AB8"/>
    <w:rsid w:val="008B7CE1"/>
    <w:rsid w:val="008D1B63"/>
    <w:rsid w:val="008E2ED9"/>
    <w:rsid w:val="008E585E"/>
    <w:rsid w:val="00900FB2"/>
    <w:rsid w:val="009062B2"/>
    <w:rsid w:val="0090690C"/>
    <w:rsid w:val="00926D4D"/>
    <w:rsid w:val="009420AA"/>
    <w:rsid w:val="009623B2"/>
    <w:rsid w:val="009656F0"/>
    <w:rsid w:val="00967457"/>
    <w:rsid w:val="009810FC"/>
    <w:rsid w:val="009A7888"/>
    <w:rsid w:val="009A7BB7"/>
    <w:rsid w:val="009D1195"/>
    <w:rsid w:val="009D7129"/>
    <w:rsid w:val="00A00B01"/>
    <w:rsid w:val="00A20933"/>
    <w:rsid w:val="00A54AED"/>
    <w:rsid w:val="00A93A51"/>
    <w:rsid w:val="00AB52AF"/>
    <w:rsid w:val="00B36163"/>
    <w:rsid w:val="00B4735B"/>
    <w:rsid w:val="00B7076D"/>
    <w:rsid w:val="00BA6111"/>
    <w:rsid w:val="00BB76C5"/>
    <w:rsid w:val="00BC07DA"/>
    <w:rsid w:val="00BC1B19"/>
    <w:rsid w:val="00BE762E"/>
    <w:rsid w:val="00BF4A15"/>
    <w:rsid w:val="00C17003"/>
    <w:rsid w:val="00C63570"/>
    <w:rsid w:val="00C715B9"/>
    <w:rsid w:val="00C91C9F"/>
    <w:rsid w:val="00C94EB8"/>
    <w:rsid w:val="00CA5DBE"/>
    <w:rsid w:val="00CF733D"/>
    <w:rsid w:val="00D649B5"/>
    <w:rsid w:val="00D71B9F"/>
    <w:rsid w:val="00DA13C4"/>
    <w:rsid w:val="00DA73C3"/>
    <w:rsid w:val="00DC2233"/>
    <w:rsid w:val="00E602EE"/>
    <w:rsid w:val="00E82DCC"/>
    <w:rsid w:val="00F00AEE"/>
    <w:rsid w:val="00F35093"/>
    <w:rsid w:val="00F41E21"/>
    <w:rsid w:val="00FA4185"/>
    <w:rsid w:val="00F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link w:val="FootnoteTextChar"/>
    <w:pPr>
      <w:spacing w:after="120"/>
    </w:pPr>
  </w:style>
  <w:style w:type="character" w:styleId="FootnoteReference">
    <w:name w:val="footnote reference"/>
    <w:aliases w:val="Style 4,Style 12,(NECG) Footnote Reference,Appel note de bas de p,Style 124,Style 13,o,fr,Style 3"/>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2"/>
    <w:link w:val="FootnoteText"/>
    <w:rPr>
      <w:lang w:val="en-US" w:eastAsia="en-US" w:bidi="ar-SA"/>
    </w:rPr>
  </w:style>
  <w:style w:type="paragraph" w:styleId="ListParagraph">
    <w:name w:val="List Paragraph"/>
    <w:basedOn w:val="Normal"/>
    <w:qFormat/>
    <w:pPr>
      <w:widowControl/>
      <w:ind w:left="720"/>
    </w:pPr>
    <w:rPr>
      <w:snapToGrid/>
      <w:kern w:val="0"/>
      <w:szCs w:val="22"/>
    </w:rPr>
  </w:style>
  <w:style w:type="character" w:customStyle="1" w:styleId="ParaNumChar">
    <w:name w:val="ParaNum Char"/>
    <w:link w:val="ParaNum"/>
    <w:locked/>
    <w:rPr>
      <w:snapToGrid w:val="0"/>
      <w:kern w:val="28"/>
      <w:sz w:val="22"/>
      <w:lang w:val="x-none" w:eastAsia="x-none" w:bidi="ar-SA"/>
    </w:rPr>
  </w:style>
  <w:style w:type="character" w:customStyle="1" w:styleId="HeaderChar">
    <w:name w:val="Header Char"/>
    <w:link w:val="Header"/>
    <w:rPr>
      <w:b/>
      <w:snapToGrid w:val="0"/>
      <w:kern w:val="28"/>
      <w:sz w:val="22"/>
      <w:lang w:bidi="ar-SA"/>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rrfootnoteCharChar">
    <w:name w:val="rrfootnote Char Char"/>
    <w:aliases w:val="Footnote Text Char2 Char Char Char Char,Footnote Text Char1 Char2 Char Char Char Char,Footnote Text Char1 Char Char1,Footnote Text Char2,rrfootnote Char1 Char"/>
    <w:rPr>
      <w:lang w:val="en-US" w:eastAsia="en-US" w:bidi="ar-SA"/>
    </w:rPr>
  </w:style>
  <w:style w:type="character" w:customStyle="1" w:styleId="rrfootnoteChar">
    <w:name w:val="rrfootnote Char"/>
    <w:aliases w:val="rrfootnote Char Char Char Char Char,Footnote Text Char Char Char Char Char Char"/>
    <w:rPr>
      <w:spacing w:val="-2"/>
      <w:lang w:val="en-US" w:eastAsia="en-US" w:bidi="ar-SA"/>
    </w:rPr>
  </w:style>
  <w:style w:type="paragraph" w:customStyle="1" w:styleId="indent">
    <w:name w:val="indent"/>
    <w:basedOn w:val="Normal"/>
    <w:pPr>
      <w:widowControl/>
      <w:spacing w:before="100" w:beforeAutospacing="1" w:after="100" w:afterAutospacing="1"/>
    </w:pPr>
    <w:rPr>
      <w:snapToGrid/>
      <w:kern w:val="0"/>
      <w:sz w:val="24"/>
      <w:szCs w:val="24"/>
    </w:rPr>
  </w:style>
  <w:style w:type="character" w:customStyle="1" w:styleId="num">
    <w:name w:val="num"/>
  </w:style>
  <w:style w:type="paragraph" w:customStyle="1" w:styleId="casecite">
    <w:name w:val="case_cite"/>
    <w:basedOn w:val="Normal"/>
    <w:pPr>
      <w:widowControl/>
      <w:spacing w:before="100" w:beforeAutospacing="1" w:after="100" w:afterAutospacing="1"/>
    </w:pPr>
    <w:rPr>
      <w:snapToGrid/>
      <w:kern w:val="0"/>
      <w:sz w:val="24"/>
      <w:szCs w:val="24"/>
    </w:rPr>
  </w:style>
  <w:style w:type="paragraph" w:customStyle="1" w:styleId="parties">
    <w:name w:val="parties"/>
    <w:basedOn w:val="Normal"/>
    <w:pPr>
      <w:widowControl/>
      <w:spacing w:before="100" w:beforeAutospacing="1" w:after="100" w:afterAutospacing="1"/>
    </w:pPr>
    <w:rPr>
      <w:snapToGrid/>
      <w:kern w:val="0"/>
      <w:sz w:val="24"/>
      <w:szCs w:val="24"/>
    </w:rPr>
  </w:style>
  <w:style w:type="character" w:customStyle="1" w:styleId="apple-converted-space">
    <w:name w:val="apple-converted-space"/>
  </w:style>
  <w:style w:type="character" w:customStyle="1" w:styleId="starpage">
    <w:name w:val="starpage"/>
  </w:style>
  <w:style w:type="character" w:customStyle="1" w:styleId="searchterm">
    <w:name w:val="searchterm"/>
  </w:style>
  <w:style w:type="character" w:customStyle="1" w:styleId="groupheading">
    <w:name w:val="groupheading"/>
  </w:style>
  <w:style w:type="character" w:customStyle="1" w:styleId="informationalsmall">
    <w:name w:val="informationalsmall"/>
  </w:style>
  <w:style w:type="character" w:customStyle="1" w:styleId="FootnoteCharacters">
    <w:name w:val="Footnote Characters"/>
    <w:uiPriority w:val="99"/>
    <w:rPr>
      <w:rFonts w:ascii="Times New Roman" w:hAnsi="Times New Roman"/>
      <w:color w:val="auto"/>
      <w:sz w:val="20"/>
      <w:vertAlign w:val="superscript"/>
    </w:rPr>
  </w:style>
  <w:style w:type="paragraph" w:styleId="BodyText">
    <w:name w:val="Body Text"/>
    <w:basedOn w:val="Normal"/>
    <w:link w:val="BodyTextChar"/>
    <w:rsid w:val="003B6C3B"/>
    <w:pPr>
      <w:widowControl/>
      <w:tabs>
        <w:tab w:val="left" w:pos="-720"/>
      </w:tabs>
      <w:suppressAutoHyphens/>
      <w:jc w:val="both"/>
    </w:pPr>
    <w:rPr>
      <w:snapToGrid/>
      <w:spacing w:val="-3"/>
      <w:kern w:val="0"/>
      <w:sz w:val="24"/>
    </w:rPr>
  </w:style>
  <w:style w:type="character" w:customStyle="1" w:styleId="BodyTextChar">
    <w:name w:val="Body Text Char"/>
    <w:link w:val="BodyText"/>
    <w:rsid w:val="003B6C3B"/>
    <w:rPr>
      <w:spacing w:val="-3"/>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link w:val="FootnoteTextChar"/>
    <w:pPr>
      <w:spacing w:after="120"/>
    </w:pPr>
  </w:style>
  <w:style w:type="character" w:styleId="FootnoteReference">
    <w:name w:val="footnote reference"/>
    <w:aliases w:val="Style 4,Style 12,(NECG) Footnote Reference,Appel note de bas de p,Style 124,Style 13,o,fr,Style 3"/>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2"/>
    <w:link w:val="FootnoteText"/>
    <w:rPr>
      <w:lang w:val="en-US" w:eastAsia="en-US" w:bidi="ar-SA"/>
    </w:rPr>
  </w:style>
  <w:style w:type="paragraph" w:styleId="ListParagraph">
    <w:name w:val="List Paragraph"/>
    <w:basedOn w:val="Normal"/>
    <w:qFormat/>
    <w:pPr>
      <w:widowControl/>
      <w:ind w:left="720"/>
    </w:pPr>
    <w:rPr>
      <w:snapToGrid/>
      <w:kern w:val="0"/>
      <w:szCs w:val="22"/>
    </w:rPr>
  </w:style>
  <w:style w:type="character" w:customStyle="1" w:styleId="ParaNumChar">
    <w:name w:val="ParaNum Char"/>
    <w:link w:val="ParaNum"/>
    <w:locked/>
    <w:rPr>
      <w:snapToGrid w:val="0"/>
      <w:kern w:val="28"/>
      <w:sz w:val="22"/>
      <w:lang w:val="x-none" w:eastAsia="x-none" w:bidi="ar-SA"/>
    </w:rPr>
  </w:style>
  <w:style w:type="character" w:customStyle="1" w:styleId="HeaderChar">
    <w:name w:val="Header Char"/>
    <w:link w:val="Header"/>
    <w:rPr>
      <w:b/>
      <w:snapToGrid w:val="0"/>
      <w:kern w:val="28"/>
      <w:sz w:val="22"/>
      <w:lang w:bidi="ar-SA"/>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rrfootnoteCharChar">
    <w:name w:val="rrfootnote Char Char"/>
    <w:aliases w:val="Footnote Text Char2 Char Char Char Char,Footnote Text Char1 Char2 Char Char Char Char,Footnote Text Char1 Char Char1,Footnote Text Char2,rrfootnote Char1 Char"/>
    <w:rPr>
      <w:lang w:val="en-US" w:eastAsia="en-US" w:bidi="ar-SA"/>
    </w:rPr>
  </w:style>
  <w:style w:type="character" w:customStyle="1" w:styleId="rrfootnoteChar">
    <w:name w:val="rrfootnote Char"/>
    <w:aliases w:val="rrfootnote Char Char Char Char Char,Footnote Text Char Char Char Char Char Char"/>
    <w:rPr>
      <w:spacing w:val="-2"/>
      <w:lang w:val="en-US" w:eastAsia="en-US" w:bidi="ar-SA"/>
    </w:rPr>
  </w:style>
  <w:style w:type="paragraph" w:customStyle="1" w:styleId="indent">
    <w:name w:val="indent"/>
    <w:basedOn w:val="Normal"/>
    <w:pPr>
      <w:widowControl/>
      <w:spacing w:before="100" w:beforeAutospacing="1" w:after="100" w:afterAutospacing="1"/>
    </w:pPr>
    <w:rPr>
      <w:snapToGrid/>
      <w:kern w:val="0"/>
      <w:sz w:val="24"/>
      <w:szCs w:val="24"/>
    </w:rPr>
  </w:style>
  <w:style w:type="character" w:customStyle="1" w:styleId="num">
    <w:name w:val="num"/>
  </w:style>
  <w:style w:type="paragraph" w:customStyle="1" w:styleId="casecite">
    <w:name w:val="case_cite"/>
    <w:basedOn w:val="Normal"/>
    <w:pPr>
      <w:widowControl/>
      <w:spacing w:before="100" w:beforeAutospacing="1" w:after="100" w:afterAutospacing="1"/>
    </w:pPr>
    <w:rPr>
      <w:snapToGrid/>
      <w:kern w:val="0"/>
      <w:sz w:val="24"/>
      <w:szCs w:val="24"/>
    </w:rPr>
  </w:style>
  <w:style w:type="paragraph" w:customStyle="1" w:styleId="parties">
    <w:name w:val="parties"/>
    <w:basedOn w:val="Normal"/>
    <w:pPr>
      <w:widowControl/>
      <w:spacing w:before="100" w:beforeAutospacing="1" w:after="100" w:afterAutospacing="1"/>
    </w:pPr>
    <w:rPr>
      <w:snapToGrid/>
      <w:kern w:val="0"/>
      <w:sz w:val="24"/>
      <w:szCs w:val="24"/>
    </w:rPr>
  </w:style>
  <w:style w:type="character" w:customStyle="1" w:styleId="apple-converted-space">
    <w:name w:val="apple-converted-space"/>
  </w:style>
  <w:style w:type="character" w:customStyle="1" w:styleId="starpage">
    <w:name w:val="starpage"/>
  </w:style>
  <w:style w:type="character" w:customStyle="1" w:styleId="searchterm">
    <w:name w:val="searchterm"/>
  </w:style>
  <w:style w:type="character" w:customStyle="1" w:styleId="groupheading">
    <w:name w:val="groupheading"/>
  </w:style>
  <w:style w:type="character" w:customStyle="1" w:styleId="informationalsmall">
    <w:name w:val="informationalsmall"/>
  </w:style>
  <w:style w:type="character" w:customStyle="1" w:styleId="FootnoteCharacters">
    <w:name w:val="Footnote Characters"/>
    <w:uiPriority w:val="99"/>
    <w:rPr>
      <w:rFonts w:ascii="Times New Roman" w:hAnsi="Times New Roman"/>
      <w:color w:val="auto"/>
      <w:sz w:val="20"/>
      <w:vertAlign w:val="superscript"/>
    </w:rPr>
  </w:style>
  <w:style w:type="paragraph" w:styleId="BodyText">
    <w:name w:val="Body Text"/>
    <w:basedOn w:val="Normal"/>
    <w:link w:val="BodyTextChar"/>
    <w:rsid w:val="003B6C3B"/>
    <w:pPr>
      <w:widowControl/>
      <w:tabs>
        <w:tab w:val="left" w:pos="-720"/>
      </w:tabs>
      <w:suppressAutoHyphens/>
      <w:jc w:val="both"/>
    </w:pPr>
    <w:rPr>
      <w:snapToGrid/>
      <w:spacing w:val="-3"/>
      <w:kern w:val="0"/>
      <w:sz w:val="24"/>
    </w:rPr>
  </w:style>
  <w:style w:type="character" w:customStyle="1" w:styleId="BodyTextChar">
    <w:name w:val="Body Text Char"/>
    <w:link w:val="BodyText"/>
    <w:rsid w:val="003B6C3B"/>
    <w:rPr>
      <w:spacing w:val="-3"/>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6429">
      <w:bodyDiv w:val="1"/>
      <w:marLeft w:val="0"/>
      <w:marRight w:val="0"/>
      <w:marTop w:val="0"/>
      <w:marBottom w:val="0"/>
      <w:divBdr>
        <w:top w:val="none" w:sz="0" w:space="0" w:color="auto"/>
        <w:left w:val="none" w:sz="0" w:space="0" w:color="auto"/>
        <w:bottom w:val="none" w:sz="0" w:space="0" w:color="auto"/>
        <w:right w:val="none" w:sz="0" w:space="0" w:color="auto"/>
      </w:divBdr>
    </w:div>
    <w:div w:id="223100150">
      <w:bodyDiv w:val="1"/>
      <w:marLeft w:val="0"/>
      <w:marRight w:val="0"/>
      <w:marTop w:val="0"/>
      <w:marBottom w:val="0"/>
      <w:divBdr>
        <w:top w:val="none" w:sz="0" w:space="0" w:color="auto"/>
        <w:left w:val="none" w:sz="0" w:space="0" w:color="auto"/>
        <w:bottom w:val="none" w:sz="0" w:space="0" w:color="auto"/>
        <w:right w:val="none" w:sz="0" w:space="0" w:color="auto"/>
      </w:divBdr>
      <w:divsChild>
        <w:div w:id="762185795">
          <w:marLeft w:val="0"/>
          <w:marRight w:val="0"/>
          <w:marTop w:val="0"/>
          <w:marBottom w:val="0"/>
          <w:divBdr>
            <w:top w:val="none" w:sz="0" w:space="0" w:color="auto"/>
            <w:left w:val="none" w:sz="0" w:space="0" w:color="auto"/>
            <w:bottom w:val="none" w:sz="0" w:space="0" w:color="auto"/>
            <w:right w:val="none" w:sz="0" w:space="0" w:color="auto"/>
          </w:divBdr>
          <w:divsChild>
            <w:div w:id="13492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8012">
      <w:bodyDiv w:val="1"/>
      <w:marLeft w:val="0"/>
      <w:marRight w:val="0"/>
      <w:marTop w:val="0"/>
      <w:marBottom w:val="0"/>
      <w:divBdr>
        <w:top w:val="none" w:sz="0" w:space="0" w:color="auto"/>
        <w:left w:val="none" w:sz="0" w:space="0" w:color="auto"/>
        <w:bottom w:val="none" w:sz="0" w:space="0" w:color="auto"/>
        <w:right w:val="none" w:sz="0" w:space="0" w:color="auto"/>
      </w:divBdr>
    </w:div>
    <w:div w:id="1932280182">
      <w:bodyDiv w:val="1"/>
      <w:marLeft w:val="0"/>
      <w:marRight w:val="0"/>
      <w:marTop w:val="0"/>
      <w:marBottom w:val="0"/>
      <w:divBdr>
        <w:top w:val="none" w:sz="0" w:space="0" w:color="auto"/>
        <w:left w:val="none" w:sz="0" w:space="0" w:color="auto"/>
        <w:bottom w:val="none" w:sz="0" w:space="0" w:color="auto"/>
        <w:right w:val="none" w:sz="0" w:space="0" w:color="auto"/>
      </w:divBdr>
      <w:divsChild>
        <w:div w:id="636302846">
          <w:marLeft w:val="0"/>
          <w:marRight w:val="0"/>
          <w:marTop w:val="0"/>
          <w:marBottom w:val="0"/>
          <w:divBdr>
            <w:top w:val="none" w:sz="0" w:space="0" w:color="auto"/>
            <w:left w:val="none" w:sz="0" w:space="0" w:color="auto"/>
            <w:bottom w:val="none" w:sz="0" w:space="0" w:color="auto"/>
            <w:right w:val="none" w:sz="0" w:space="0" w:color="auto"/>
          </w:divBdr>
        </w:div>
        <w:div w:id="1216045278">
          <w:marLeft w:val="0"/>
          <w:marRight w:val="0"/>
          <w:marTop w:val="0"/>
          <w:marBottom w:val="0"/>
          <w:divBdr>
            <w:top w:val="none" w:sz="0" w:space="0" w:color="auto"/>
            <w:left w:val="none" w:sz="0" w:space="0" w:color="auto"/>
            <w:bottom w:val="none" w:sz="0" w:space="0" w:color="auto"/>
            <w:right w:val="none" w:sz="0" w:space="0" w:color="auto"/>
          </w:divBdr>
        </w:div>
        <w:div w:id="1447429622">
          <w:marLeft w:val="0"/>
          <w:marRight w:val="0"/>
          <w:marTop w:val="0"/>
          <w:marBottom w:val="0"/>
          <w:divBdr>
            <w:top w:val="none" w:sz="0" w:space="0" w:color="auto"/>
            <w:left w:val="none" w:sz="0" w:space="0" w:color="auto"/>
            <w:bottom w:val="none" w:sz="0" w:space="0" w:color="auto"/>
            <w:right w:val="none" w:sz="0" w:space="0" w:color="auto"/>
          </w:divBdr>
        </w:div>
      </w:divsChild>
    </w:div>
    <w:div w:id="2090736185">
      <w:bodyDiv w:val="1"/>
      <w:marLeft w:val="0"/>
      <w:marRight w:val="0"/>
      <w:marTop w:val="0"/>
      <w:marBottom w:val="0"/>
      <w:divBdr>
        <w:top w:val="none" w:sz="0" w:space="0" w:color="auto"/>
        <w:left w:val="none" w:sz="0" w:space="0" w:color="auto"/>
        <w:bottom w:val="none" w:sz="0" w:space="0" w:color="auto"/>
        <w:right w:val="none" w:sz="0" w:space="0" w:color="auto"/>
      </w:divBdr>
      <w:divsChild>
        <w:div w:id="29956575">
          <w:marLeft w:val="0"/>
          <w:marRight w:val="0"/>
          <w:marTop w:val="0"/>
          <w:marBottom w:val="0"/>
          <w:divBdr>
            <w:top w:val="none" w:sz="0" w:space="0" w:color="auto"/>
            <w:left w:val="none" w:sz="0" w:space="0" w:color="auto"/>
            <w:bottom w:val="none" w:sz="0" w:space="0" w:color="auto"/>
            <w:right w:val="none" w:sz="0" w:space="0" w:color="auto"/>
          </w:divBdr>
          <w:divsChild>
            <w:div w:id="18216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1289</Words>
  <Characters>7022</Characters>
  <Application>Microsoft Office Word</Application>
  <DocSecurity>0</DocSecurity>
  <Lines>132</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8328</CharactersWithSpaces>
  <SharedDoc>false</SharedDoc>
  <HyperlinkBase> </HyperlinkBase>
  <HLinks>
    <vt:vector size="6" baseType="variant">
      <vt:variant>
        <vt:i4>8126550</vt:i4>
      </vt:variant>
      <vt:variant>
        <vt:i4>0</vt:i4>
      </vt:variant>
      <vt:variant>
        <vt:i4>0</vt:i4>
      </vt:variant>
      <vt:variant>
        <vt:i4>5</vt:i4>
      </vt:variant>
      <vt:variant>
        <vt:lpwstr>mailto:ARINQUIRIES@fcc.gov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2013-03-22T21:16:00Z</cp:lastPrinted>
  <dcterms:created xsi:type="dcterms:W3CDTF">2014-07-22T15:39:00Z</dcterms:created>
  <dcterms:modified xsi:type="dcterms:W3CDTF">2014-07-22T15:39:00Z</dcterms:modified>
  <cp:category> </cp:category>
  <cp:contentStatus> </cp:contentStatus>
</cp:coreProperties>
</file>