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E" w:rsidRDefault="00A2326E">
      <w:pPr>
        <w:pStyle w:val="Header"/>
        <w:tabs>
          <w:tab w:val="clear" w:pos="4320"/>
          <w:tab w:val="clear" w:pos="8640"/>
        </w:tabs>
        <w:sectPr w:rsidR="00A232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2326E" w:rsidRDefault="00B36B51" w:rsidP="00B36B51">
      <w:pPr>
        <w:ind w:left="6480"/>
        <w:jc w:val="center"/>
        <w:rPr>
          <w:sz w:val="24"/>
        </w:rPr>
      </w:pPr>
      <w:r>
        <w:rPr>
          <w:sz w:val="24"/>
        </w:rPr>
        <w:lastRenderedPageBreak/>
        <w:t xml:space="preserve">              </w:t>
      </w:r>
      <w:r w:rsidR="00EC055A">
        <w:rPr>
          <w:sz w:val="24"/>
        </w:rPr>
        <w:t xml:space="preserve">DA </w:t>
      </w:r>
      <w:r w:rsidRPr="00B36B51">
        <w:rPr>
          <w:sz w:val="24"/>
        </w:rPr>
        <w:t>14-100</w:t>
      </w:r>
    </w:p>
    <w:p w:rsidR="00B36B51" w:rsidRDefault="00B36B51" w:rsidP="00B36B51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January 30, 2014</w:t>
      </w:r>
    </w:p>
    <w:p w:rsidR="00A2326E" w:rsidRDefault="00EC055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RADIO LICENSE EXPIRATIONS</w:t>
      </w:r>
    </w:p>
    <w:p w:rsidR="00A2326E" w:rsidRDefault="00A2326E" w:rsidP="00EC055A">
      <w:pPr>
        <w:rPr>
          <w:sz w:val="24"/>
        </w:rPr>
      </w:pPr>
    </w:p>
    <w:p w:rsidR="00EC055A" w:rsidRDefault="00EC055A" w:rsidP="0045615E">
      <w:pPr>
        <w:spacing w:before="120" w:after="240"/>
        <w:ind w:right="-90"/>
        <w:rPr>
          <w:szCs w:val="22"/>
        </w:rPr>
      </w:pPr>
      <w:r w:rsidRPr="0045615E">
        <w:rPr>
          <w:szCs w:val="22"/>
        </w:rPr>
        <w:t xml:space="preserve">On </w:t>
      </w:r>
      <w:r w:rsidR="00BC1455">
        <w:rPr>
          <w:szCs w:val="22"/>
        </w:rPr>
        <w:t xml:space="preserve">October </w:t>
      </w:r>
      <w:r w:rsidRPr="0045615E">
        <w:rPr>
          <w:szCs w:val="22"/>
        </w:rPr>
        <w:t xml:space="preserve">1, 2013, radio stations located in </w:t>
      </w:r>
      <w:r w:rsidR="00BC1455">
        <w:rPr>
          <w:szCs w:val="22"/>
        </w:rPr>
        <w:t xml:space="preserve">Alaska, American Samoa, Guam, Hawaii, Mariana Islands, Oregon, and Washington </w:t>
      </w:r>
      <w:r w:rsidRPr="0045615E">
        <w:rPr>
          <w:szCs w:val="22"/>
        </w:rPr>
        <w:t xml:space="preserve">were required to file applications for license renewal for terms expiring on </w:t>
      </w:r>
      <w:r w:rsidR="00BC1455">
        <w:rPr>
          <w:szCs w:val="22"/>
        </w:rPr>
        <w:t>February</w:t>
      </w:r>
      <w:r w:rsidRPr="0045615E">
        <w:rPr>
          <w:szCs w:val="22"/>
        </w:rPr>
        <w:t xml:space="preserve"> 1, 201</w:t>
      </w:r>
      <w:r w:rsidR="00BC1455">
        <w:rPr>
          <w:szCs w:val="22"/>
        </w:rPr>
        <w:t>4</w:t>
      </w:r>
      <w:r w:rsidRPr="0045615E">
        <w:rPr>
          <w:szCs w:val="22"/>
        </w:rPr>
        <w:t xml:space="preserve">.  The following stations failed to file license renewal applications and their licenses will expire as of </w:t>
      </w:r>
      <w:r w:rsidR="00BC1455">
        <w:rPr>
          <w:szCs w:val="22"/>
        </w:rPr>
        <w:t>February</w:t>
      </w:r>
      <w:r w:rsidRPr="0045615E">
        <w:rPr>
          <w:szCs w:val="22"/>
        </w:rPr>
        <w:t xml:space="preserve"> 1, 201</w:t>
      </w:r>
      <w:r w:rsidR="00BC1455">
        <w:rPr>
          <w:szCs w:val="22"/>
        </w:rPr>
        <w:t>4</w:t>
      </w:r>
      <w:r w:rsidRPr="0045615E">
        <w:rPr>
          <w:szCs w:val="22"/>
        </w:rPr>
        <w:t>: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098"/>
        <w:gridCol w:w="2430"/>
        <w:gridCol w:w="1260"/>
        <w:gridCol w:w="4680"/>
      </w:tblGrid>
      <w:tr w:rsidR="00882A64" w:rsidRPr="00882A64" w:rsidTr="00882A64">
        <w:tc>
          <w:tcPr>
            <w:tcW w:w="1098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Call</w:t>
            </w:r>
          </w:p>
        </w:tc>
        <w:tc>
          <w:tcPr>
            <w:tcW w:w="243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Community of License</w:t>
            </w:r>
          </w:p>
        </w:tc>
        <w:tc>
          <w:tcPr>
            <w:tcW w:w="126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Facility ID</w:t>
            </w:r>
          </w:p>
        </w:tc>
        <w:tc>
          <w:tcPr>
            <w:tcW w:w="468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Licensee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K283BA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Willow, AK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154372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Alaska Educational Radio System, Inc.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K288CV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40AEE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Quincy, E</w:t>
            </w:r>
            <w:r w:rsidR="00840AEE">
              <w:rPr>
                <w:color w:val="000000"/>
                <w:szCs w:val="22"/>
              </w:rPr>
              <w:t>tc</w:t>
            </w:r>
            <w:r w:rsidRPr="00882A64">
              <w:rPr>
                <w:color w:val="000000"/>
                <w:szCs w:val="22"/>
              </w:rPr>
              <w:t>., WA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3434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B &amp; G Enterprises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K257DN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Brewster, WA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6759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Brewster Grange #1018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K241BE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 xml:space="preserve">Saint </w:t>
            </w:r>
            <w:r w:rsidR="00BB67AC" w:rsidRPr="00882A64">
              <w:rPr>
                <w:color w:val="000000"/>
                <w:szCs w:val="22"/>
              </w:rPr>
              <w:t>Mary’s</w:t>
            </w:r>
            <w:r w:rsidRPr="00882A64">
              <w:rPr>
                <w:color w:val="000000"/>
                <w:szCs w:val="22"/>
              </w:rPr>
              <w:t>, AK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153359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Catholic Bishop Of Northern Alaska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KJAL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Tafuna, AS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129125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District Counci</w:t>
            </w:r>
            <w:r w:rsidR="00C97F2A">
              <w:rPr>
                <w:szCs w:val="22"/>
              </w:rPr>
              <w:t>l Of The Assemblies Of God In American Samoa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K280BI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Ephrata, Etc., WA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52262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Roselia Tijerina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K235AC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Sitka, AK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49565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Sea-Christ Broadcasting Corporation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K235AD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Wrangell, AK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49567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Sea-Christ Broadcasting Corporation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K235AJ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Haines, AK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49568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Sea-Christ Broadcasting Corporation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KRSA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Petersburg, AK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49566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Sea-Christ Broadcasting Corporation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KSEW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Seward, AK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72209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Seward Media Partners, LLC</w:t>
            </w:r>
          </w:p>
        </w:tc>
      </w:tr>
      <w:tr w:rsidR="00882A64" w:rsidRPr="00882A64" w:rsidTr="00882A64">
        <w:trPr>
          <w:trHeight w:val="300"/>
        </w:trPr>
        <w:tc>
          <w:tcPr>
            <w:tcW w:w="1098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KHKY</w:t>
            </w:r>
          </w:p>
        </w:tc>
        <w:tc>
          <w:tcPr>
            <w:tcW w:w="2430" w:type="dxa"/>
            <w:noWrap/>
            <w:hideMark/>
          </w:tcPr>
          <w:p w:rsidR="00882A64" w:rsidRPr="00882A64" w:rsidRDefault="00882A64" w:rsidP="00882A64">
            <w:pPr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Akiachak, AK</w:t>
            </w:r>
          </w:p>
        </w:tc>
        <w:tc>
          <w:tcPr>
            <w:tcW w:w="1260" w:type="dxa"/>
            <w:noWrap/>
            <w:hideMark/>
          </w:tcPr>
          <w:p w:rsidR="00882A64" w:rsidRPr="00882A64" w:rsidRDefault="00882A64" w:rsidP="00882A64">
            <w:pPr>
              <w:jc w:val="right"/>
              <w:rPr>
                <w:color w:val="000000"/>
                <w:szCs w:val="22"/>
              </w:rPr>
            </w:pPr>
            <w:r w:rsidRPr="00882A64">
              <w:rPr>
                <w:color w:val="000000"/>
                <w:szCs w:val="22"/>
              </w:rPr>
              <w:t>171129</w:t>
            </w:r>
          </w:p>
        </w:tc>
        <w:tc>
          <w:tcPr>
            <w:tcW w:w="4680" w:type="dxa"/>
            <w:noWrap/>
            <w:hideMark/>
          </w:tcPr>
          <w:p w:rsidR="00882A64" w:rsidRPr="00882A64" w:rsidRDefault="00882A64" w:rsidP="00882A64">
            <w:pPr>
              <w:rPr>
                <w:szCs w:val="22"/>
              </w:rPr>
            </w:pPr>
            <w:r w:rsidRPr="00882A64">
              <w:rPr>
                <w:szCs w:val="22"/>
              </w:rPr>
              <w:t>Yupiit School District</w:t>
            </w:r>
          </w:p>
        </w:tc>
      </w:tr>
    </w:tbl>
    <w:p w:rsidR="004D2489" w:rsidRDefault="004D2489" w:rsidP="0045615E">
      <w:pPr>
        <w:spacing w:before="120" w:after="240"/>
        <w:ind w:right="-90"/>
        <w:rPr>
          <w:szCs w:val="22"/>
        </w:rPr>
      </w:pPr>
    </w:p>
    <w:p w:rsidR="004D2489" w:rsidRPr="004D2489" w:rsidRDefault="004D2489" w:rsidP="004D2489">
      <w:pPr>
        <w:spacing w:before="120" w:after="240"/>
        <w:ind w:right="-90"/>
        <w:jc w:val="center"/>
        <w:rPr>
          <w:b/>
          <w:szCs w:val="22"/>
        </w:rPr>
      </w:pPr>
      <w:r>
        <w:rPr>
          <w:b/>
          <w:szCs w:val="22"/>
        </w:rPr>
        <w:t>-FCC-</w:t>
      </w:r>
    </w:p>
    <w:sectPr w:rsidR="004D2489" w:rsidRPr="004D2489" w:rsidSect="000E4600">
      <w:type w:val="continuous"/>
      <w:pgSz w:w="12240" w:h="15840" w:code="1"/>
      <w:pgMar w:top="720" w:right="171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55" w:rsidRDefault="00DC4355">
      <w:r>
        <w:separator/>
      </w:r>
    </w:p>
  </w:endnote>
  <w:endnote w:type="continuationSeparator" w:id="0">
    <w:p w:rsidR="00DC4355" w:rsidRDefault="00DC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E" w:rsidRDefault="004A5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E" w:rsidRDefault="004A5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E" w:rsidRDefault="004A5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55" w:rsidRDefault="00DC4355">
      <w:r>
        <w:separator/>
      </w:r>
    </w:p>
  </w:footnote>
  <w:footnote w:type="continuationSeparator" w:id="0">
    <w:p w:rsidR="00DC4355" w:rsidRDefault="00DC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E" w:rsidRDefault="004A5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E" w:rsidRDefault="004A5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9E" w:rsidRPr="006F1523" w:rsidRDefault="000C2B9E" w:rsidP="000C2B9E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6F1523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2336" behindDoc="0" locked="0" layoutInCell="0" allowOverlap="1" wp14:anchorId="47A5A779" wp14:editId="3916AAFF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AAC18B" wp14:editId="72CFC138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DIy&#10;rrW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6F1523">
      <w:rPr>
        <w:rFonts w:ascii="Arial" w:hAnsi="Arial" w:cs="Arial"/>
        <w:b/>
        <w:kern w:val="28"/>
        <w:sz w:val="96"/>
      </w:rPr>
      <w:t>PUBLIC NOTICE</w:t>
    </w:r>
  </w:p>
  <w:p w:rsidR="000C2B9E" w:rsidRPr="006F1523" w:rsidRDefault="000C2B9E" w:rsidP="000C2B9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 w:cs="Arial"/>
        <w:b/>
        <w:sz w:val="28"/>
      </w:rPr>
    </w:pPr>
    <w:r w:rsidRPr="006F1523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346560" wp14:editId="2021DA3C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BDF8C7" wp14:editId="0BFDC0FD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C2B9E" w:rsidRDefault="000C2B9E" w:rsidP="000C2B9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" o:allowincell="f" stroked="f">
              <v:textbox inset=",0,,0">
                <w:txbxContent>
                  <w:p w:rsidR="000C2B9E" w:rsidRDefault="000C2B9E" w:rsidP="000C2B9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C2B9E" w:rsidRDefault="000C2B9E" w:rsidP="000C2B9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A"/>
    <w:rsid w:val="00005C58"/>
    <w:rsid w:val="000C2B9E"/>
    <w:rsid w:val="000E4600"/>
    <w:rsid w:val="001A52F3"/>
    <w:rsid w:val="00295E5E"/>
    <w:rsid w:val="00351580"/>
    <w:rsid w:val="00421B90"/>
    <w:rsid w:val="0045615E"/>
    <w:rsid w:val="004A582E"/>
    <w:rsid w:val="004D2489"/>
    <w:rsid w:val="004F08DB"/>
    <w:rsid w:val="00542539"/>
    <w:rsid w:val="00560C31"/>
    <w:rsid w:val="00685DBF"/>
    <w:rsid w:val="00692D40"/>
    <w:rsid w:val="006B28A6"/>
    <w:rsid w:val="006F1523"/>
    <w:rsid w:val="00700AB3"/>
    <w:rsid w:val="00840AEE"/>
    <w:rsid w:val="008453C0"/>
    <w:rsid w:val="00863483"/>
    <w:rsid w:val="00882A64"/>
    <w:rsid w:val="008C6210"/>
    <w:rsid w:val="00960BD4"/>
    <w:rsid w:val="009D2722"/>
    <w:rsid w:val="00A2326E"/>
    <w:rsid w:val="00AC2887"/>
    <w:rsid w:val="00AD5737"/>
    <w:rsid w:val="00B15ECE"/>
    <w:rsid w:val="00B33280"/>
    <w:rsid w:val="00B36B51"/>
    <w:rsid w:val="00B52DD0"/>
    <w:rsid w:val="00B84F77"/>
    <w:rsid w:val="00BB67AC"/>
    <w:rsid w:val="00BC1455"/>
    <w:rsid w:val="00BC7827"/>
    <w:rsid w:val="00C2623E"/>
    <w:rsid w:val="00C97F2A"/>
    <w:rsid w:val="00CB27A9"/>
    <w:rsid w:val="00D52A9D"/>
    <w:rsid w:val="00D768A3"/>
    <w:rsid w:val="00D805A2"/>
    <w:rsid w:val="00DC4355"/>
    <w:rsid w:val="00E9097D"/>
    <w:rsid w:val="00EC055A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974</Characters>
  <Application>Microsoft Office Word</Application>
  <DocSecurity>0</DocSecurity>
  <Lines>64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1112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2014-01-29T16:43:00Z</cp:lastPrinted>
  <dcterms:created xsi:type="dcterms:W3CDTF">2014-01-30T13:17:00Z</dcterms:created>
  <dcterms:modified xsi:type="dcterms:W3CDTF">2014-01-30T13:17:00Z</dcterms:modified>
  <cp:category> </cp:category>
  <cp:contentStatus> </cp:contentStatus>
</cp:coreProperties>
</file>