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8A" w:rsidRPr="00E530C8" w:rsidRDefault="00DA748A">
      <w:pPr>
        <w:pStyle w:val="Header"/>
        <w:tabs>
          <w:tab w:val="clear" w:pos="4320"/>
          <w:tab w:val="clear" w:pos="8640"/>
        </w:tabs>
        <w:rPr>
          <w:szCs w:val="22"/>
        </w:rPr>
        <w:sectPr w:rsidR="00DA748A" w:rsidRPr="00E530C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DA748A" w:rsidRPr="0002543F" w:rsidRDefault="005E0E05">
      <w:pPr>
        <w:jc w:val="right"/>
        <w:rPr>
          <w:b/>
          <w:szCs w:val="22"/>
        </w:rPr>
      </w:pPr>
      <w:r>
        <w:rPr>
          <w:b/>
          <w:szCs w:val="22"/>
        </w:rPr>
        <w:lastRenderedPageBreak/>
        <w:t xml:space="preserve">DA </w:t>
      </w:r>
      <w:r w:rsidR="00C57816" w:rsidRPr="00C57816">
        <w:rPr>
          <w:b/>
          <w:szCs w:val="22"/>
        </w:rPr>
        <w:t>14-1019</w:t>
      </w:r>
    </w:p>
    <w:p w:rsidR="00DA748A" w:rsidRPr="00CB3DFA" w:rsidRDefault="005E0E05">
      <w:pPr>
        <w:spacing w:before="60"/>
        <w:jc w:val="right"/>
        <w:rPr>
          <w:b/>
          <w:szCs w:val="22"/>
        </w:rPr>
      </w:pPr>
      <w:r>
        <w:rPr>
          <w:b/>
          <w:szCs w:val="22"/>
        </w:rPr>
        <w:t xml:space="preserve">July </w:t>
      </w:r>
      <w:r w:rsidR="00A25AB5">
        <w:rPr>
          <w:b/>
          <w:szCs w:val="22"/>
        </w:rPr>
        <w:t>29</w:t>
      </w:r>
      <w:r>
        <w:rPr>
          <w:b/>
          <w:szCs w:val="22"/>
        </w:rPr>
        <w:t>, 2014</w:t>
      </w:r>
    </w:p>
    <w:p w:rsidR="00DA748A" w:rsidRPr="00644B15" w:rsidRDefault="00DA748A">
      <w:pPr>
        <w:jc w:val="right"/>
        <w:rPr>
          <w:szCs w:val="22"/>
        </w:rPr>
      </w:pPr>
    </w:p>
    <w:p w:rsidR="00DA748A" w:rsidRPr="00644B15" w:rsidRDefault="005E0E05" w:rsidP="002425B8">
      <w:pPr>
        <w:spacing w:after="240"/>
        <w:jc w:val="center"/>
        <w:rPr>
          <w:b/>
          <w:szCs w:val="22"/>
        </w:rPr>
      </w:pPr>
      <w:r>
        <w:rPr>
          <w:b/>
          <w:szCs w:val="22"/>
        </w:rPr>
        <w:t>PANDORA RADIO LLC</w:t>
      </w:r>
      <w:r w:rsidR="001B2EA8" w:rsidRPr="00644B15">
        <w:rPr>
          <w:b/>
          <w:szCs w:val="22"/>
        </w:rPr>
        <w:t xml:space="preserve"> SEEKS FOREIGN OWNERSHIP </w:t>
      </w:r>
      <w:r w:rsidR="007F0212">
        <w:rPr>
          <w:b/>
          <w:szCs w:val="22"/>
        </w:rPr>
        <w:t>RULING PURSUANT TO SECTION 310(b</w:t>
      </w:r>
      <w:r w:rsidR="001B2EA8" w:rsidRPr="00644B15">
        <w:rPr>
          <w:b/>
          <w:szCs w:val="22"/>
        </w:rPr>
        <w:t>)(4) OF THE COMMUNICATIONS ACT OF 1934, AS AMENDED</w:t>
      </w:r>
      <w:r w:rsidR="00DA748A" w:rsidRPr="00644B15">
        <w:rPr>
          <w:b/>
          <w:szCs w:val="22"/>
        </w:rPr>
        <w:t xml:space="preserve"> </w:t>
      </w:r>
    </w:p>
    <w:p w:rsidR="00DA748A" w:rsidRPr="00644B15" w:rsidRDefault="00435536">
      <w:pPr>
        <w:spacing w:after="240"/>
        <w:jc w:val="center"/>
        <w:rPr>
          <w:b/>
          <w:szCs w:val="22"/>
        </w:rPr>
      </w:pPr>
      <w:r>
        <w:rPr>
          <w:b/>
          <w:szCs w:val="22"/>
        </w:rPr>
        <w:t>MB</w:t>
      </w:r>
      <w:r w:rsidR="00DA748A" w:rsidRPr="00644B15">
        <w:rPr>
          <w:b/>
          <w:szCs w:val="22"/>
        </w:rPr>
        <w:t xml:space="preserve"> Docket No. </w:t>
      </w:r>
      <w:r w:rsidR="001A63C1" w:rsidRPr="004D7858">
        <w:rPr>
          <w:b/>
          <w:szCs w:val="22"/>
        </w:rPr>
        <w:t>14</w:t>
      </w:r>
      <w:r w:rsidRPr="004D7858">
        <w:rPr>
          <w:b/>
          <w:szCs w:val="22"/>
        </w:rPr>
        <w:t>-</w:t>
      </w:r>
      <w:r w:rsidR="00B2171D" w:rsidRPr="004D7858">
        <w:rPr>
          <w:b/>
          <w:szCs w:val="22"/>
        </w:rPr>
        <w:t>109</w:t>
      </w:r>
    </w:p>
    <w:p w:rsidR="00DA748A" w:rsidRPr="00644B15" w:rsidRDefault="00DA748A">
      <w:pPr>
        <w:jc w:val="center"/>
        <w:rPr>
          <w:b/>
          <w:szCs w:val="22"/>
        </w:rPr>
      </w:pPr>
      <w:r w:rsidRPr="00644B15">
        <w:rPr>
          <w:b/>
          <w:szCs w:val="22"/>
        </w:rPr>
        <w:t xml:space="preserve">PLEADING CYCLE ESTABLISHED </w:t>
      </w:r>
    </w:p>
    <w:p w:rsidR="00DA748A" w:rsidRPr="00644B15" w:rsidRDefault="00DA748A">
      <w:pPr>
        <w:jc w:val="center"/>
        <w:rPr>
          <w:b/>
          <w:szCs w:val="22"/>
        </w:rPr>
      </w:pPr>
    </w:p>
    <w:p w:rsidR="00F012AB" w:rsidRPr="00644B15" w:rsidRDefault="00F012AB" w:rsidP="002425B8">
      <w:pPr>
        <w:rPr>
          <w:szCs w:val="22"/>
        </w:rPr>
      </w:pPr>
      <w:r w:rsidRPr="00644B15">
        <w:rPr>
          <w:b/>
          <w:szCs w:val="22"/>
        </w:rPr>
        <w:t>Comments Due:</w:t>
      </w:r>
      <w:r w:rsidR="00611EB9">
        <w:rPr>
          <w:b/>
          <w:szCs w:val="22"/>
        </w:rPr>
        <w:t xml:space="preserve"> </w:t>
      </w:r>
      <w:r w:rsidR="00A25AB5">
        <w:rPr>
          <w:b/>
          <w:szCs w:val="22"/>
        </w:rPr>
        <w:t>August 28, 2014</w:t>
      </w:r>
    </w:p>
    <w:p w:rsidR="00F012AB" w:rsidRPr="00644B15" w:rsidRDefault="00F012AB" w:rsidP="002425B8">
      <w:pPr>
        <w:rPr>
          <w:b/>
          <w:szCs w:val="22"/>
        </w:rPr>
      </w:pPr>
      <w:r w:rsidRPr="00644B15">
        <w:rPr>
          <w:b/>
          <w:szCs w:val="22"/>
        </w:rPr>
        <w:t>Replies Due:</w:t>
      </w:r>
      <w:r w:rsidRPr="00644B15">
        <w:rPr>
          <w:szCs w:val="22"/>
        </w:rPr>
        <w:t xml:space="preserve"> </w:t>
      </w:r>
      <w:r w:rsidR="00511DC4">
        <w:rPr>
          <w:b/>
          <w:szCs w:val="22"/>
        </w:rPr>
        <w:t>September 29</w:t>
      </w:r>
      <w:r w:rsidR="00A25AB5">
        <w:rPr>
          <w:b/>
          <w:szCs w:val="22"/>
        </w:rPr>
        <w:t>, 2014</w:t>
      </w:r>
    </w:p>
    <w:p w:rsidR="00F012AB" w:rsidRPr="00644B15" w:rsidRDefault="00F012AB" w:rsidP="002425B8">
      <w:pPr>
        <w:rPr>
          <w:b/>
          <w:szCs w:val="22"/>
        </w:rPr>
      </w:pPr>
    </w:p>
    <w:p w:rsidR="00DA748A" w:rsidRPr="00644B15" w:rsidRDefault="00DA748A" w:rsidP="002425B8">
      <w:pPr>
        <w:rPr>
          <w:szCs w:val="22"/>
        </w:rPr>
      </w:pPr>
      <w:r w:rsidRPr="00644B15">
        <w:rPr>
          <w:szCs w:val="22"/>
        </w:rPr>
        <w:tab/>
      </w:r>
    </w:p>
    <w:p w:rsidR="00F012AB" w:rsidRPr="00644B15" w:rsidRDefault="00F012AB" w:rsidP="002425B8">
      <w:pPr>
        <w:rPr>
          <w:szCs w:val="22"/>
          <w:lang w:val="fr-FR"/>
        </w:rPr>
      </w:pPr>
      <w:r w:rsidRPr="00644B15">
        <w:rPr>
          <w:b/>
          <w:szCs w:val="22"/>
          <w:lang w:val="fr-FR"/>
        </w:rPr>
        <w:t>I.</w:t>
      </w:r>
      <w:r w:rsidRPr="00644B15">
        <w:rPr>
          <w:b/>
          <w:szCs w:val="22"/>
          <w:lang w:val="fr-FR"/>
        </w:rPr>
        <w:tab/>
        <w:t>INTRODUCTION</w:t>
      </w:r>
      <w:r w:rsidR="00DA748A" w:rsidRPr="00644B15">
        <w:rPr>
          <w:szCs w:val="22"/>
          <w:lang w:val="fr-FR"/>
        </w:rPr>
        <w:tab/>
      </w:r>
    </w:p>
    <w:p w:rsidR="00F012AB" w:rsidRPr="00644B15" w:rsidRDefault="00F012AB" w:rsidP="002425B8">
      <w:pPr>
        <w:rPr>
          <w:szCs w:val="22"/>
          <w:lang w:val="fr-FR"/>
        </w:rPr>
      </w:pPr>
    </w:p>
    <w:p w:rsidR="00DA748A" w:rsidRPr="00644B15" w:rsidRDefault="003E5191" w:rsidP="00F012AB">
      <w:pPr>
        <w:ind w:firstLine="720"/>
        <w:rPr>
          <w:szCs w:val="22"/>
        </w:rPr>
      </w:pPr>
      <w:r>
        <w:rPr>
          <w:szCs w:val="22"/>
          <w:lang w:val="fr-FR"/>
        </w:rPr>
        <w:t>Pandora Radio LLC (</w:t>
      </w:r>
      <w:r>
        <w:rPr>
          <w:szCs w:val="22"/>
        </w:rPr>
        <w:t>“Pandora</w:t>
      </w:r>
      <w:r w:rsidR="00235C92">
        <w:rPr>
          <w:szCs w:val="22"/>
        </w:rPr>
        <w:t xml:space="preserve"> Radio</w:t>
      </w:r>
      <w:r>
        <w:rPr>
          <w:szCs w:val="22"/>
        </w:rPr>
        <w:t xml:space="preserve">”) </w:t>
      </w:r>
      <w:r w:rsidR="00DA748A" w:rsidRPr="00644B15">
        <w:rPr>
          <w:szCs w:val="22"/>
        </w:rPr>
        <w:t xml:space="preserve">has </w:t>
      </w:r>
      <w:r w:rsidR="00F012AB" w:rsidRPr="00644B15">
        <w:rPr>
          <w:szCs w:val="22"/>
        </w:rPr>
        <w:t xml:space="preserve">filed a petition for declaratory ruling </w:t>
      </w:r>
      <w:r w:rsidR="004264A9">
        <w:rPr>
          <w:szCs w:val="22"/>
        </w:rPr>
        <w:t xml:space="preserve">(“Petition”) </w:t>
      </w:r>
      <w:r w:rsidR="00F012AB" w:rsidRPr="00644B15">
        <w:rPr>
          <w:szCs w:val="22"/>
        </w:rPr>
        <w:t xml:space="preserve">with </w:t>
      </w:r>
      <w:r w:rsidR="00DA748A" w:rsidRPr="00644B15">
        <w:rPr>
          <w:szCs w:val="22"/>
        </w:rPr>
        <w:t xml:space="preserve">the Commission </w:t>
      </w:r>
      <w:r w:rsidR="00F012AB" w:rsidRPr="00644B15">
        <w:rPr>
          <w:szCs w:val="22"/>
        </w:rPr>
        <w:t xml:space="preserve">requesting that the Commission find, </w:t>
      </w:r>
      <w:r w:rsidR="00DA748A" w:rsidRPr="00644B15">
        <w:rPr>
          <w:szCs w:val="22"/>
        </w:rPr>
        <w:t>pursuant to section 310(b)(4) of the Communications Act of 1934, as amended,</w:t>
      </w:r>
      <w:r w:rsidR="00DA748A" w:rsidRPr="00644B15">
        <w:rPr>
          <w:rStyle w:val="FootnoteReference"/>
          <w:szCs w:val="22"/>
        </w:rPr>
        <w:footnoteReference w:id="1"/>
      </w:r>
      <w:r w:rsidR="00DA748A" w:rsidRPr="00644B15">
        <w:rPr>
          <w:szCs w:val="22"/>
        </w:rPr>
        <w:t xml:space="preserve"> that it would not serve the public interest to prohibit </w:t>
      </w:r>
      <w:r w:rsidR="005D353B">
        <w:rPr>
          <w:szCs w:val="22"/>
        </w:rPr>
        <w:t>its</w:t>
      </w:r>
      <w:r w:rsidR="00DA748A" w:rsidRPr="00644B15">
        <w:rPr>
          <w:szCs w:val="22"/>
        </w:rPr>
        <w:t xml:space="preserve"> shareholders from holding aggreg</w:t>
      </w:r>
      <w:r w:rsidR="0048397C">
        <w:rPr>
          <w:szCs w:val="22"/>
        </w:rPr>
        <w:t>ate foreign ownership in Pandora</w:t>
      </w:r>
      <w:r w:rsidR="00235C92">
        <w:rPr>
          <w:szCs w:val="22"/>
        </w:rPr>
        <w:t>’s controlling parent company, Pandora Media, Inc. (“Pandora”),</w:t>
      </w:r>
      <w:r w:rsidR="00DA748A" w:rsidRPr="00644B15">
        <w:rPr>
          <w:szCs w:val="22"/>
        </w:rPr>
        <w:t xml:space="preserve"> in excess of the 25 percent</w:t>
      </w:r>
      <w:r w:rsidR="0048397C">
        <w:rPr>
          <w:szCs w:val="22"/>
        </w:rPr>
        <w:t xml:space="preserve"> benchmark in section 310(b)(4)</w:t>
      </w:r>
      <w:r w:rsidR="00DA748A" w:rsidRPr="00644B15">
        <w:rPr>
          <w:szCs w:val="22"/>
        </w:rPr>
        <w:t>.</w:t>
      </w:r>
    </w:p>
    <w:p w:rsidR="00DA748A" w:rsidRPr="00644B15" w:rsidRDefault="00DA748A" w:rsidP="002425B8">
      <w:pPr>
        <w:rPr>
          <w:szCs w:val="22"/>
        </w:rPr>
      </w:pPr>
    </w:p>
    <w:p w:rsidR="00080381" w:rsidRDefault="004264A9" w:rsidP="00A91125">
      <w:pPr>
        <w:ind w:firstLine="720"/>
        <w:rPr>
          <w:szCs w:val="22"/>
        </w:rPr>
      </w:pPr>
      <w:r>
        <w:rPr>
          <w:szCs w:val="22"/>
        </w:rPr>
        <w:t>The Petition is filed in connection with a pending application to assign FM broadcast station KXM</w:t>
      </w:r>
      <w:r w:rsidR="00FC6A10">
        <w:rPr>
          <w:szCs w:val="22"/>
        </w:rPr>
        <w:t xml:space="preserve">Z(FM), Box Elder, South Dakota, </w:t>
      </w:r>
      <w:r w:rsidR="00565201">
        <w:rPr>
          <w:szCs w:val="22"/>
        </w:rPr>
        <w:t xml:space="preserve">from Connoisseur Media Licenses, LLC </w:t>
      </w:r>
      <w:r w:rsidR="00FC6A10">
        <w:rPr>
          <w:szCs w:val="22"/>
        </w:rPr>
        <w:t>to Pandora Radio</w:t>
      </w:r>
      <w:r>
        <w:rPr>
          <w:szCs w:val="22"/>
        </w:rPr>
        <w:t>.</w:t>
      </w:r>
      <w:r>
        <w:rPr>
          <w:rStyle w:val="FootnoteReference"/>
          <w:szCs w:val="22"/>
        </w:rPr>
        <w:footnoteReference w:id="2"/>
      </w:r>
      <w:r>
        <w:rPr>
          <w:szCs w:val="22"/>
        </w:rPr>
        <w:t xml:space="preserve">  </w:t>
      </w:r>
      <w:r w:rsidR="00FC6A10">
        <w:rPr>
          <w:szCs w:val="22"/>
        </w:rPr>
        <w:t>Pandora</w:t>
      </w:r>
      <w:r w:rsidR="00565201">
        <w:rPr>
          <w:szCs w:val="22"/>
        </w:rPr>
        <w:t xml:space="preserve"> Radio states that</w:t>
      </w:r>
      <w:r w:rsidR="00224A9F">
        <w:rPr>
          <w:szCs w:val="22"/>
        </w:rPr>
        <w:t xml:space="preserve"> although it </w:t>
      </w:r>
      <w:r w:rsidR="001B7702">
        <w:rPr>
          <w:szCs w:val="22"/>
        </w:rPr>
        <w:t xml:space="preserve">has </w:t>
      </w:r>
      <w:r w:rsidR="00224A9F">
        <w:rPr>
          <w:szCs w:val="22"/>
        </w:rPr>
        <w:t>reasonab</w:t>
      </w:r>
      <w:r w:rsidR="00D67F36">
        <w:rPr>
          <w:szCs w:val="22"/>
        </w:rPr>
        <w:t>l</w:t>
      </w:r>
      <w:r w:rsidR="001B7702">
        <w:rPr>
          <w:szCs w:val="22"/>
        </w:rPr>
        <w:t>e</w:t>
      </w:r>
      <w:r w:rsidR="00224A9F">
        <w:rPr>
          <w:szCs w:val="22"/>
        </w:rPr>
        <w:t xml:space="preserve"> </w:t>
      </w:r>
      <w:r w:rsidR="001B7702">
        <w:rPr>
          <w:szCs w:val="22"/>
        </w:rPr>
        <w:t xml:space="preserve">grounds to </w:t>
      </w:r>
      <w:r w:rsidR="00224A9F">
        <w:rPr>
          <w:szCs w:val="22"/>
        </w:rPr>
        <w:t xml:space="preserve">believe </w:t>
      </w:r>
      <w:r w:rsidR="001B7702">
        <w:rPr>
          <w:szCs w:val="22"/>
        </w:rPr>
        <w:t xml:space="preserve">that </w:t>
      </w:r>
      <w:r w:rsidR="00224A9F">
        <w:rPr>
          <w:szCs w:val="22"/>
        </w:rPr>
        <w:t xml:space="preserve">it complies with the </w:t>
      </w:r>
      <w:r w:rsidR="006D3D3F">
        <w:rPr>
          <w:szCs w:val="22"/>
        </w:rPr>
        <w:t xml:space="preserve">statutory </w:t>
      </w:r>
      <w:r w:rsidR="00224A9F">
        <w:rPr>
          <w:szCs w:val="22"/>
        </w:rPr>
        <w:t>25 percent foreign ownership benchmark, it is unable to demonstrate such</w:t>
      </w:r>
      <w:r w:rsidR="00FC6A10">
        <w:rPr>
          <w:szCs w:val="22"/>
        </w:rPr>
        <w:t xml:space="preserve"> compliance</w:t>
      </w:r>
      <w:r w:rsidR="00224A9F">
        <w:rPr>
          <w:szCs w:val="22"/>
        </w:rPr>
        <w:t xml:space="preserve"> under the guidelines </w:t>
      </w:r>
      <w:r w:rsidR="001B7702">
        <w:rPr>
          <w:szCs w:val="22"/>
        </w:rPr>
        <w:t xml:space="preserve">for publicly traded companies </w:t>
      </w:r>
      <w:r w:rsidR="00224A9F">
        <w:rPr>
          <w:szCs w:val="22"/>
        </w:rPr>
        <w:t>set out</w:t>
      </w:r>
      <w:r w:rsidR="00FC6A10">
        <w:rPr>
          <w:szCs w:val="22"/>
        </w:rPr>
        <w:t xml:space="preserve"> by the Audio Division in this proceeding</w:t>
      </w:r>
      <w:r w:rsidR="00565201">
        <w:rPr>
          <w:szCs w:val="22"/>
        </w:rPr>
        <w:t xml:space="preserve">, primarily due to the fact that the </w:t>
      </w:r>
      <w:r w:rsidR="00507371">
        <w:rPr>
          <w:szCs w:val="22"/>
        </w:rPr>
        <w:t xml:space="preserve">identity, and therefore the </w:t>
      </w:r>
      <w:r w:rsidR="00565201">
        <w:rPr>
          <w:szCs w:val="22"/>
        </w:rPr>
        <w:t>citizenship of more than half</w:t>
      </w:r>
      <w:r w:rsidR="007A1740">
        <w:rPr>
          <w:szCs w:val="22"/>
        </w:rPr>
        <w:t xml:space="preserve"> of the beneficial owners of outstanding Pandora</w:t>
      </w:r>
      <w:r w:rsidR="00565201">
        <w:rPr>
          <w:szCs w:val="22"/>
        </w:rPr>
        <w:t xml:space="preserve"> share</w:t>
      </w:r>
      <w:r w:rsidR="00AF2EC6">
        <w:rPr>
          <w:szCs w:val="22"/>
        </w:rPr>
        <w:t>s</w:t>
      </w:r>
      <w:r w:rsidR="00565201">
        <w:rPr>
          <w:szCs w:val="22"/>
        </w:rPr>
        <w:t xml:space="preserve"> cannot be ascertained due to Securities and Exchange Commission</w:t>
      </w:r>
      <w:r w:rsidR="00224A9F">
        <w:rPr>
          <w:szCs w:val="22"/>
        </w:rPr>
        <w:t xml:space="preserve"> (“SEC”)</w:t>
      </w:r>
      <w:r w:rsidR="00565201">
        <w:rPr>
          <w:szCs w:val="22"/>
        </w:rPr>
        <w:t xml:space="preserve"> </w:t>
      </w:r>
      <w:r w:rsidR="003D2531">
        <w:rPr>
          <w:szCs w:val="22"/>
        </w:rPr>
        <w:t xml:space="preserve">shareholder </w:t>
      </w:r>
      <w:r w:rsidR="00AF2EC6">
        <w:rPr>
          <w:szCs w:val="22"/>
        </w:rPr>
        <w:t xml:space="preserve">privacy </w:t>
      </w:r>
      <w:r w:rsidR="00565201">
        <w:rPr>
          <w:szCs w:val="22"/>
        </w:rPr>
        <w:t>regulations</w:t>
      </w:r>
      <w:r w:rsidR="00FC6A10">
        <w:rPr>
          <w:szCs w:val="22"/>
        </w:rPr>
        <w:t>.</w:t>
      </w:r>
      <w:r w:rsidR="00FC6A10">
        <w:rPr>
          <w:rStyle w:val="FootnoteReference"/>
          <w:szCs w:val="22"/>
        </w:rPr>
        <w:footnoteReference w:id="3"/>
      </w:r>
      <w:r w:rsidR="00FC6A10">
        <w:rPr>
          <w:szCs w:val="22"/>
        </w:rPr>
        <w:t xml:space="preserve">  </w:t>
      </w:r>
      <w:r w:rsidR="00AF2EC6">
        <w:rPr>
          <w:szCs w:val="22"/>
        </w:rPr>
        <w:t xml:space="preserve">Therefore, </w:t>
      </w:r>
      <w:r w:rsidR="0042200D">
        <w:rPr>
          <w:szCs w:val="22"/>
        </w:rPr>
        <w:t>Pandora Radio seeks a declaratory ruling to allo</w:t>
      </w:r>
      <w:r w:rsidR="00565201">
        <w:rPr>
          <w:szCs w:val="22"/>
        </w:rPr>
        <w:t xml:space="preserve">w </w:t>
      </w:r>
      <w:r w:rsidR="00BC03BD">
        <w:rPr>
          <w:szCs w:val="22"/>
        </w:rPr>
        <w:t>foreign investors</w:t>
      </w:r>
      <w:r w:rsidR="00BF6C86">
        <w:rPr>
          <w:szCs w:val="22"/>
        </w:rPr>
        <w:t xml:space="preserve"> to hold up to</w:t>
      </w:r>
      <w:r w:rsidR="00080381">
        <w:rPr>
          <w:szCs w:val="22"/>
        </w:rPr>
        <w:t xml:space="preserve"> </w:t>
      </w:r>
      <w:r w:rsidR="00E225EF">
        <w:rPr>
          <w:szCs w:val="22"/>
        </w:rPr>
        <w:t xml:space="preserve">a </w:t>
      </w:r>
      <w:r w:rsidR="00080381">
        <w:rPr>
          <w:szCs w:val="22"/>
        </w:rPr>
        <w:t>49.99 percent voting interest and 100 percent equity interest in</w:t>
      </w:r>
      <w:r w:rsidR="00224A9F">
        <w:rPr>
          <w:szCs w:val="22"/>
        </w:rPr>
        <w:t xml:space="preserve"> Pandora,</w:t>
      </w:r>
      <w:r w:rsidR="00080381">
        <w:rPr>
          <w:szCs w:val="22"/>
        </w:rPr>
        <w:t xml:space="preserve"> </w:t>
      </w:r>
      <w:r w:rsidR="00224A9F">
        <w:rPr>
          <w:szCs w:val="22"/>
        </w:rPr>
        <w:t>its parent company</w:t>
      </w:r>
      <w:r w:rsidR="00DB5A0D">
        <w:rPr>
          <w:szCs w:val="22"/>
        </w:rPr>
        <w:t>, without additional Commission approval</w:t>
      </w:r>
      <w:r w:rsidR="0042200D">
        <w:rPr>
          <w:szCs w:val="22"/>
        </w:rPr>
        <w:t xml:space="preserve">.  </w:t>
      </w:r>
      <w:r w:rsidR="00224A9F">
        <w:rPr>
          <w:szCs w:val="22"/>
        </w:rPr>
        <w:t xml:space="preserve">Under this requested ruling, </w:t>
      </w:r>
      <w:r w:rsidR="0069651F">
        <w:rPr>
          <w:szCs w:val="22"/>
        </w:rPr>
        <w:t xml:space="preserve">Pandora would </w:t>
      </w:r>
      <w:r w:rsidR="00E225EF">
        <w:rPr>
          <w:szCs w:val="22"/>
        </w:rPr>
        <w:t xml:space="preserve">be required to </w:t>
      </w:r>
      <w:r w:rsidR="0069651F">
        <w:rPr>
          <w:szCs w:val="22"/>
        </w:rPr>
        <w:t xml:space="preserve">obtain prior Commission approval for </w:t>
      </w:r>
      <w:r w:rsidR="00DB5A0D">
        <w:rPr>
          <w:szCs w:val="22"/>
        </w:rPr>
        <w:t xml:space="preserve">the </w:t>
      </w:r>
      <w:r w:rsidR="0069651F">
        <w:rPr>
          <w:szCs w:val="22"/>
        </w:rPr>
        <w:t>aggregate</w:t>
      </w:r>
      <w:r w:rsidR="00224A9F">
        <w:rPr>
          <w:szCs w:val="22"/>
        </w:rPr>
        <w:t xml:space="preserve"> </w:t>
      </w:r>
      <w:r w:rsidR="0069651F">
        <w:rPr>
          <w:szCs w:val="22"/>
        </w:rPr>
        <w:t xml:space="preserve">voting authority </w:t>
      </w:r>
      <w:r w:rsidR="00F46EC2">
        <w:rPr>
          <w:szCs w:val="22"/>
        </w:rPr>
        <w:t xml:space="preserve">of foreign investors </w:t>
      </w:r>
      <w:r w:rsidR="0069651F">
        <w:rPr>
          <w:szCs w:val="22"/>
        </w:rPr>
        <w:t>to exceed 49.99 percent</w:t>
      </w:r>
      <w:r w:rsidR="00F46EC2">
        <w:rPr>
          <w:szCs w:val="22"/>
        </w:rPr>
        <w:t>,</w:t>
      </w:r>
      <w:r w:rsidR="0069651F">
        <w:rPr>
          <w:szCs w:val="22"/>
        </w:rPr>
        <w:t xml:space="preserve"> or </w:t>
      </w:r>
      <w:r w:rsidR="00DB5A0D">
        <w:rPr>
          <w:szCs w:val="22"/>
        </w:rPr>
        <w:t xml:space="preserve">if </w:t>
      </w:r>
      <w:r w:rsidR="0069651F">
        <w:rPr>
          <w:szCs w:val="22"/>
        </w:rPr>
        <w:t>a</w:t>
      </w:r>
      <w:r w:rsidR="00224A9F">
        <w:rPr>
          <w:szCs w:val="22"/>
        </w:rPr>
        <w:t>ny</w:t>
      </w:r>
      <w:r w:rsidR="0069651F">
        <w:rPr>
          <w:szCs w:val="22"/>
        </w:rPr>
        <w:t xml:space="preserve"> ch</w:t>
      </w:r>
      <w:r w:rsidR="00224A9F">
        <w:rPr>
          <w:szCs w:val="22"/>
        </w:rPr>
        <w:t xml:space="preserve">ange in the Board of Directors </w:t>
      </w:r>
      <w:r w:rsidR="00DB5A0D">
        <w:rPr>
          <w:szCs w:val="22"/>
        </w:rPr>
        <w:t xml:space="preserve">is proposed </w:t>
      </w:r>
      <w:r w:rsidR="00224A9F">
        <w:rPr>
          <w:szCs w:val="22"/>
        </w:rPr>
        <w:t>that would result</w:t>
      </w:r>
      <w:r w:rsidR="0069651F">
        <w:rPr>
          <w:szCs w:val="22"/>
        </w:rPr>
        <w:t xml:space="preserve"> in the </w:t>
      </w:r>
      <w:r w:rsidR="0069651F">
        <w:rPr>
          <w:szCs w:val="22"/>
        </w:rPr>
        <w:lastRenderedPageBreak/>
        <w:t>majority of the Board no longer being comprised of U.S. citizens.</w:t>
      </w:r>
      <w:r w:rsidR="0069651F">
        <w:rPr>
          <w:rStyle w:val="FootnoteReference"/>
          <w:szCs w:val="22"/>
        </w:rPr>
        <w:footnoteReference w:id="4"/>
      </w:r>
      <w:r w:rsidR="0069651F">
        <w:rPr>
          <w:szCs w:val="22"/>
        </w:rPr>
        <w:t xml:space="preserve">  </w:t>
      </w:r>
      <w:r w:rsidR="00080381">
        <w:rPr>
          <w:szCs w:val="22"/>
        </w:rPr>
        <w:t>Pandora</w:t>
      </w:r>
      <w:r w:rsidR="00224A9F">
        <w:rPr>
          <w:szCs w:val="22"/>
        </w:rPr>
        <w:t xml:space="preserve"> Radio</w:t>
      </w:r>
      <w:r w:rsidR="00080381">
        <w:rPr>
          <w:szCs w:val="22"/>
        </w:rPr>
        <w:t xml:space="preserve"> requests that </w:t>
      </w:r>
      <w:r w:rsidR="00224A9F">
        <w:rPr>
          <w:szCs w:val="22"/>
        </w:rPr>
        <w:t>the</w:t>
      </w:r>
      <w:r w:rsidR="00080381">
        <w:rPr>
          <w:szCs w:val="22"/>
        </w:rPr>
        <w:t xml:space="preserve"> ruling be prospectively </w:t>
      </w:r>
      <w:r w:rsidR="00362DBA">
        <w:rPr>
          <w:szCs w:val="22"/>
        </w:rPr>
        <w:t xml:space="preserve">applied </w:t>
      </w:r>
      <w:r w:rsidR="00080381">
        <w:rPr>
          <w:szCs w:val="22"/>
        </w:rPr>
        <w:t xml:space="preserve">to </w:t>
      </w:r>
      <w:r w:rsidR="00362DBA">
        <w:rPr>
          <w:szCs w:val="22"/>
        </w:rPr>
        <w:t xml:space="preserve">any of Pandora’s </w:t>
      </w:r>
      <w:r w:rsidR="00080381">
        <w:rPr>
          <w:szCs w:val="22"/>
        </w:rPr>
        <w:t>affiliates that are wholly owned and controlled by Pandora or have common control with Pandora.</w:t>
      </w:r>
      <w:r w:rsidR="00080381">
        <w:rPr>
          <w:rStyle w:val="FootnoteReference"/>
          <w:szCs w:val="22"/>
        </w:rPr>
        <w:footnoteReference w:id="5"/>
      </w:r>
    </w:p>
    <w:p w:rsidR="00A25AB5" w:rsidRDefault="00A25AB5" w:rsidP="00A91125">
      <w:pPr>
        <w:ind w:firstLine="720"/>
        <w:rPr>
          <w:szCs w:val="22"/>
        </w:rPr>
      </w:pPr>
    </w:p>
    <w:p w:rsidR="00A25AB5" w:rsidRPr="001D0E16" w:rsidRDefault="00A25AB5" w:rsidP="00A25AB5">
      <w:pPr>
        <w:ind w:firstLine="720"/>
        <w:rPr>
          <w:szCs w:val="22"/>
        </w:rPr>
      </w:pPr>
      <w:r>
        <w:rPr>
          <w:szCs w:val="22"/>
        </w:rPr>
        <w:t xml:space="preserve">Alternatively, Pandora Radio requests that the Commission issue a declaratory ruling following its general common carrier policy, </w:t>
      </w:r>
      <w:r>
        <w:rPr>
          <w:i/>
          <w:szCs w:val="22"/>
        </w:rPr>
        <w:t>i.e.</w:t>
      </w:r>
      <w:r>
        <w:rPr>
          <w:szCs w:val="22"/>
        </w:rPr>
        <w:t>, to permit 100 percent foreign equity and voting control without prior Commission approval, provided that no foreign investor that is not named in the Petition increases its equity or voting interest in Pandora to five percent (or 10 percent for certain institutional investors).</w:t>
      </w:r>
      <w:r>
        <w:rPr>
          <w:rStyle w:val="FootnoteReference"/>
          <w:szCs w:val="22"/>
        </w:rPr>
        <w:footnoteReference w:id="6"/>
      </w:r>
    </w:p>
    <w:p w:rsidR="00080381" w:rsidRDefault="00080381" w:rsidP="00A91125">
      <w:pPr>
        <w:ind w:firstLine="720"/>
        <w:rPr>
          <w:szCs w:val="22"/>
        </w:rPr>
      </w:pPr>
    </w:p>
    <w:p w:rsidR="00224A9F" w:rsidRDefault="0042200D" w:rsidP="00A91125">
      <w:pPr>
        <w:ind w:firstLine="720"/>
        <w:rPr>
          <w:szCs w:val="22"/>
        </w:rPr>
      </w:pPr>
      <w:r>
        <w:rPr>
          <w:szCs w:val="22"/>
        </w:rPr>
        <w:t>In support of its Petition, Pandora</w:t>
      </w:r>
      <w:r w:rsidR="00565201">
        <w:rPr>
          <w:szCs w:val="22"/>
        </w:rPr>
        <w:t xml:space="preserve"> Radio</w:t>
      </w:r>
      <w:r>
        <w:rPr>
          <w:szCs w:val="22"/>
        </w:rPr>
        <w:t xml:space="preserve"> </w:t>
      </w:r>
      <w:r w:rsidR="00565201" w:rsidRPr="00644B15">
        <w:rPr>
          <w:szCs w:val="22"/>
        </w:rPr>
        <w:t>states that</w:t>
      </w:r>
      <w:r w:rsidR="000F4702">
        <w:rPr>
          <w:szCs w:val="22"/>
        </w:rPr>
        <w:t xml:space="preserve"> Pandora</w:t>
      </w:r>
      <w:r w:rsidR="00565201">
        <w:rPr>
          <w:szCs w:val="22"/>
        </w:rPr>
        <w:t xml:space="preserve"> is a publicly traded United States company</w:t>
      </w:r>
      <w:r w:rsidR="000F4702">
        <w:rPr>
          <w:szCs w:val="22"/>
        </w:rPr>
        <w:t xml:space="preserve">, </w:t>
      </w:r>
      <w:r w:rsidR="00565201">
        <w:rPr>
          <w:szCs w:val="22"/>
        </w:rPr>
        <w:t xml:space="preserve">incorporated in Delaware, and that the majority of its </w:t>
      </w:r>
      <w:r w:rsidR="001C42DA">
        <w:rPr>
          <w:szCs w:val="22"/>
        </w:rPr>
        <w:t xml:space="preserve">executive </w:t>
      </w:r>
      <w:r w:rsidR="00565201">
        <w:rPr>
          <w:szCs w:val="22"/>
        </w:rPr>
        <w:t>officers and directors, as well as</w:t>
      </w:r>
      <w:r w:rsidR="001C42DA">
        <w:rPr>
          <w:szCs w:val="22"/>
        </w:rPr>
        <w:t xml:space="preserve"> its</w:t>
      </w:r>
      <w:r w:rsidR="00565201">
        <w:rPr>
          <w:szCs w:val="22"/>
        </w:rPr>
        <w:t xml:space="preserve"> customers, are U.S. citizens</w:t>
      </w:r>
      <w:r w:rsidR="00565201" w:rsidRPr="00644B15">
        <w:rPr>
          <w:szCs w:val="22"/>
        </w:rPr>
        <w:t>.</w:t>
      </w:r>
      <w:r w:rsidR="00565201" w:rsidRPr="00644B15">
        <w:rPr>
          <w:rStyle w:val="FootnoteReference"/>
          <w:szCs w:val="22"/>
        </w:rPr>
        <w:footnoteReference w:id="7"/>
      </w:r>
      <w:r w:rsidR="00565201" w:rsidRPr="00644B15">
        <w:rPr>
          <w:szCs w:val="22"/>
        </w:rPr>
        <w:t xml:space="preserve">  </w:t>
      </w:r>
      <w:r w:rsidR="008623E3">
        <w:rPr>
          <w:szCs w:val="22"/>
        </w:rPr>
        <w:t xml:space="preserve">Pandora also asserts that </w:t>
      </w:r>
      <w:r w:rsidR="00BF6C86">
        <w:rPr>
          <w:szCs w:val="22"/>
        </w:rPr>
        <w:t>t</w:t>
      </w:r>
      <w:r w:rsidR="000F4702">
        <w:rPr>
          <w:szCs w:val="22"/>
        </w:rPr>
        <w:t xml:space="preserve">he majority of </w:t>
      </w:r>
      <w:r w:rsidR="008623E3">
        <w:rPr>
          <w:szCs w:val="22"/>
        </w:rPr>
        <w:t>its</w:t>
      </w:r>
      <w:r w:rsidR="00224A9F">
        <w:rPr>
          <w:szCs w:val="22"/>
        </w:rPr>
        <w:t xml:space="preserve"> </w:t>
      </w:r>
      <w:r w:rsidR="00E225EF">
        <w:rPr>
          <w:szCs w:val="22"/>
        </w:rPr>
        <w:t xml:space="preserve">outstanding </w:t>
      </w:r>
      <w:r w:rsidR="00224A9F">
        <w:rPr>
          <w:szCs w:val="22"/>
        </w:rPr>
        <w:t xml:space="preserve">shares are voted by </w:t>
      </w:r>
      <w:r w:rsidR="008623E3">
        <w:rPr>
          <w:szCs w:val="22"/>
        </w:rPr>
        <w:t xml:space="preserve">a widely dispersed group of </w:t>
      </w:r>
      <w:r w:rsidR="00224A9F">
        <w:rPr>
          <w:szCs w:val="22"/>
        </w:rPr>
        <w:t>U.S. citizens.</w:t>
      </w:r>
      <w:r w:rsidR="00224A9F">
        <w:rPr>
          <w:rStyle w:val="FootnoteReference"/>
          <w:szCs w:val="22"/>
        </w:rPr>
        <w:footnoteReference w:id="8"/>
      </w:r>
      <w:r w:rsidR="00224A9F">
        <w:rPr>
          <w:szCs w:val="22"/>
        </w:rPr>
        <w:t xml:space="preserve">  </w:t>
      </w:r>
      <w:r w:rsidR="00B20A62">
        <w:rPr>
          <w:szCs w:val="22"/>
        </w:rPr>
        <w:t>Pandora Radio</w:t>
      </w:r>
      <w:r w:rsidR="00793655">
        <w:rPr>
          <w:szCs w:val="22"/>
        </w:rPr>
        <w:t xml:space="preserve"> </w:t>
      </w:r>
      <w:r w:rsidR="00B20A62">
        <w:rPr>
          <w:szCs w:val="22"/>
        </w:rPr>
        <w:t>asserts that granting its request would be in the public interest</w:t>
      </w:r>
      <w:r w:rsidR="00793655">
        <w:rPr>
          <w:szCs w:val="22"/>
        </w:rPr>
        <w:t xml:space="preserve"> because it</w:t>
      </w:r>
      <w:r w:rsidR="00B20A62">
        <w:rPr>
          <w:szCs w:val="22"/>
        </w:rPr>
        <w:t xml:space="preserve"> would be a new entrant to the broadcast market</w:t>
      </w:r>
      <w:r w:rsidR="00793655">
        <w:rPr>
          <w:szCs w:val="22"/>
        </w:rPr>
        <w:t xml:space="preserve"> that would </w:t>
      </w:r>
      <w:r w:rsidR="00224A9F">
        <w:rPr>
          <w:szCs w:val="22"/>
        </w:rPr>
        <w:t>“</w:t>
      </w:r>
      <w:r w:rsidR="00793655">
        <w:rPr>
          <w:szCs w:val="22"/>
        </w:rPr>
        <w:t>bring</w:t>
      </w:r>
      <w:r w:rsidR="00224A9F">
        <w:rPr>
          <w:szCs w:val="22"/>
        </w:rPr>
        <w:t xml:space="preserve"> an </w:t>
      </w:r>
      <w:r w:rsidR="00B20A62">
        <w:rPr>
          <w:szCs w:val="22"/>
        </w:rPr>
        <w:t>innovative new programming model to, and to commit new capital to, the radio sector.”</w:t>
      </w:r>
      <w:r w:rsidR="00B20A62">
        <w:rPr>
          <w:rStyle w:val="FootnoteReference"/>
          <w:szCs w:val="22"/>
        </w:rPr>
        <w:footnoteReference w:id="9"/>
      </w:r>
      <w:r w:rsidR="00224A9F">
        <w:rPr>
          <w:szCs w:val="22"/>
        </w:rPr>
        <w:t xml:space="preserve">  Pandora Radio further states </w:t>
      </w:r>
      <w:r w:rsidR="00B20A62">
        <w:rPr>
          <w:szCs w:val="22"/>
        </w:rPr>
        <w:t>that grant of its request would “enhance both the localism and diversity of voices in the Rapid City radio market.”</w:t>
      </w:r>
      <w:r w:rsidR="00B20A62">
        <w:rPr>
          <w:rStyle w:val="FootnoteReference"/>
          <w:szCs w:val="22"/>
        </w:rPr>
        <w:footnoteReference w:id="10"/>
      </w:r>
      <w:r w:rsidR="00B20A62">
        <w:rPr>
          <w:szCs w:val="22"/>
        </w:rPr>
        <w:t xml:space="preserve">  </w:t>
      </w:r>
    </w:p>
    <w:p w:rsidR="00224A9F" w:rsidRDefault="00224A9F" w:rsidP="00A91125">
      <w:pPr>
        <w:ind w:firstLine="720"/>
        <w:rPr>
          <w:szCs w:val="22"/>
        </w:rPr>
      </w:pPr>
    </w:p>
    <w:p w:rsidR="0042200D" w:rsidRDefault="00EF0272" w:rsidP="00A91125">
      <w:pPr>
        <w:ind w:firstLine="720"/>
        <w:rPr>
          <w:szCs w:val="22"/>
        </w:rPr>
      </w:pPr>
      <w:r>
        <w:rPr>
          <w:szCs w:val="22"/>
        </w:rPr>
        <w:t xml:space="preserve">Pandora </w:t>
      </w:r>
      <w:r w:rsidR="00943573">
        <w:rPr>
          <w:szCs w:val="22"/>
        </w:rPr>
        <w:t>R</w:t>
      </w:r>
      <w:r>
        <w:rPr>
          <w:szCs w:val="22"/>
        </w:rPr>
        <w:t xml:space="preserve">adio proposes to monitor its foreign voting control levels </w:t>
      </w:r>
      <w:r w:rsidR="00224A9F">
        <w:rPr>
          <w:szCs w:val="22"/>
        </w:rPr>
        <w:t>using SEC</w:t>
      </w:r>
      <w:r w:rsidR="00224A9F" w:rsidRPr="00224A9F">
        <w:rPr>
          <w:szCs w:val="22"/>
        </w:rPr>
        <w:t xml:space="preserve"> </w:t>
      </w:r>
      <w:r w:rsidR="00224A9F">
        <w:rPr>
          <w:szCs w:val="22"/>
        </w:rPr>
        <w:t>Schedule</w:t>
      </w:r>
      <w:r w:rsidR="00A4426E">
        <w:rPr>
          <w:szCs w:val="22"/>
        </w:rPr>
        <w:t>s</w:t>
      </w:r>
      <w:r w:rsidR="00224A9F">
        <w:rPr>
          <w:szCs w:val="22"/>
        </w:rPr>
        <w:t xml:space="preserve"> 13D and 13G</w:t>
      </w:r>
      <w:r>
        <w:rPr>
          <w:szCs w:val="22"/>
        </w:rPr>
        <w:t xml:space="preserve">, which must be filed </w:t>
      </w:r>
      <w:r w:rsidR="00943573">
        <w:rPr>
          <w:szCs w:val="22"/>
        </w:rPr>
        <w:t xml:space="preserve">with the SEC </w:t>
      </w:r>
      <w:r>
        <w:rPr>
          <w:szCs w:val="22"/>
        </w:rPr>
        <w:t xml:space="preserve">whenever a </w:t>
      </w:r>
      <w:r w:rsidR="00F46C4E">
        <w:rPr>
          <w:szCs w:val="22"/>
        </w:rPr>
        <w:t xml:space="preserve">shareholder acquires a </w:t>
      </w:r>
      <w:r w:rsidR="00A4426E">
        <w:rPr>
          <w:szCs w:val="22"/>
        </w:rPr>
        <w:t>five</w:t>
      </w:r>
      <w:r w:rsidR="00F46C4E">
        <w:rPr>
          <w:szCs w:val="22"/>
        </w:rPr>
        <w:t xml:space="preserve"> percent or greater </w:t>
      </w:r>
      <w:r>
        <w:rPr>
          <w:szCs w:val="22"/>
        </w:rPr>
        <w:t xml:space="preserve">voting </w:t>
      </w:r>
      <w:r w:rsidR="00F46C4E">
        <w:rPr>
          <w:szCs w:val="22"/>
        </w:rPr>
        <w:t xml:space="preserve">share in Pandora’s </w:t>
      </w:r>
      <w:r w:rsidR="00224A9F">
        <w:rPr>
          <w:szCs w:val="22"/>
        </w:rPr>
        <w:t>outstanding s</w:t>
      </w:r>
      <w:r>
        <w:rPr>
          <w:szCs w:val="22"/>
        </w:rPr>
        <w:t>tock.</w:t>
      </w:r>
      <w:r w:rsidR="00F46C4E">
        <w:rPr>
          <w:rStyle w:val="FootnoteReference"/>
          <w:szCs w:val="22"/>
        </w:rPr>
        <w:footnoteReference w:id="11"/>
      </w:r>
      <w:r w:rsidR="00F46C4E">
        <w:rPr>
          <w:szCs w:val="22"/>
        </w:rPr>
        <w:t xml:space="preserve"> </w:t>
      </w:r>
      <w:r w:rsidR="00C5775F">
        <w:rPr>
          <w:szCs w:val="22"/>
        </w:rPr>
        <w:t xml:space="preserve"> </w:t>
      </w:r>
      <w:r w:rsidR="0069651F">
        <w:rPr>
          <w:szCs w:val="22"/>
        </w:rPr>
        <w:t>Using such reports, Pandora Radio</w:t>
      </w:r>
      <w:r w:rsidR="00BC03BD">
        <w:rPr>
          <w:szCs w:val="22"/>
        </w:rPr>
        <w:t xml:space="preserve"> claims that it</w:t>
      </w:r>
      <w:r w:rsidR="0069651F">
        <w:rPr>
          <w:szCs w:val="22"/>
        </w:rPr>
        <w:t xml:space="preserve"> can “ensure that neither a single foreign entity nor any combination of foreign entities will be able to obtain voting control over the company without prior Commission approval and an opportunity for the Executive Branch to evaluate the matter.”</w:t>
      </w:r>
      <w:r w:rsidR="0069651F">
        <w:rPr>
          <w:rStyle w:val="FootnoteReference"/>
          <w:szCs w:val="22"/>
        </w:rPr>
        <w:footnoteReference w:id="12"/>
      </w:r>
      <w:r>
        <w:rPr>
          <w:szCs w:val="22"/>
        </w:rPr>
        <w:t xml:space="preserve"> </w:t>
      </w:r>
    </w:p>
    <w:p w:rsidR="00F012AB" w:rsidRPr="00644B15" w:rsidRDefault="00F012AB" w:rsidP="00A25AB5">
      <w:pPr>
        <w:rPr>
          <w:szCs w:val="22"/>
        </w:rPr>
      </w:pPr>
    </w:p>
    <w:p w:rsidR="00F012AB" w:rsidRDefault="00F012AB" w:rsidP="00F012AB">
      <w:pPr>
        <w:rPr>
          <w:rStyle w:val="Normal1"/>
          <w:b/>
          <w:sz w:val="22"/>
          <w:szCs w:val="22"/>
        </w:rPr>
      </w:pPr>
      <w:r w:rsidRPr="00F012AB">
        <w:rPr>
          <w:b/>
          <w:sz w:val="24"/>
        </w:rPr>
        <w:t>II</w:t>
      </w:r>
      <w:r>
        <w:rPr>
          <w:sz w:val="24"/>
        </w:rPr>
        <w:t>.</w:t>
      </w:r>
      <w:r>
        <w:rPr>
          <w:sz w:val="24"/>
        </w:rPr>
        <w:tab/>
      </w:r>
      <w:r>
        <w:rPr>
          <w:rStyle w:val="Normal1"/>
          <w:b/>
          <w:i/>
          <w:sz w:val="22"/>
          <w:szCs w:val="22"/>
        </w:rPr>
        <w:t>EX PARTE</w:t>
      </w:r>
      <w:r>
        <w:rPr>
          <w:rStyle w:val="Normal1"/>
          <w:b/>
          <w:sz w:val="22"/>
          <w:szCs w:val="22"/>
        </w:rPr>
        <w:t xml:space="preserve"> STATUS OF THIS PROCEEDING</w:t>
      </w:r>
    </w:p>
    <w:p w:rsidR="00F012AB" w:rsidRPr="00F012AB" w:rsidRDefault="00F012AB" w:rsidP="00F012AB">
      <w:pPr>
        <w:rPr>
          <w:rStyle w:val="Normal1"/>
          <w:sz w:val="24"/>
        </w:rPr>
      </w:pPr>
    </w:p>
    <w:p w:rsidR="00F012AB" w:rsidRDefault="00F012AB" w:rsidP="00F012AB">
      <w:pPr>
        <w:rPr>
          <w:rStyle w:val="Normal1"/>
          <w:b/>
          <w:sz w:val="22"/>
          <w:szCs w:val="22"/>
        </w:rPr>
      </w:pPr>
      <w:r>
        <w:rPr>
          <w:rStyle w:val="Normal1"/>
          <w:b/>
          <w:sz w:val="22"/>
          <w:szCs w:val="22"/>
        </w:rPr>
        <w:tab/>
      </w:r>
      <w:r>
        <w:rPr>
          <w:rStyle w:val="Normal1"/>
          <w:sz w:val="22"/>
          <w:szCs w:val="22"/>
        </w:rPr>
        <w:t>Pursuant to section 1.1200(a) of the Commission’s rules,</w:t>
      </w:r>
      <w:r>
        <w:rPr>
          <w:rStyle w:val="FootnoteReference"/>
          <w:szCs w:val="22"/>
        </w:rPr>
        <w:footnoteReference w:id="13"/>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w:t>
      </w:r>
      <w:r>
        <w:rPr>
          <w:rStyle w:val="Normal1"/>
          <w:sz w:val="22"/>
          <w:szCs w:val="22"/>
        </w:rPr>
        <w:lastRenderedPageBreak/>
        <w:t xml:space="preserve">announce that this proceeding will be governed by permit-but-disclose </w:t>
      </w:r>
      <w:r>
        <w:rPr>
          <w:rStyle w:val="Normal1"/>
          <w:i/>
          <w:sz w:val="22"/>
          <w:szCs w:val="22"/>
        </w:rPr>
        <w:t>ex parte</w:t>
      </w:r>
      <w:r>
        <w:rPr>
          <w:rStyle w:val="Normal1"/>
          <w:sz w:val="22"/>
          <w:szCs w:val="22"/>
        </w:rPr>
        <w:t xml:space="preserve"> procedures that are applicable to non-restricted proceedings under section 1.1206 of the Commission’s rules.</w:t>
      </w:r>
      <w:r>
        <w:rPr>
          <w:rStyle w:val="FootnoteReference"/>
          <w:szCs w:val="22"/>
        </w:rPr>
        <w:footnoteReference w:id="14"/>
      </w:r>
    </w:p>
    <w:p w:rsidR="00F012AB" w:rsidRDefault="00F012AB" w:rsidP="00F012AB">
      <w:pPr>
        <w:rPr>
          <w:rStyle w:val="Normal1"/>
          <w:b/>
          <w:sz w:val="22"/>
          <w:szCs w:val="22"/>
        </w:rPr>
      </w:pPr>
    </w:p>
    <w:p w:rsidR="00F012AB" w:rsidRDefault="00F012AB" w:rsidP="00F012AB">
      <w:pPr>
        <w:rPr>
          <w:b/>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Cs w:val="22"/>
        </w:rPr>
        <w:footnoteReference w:id="15"/>
      </w:r>
      <w:r>
        <w:rPr>
          <w:rStyle w:val="Normal1"/>
          <w:sz w:val="22"/>
          <w:szCs w:val="22"/>
        </w:rPr>
        <w:t xml:space="preserve">  More than a one- or two-sentence description of the views and arguments presented is generally required.</w:t>
      </w:r>
      <w:r>
        <w:rPr>
          <w:rStyle w:val="FootnoteReference"/>
          <w:szCs w:val="22"/>
        </w:rPr>
        <w:footnoteReference w:id="16"/>
      </w:r>
      <w:r>
        <w:rPr>
          <w:rStyle w:val="Normal1"/>
          <w:sz w:val="22"/>
          <w:szCs w:val="22"/>
        </w:rPr>
        <w:t xml:space="preserve">  Other rules pertaining to oral and written presentations are set forth in section 1.1206(b) as well.</w:t>
      </w:r>
      <w:r>
        <w:rPr>
          <w:rStyle w:val="FootnoteReference"/>
          <w:szCs w:val="22"/>
        </w:rPr>
        <w:footnoteReference w:id="17"/>
      </w:r>
    </w:p>
    <w:p w:rsidR="00F012AB" w:rsidRDefault="00F012AB" w:rsidP="00F012AB">
      <w:pPr>
        <w:rPr>
          <w:b/>
          <w:szCs w:val="22"/>
        </w:rPr>
      </w:pPr>
    </w:p>
    <w:p w:rsidR="00F012AB" w:rsidRDefault="00F012AB" w:rsidP="00F012AB">
      <w:pPr>
        <w:keepNext/>
        <w:spacing w:after="220"/>
        <w:outlineLvl w:val="0"/>
        <w:rPr>
          <w:b/>
          <w:szCs w:val="22"/>
        </w:rPr>
      </w:pPr>
      <w:r>
        <w:rPr>
          <w:b/>
          <w:szCs w:val="22"/>
        </w:rPr>
        <w:t>III.</w:t>
      </w:r>
      <w:r>
        <w:rPr>
          <w:b/>
          <w:szCs w:val="22"/>
        </w:rPr>
        <w:tab/>
        <w:t>GENERAL INFORMATION</w:t>
      </w:r>
    </w:p>
    <w:p w:rsidR="00F012AB" w:rsidRPr="00223A8B" w:rsidRDefault="00F012AB" w:rsidP="00F012AB">
      <w:pPr>
        <w:ind w:firstLine="720"/>
        <w:rPr>
          <w:szCs w:val="22"/>
        </w:rPr>
      </w:pPr>
      <w:r w:rsidRPr="00223A8B">
        <w:rPr>
          <w:szCs w:val="22"/>
        </w:rPr>
        <w:t>The Petition has been found, upon initial review</w:t>
      </w:r>
      <w:r w:rsidR="00BC03BD">
        <w:rPr>
          <w:szCs w:val="22"/>
        </w:rPr>
        <w:t>, to be acceptable for filing.  The Commission may, of course, require Pandora to submit an</w:t>
      </w:r>
      <w:r w:rsidR="009D61D5">
        <w:rPr>
          <w:szCs w:val="22"/>
        </w:rPr>
        <w:t>y</w:t>
      </w:r>
      <w:r w:rsidR="00BC03BD">
        <w:rPr>
          <w:szCs w:val="22"/>
        </w:rPr>
        <w:t xml:space="preserve"> additional documents or statements of fact </w:t>
      </w:r>
      <w:r w:rsidR="009D61D5">
        <w:rPr>
          <w:szCs w:val="22"/>
        </w:rPr>
        <w:t>that</w:t>
      </w:r>
      <w:r w:rsidR="00BC03BD">
        <w:rPr>
          <w:szCs w:val="22"/>
        </w:rPr>
        <w:t xml:space="preserve"> in its judgment may be necessary, or to amend the underlying application so as to make it “more definite and certain.”</w:t>
      </w:r>
      <w:r w:rsidR="00BC03BD">
        <w:rPr>
          <w:rStyle w:val="FootnoteReference"/>
          <w:szCs w:val="22"/>
        </w:rPr>
        <w:footnoteReference w:id="18"/>
      </w:r>
      <w:r w:rsidR="00BC03BD">
        <w:rPr>
          <w:szCs w:val="22"/>
        </w:rPr>
        <w:t xml:space="preserve">  </w:t>
      </w:r>
      <w:r w:rsidRPr="00223A8B">
        <w:rPr>
          <w:szCs w:val="22"/>
        </w:rPr>
        <w:t xml:space="preserve">The Commission </w:t>
      </w:r>
      <w:r w:rsidR="0066243A">
        <w:rPr>
          <w:szCs w:val="22"/>
        </w:rPr>
        <w:t xml:space="preserve">also </w:t>
      </w:r>
      <w:r w:rsidRPr="00223A8B">
        <w:rPr>
          <w:szCs w:val="22"/>
        </w:rPr>
        <w:t xml:space="preserve">reserves the right to return the Petition if, upon further examination, it is determined to be defective and not in conformance with the Commission’s rules or policies. </w:t>
      </w:r>
    </w:p>
    <w:p w:rsidR="00F012AB" w:rsidRDefault="00F012AB" w:rsidP="00F012AB">
      <w:pPr>
        <w:rPr>
          <w:szCs w:val="22"/>
        </w:rPr>
      </w:pPr>
    </w:p>
    <w:p w:rsidR="00F012AB" w:rsidRPr="008D213D" w:rsidRDefault="00F012AB" w:rsidP="00F012AB">
      <w:pPr>
        <w:rPr>
          <w:szCs w:val="22"/>
        </w:rPr>
      </w:pPr>
      <w:r>
        <w:rPr>
          <w:szCs w:val="22"/>
        </w:rPr>
        <w:tab/>
        <w:t xml:space="preserve">Interested parties </w:t>
      </w:r>
      <w:r w:rsidRPr="00772368">
        <w:rPr>
          <w:szCs w:val="22"/>
        </w:rPr>
        <w:t>must file</w:t>
      </w:r>
      <w:r>
        <w:rPr>
          <w:szCs w:val="22"/>
        </w:rPr>
        <w:t xml:space="preserve"> comments no later than</w:t>
      </w:r>
      <w:r w:rsidR="008647B4">
        <w:rPr>
          <w:szCs w:val="22"/>
        </w:rPr>
        <w:t xml:space="preserve"> </w:t>
      </w:r>
      <w:r w:rsidR="00A25AB5">
        <w:rPr>
          <w:szCs w:val="22"/>
        </w:rPr>
        <w:t>August 28, 2014</w:t>
      </w:r>
      <w:r>
        <w:rPr>
          <w:szCs w:val="22"/>
        </w:rPr>
        <w:t xml:space="preserve">.  Persons and entities that file </w:t>
      </w:r>
      <w:r w:rsidRPr="00E621A7">
        <w:rPr>
          <w:szCs w:val="22"/>
        </w:rPr>
        <w:t>comments become parties to the proceeding.  They may participate fully in the proceeding, including seeking access to any confidential information that may be filed under a protective order, seeking reconsideration of decisions, and filing appeals of a final decision to the courts.</w:t>
      </w:r>
      <w:r>
        <w:rPr>
          <w:szCs w:val="22"/>
        </w:rPr>
        <w:t xml:space="preserve">  Replies to such pleadings must be filed no later than</w:t>
      </w:r>
      <w:r w:rsidR="008647B4">
        <w:rPr>
          <w:szCs w:val="22"/>
        </w:rPr>
        <w:t xml:space="preserve"> </w:t>
      </w:r>
      <w:r w:rsidR="00A25AB5">
        <w:rPr>
          <w:szCs w:val="22"/>
        </w:rPr>
        <w:t>September 27, 2014</w:t>
      </w:r>
      <w:r>
        <w:rPr>
          <w:szCs w:val="22"/>
        </w:rPr>
        <w:t>.  All filings concerning matters referenced in this Public Notice s</w:t>
      </w:r>
      <w:r w:rsidR="008647B4">
        <w:rPr>
          <w:szCs w:val="22"/>
        </w:rPr>
        <w:t>hould refer to</w:t>
      </w:r>
      <w:r w:rsidR="005D12B2">
        <w:rPr>
          <w:szCs w:val="22"/>
        </w:rPr>
        <w:t xml:space="preserve"> MB</w:t>
      </w:r>
      <w:r w:rsidR="008647B4">
        <w:rPr>
          <w:szCs w:val="22"/>
        </w:rPr>
        <w:t xml:space="preserve"> Docket No. </w:t>
      </w:r>
      <w:r w:rsidR="00B31D22" w:rsidRPr="004D7858">
        <w:rPr>
          <w:szCs w:val="22"/>
        </w:rPr>
        <w:t>14</w:t>
      </w:r>
      <w:r w:rsidR="008647B4" w:rsidRPr="004D7858">
        <w:rPr>
          <w:szCs w:val="22"/>
        </w:rPr>
        <w:t>-</w:t>
      </w:r>
      <w:r w:rsidR="00B31D22" w:rsidRPr="004D7858">
        <w:rPr>
          <w:szCs w:val="22"/>
        </w:rPr>
        <w:t>109</w:t>
      </w:r>
      <w:r w:rsidRPr="008D213D">
        <w:rPr>
          <w:szCs w:val="22"/>
        </w:rPr>
        <w:t>.</w:t>
      </w:r>
    </w:p>
    <w:p w:rsidR="00F012AB" w:rsidRDefault="00F012AB" w:rsidP="00F012AB">
      <w:pPr>
        <w:rPr>
          <w:szCs w:val="22"/>
        </w:rPr>
      </w:pPr>
    </w:p>
    <w:p w:rsidR="00F012AB" w:rsidRPr="00223A8B" w:rsidRDefault="00F012AB" w:rsidP="00F012AB">
      <w:pPr>
        <w:ind w:firstLine="720"/>
        <w:rPr>
          <w:szCs w:val="22"/>
        </w:rPr>
      </w:pPr>
      <w:r w:rsidRPr="00223A8B">
        <w:rPr>
          <w:spacing w:val="-2"/>
          <w:szCs w:val="22"/>
        </w:rPr>
        <w:t xml:space="preserve">To allow the Commission to consider fully all substantive issues regarding the applications in as timely and efficient a manner as possible, </w:t>
      </w:r>
      <w:r w:rsidRPr="00223A8B">
        <w:rPr>
          <w:szCs w:val="22"/>
        </w:rPr>
        <w:t>commenters should raise all issues in their initial filings.  New issues may not be raised in responses or replies.</w:t>
      </w:r>
      <w:r w:rsidRPr="00223A8B">
        <w:rPr>
          <w:rStyle w:val="FootnoteReference"/>
          <w:szCs w:val="22"/>
        </w:rPr>
        <w:footnoteReference w:id="19"/>
      </w:r>
      <w:r w:rsidRPr="00223A8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012AB" w:rsidRDefault="00F012AB" w:rsidP="00F012AB">
      <w:pPr>
        <w:rPr>
          <w:szCs w:val="22"/>
        </w:rPr>
      </w:pPr>
    </w:p>
    <w:p w:rsidR="00F012AB" w:rsidRDefault="00F012AB" w:rsidP="00F012AB">
      <w:pPr>
        <w:spacing w:after="220"/>
        <w:ind w:firstLine="720"/>
        <w:rPr>
          <w:szCs w:val="22"/>
        </w:rPr>
      </w:pPr>
      <w:r>
        <w:rPr>
          <w:szCs w:val="22"/>
        </w:rPr>
        <w:t>Under the Commission’s current procedures for the submission of filings and other documents,</w:t>
      </w:r>
      <w:r>
        <w:rPr>
          <w:rStyle w:val="FootnoteReference"/>
          <w:szCs w:val="22"/>
        </w:rPr>
        <w:footnoteReference w:id="20"/>
      </w:r>
      <w:r>
        <w:rPr>
          <w:szCs w:val="22"/>
        </w:rPr>
        <w:t xml:space="preserve"> submissions in this matter may be filed electronically though the Commission’s </w:t>
      </w:r>
      <w:r w:rsidRPr="00772368">
        <w:rPr>
          <w:szCs w:val="22"/>
        </w:rPr>
        <w:t xml:space="preserve">Electronic </w:t>
      </w:r>
      <w:r>
        <w:rPr>
          <w:szCs w:val="22"/>
        </w:rPr>
        <w:t xml:space="preserve">Comment </w:t>
      </w:r>
      <w:r w:rsidRPr="00772368">
        <w:rPr>
          <w:szCs w:val="22"/>
        </w:rPr>
        <w:t>Filing System</w:t>
      </w:r>
      <w:r>
        <w:rPr>
          <w:szCs w:val="22"/>
        </w:rPr>
        <w:t xml:space="preserve"> (</w:t>
      </w:r>
      <w:r w:rsidR="00424076">
        <w:rPr>
          <w:szCs w:val="22"/>
        </w:rPr>
        <w:t>“</w:t>
      </w:r>
      <w:r>
        <w:rPr>
          <w:szCs w:val="22"/>
        </w:rPr>
        <w:t>ECFS</w:t>
      </w:r>
      <w:r w:rsidR="00424076">
        <w:rPr>
          <w:szCs w:val="22"/>
        </w:rPr>
        <w:t>”</w:t>
      </w:r>
      <w:r>
        <w:rPr>
          <w:szCs w:val="22"/>
        </w:rPr>
        <w:t xml:space="preserve">) or by hand delivery to the Commission.  </w:t>
      </w:r>
    </w:p>
    <w:p w:rsidR="00F012AB" w:rsidRDefault="00F012AB" w:rsidP="00F012AB">
      <w:pPr>
        <w:numPr>
          <w:ilvl w:val="0"/>
          <w:numId w:val="13"/>
        </w:numPr>
        <w:rPr>
          <w:szCs w:val="22"/>
        </w:rPr>
      </w:pPr>
      <w:r>
        <w:rPr>
          <w:b/>
          <w:szCs w:val="22"/>
        </w:rPr>
        <w:t>If filed by ECFS</w:t>
      </w:r>
      <w:r>
        <w:rPr>
          <w:szCs w:val="22"/>
        </w:rPr>
        <w:t>,</w:t>
      </w:r>
      <w:r>
        <w:rPr>
          <w:szCs w:val="22"/>
          <w:vertAlign w:val="superscript"/>
        </w:rPr>
        <w:footnoteReference w:id="21"/>
      </w:r>
      <w:r>
        <w:rPr>
          <w:szCs w:val="22"/>
        </w:rPr>
        <w:t xml:space="preserve"> comments shall be sent as an electronic file via the Internet to http://www.fcc.gov/e-file/ecfs.html.  In completing the transmittal screen, commenters should include their full name, U.S. Postal Service mailing address, and the applicable docket number.  Parties may also submit an electronic comment by Internet e-mail.</w:t>
      </w:r>
    </w:p>
    <w:p w:rsidR="00F012AB" w:rsidRDefault="00F012AB" w:rsidP="00F012AB">
      <w:pPr>
        <w:autoSpaceDE w:val="0"/>
        <w:autoSpaceDN w:val="0"/>
        <w:adjustRightInd w:val="0"/>
        <w:rPr>
          <w:szCs w:val="22"/>
        </w:rPr>
      </w:pPr>
    </w:p>
    <w:p w:rsidR="00F012AB" w:rsidRDefault="00F012AB" w:rsidP="00F012AB">
      <w:pPr>
        <w:numPr>
          <w:ilvl w:val="0"/>
          <w:numId w:val="13"/>
        </w:numPr>
        <w:autoSpaceDE w:val="0"/>
        <w:autoSpaceDN w:val="0"/>
        <w:adjustRightInd w:val="0"/>
        <w:rPr>
          <w:szCs w:val="22"/>
        </w:rPr>
      </w:pPr>
      <w:r>
        <w:rPr>
          <w:rFonts w:cs="TmsRmn"/>
          <w:b/>
          <w:bCs/>
          <w:color w:val="000000"/>
          <w:szCs w:val="22"/>
        </w:rPr>
        <w:t>If filed by paper</w:t>
      </w:r>
      <w:r>
        <w:rPr>
          <w:rFonts w:cs="TmsRmn"/>
          <w:color w:val="000000"/>
          <w:szCs w:val="22"/>
        </w:rPr>
        <w:t xml:space="preserve">, the original and four copies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F012AB" w:rsidRDefault="00F012AB" w:rsidP="00F012AB">
      <w:pPr>
        <w:ind w:firstLine="720"/>
        <w:rPr>
          <w:szCs w:val="22"/>
        </w:rPr>
      </w:pPr>
    </w:p>
    <w:p w:rsidR="00F012AB" w:rsidRDefault="00F012AB" w:rsidP="00F012AB">
      <w:pPr>
        <w:pStyle w:val="BodyText"/>
        <w:widowControl/>
        <w:spacing w:after="220"/>
        <w:rPr>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w:t>
      </w:r>
      <w:r w:rsidRPr="004D7858">
        <w:rPr>
          <w:color w:val="000000"/>
          <w:szCs w:val="22"/>
        </w:rPr>
        <w:t xml:space="preserve">duplicating </w:t>
      </w:r>
      <w:r w:rsidRPr="004D7858">
        <w:rPr>
          <w:szCs w:val="22"/>
        </w:rPr>
        <w:t xml:space="preserve">contractor, Best Copy and Printing, Inc., at FCC@BCPIWEB.COM or (202) 488-5563 (facsimile); </w:t>
      </w:r>
      <w:r w:rsidR="00BC03BD" w:rsidRPr="004D7858">
        <w:rPr>
          <w:szCs w:val="22"/>
        </w:rPr>
        <w:t xml:space="preserve">Peter Doyle, Audio Division, Media Bureau, at </w:t>
      </w:r>
      <w:hyperlink r:id="rId14" w:history="1">
        <w:r w:rsidR="00BC03BD" w:rsidRPr="004D7858">
          <w:rPr>
            <w:rStyle w:val="Hyperlink"/>
            <w:szCs w:val="22"/>
          </w:rPr>
          <w:t>peter.doyle@fcc.gov</w:t>
        </w:r>
      </w:hyperlink>
      <w:r w:rsidR="00BC03BD" w:rsidRPr="004D7858">
        <w:rPr>
          <w:szCs w:val="22"/>
        </w:rPr>
        <w:t xml:space="preserve"> or (202) 418-1410 (facsimile); Lisa Scanlan, Audio Division, Media Bureau, at </w:t>
      </w:r>
      <w:hyperlink r:id="rId15" w:history="1">
        <w:r w:rsidR="00BC03BD" w:rsidRPr="004D7858">
          <w:rPr>
            <w:rStyle w:val="Hyperlink"/>
            <w:szCs w:val="22"/>
          </w:rPr>
          <w:t>lisa.scanlan@fcc.gov</w:t>
        </w:r>
      </w:hyperlink>
      <w:r w:rsidR="00BC03BD" w:rsidRPr="004D7858">
        <w:rPr>
          <w:szCs w:val="22"/>
        </w:rPr>
        <w:t xml:space="preserve"> (202) 418-1410 (facsimile); and (3) Christine Goepp, Audio Division, Media Bureau, at </w:t>
      </w:r>
      <w:hyperlink r:id="rId16" w:history="1">
        <w:r w:rsidR="00BC03BD" w:rsidRPr="004D7858">
          <w:rPr>
            <w:rStyle w:val="Hyperlink"/>
            <w:szCs w:val="22"/>
          </w:rPr>
          <w:t>christine.goepp@fcc.gov</w:t>
        </w:r>
      </w:hyperlink>
      <w:r w:rsidR="00BC03BD" w:rsidRPr="004D7858">
        <w:rPr>
          <w:szCs w:val="22"/>
        </w:rPr>
        <w:t xml:space="preserve"> or (202) 418-1410 (facsimile).  </w:t>
      </w:r>
      <w:r w:rsidRPr="004D7858">
        <w:rPr>
          <w:spacing w:val="-2"/>
          <w:szCs w:val="22"/>
        </w:rPr>
        <w:t xml:space="preserve">Any submission that is e-mailed to Best Copy and Printing, </w:t>
      </w:r>
      <w:r w:rsidR="00BC03BD" w:rsidRPr="004D7858">
        <w:rPr>
          <w:spacing w:val="-2"/>
          <w:szCs w:val="22"/>
        </w:rPr>
        <w:t xml:space="preserve">Peter Doyle, Lisa Scanlan, and Christine Goepp </w:t>
      </w:r>
      <w:r w:rsidRPr="004D7858">
        <w:rPr>
          <w:spacing w:val="-2"/>
          <w:szCs w:val="22"/>
        </w:rPr>
        <w:t xml:space="preserve">should include in the subject line of the e-mail:  (1) </w:t>
      </w:r>
      <w:r w:rsidR="00D45964" w:rsidRPr="004D7858">
        <w:rPr>
          <w:spacing w:val="-2"/>
          <w:szCs w:val="22"/>
        </w:rPr>
        <w:t>MB</w:t>
      </w:r>
      <w:r w:rsidRPr="004D7858">
        <w:rPr>
          <w:spacing w:val="-2"/>
          <w:szCs w:val="22"/>
        </w:rPr>
        <w:t xml:space="preserve"> </w:t>
      </w:r>
      <w:r w:rsidRPr="004D7858">
        <w:rPr>
          <w:szCs w:val="22"/>
        </w:rPr>
        <w:t xml:space="preserve">Docket No. </w:t>
      </w:r>
      <w:r w:rsidR="00D45964" w:rsidRPr="004D7858">
        <w:rPr>
          <w:szCs w:val="22"/>
        </w:rPr>
        <w:t>14</w:t>
      </w:r>
      <w:r w:rsidRPr="004D7858">
        <w:rPr>
          <w:szCs w:val="22"/>
        </w:rPr>
        <w:t>-</w:t>
      </w:r>
      <w:r w:rsidR="00B31D22" w:rsidRPr="004D7858">
        <w:rPr>
          <w:szCs w:val="22"/>
        </w:rPr>
        <w:t>109</w:t>
      </w:r>
      <w:r w:rsidRPr="004D7858">
        <w:rPr>
          <w:szCs w:val="22"/>
        </w:rPr>
        <w:t>; (2) the name of the submitting party; and (3) a brief description or title identifying the type of document</w:t>
      </w:r>
      <w:r>
        <w:rPr>
          <w:szCs w:val="22"/>
        </w:rPr>
        <w:t xml:space="preserve"> being submitted (</w:t>
      </w:r>
      <w:r>
        <w:rPr>
          <w:i/>
          <w:szCs w:val="22"/>
        </w:rPr>
        <w:t>e.g</w:t>
      </w:r>
      <w:r>
        <w:rPr>
          <w:szCs w:val="22"/>
        </w:rPr>
        <w:t xml:space="preserve">., </w:t>
      </w:r>
      <w:r w:rsidR="00D45964">
        <w:rPr>
          <w:szCs w:val="22"/>
        </w:rPr>
        <w:t>MB</w:t>
      </w:r>
      <w:r>
        <w:rPr>
          <w:szCs w:val="22"/>
        </w:rPr>
        <w:t xml:space="preserve"> Docket No. </w:t>
      </w:r>
      <w:r w:rsidR="00D45964" w:rsidRPr="004D7858">
        <w:rPr>
          <w:szCs w:val="22"/>
        </w:rPr>
        <w:t>14</w:t>
      </w:r>
      <w:r w:rsidRPr="004D7858">
        <w:rPr>
          <w:szCs w:val="22"/>
        </w:rPr>
        <w:t>-</w:t>
      </w:r>
      <w:r w:rsidR="00B31D22" w:rsidRPr="004D7858">
        <w:rPr>
          <w:szCs w:val="22"/>
        </w:rPr>
        <w:t>109</w:t>
      </w:r>
      <w:r>
        <w:rPr>
          <w:szCs w:val="22"/>
        </w:rPr>
        <w:t>, [name of submitting party], Comments).</w:t>
      </w:r>
    </w:p>
    <w:p w:rsidR="00930A00" w:rsidRDefault="00F012AB" w:rsidP="00930A00">
      <w:pPr>
        <w:pStyle w:val="BodyText"/>
        <w:widowControl/>
        <w:spacing w:after="220"/>
      </w:pPr>
      <w:r>
        <w:rPr>
          <w:color w:val="000000"/>
          <w:szCs w:val="22"/>
        </w:rPr>
        <w:t xml:space="preserve">Copies of the Petition and any subsequently-filed documents in this matter may be obtained from Best Copy and Printing, Inc. in person at 445 12th Street, S.W., Room CY-B402, Washington, D.C. 20554, via telephone at (202) 488-5300, via facsimile at (202) 488-5563, or via email at FCC@BCPIWEB.COM.  The Petition and any associated documents are also available for public inspection and copying during normal reference room hours at the following Commission office:  FCC Reference Information Center, 445 12th Street, S.W., Room CY-A257, Washington, D.C. 20554.  </w:t>
      </w:r>
      <w:r>
        <w:rPr>
          <w:szCs w:val="22"/>
        </w:rPr>
        <w:t xml:space="preserve">In addition, the Petition is available electronically through the </w:t>
      </w:r>
      <w:r w:rsidR="00193039">
        <w:rPr>
          <w:szCs w:val="22"/>
        </w:rPr>
        <w:t>Media Bureau’s Consolidated Database System (“CDBS”)</w:t>
      </w:r>
      <w:r>
        <w:rPr>
          <w:szCs w:val="22"/>
        </w:rPr>
        <w:t>, which may be accessed on the Commission’s Internet website.</w:t>
      </w:r>
      <w:r w:rsidR="00BA2533">
        <w:rPr>
          <w:rStyle w:val="FootnoteReference"/>
          <w:szCs w:val="22"/>
        </w:rPr>
        <w:footnoteReference w:id="22"/>
      </w:r>
      <w:r>
        <w:rPr>
          <w:szCs w:val="22"/>
        </w:rPr>
        <w:t xml:space="preserve"> </w:t>
      </w:r>
    </w:p>
    <w:p w:rsidR="00F012AB" w:rsidRDefault="00F012AB" w:rsidP="00F012AB">
      <w:pPr>
        <w:pStyle w:val="BodyText"/>
        <w:widowControl/>
        <w:spacing w:after="220"/>
        <w:rPr>
          <w:color w:val="000000"/>
          <w:szCs w:val="22"/>
        </w:rPr>
      </w:pP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E621A7" w:rsidRDefault="00F012AB" w:rsidP="00BC03BD">
      <w:pPr>
        <w:spacing w:after="220"/>
        <w:ind w:firstLine="720"/>
        <w:rPr>
          <w:szCs w:val="22"/>
        </w:rPr>
      </w:pPr>
      <w:r>
        <w:rPr>
          <w:szCs w:val="22"/>
        </w:rPr>
        <w:t xml:space="preserve">For further information, contact </w:t>
      </w:r>
      <w:r w:rsidR="00C31030" w:rsidRPr="004D7858">
        <w:rPr>
          <w:szCs w:val="22"/>
        </w:rPr>
        <w:t xml:space="preserve">Christine Goepp, Audio Division, Media Bureau, at (202) 418-7834, or </w:t>
      </w:r>
      <w:r w:rsidR="00BC03BD" w:rsidRPr="004D7858">
        <w:rPr>
          <w:szCs w:val="22"/>
        </w:rPr>
        <w:t>Lisa Scanlan, Audio Division, Media Bureau, at (202) 418-270</w:t>
      </w:r>
      <w:r w:rsidR="00C31030" w:rsidRPr="004D7858">
        <w:rPr>
          <w:szCs w:val="22"/>
        </w:rPr>
        <w:t>0</w:t>
      </w:r>
      <w:r w:rsidR="00BC03BD" w:rsidRPr="004D7858">
        <w:rPr>
          <w:szCs w:val="22"/>
        </w:rPr>
        <w:t>.</w:t>
      </w:r>
      <w:r w:rsidR="00470D8A" w:rsidRPr="004D7858">
        <w:rPr>
          <w:szCs w:val="22"/>
        </w:rPr>
        <w:t xml:space="preserve">  Press inquiries should be directed to Janice Wise, Media Bureau, (202) 418-2555 or (888) 835-5322.</w:t>
      </w:r>
      <w:r w:rsidR="00BC03BD">
        <w:rPr>
          <w:szCs w:val="22"/>
        </w:rPr>
        <w:t xml:space="preserve">  </w:t>
      </w:r>
    </w:p>
    <w:p w:rsidR="00B81D2B" w:rsidRDefault="00B81D2B" w:rsidP="00BC03BD">
      <w:pPr>
        <w:spacing w:after="220"/>
        <w:ind w:firstLine="720"/>
        <w:rPr>
          <w:szCs w:val="22"/>
        </w:rPr>
      </w:pPr>
    </w:p>
    <w:p w:rsidR="00B81D2B" w:rsidRDefault="00B81D2B" w:rsidP="00B81D2B">
      <w:pPr>
        <w:spacing w:after="220"/>
        <w:ind w:firstLine="720"/>
        <w:jc w:val="center"/>
        <w:rPr>
          <w:sz w:val="24"/>
        </w:rPr>
      </w:pPr>
      <w:r>
        <w:rPr>
          <w:szCs w:val="22"/>
        </w:rPr>
        <w:t>-FCC-</w:t>
      </w:r>
    </w:p>
    <w:sectPr w:rsidR="00B81D2B" w:rsidSect="00F63FF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71" w:rsidRDefault="00855371">
      <w:r>
        <w:separator/>
      </w:r>
    </w:p>
  </w:endnote>
  <w:endnote w:type="continuationSeparator" w:id="0">
    <w:p w:rsidR="00855371" w:rsidRDefault="0085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5A" w:rsidRDefault="00D95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02" w:rsidRDefault="000F4702">
    <w:pPr>
      <w:pStyle w:val="Footer"/>
      <w:jc w:val="center"/>
    </w:pPr>
    <w:r>
      <w:fldChar w:fldCharType="begin"/>
    </w:r>
    <w:r>
      <w:instrText xml:space="preserve"> PAGE   \* MERGEFORMAT </w:instrText>
    </w:r>
    <w:r>
      <w:fldChar w:fldCharType="separate"/>
    </w:r>
    <w:r w:rsidR="00DF7131">
      <w:rPr>
        <w:noProof/>
      </w:rPr>
      <w:t>2</w:t>
    </w:r>
    <w:r>
      <w:rPr>
        <w:noProof/>
      </w:rPr>
      <w:fldChar w:fldCharType="end"/>
    </w:r>
  </w:p>
  <w:p w:rsidR="000F4702" w:rsidRDefault="000F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5A" w:rsidRDefault="00D9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71" w:rsidRDefault="00855371">
      <w:r>
        <w:separator/>
      </w:r>
    </w:p>
  </w:footnote>
  <w:footnote w:type="continuationSeparator" w:id="0">
    <w:p w:rsidR="00855371" w:rsidRDefault="00855371">
      <w:r>
        <w:continuationSeparator/>
      </w:r>
    </w:p>
  </w:footnote>
  <w:footnote w:id="1">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47 U.S.C. § 310(b)(4); </w:t>
      </w:r>
      <w:r w:rsidRPr="00BC03BD">
        <w:rPr>
          <w:i/>
          <w:sz w:val="20"/>
        </w:rPr>
        <w:t>see also Commission Policies and Procedures Under Section 310(b)(4) of the Communications Act, Foreign Investment in Broadcast Licensees</w:t>
      </w:r>
      <w:r w:rsidRPr="00BC03BD">
        <w:rPr>
          <w:sz w:val="20"/>
        </w:rPr>
        <w:t xml:space="preserve">, Declaratory Ruling, 28 FCC Rcd 16244 (2013).  </w:t>
      </w:r>
    </w:p>
  </w:footnote>
  <w:footnote w:id="2">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w:t>
      </w:r>
      <w:r w:rsidRPr="00BC03BD">
        <w:rPr>
          <w:i/>
          <w:sz w:val="20"/>
        </w:rPr>
        <w:t xml:space="preserve">See </w:t>
      </w:r>
      <w:r w:rsidRPr="00BC03BD">
        <w:rPr>
          <w:sz w:val="20"/>
        </w:rPr>
        <w:t>File No. BALH-20130620ABJ</w:t>
      </w:r>
      <w:r>
        <w:rPr>
          <w:sz w:val="20"/>
        </w:rPr>
        <w:t xml:space="preserve"> (“Assignment Application”)</w:t>
      </w:r>
      <w:r w:rsidRPr="00BC03BD">
        <w:rPr>
          <w:sz w:val="20"/>
        </w:rPr>
        <w:t>.</w:t>
      </w:r>
    </w:p>
  </w:footnote>
  <w:footnote w:id="3">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Petition at 9.  These unidentified beneficial shareholders that object to the disclosure of their identity are known as “objecting beneficial owners,” or OBOs.  Their shares are typically held and registered in “street name” by broker or bank intermediaries.  </w:t>
      </w:r>
      <w:r w:rsidRPr="00BC03BD">
        <w:rPr>
          <w:i/>
          <w:sz w:val="20"/>
        </w:rPr>
        <w:t>Id</w:t>
      </w:r>
      <w:r w:rsidRPr="00BC03BD">
        <w:rPr>
          <w:sz w:val="20"/>
        </w:rPr>
        <w:t>. at 9-10.</w:t>
      </w:r>
    </w:p>
  </w:footnote>
  <w:footnote w:id="4">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Petition at 29.</w:t>
      </w:r>
    </w:p>
  </w:footnote>
  <w:footnote w:id="5">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Petition at 27.  Pandora contends that this will avoid the need for Pandora and its affiliates to file further</w:t>
      </w:r>
      <w:r w:rsidRPr="00BC03BD" w:rsidDel="00F46EC2">
        <w:rPr>
          <w:sz w:val="20"/>
        </w:rPr>
        <w:t xml:space="preserve"> </w:t>
      </w:r>
      <w:r w:rsidRPr="00BC03BD">
        <w:rPr>
          <w:sz w:val="20"/>
        </w:rPr>
        <w:t xml:space="preserve">petitions for declaratory ruling under </w:t>
      </w:r>
      <w:r>
        <w:rPr>
          <w:sz w:val="20"/>
        </w:rPr>
        <w:t>s</w:t>
      </w:r>
      <w:r w:rsidRPr="00BC03BD">
        <w:rPr>
          <w:sz w:val="20"/>
        </w:rPr>
        <w:t>ection 310(b)(4) in the future</w:t>
      </w:r>
      <w:r>
        <w:rPr>
          <w:sz w:val="20"/>
        </w:rPr>
        <w:t>,</w:t>
      </w:r>
      <w:r w:rsidRPr="00BC03BD">
        <w:rPr>
          <w:sz w:val="20"/>
        </w:rPr>
        <w:t xml:space="preserve"> prior to acquiring any additional broadcast licenses.</w:t>
      </w:r>
    </w:p>
  </w:footnote>
  <w:footnote w:id="6">
    <w:p w:rsidR="00A25AB5" w:rsidRPr="00BC03BD" w:rsidRDefault="00A25AB5" w:rsidP="00A25AB5">
      <w:pPr>
        <w:pStyle w:val="FootnoteText"/>
        <w:spacing w:after="120"/>
        <w:rPr>
          <w:sz w:val="20"/>
        </w:rPr>
      </w:pPr>
      <w:r w:rsidRPr="00BC03BD">
        <w:rPr>
          <w:rStyle w:val="FootnoteReference"/>
          <w:sz w:val="20"/>
        </w:rPr>
        <w:footnoteRef/>
      </w:r>
      <w:r w:rsidRPr="00BC03BD">
        <w:rPr>
          <w:sz w:val="20"/>
        </w:rPr>
        <w:t xml:space="preserve"> Petition at 32-33.  Under this alternative proposal, any foreign investor named in the Petition (as amended) may increase its equity and/or voting interest in Pandora to 49.99 percent at some future time without additional Commission approval.  </w:t>
      </w:r>
      <w:r w:rsidRPr="00BC03BD">
        <w:rPr>
          <w:i/>
          <w:sz w:val="20"/>
        </w:rPr>
        <w:t>Id</w:t>
      </w:r>
      <w:r w:rsidRPr="00BC03BD">
        <w:rPr>
          <w:sz w:val="20"/>
        </w:rPr>
        <w:t>.</w:t>
      </w:r>
    </w:p>
  </w:footnote>
  <w:footnote w:id="7">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Petition at 5-6</w:t>
      </w:r>
      <w:r>
        <w:rPr>
          <w:sz w:val="20"/>
        </w:rPr>
        <w:t>.</w:t>
      </w:r>
    </w:p>
  </w:footnote>
  <w:footnote w:id="8">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Petition at 24 (relying on data obtained from SEC Form</w:t>
      </w:r>
      <w:r>
        <w:rPr>
          <w:sz w:val="20"/>
        </w:rPr>
        <w:t>s</w:t>
      </w:r>
      <w:r w:rsidRPr="00BC03BD">
        <w:rPr>
          <w:sz w:val="20"/>
        </w:rPr>
        <w:t xml:space="preserve"> 13F)</w:t>
      </w:r>
      <w:r w:rsidRPr="000F4702">
        <w:rPr>
          <w:sz w:val="20"/>
        </w:rPr>
        <w:t xml:space="preserve"> </w:t>
      </w:r>
      <w:r>
        <w:rPr>
          <w:sz w:val="20"/>
        </w:rPr>
        <w:t xml:space="preserve">; </w:t>
      </w:r>
      <w:r>
        <w:rPr>
          <w:i/>
          <w:sz w:val="20"/>
        </w:rPr>
        <w:t xml:space="preserve">see also </w:t>
      </w:r>
      <w:r>
        <w:rPr>
          <w:sz w:val="20"/>
        </w:rPr>
        <w:t>Assignment Application, Exhibit 14, “Parties to the Application</w:t>
      </w:r>
      <w:r w:rsidR="006531D7">
        <w:rPr>
          <w:sz w:val="20"/>
        </w:rPr>
        <w:t>.</w:t>
      </w:r>
      <w:r>
        <w:rPr>
          <w:sz w:val="20"/>
        </w:rPr>
        <w:t>”</w:t>
      </w:r>
    </w:p>
  </w:footnote>
  <w:footnote w:id="9">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Petition at 14-16.</w:t>
      </w:r>
    </w:p>
  </w:footnote>
  <w:footnote w:id="10">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Petition at 15.</w:t>
      </w:r>
    </w:p>
  </w:footnote>
  <w:footnote w:id="11">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Petition at 3, 31-32.  These Schedules also require disclosure of any plan or proposal to influence the management or operation of the company.  </w:t>
      </w:r>
      <w:r w:rsidRPr="00BC03BD">
        <w:rPr>
          <w:i/>
          <w:sz w:val="20"/>
        </w:rPr>
        <w:t>Id</w:t>
      </w:r>
      <w:r w:rsidRPr="00BC03BD">
        <w:rPr>
          <w:sz w:val="20"/>
        </w:rPr>
        <w:t>.</w:t>
      </w:r>
    </w:p>
  </w:footnote>
  <w:footnote w:id="12">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Petition at 32.</w:t>
      </w:r>
    </w:p>
  </w:footnote>
  <w:footnote w:id="13">
    <w:p w:rsidR="000F4702" w:rsidRPr="00BC03BD" w:rsidRDefault="000F4702" w:rsidP="00BC03BD">
      <w:pPr>
        <w:spacing w:after="120"/>
        <w:rPr>
          <w:sz w:val="20"/>
        </w:rPr>
      </w:pPr>
      <w:r w:rsidRPr="00BC03BD">
        <w:rPr>
          <w:rStyle w:val="FootnoteReference"/>
          <w:sz w:val="20"/>
        </w:rPr>
        <w:footnoteRef/>
      </w:r>
      <w:r w:rsidRPr="00BC03BD">
        <w:rPr>
          <w:sz w:val="20"/>
        </w:rPr>
        <w:t xml:space="preserve"> 47 C.F.R. § 1.1200(a).  </w:t>
      </w:r>
    </w:p>
  </w:footnote>
  <w:footnote w:id="14">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47 C.F.R. § 1.1206.</w:t>
      </w:r>
    </w:p>
  </w:footnote>
  <w:footnote w:id="15">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w:t>
      </w:r>
      <w:r w:rsidRPr="00BC03BD">
        <w:rPr>
          <w:i/>
          <w:sz w:val="20"/>
        </w:rPr>
        <w:t xml:space="preserve">See </w:t>
      </w:r>
      <w:r w:rsidRPr="00BC03BD">
        <w:rPr>
          <w:sz w:val="20"/>
        </w:rPr>
        <w:t>47 C.F.R. § 1.1206(b)(1).</w:t>
      </w:r>
    </w:p>
  </w:footnote>
  <w:footnote w:id="16">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w:t>
      </w:r>
      <w:r w:rsidRPr="00BC03BD">
        <w:rPr>
          <w:i/>
          <w:sz w:val="20"/>
        </w:rPr>
        <w:t>See id</w:t>
      </w:r>
      <w:r w:rsidRPr="00BC03BD">
        <w:rPr>
          <w:sz w:val="20"/>
        </w:rPr>
        <w:t>.</w:t>
      </w:r>
    </w:p>
  </w:footnote>
  <w:footnote w:id="17">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47 C.F.R. § 1.1206(b).</w:t>
      </w:r>
    </w:p>
  </w:footnote>
  <w:footnote w:id="18">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47 C.F.R. § 73.3514(b); </w:t>
      </w:r>
      <w:r w:rsidRPr="00BC03BD">
        <w:rPr>
          <w:i/>
          <w:sz w:val="20"/>
        </w:rPr>
        <w:t xml:space="preserve">see also BBC License Subsidiary, L.P., </w:t>
      </w:r>
      <w:r w:rsidRPr="00BC03BD">
        <w:rPr>
          <w:sz w:val="20"/>
        </w:rPr>
        <w:t>Order, 10 FCC Rcd 2458, 2461 (MMB 1994).</w:t>
      </w:r>
    </w:p>
  </w:footnote>
  <w:footnote w:id="19">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w:t>
      </w:r>
      <w:r w:rsidRPr="00BC03BD">
        <w:rPr>
          <w:i/>
          <w:sz w:val="20"/>
        </w:rPr>
        <w:t>See</w:t>
      </w:r>
      <w:r w:rsidRPr="00BC03BD">
        <w:rPr>
          <w:sz w:val="20"/>
        </w:rPr>
        <w:t xml:space="preserve"> 47 C.F.R. § 1.45(c).</w:t>
      </w:r>
    </w:p>
  </w:footnote>
  <w:footnote w:id="20">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w:t>
      </w:r>
      <w:r w:rsidRPr="00BC03BD">
        <w:rPr>
          <w:i/>
          <w:sz w:val="20"/>
        </w:rPr>
        <w:t xml:space="preserve">See </w:t>
      </w:r>
      <w:bookmarkStart w:id="2" w:name="SR;2766"/>
      <w:bookmarkStart w:id="3" w:name="SearchTerm"/>
      <w:bookmarkEnd w:id="2"/>
      <w:r w:rsidRPr="00BC03BD">
        <w:rPr>
          <w:bCs/>
          <w:i/>
          <w:sz w:val="20"/>
        </w:rPr>
        <w:t>FCC</w:t>
      </w:r>
      <w:r w:rsidRPr="00BC03BD">
        <w:rPr>
          <w:i/>
          <w:sz w:val="20"/>
        </w:rPr>
        <w:t xml:space="preserve"> </w:t>
      </w:r>
      <w:bookmarkStart w:id="4" w:name="SR;2767"/>
      <w:bookmarkEnd w:id="4"/>
      <w:r w:rsidRPr="00BC03BD">
        <w:rPr>
          <w:bCs/>
          <w:i/>
          <w:sz w:val="20"/>
        </w:rPr>
        <w:t>Announces</w:t>
      </w:r>
      <w:r w:rsidRPr="00BC03BD">
        <w:rPr>
          <w:i/>
          <w:sz w:val="20"/>
        </w:rPr>
        <w:t xml:space="preserve"> </w:t>
      </w:r>
      <w:bookmarkStart w:id="5" w:name="SR;2768"/>
      <w:bookmarkEnd w:id="5"/>
      <w:r w:rsidRPr="00BC03BD">
        <w:rPr>
          <w:bCs/>
          <w:i/>
          <w:sz w:val="20"/>
        </w:rPr>
        <w:t>Change</w:t>
      </w:r>
      <w:r w:rsidRPr="00BC03BD">
        <w:rPr>
          <w:i/>
          <w:sz w:val="20"/>
        </w:rPr>
        <w:t xml:space="preserve"> in </w:t>
      </w:r>
      <w:bookmarkStart w:id="6" w:name="SR;2770"/>
      <w:bookmarkEnd w:id="6"/>
      <w:r w:rsidRPr="00BC03BD">
        <w:rPr>
          <w:bCs/>
          <w:i/>
          <w:sz w:val="20"/>
        </w:rPr>
        <w:t>Filing</w:t>
      </w:r>
      <w:r w:rsidRPr="00BC03BD">
        <w:rPr>
          <w:i/>
          <w:sz w:val="20"/>
        </w:rPr>
        <w:t xml:space="preserve"> </w:t>
      </w:r>
      <w:bookmarkStart w:id="7" w:name="SR;2771"/>
      <w:bookmarkEnd w:id="7"/>
      <w:r w:rsidRPr="00BC03BD">
        <w:rPr>
          <w:bCs/>
          <w:i/>
          <w:sz w:val="20"/>
        </w:rPr>
        <w:t>Location</w:t>
      </w:r>
      <w:r w:rsidRPr="00BC03BD">
        <w:rPr>
          <w:i/>
          <w:sz w:val="20"/>
        </w:rPr>
        <w:t xml:space="preserve"> for </w:t>
      </w:r>
      <w:bookmarkStart w:id="8" w:name="SR;2773"/>
      <w:bookmarkEnd w:id="8"/>
      <w:r w:rsidRPr="00BC03BD">
        <w:rPr>
          <w:bCs/>
          <w:i/>
          <w:sz w:val="20"/>
        </w:rPr>
        <w:t>Paper</w:t>
      </w:r>
      <w:r w:rsidRPr="00BC03BD">
        <w:rPr>
          <w:i/>
          <w:sz w:val="20"/>
        </w:rPr>
        <w:t xml:space="preserve"> </w:t>
      </w:r>
      <w:bookmarkStart w:id="9" w:name="SR;2774"/>
      <w:bookmarkEnd w:id="3"/>
      <w:bookmarkEnd w:id="9"/>
      <w:r w:rsidRPr="00BC03BD">
        <w:rPr>
          <w:bCs/>
          <w:i/>
          <w:sz w:val="20"/>
        </w:rPr>
        <w:t>Documents</w:t>
      </w:r>
      <w:r w:rsidRPr="00BC03BD">
        <w:rPr>
          <w:sz w:val="20"/>
        </w:rPr>
        <w:t xml:space="preserve">, </w:t>
      </w:r>
      <w:r w:rsidRPr="00BC03BD">
        <w:rPr>
          <w:iCs/>
          <w:sz w:val="20"/>
        </w:rPr>
        <w:t>Public Notice</w:t>
      </w:r>
      <w:r w:rsidRPr="00BC03BD">
        <w:rPr>
          <w:sz w:val="20"/>
        </w:rPr>
        <w:t xml:space="preserve">, 24 FCC Rcd 14312 (2009). </w:t>
      </w:r>
    </w:p>
  </w:footnote>
  <w:footnote w:id="21">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w:t>
      </w:r>
      <w:r w:rsidRPr="00BC03BD">
        <w:rPr>
          <w:i/>
          <w:sz w:val="20"/>
        </w:rPr>
        <w:t>See</w:t>
      </w:r>
      <w:r w:rsidRPr="00BC03BD">
        <w:rPr>
          <w:sz w:val="20"/>
        </w:rPr>
        <w:t xml:space="preserve"> </w:t>
      </w:r>
      <w:r w:rsidRPr="00BC03BD">
        <w:rPr>
          <w:i/>
          <w:sz w:val="20"/>
        </w:rPr>
        <w:t>Electronic Filing of Documents in Rulemaking Proceedings</w:t>
      </w:r>
      <w:r w:rsidRPr="00BC03BD">
        <w:rPr>
          <w:sz w:val="20"/>
        </w:rPr>
        <w:t>, GC Docket No. 97-113, Report and Order, 13 FCC Rcd 11322 (1998).</w:t>
      </w:r>
    </w:p>
  </w:footnote>
  <w:footnote w:id="22">
    <w:p w:rsidR="000F4702" w:rsidRPr="00BC03BD" w:rsidRDefault="000F4702" w:rsidP="00BC03BD">
      <w:pPr>
        <w:pStyle w:val="FootnoteText"/>
        <w:spacing w:after="120"/>
        <w:rPr>
          <w:sz w:val="20"/>
        </w:rPr>
      </w:pPr>
      <w:r w:rsidRPr="00BC03BD">
        <w:rPr>
          <w:rStyle w:val="FootnoteReference"/>
          <w:sz w:val="20"/>
        </w:rPr>
        <w:footnoteRef/>
      </w:r>
      <w:r w:rsidRPr="00BC03BD">
        <w:rPr>
          <w:sz w:val="20"/>
        </w:rPr>
        <w:t xml:space="preserve"> On July 27, 2014, Pandora Radio amended the underlying assignment application, attaching the Petition as new Exhibit 24.  </w:t>
      </w:r>
      <w:r w:rsidRPr="00BC03BD">
        <w:rPr>
          <w:i/>
          <w:sz w:val="20"/>
        </w:rPr>
        <w:t>See</w:t>
      </w:r>
      <w:r w:rsidRPr="00BC03BD">
        <w:rPr>
          <w:sz w:val="20"/>
        </w:rPr>
        <w:t xml:space="preserve"> File No. BALH-20130620ABJ</w:t>
      </w:r>
      <w:r>
        <w:rPr>
          <w:sz w:val="20"/>
        </w:rPr>
        <w:t xml:space="preserve"> in CDBS Public Access</w:t>
      </w:r>
      <w:r w:rsidRPr="00BC03BD">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5A" w:rsidRDefault="00D95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5A" w:rsidRDefault="00D95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02" w:rsidRDefault="000F4702">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3E6826F0" wp14:editId="3CAA919D">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76A1185C" wp14:editId="1D3089F2">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702" w:rsidRDefault="000F4702">
                          <w:pPr>
                            <w:rPr>
                              <w:rFonts w:ascii="Arial" w:hAnsi="Arial"/>
                              <w:b/>
                            </w:rPr>
                          </w:pPr>
                          <w:r>
                            <w:rPr>
                              <w:rFonts w:ascii="Arial" w:hAnsi="Arial"/>
                              <w:b/>
                            </w:rPr>
                            <w:t>Federal Communications Commission</w:t>
                          </w:r>
                        </w:p>
                        <w:p w:rsidR="000F4702" w:rsidRDefault="000F47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F4702" w:rsidRDefault="000F470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0F4702" w:rsidRDefault="000F4702">
                    <w:pPr>
                      <w:rPr>
                        <w:rFonts w:ascii="Arial" w:hAnsi="Arial"/>
                        <w:b/>
                      </w:rPr>
                    </w:pPr>
                    <w:r>
                      <w:rPr>
                        <w:rFonts w:ascii="Arial" w:hAnsi="Arial"/>
                        <w:b/>
                      </w:rPr>
                      <w:t>Federal Communications Commission</w:t>
                    </w:r>
                  </w:p>
                  <w:p w:rsidR="000F4702" w:rsidRDefault="000F47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F4702" w:rsidRDefault="000F4702">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0F4702" w:rsidRDefault="000F4702">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6A28BA70" wp14:editId="37855D5D">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8240" behindDoc="0" locked="0" layoutInCell="0" allowOverlap="1" wp14:anchorId="125B8A3C" wp14:editId="5CD2E448">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702" w:rsidRDefault="000F4702">
                          <w:pPr>
                            <w:spacing w:before="40"/>
                            <w:jc w:val="right"/>
                            <w:rPr>
                              <w:rFonts w:ascii="Arial" w:hAnsi="Arial"/>
                              <w:b/>
                              <w:sz w:val="16"/>
                            </w:rPr>
                          </w:pPr>
                          <w:r>
                            <w:rPr>
                              <w:rFonts w:ascii="Arial" w:hAnsi="Arial"/>
                              <w:b/>
                              <w:sz w:val="16"/>
                            </w:rPr>
                            <w:t>News Media Information 202 / 418-0500</w:t>
                          </w:r>
                        </w:p>
                        <w:p w:rsidR="000F4702" w:rsidRDefault="000F470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F4702" w:rsidRDefault="000F4702">
                          <w:pPr>
                            <w:jc w:val="right"/>
                            <w:rPr>
                              <w:rFonts w:ascii="Arial" w:hAnsi="Arial"/>
                              <w:b/>
                              <w:sz w:val="16"/>
                            </w:rPr>
                          </w:pPr>
                          <w:r>
                            <w:rPr>
                              <w:rFonts w:ascii="Arial" w:hAnsi="Arial"/>
                              <w:b/>
                              <w:sz w:val="16"/>
                            </w:rPr>
                            <w:t>TTY: 1-888-835-5322</w:t>
                          </w:r>
                        </w:p>
                        <w:p w:rsidR="000F4702" w:rsidRDefault="000F470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F4702" w:rsidRDefault="000F4702">
                    <w:pPr>
                      <w:spacing w:before="40"/>
                      <w:jc w:val="right"/>
                      <w:rPr>
                        <w:rFonts w:ascii="Arial" w:hAnsi="Arial"/>
                        <w:b/>
                        <w:sz w:val="16"/>
                      </w:rPr>
                    </w:pPr>
                    <w:r>
                      <w:rPr>
                        <w:rFonts w:ascii="Arial" w:hAnsi="Arial"/>
                        <w:b/>
                        <w:sz w:val="16"/>
                      </w:rPr>
                      <w:t>News Media Information 202 / 418-0500</w:t>
                    </w:r>
                  </w:p>
                  <w:p w:rsidR="000F4702" w:rsidRDefault="000F470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F4702" w:rsidRDefault="000F4702">
                    <w:pPr>
                      <w:jc w:val="right"/>
                      <w:rPr>
                        <w:rFonts w:ascii="Arial" w:hAnsi="Arial"/>
                        <w:b/>
                        <w:sz w:val="16"/>
                      </w:rPr>
                    </w:pPr>
                    <w:r>
                      <w:rPr>
                        <w:rFonts w:ascii="Arial" w:hAnsi="Arial"/>
                        <w:b/>
                        <w:sz w:val="16"/>
                      </w:rPr>
                      <w:t>TTY: 1-888-835-5322</w:t>
                    </w:r>
                  </w:p>
                  <w:p w:rsidR="000F4702" w:rsidRDefault="000F4702">
                    <w:pPr>
                      <w:jc w:val="right"/>
                    </w:pPr>
                  </w:p>
                </w:txbxContent>
              </v:textbox>
            </v:shape>
          </w:pict>
        </mc:Fallback>
      </mc:AlternateContent>
    </w:r>
  </w:p>
  <w:p w:rsidR="000F4702" w:rsidRDefault="000F470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pStyle w:val="Heading7"/>
      <w:lvlText w:val="(%8)"/>
      <w:lvlJc w:val="left"/>
      <w:pPr>
        <w:tabs>
          <w:tab w:val="num" w:pos="5400"/>
        </w:tabs>
        <w:ind w:left="5040"/>
      </w:pPr>
    </w:lvl>
    <w:lvl w:ilvl="8">
      <w:start w:val="1"/>
      <w:numFmt w:val="lowerRoman"/>
      <w:pStyle w:val="Heading9"/>
      <w:lvlText w:val="(%9)"/>
      <w:lvlJc w:val="left"/>
      <w:pPr>
        <w:tabs>
          <w:tab w:val="num" w:pos="6480"/>
        </w:tabs>
        <w:ind w:left="576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rPr>
        <w:rFonts w:ascii="Times New Roman" w:hAnsi="Times New Roman" w:hint="default"/>
        <w:b/>
        <w:i w:val="0"/>
        <w:sz w:val="22"/>
      </w:rPr>
    </w:lvl>
    <w:lvl w:ilvl="8">
      <w:start w:val="1"/>
      <w:numFmt w:val="lowerRoman"/>
      <w:lvlText w:val="(%9)"/>
      <w:lvlJc w:val="left"/>
      <w:pPr>
        <w:tabs>
          <w:tab w:val="num" w:pos="6480"/>
        </w:tabs>
        <w:ind w:left="576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AF"/>
    <w:rsid w:val="0002181E"/>
    <w:rsid w:val="0002543F"/>
    <w:rsid w:val="0002722E"/>
    <w:rsid w:val="00072E55"/>
    <w:rsid w:val="00080381"/>
    <w:rsid w:val="000810C5"/>
    <w:rsid w:val="000B1B27"/>
    <w:rsid w:val="000B6E5E"/>
    <w:rsid w:val="000D0300"/>
    <w:rsid w:val="000E459B"/>
    <w:rsid w:val="000E4953"/>
    <w:rsid w:val="000F4702"/>
    <w:rsid w:val="00106EA7"/>
    <w:rsid w:val="0011644D"/>
    <w:rsid w:val="00137414"/>
    <w:rsid w:val="00156FFF"/>
    <w:rsid w:val="00176A7A"/>
    <w:rsid w:val="0018234E"/>
    <w:rsid w:val="00193039"/>
    <w:rsid w:val="001A63C1"/>
    <w:rsid w:val="001B2EA8"/>
    <w:rsid w:val="001B7702"/>
    <w:rsid w:val="001C42DA"/>
    <w:rsid w:val="001D0E16"/>
    <w:rsid w:val="001D14DF"/>
    <w:rsid w:val="001D74C5"/>
    <w:rsid w:val="00210E86"/>
    <w:rsid w:val="00224A9F"/>
    <w:rsid w:val="00235C92"/>
    <w:rsid w:val="002425B8"/>
    <w:rsid w:val="002449EC"/>
    <w:rsid w:val="002601E9"/>
    <w:rsid w:val="002A06BA"/>
    <w:rsid w:val="002B3326"/>
    <w:rsid w:val="002D4EAF"/>
    <w:rsid w:val="002E7E73"/>
    <w:rsid w:val="00326888"/>
    <w:rsid w:val="00333B9C"/>
    <w:rsid w:val="00351360"/>
    <w:rsid w:val="00362DBA"/>
    <w:rsid w:val="00384617"/>
    <w:rsid w:val="00393175"/>
    <w:rsid w:val="003C778C"/>
    <w:rsid w:val="003D2531"/>
    <w:rsid w:val="003D717D"/>
    <w:rsid w:val="003E5191"/>
    <w:rsid w:val="00417C2C"/>
    <w:rsid w:val="0042200D"/>
    <w:rsid w:val="00424076"/>
    <w:rsid w:val="004264A9"/>
    <w:rsid w:val="00435536"/>
    <w:rsid w:val="00437266"/>
    <w:rsid w:val="00470D8A"/>
    <w:rsid w:val="0048397C"/>
    <w:rsid w:val="0049030C"/>
    <w:rsid w:val="004D7858"/>
    <w:rsid w:val="004E7E51"/>
    <w:rsid w:val="0050151B"/>
    <w:rsid w:val="00507371"/>
    <w:rsid w:val="00511DC4"/>
    <w:rsid w:val="00524B17"/>
    <w:rsid w:val="0055043A"/>
    <w:rsid w:val="00565201"/>
    <w:rsid w:val="005777DE"/>
    <w:rsid w:val="00586C16"/>
    <w:rsid w:val="005D12B2"/>
    <w:rsid w:val="005D353B"/>
    <w:rsid w:val="005D655C"/>
    <w:rsid w:val="005E0E05"/>
    <w:rsid w:val="005E2CC3"/>
    <w:rsid w:val="00611EB9"/>
    <w:rsid w:val="00622C70"/>
    <w:rsid w:val="00623CAD"/>
    <w:rsid w:val="00631EB0"/>
    <w:rsid w:val="00644B15"/>
    <w:rsid w:val="006531D7"/>
    <w:rsid w:val="0066243A"/>
    <w:rsid w:val="0069651F"/>
    <w:rsid w:val="006976D9"/>
    <w:rsid w:val="006A3BF9"/>
    <w:rsid w:val="006C3715"/>
    <w:rsid w:val="006D3D3F"/>
    <w:rsid w:val="006F1888"/>
    <w:rsid w:val="0070126D"/>
    <w:rsid w:val="0071162B"/>
    <w:rsid w:val="007149CC"/>
    <w:rsid w:val="00716246"/>
    <w:rsid w:val="0072680B"/>
    <w:rsid w:val="0074065D"/>
    <w:rsid w:val="00750CCA"/>
    <w:rsid w:val="00787440"/>
    <w:rsid w:val="00787BFC"/>
    <w:rsid w:val="00793655"/>
    <w:rsid w:val="007A1740"/>
    <w:rsid w:val="007B00A6"/>
    <w:rsid w:val="007D2CBD"/>
    <w:rsid w:val="007E24F6"/>
    <w:rsid w:val="007E39E0"/>
    <w:rsid w:val="007E5906"/>
    <w:rsid w:val="007F0212"/>
    <w:rsid w:val="00826990"/>
    <w:rsid w:val="008405F3"/>
    <w:rsid w:val="008440F0"/>
    <w:rsid w:val="00855371"/>
    <w:rsid w:val="008623E3"/>
    <w:rsid w:val="008647B4"/>
    <w:rsid w:val="00891F22"/>
    <w:rsid w:val="00895171"/>
    <w:rsid w:val="008B37D9"/>
    <w:rsid w:val="008B62D0"/>
    <w:rsid w:val="008B7D84"/>
    <w:rsid w:val="008D213D"/>
    <w:rsid w:val="008D2174"/>
    <w:rsid w:val="008F797F"/>
    <w:rsid w:val="00930A00"/>
    <w:rsid w:val="00932ACE"/>
    <w:rsid w:val="009412C9"/>
    <w:rsid w:val="00943573"/>
    <w:rsid w:val="00963DD5"/>
    <w:rsid w:val="00967253"/>
    <w:rsid w:val="009C6BDF"/>
    <w:rsid w:val="009D61D5"/>
    <w:rsid w:val="009E5F83"/>
    <w:rsid w:val="009E624E"/>
    <w:rsid w:val="009F3432"/>
    <w:rsid w:val="00A256B0"/>
    <w:rsid w:val="00A25AB5"/>
    <w:rsid w:val="00A368FF"/>
    <w:rsid w:val="00A4426E"/>
    <w:rsid w:val="00A91125"/>
    <w:rsid w:val="00A92000"/>
    <w:rsid w:val="00A9652A"/>
    <w:rsid w:val="00AC5D92"/>
    <w:rsid w:val="00AD02B6"/>
    <w:rsid w:val="00AF2EC6"/>
    <w:rsid w:val="00AF5B8A"/>
    <w:rsid w:val="00AF7030"/>
    <w:rsid w:val="00B07899"/>
    <w:rsid w:val="00B20A62"/>
    <w:rsid w:val="00B2171D"/>
    <w:rsid w:val="00B25F81"/>
    <w:rsid w:val="00B31D22"/>
    <w:rsid w:val="00B70122"/>
    <w:rsid w:val="00B77B39"/>
    <w:rsid w:val="00B81D2B"/>
    <w:rsid w:val="00BA2533"/>
    <w:rsid w:val="00BA2B0E"/>
    <w:rsid w:val="00BC03BD"/>
    <w:rsid w:val="00BC5D03"/>
    <w:rsid w:val="00BE372B"/>
    <w:rsid w:val="00BF6C86"/>
    <w:rsid w:val="00C31030"/>
    <w:rsid w:val="00C5775F"/>
    <w:rsid w:val="00C57816"/>
    <w:rsid w:val="00C670D9"/>
    <w:rsid w:val="00CB3DFA"/>
    <w:rsid w:val="00CD5E50"/>
    <w:rsid w:val="00CF7C42"/>
    <w:rsid w:val="00D029BE"/>
    <w:rsid w:val="00D02FA3"/>
    <w:rsid w:val="00D27295"/>
    <w:rsid w:val="00D4080C"/>
    <w:rsid w:val="00D45964"/>
    <w:rsid w:val="00D67F36"/>
    <w:rsid w:val="00D81DEA"/>
    <w:rsid w:val="00D8356A"/>
    <w:rsid w:val="00D9565A"/>
    <w:rsid w:val="00DA748A"/>
    <w:rsid w:val="00DB5A0D"/>
    <w:rsid w:val="00DC2D74"/>
    <w:rsid w:val="00DC4FE5"/>
    <w:rsid w:val="00DD4F89"/>
    <w:rsid w:val="00DD5273"/>
    <w:rsid w:val="00DF5865"/>
    <w:rsid w:val="00DF6EB7"/>
    <w:rsid w:val="00DF7131"/>
    <w:rsid w:val="00E225EF"/>
    <w:rsid w:val="00E41B15"/>
    <w:rsid w:val="00E530C8"/>
    <w:rsid w:val="00E621A7"/>
    <w:rsid w:val="00E74D3E"/>
    <w:rsid w:val="00E8659A"/>
    <w:rsid w:val="00EF0272"/>
    <w:rsid w:val="00F012AB"/>
    <w:rsid w:val="00F0481F"/>
    <w:rsid w:val="00F15EC8"/>
    <w:rsid w:val="00F24110"/>
    <w:rsid w:val="00F24825"/>
    <w:rsid w:val="00F46C4E"/>
    <w:rsid w:val="00F46EC2"/>
    <w:rsid w:val="00F51147"/>
    <w:rsid w:val="00F63FF4"/>
    <w:rsid w:val="00F66B90"/>
    <w:rsid w:val="00F71FF6"/>
    <w:rsid w:val="00F92BAD"/>
    <w:rsid w:val="00FC3FE1"/>
    <w:rsid w:val="00FC6A10"/>
    <w:rsid w:val="00FD1B4C"/>
    <w:rsid w:val="00FE1C3D"/>
    <w:rsid w:val="00FE42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qFormat="1"/>
    <w:lsdException w:name="footnote reference" w:uiPriority="0"/>
    <w:lsdException w:name="Title" w:semiHidden="0" w:uiPriority="1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F4"/>
    <w:rPr>
      <w:sz w:val="22"/>
    </w:rPr>
  </w:style>
  <w:style w:type="paragraph" w:styleId="Heading1">
    <w:name w:val="heading 1"/>
    <w:basedOn w:val="Normal"/>
    <w:next w:val="Normal"/>
    <w:link w:val="Heading1Char"/>
    <w:uiPriority w:val="99"/>
    <w:qFormat/>
    <w:rsid w:val="00F63FF4"/>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F63FF4"/>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F63FF4"/>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F63FF4"/>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F63FF4"/>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F63FF4"/>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F63FF4"/>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F63FF4"/>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F63FF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 w:type="character" w:customStyle="1" w:styleId="Heading3Char">
    <w:name w:val="Heading 3 Char"/>
    <w:basedOn w:val="DefaultParagraphFont"/>
    <w:link w:val="Heading3"/>
    <w:uiPriority w:val="99"/>
    <w:semiHidden/>
    <w:rPr>
      <w:rFonts w:ascii="Calibri" w:hAnsi="Calibri" w:cs="Times New Roman"/>
      <w:b/>
      <w:bCs/>
      <w:sz w:val="26"/>
    </w:rPr>
  </w:style>
  <w:style w:type="character" w:customStyle="1" w:styleId="Heading4Char">
    <w:name w:val="Heading 4 Char"/>
    <w:basedOn w:val="DefaultParagraphFont"/>
    <w:link w:val="Heading4"/>
    <w:uiPriority w:val="99"/>
    <w:semiHidden/>
    <w:rPr>
      <w:rFonts w:ascii="Cambria" w:hAnsi="Cambria" w:cs="Times New Roman"/>
      <w:b/>
      <w:bCs/>
      <w:sz w:val="28"/>
    </w:rPr>
  </w:style>
  <w:style w:type="character" w:customStyle="1" w:styleId="Heading5Char">
    <w:name w:val="Heading 5 Char"/>
    <w:basedOn w:val="DefaultParagraphFont"/>
    <w:link w:val="Heading5"/>
    <w:uiPriority w:val="99"/>
    <w:semiHidden/>
    <w:rPr>
      <w:rFonts w:ascii="Cambria" w:hAnsi="Cambria" w:cs="Times New Roman"/>
      <w:b/>
      <w:bCs/>
      <w:i/>
      <w:iCs/>
      <w:sz w:val="26"/>
    </w:rPr>
  </w:style>
  <w:style w:type="character" w:customStyle="1" w:styleId="Heading6Char">
    <w:name w:val="Heading 6 Char"/>
    <w:basedOn w:val="DefaultParagraphFont"/>
    <w:link w:val="Heading6"/>
    <w:uiPriority w:val="99"/>
    <w:semiHidden/>
    <w:rPr>
      <w:rFonts w:ascii="Cambria" w:hAnsi="Cambria" w:cs="Times New Roman"/>
      <w:b/>
      <w:bCs/>
      <w:sz w:val="22"/>
    </w:rPr>
  </w:style>
  <w:style w:type="character" w:customStyle="1" w:styleId="Heading7Char">
    <w:name w:val="Heading 7 Char"/>
    <w:basedOn w:val="DefaultParagraphFont"/>
    <w:link w:val="Heading7"/>
    <w:uiPriority w:val="99"/>
    <w:semiHidden/>
    <w:rPr>
      <w:rFonts w:ascii="Cambria" w:hAnsi="Cambria" w:cs="Times New Roman"/>
      <w:sz w:val="24"/>
    </w:rPr>
  </w:style>
  <w:style w:type="character" w:customStyle="1" w:styleId="Heading8Char">
    <w:name w:val="Heading 8 Char"/>
    <w:basedOn w:val="DefaultParagraphFont"/>
    <w:link w:val="Heading8"/>
    <w:uiPriority w:val="99"/>
    <w:semiHidden/>
    <w:rPr>
      <w:rFonts w:ascii="Cambria" w:hAnsi="Cambria" w:cs="Times New Roman"/>
      <w:i/>
      <w:iCs/>
      <w:sz w:val="24"/>
    </w:rPr>
  </w:style>
  <w:style w:type="character" w:customStyle="1" w:styleId="Heading9Char">
    <w:name w:val="Heading 9 Char"/>
    <w:basedOn w:val="DefaultParagraphFont"/>
    <w:link w:val="Heading9"/>
    <w:uiPriority w:val="99"/>
    <w:semiHidden/>
    <w:rPr>
      <w:rFonts w:ascii="Calibri" w:hAnsi="Calibri" w:cs="Times New Roman"/>
      <w:sz w:val="22"/>
    </w:rPr>
  </w:style>
  <w:style w:type="paragraph" w:styleId="Header">
    <w:name w:val="header"/>
    <w:basedOn w:val="Normal"/>
    <w:link w:val="HeaderChar"/>
    <w:uiPriority w:val="99"/>
    <w:semiHidden/>
    <w:rsid w:val="00F63FF4"/>
    <w:pPr>
      <w:tabs>
        <w:tab w:val="center" w:pos="4320"/>
        <w:tab w:val="right" w:pos="8640"/>
      </w:tabs>
    </w:pPr>
  </w:style>
  <w:style w:type="character" w:customStyle="1" w:styleId="HeaderChar">
    <w:name w:val="Header Char"/>
    <w:basedOn w:val="DefaultParagraphFont"/>
    <w:link w:val="Header"/>
    <w:uiPriority w:val="99"/>
    <w:semiHidden/>
    <w:rPr>
      <w:rFonts w:cs="Times New Roman"/>
      <w:sz w:val="22"/>
    </w:rPr>
  </w:style>
  <w:style w:type="paragraph" w:styleId="Footer">
    <w:name w:val="footer"/>
    <w:basedOn w:val="Normal"/>
    <w:link w:val="FooterChar"/>
    <w:uiPriority w:val="99"/>
    <w:semiHidden/>
    <w:rsid w:val="00F63FF4"/>
    <w:pPr>
      <w:tabs>
        <w:tab w:val="center" w:pos="4320"/>
        <w:tab w:val="right" w:pos="8640"/>
      </w:tabs>
    </w:pPr>
  </w:style>
  <w:style w:type="character" w:customStyle="1" w:styleId="FooterChar">
    <w:name w:val="Footer Char"/>
    <w:basedOn w:val="DefaultParagraphFont"/>
    <w:link w:val="Footer"/>
    <w:uiPriority w:val="99"/>
    <w:rsid w:val="00F15EC8"/>
    <w:rPr>
      <w:rFonts w:cs="Times New Roman"/>
      <w:sz w:val="22"/>
    </w:rPr>
  </w:style>
  <w:style w:type="character" w:styleId="Hyperlink">
    <w:name w:val="Hyperlink"/>
    <w:basedOn w:val="DefaultParagraphFont"/>
    <w:uiPriority w:val="99"/>
    <w:semiHidden/>
    <w:rsid w:val="00F63FF4"/>
    <w:rPr>
      <w:rFonts w:cs="Times New Roman"/>
      <w:color w:val="0000FF"/>
      <w:u w:val="single"/>
    </w:rPr>
  </w:style>
  <w:style w:type="paragraph" w:styleId="BlockText">
    <w:name w:val="Block Text"/>
    <w:basedOn w:val="Normal"/>
    <w:uiPriority w:val="99"/>
    <w:semiHidden/>
    <w:rsid w:val="00F63FF4"/>
    <w:pPr>
      <w:widowControl w:val="0"/>
      <w:spacing w:after="220"/>
      <w:ind w:left="1440" w:right="1440"/>
      <w:jc w:val="both"/>
    </w:pPr>
  </w:style>
  <w:style w:type="paragraph" w:customStyle="1" w:styleId="Bullet">
    <w:name w:val="Bullet"/>
    <w:basedOn w:val="Normal"/>
    <w:uiPriority w:val="99"/>
    <w:rsid w:val="00F63FF4"/>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F63FF4"/>
    <w:pPr>
      <w:spacing w:before="120" w:after="120"/>
    </w:pPr>
    <w:rPr>
      <w:b/>
    </w:rPr>
  </w:style>
  <w:style w:type="character" w:styleId="FootnoteReference">
    <w:name w:val="footnote reference"/>
    <w:aliases w:val="o,fr,Style 3,Appel note de bas de p,(NECG) Footnote Reference,Style 17,FR,Style 12,Style 124"/>
    <w:basedOn w:val="DefaultParagraphFont"/>
    <w:rsid w:val="00F63FF4"/>
    <w:rPr>
      <w:rFonts w:cs="Times New Roman"/>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F63FF4"/>
    <w:pPr>
      <w:tabs>
        <w:tab w:val="left" w:pos="720"/>
      </w:tabs>
      <w:spacing w:after="200"/>
    </w:pPr>
  </w:style>
  <w:style w:type="character" w:customStyle="1" w:styleId="FootnoteTextChar">
    <w:name w:val="Footnote Text Char"/>
    <w:aliases w:val="Footnote Text Char2 Char Char1,Footnote Text Char3 Char Char Char1,Footnote Text Char2 Char Char Char Char1,Footnote Text Char Char Char1 Char Char Char Char1,Footnote Text Char1 Char1 Char Char Char Char1,fn Char1,f Char"/>
    <w:basedOn w:val="DefaultParagraphFont"/>
    <w:link w:val="FootnoteText"/>
    <w:uiPriority w:val="99"/>
    <w:semiHidden/>
    <w:rPr>
      <w:rFonts w:cs="Times New Roman"/>
      <w:sz w:val="24"/>
    </w:rPr>
  </w:style>
  <w:style w:type="paragraph" w:customStyle="1" w:styleId="NumberedList">
    <w:name w:val="Numbered List"/>
    <w:basedOn w:val="Normal"/>
    <w:uiPriority w:val="99"/>
    <w:rsid w:val="00F63FF4"/>
    <w:pPr>
      <w:numPr>
        <w:numId w:val="11"/>
      </w:numPr>
      <w:tabs>
        <w:tab w:val="clear" w:pos="1080"/>
      </w:tabs>
      <w:spacing w:after="220"/>
      <w:ind w:firstLine="0"/>
    </w:pPr>
  </w:style>
  <w:style w:type="paragraph" w:customStyle="1" w:styleId="Paranum">
    <w:name w:val="Paranum"/>
    <w:basedOn w:val="Normal"/>
    <w:uiPriority w:val="99"/>
    <w:rsid w:val="00F63FF4"/>
    <w:pPr>
      <w:widowControl w:val="0"/>
      <w:numPr>
        <w:numId w:val="12"/>
      </w:numPr>
      <w:tabs>
        <w:tab w:val="clear" w:pos="1080"/>
      </w:tabs>
      <w:spacing w:after="220"/>
      <w:jc w:val="both"/>
    </w:pPr>
  </w:style>
  <w:style w:type="paragraph" w:customStyle="1" w:styleId="TableFormat">
    <w:name w:val="Table Format"/>
    <w:basedOn w:val="Normal"/>
    <w:uiPriority w:val="99"/>
    <w:rsid w:val="00F63FF4"/>
    <w:pPr>
      <w:widowControl w:val="0"/>
      <w:tabs>
        <w:tab w:val="left" w:pos="5040"/>
      </w:tabs>
      <w:spacing w:after="220"/>
      <w:ind w:left="5040" w:hanging="3600"/>
      <w:jc w:val="both"/>
    </w:pPr>
  </w:style>
  <w:style w:type="paragraph" w:styleId="TOC1">
    <w:name w:val="toc 1"/>
    <w:basedOn w:val="Normal"/>
    <w:next w:val="Normal"/>
    <w:autoRedefine/>
    <w:uiPriority w:val="99"/>
    <w:semiHidden/>
    <w:rsid w:val="00F63FF4"/>
    <w:rPr>
      <w:caps/>
    </w:rPr>
  </w:style>
  <w:style w:type="character" w:styleId="FollowedHyperlink">
    <w:name w:val="FollowedHyperlink"/>
    <w:basedOn w:val="DefaultParagraphFont"/>
    <w:uiPriority w:val="99"/>
    <w:semiHidden/>
    <w:rsid w:val="00F63FF4"/>
    <w:rPr>
      <w:rFonts w:cs="Times New Roman"/>
      <w:color w:val="800080"/>
      <w:u w:val="single"/>
    </w:rPr>
  </w:style>
  <w:style w:type="paragraph" w:styleId="BalloonText">
    <w:name w:val="Balloon Text"/>
    <w:basedOn w:val="Normal"/>
    <w:link w:val="BalloonTextChar"/>
    <w:uiPriority w:val="99"/>
    <w:semiHidden/>
    <w:unhideWhenUsed/>
    <w:rsid w:val="00F012AB"/>
    <w:rPr>
      <w:rFonts w:ascii="Tahoma" w:hAnsi="Tahoma" w:cs="Tahoma"/>
      <w:sz w:val="16"/>
      <w:szCs w:val="16"/>
    </w:rPr>
  </w:style>
  <w:style w:type="character" w:customStyle="1" w:styleId="BalloonTextChar">
    <w:name w:val="Balloon Text Char"/>
    <w:basedOn w:val="DefaultParagraphFont"/>
    <w:link w:val="BalloonText"/>
    <w:uiPriority w:val="99"/>
    <w:semiHidden/>
    <w:rsid w:val="00F012AB"/>
    <w:rPr>
      <w:rFonts w:ascii="Tahoma" w:hAnsi="Tahoma" w:cs="Tahoma"/>
      <w:sz w:val="16"/>
      <w:szCs w:val="16"/>
    </w:rPr>
  </w:style>
  <w:style w:type="character" w:customStyle="1" w:styleId="Normal1">
    <w:name w:val="Normal1"/>
    <w:rsid w:val="00F012AB"/>
    <w:rPr>
      <w:rFonts w:ascii="Times New Roman" w:hAnsi="Times New Roman"/>
      <w:noProof w:val="0"/>
      <w:sz w:val="20"/>
      <w:lang w:val="en-US"/>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rsid w:val="00F012AB"/>
    <w:rPr>
      <w:rFonts w:ascii="Times New Roman" w:eastAsia="Times New Roman" w:hAnsi="Times New Roman" w:cs="Times New Roman"/>
      <w:snapToGrid w:val="0"/>
      <w:sz w:val="20"/>
      <w:szCs w:val="20"/>
    </w:rPr>
  </w:style>
  <w:style w:type="paragraph" w:styleId="BodyText">
    <w:name w:val="Body Text"/>
    <w:aliases w:val="b"/>
    <w:basedOn w:val="Normal"/>
    <w:link w:val="BodyTextChar"/>
    <w:rsid w:val="00F012AB"/>
    <w:pPr>
      <w:widowControl w:val="0"/>
      <w:spacing w:after="240"/>
      <w:ind w:firstLine="720"/>
    </w:pPr>
    <w:rPr>
      <w:snapToGrid w:val="0"/>
    </w:rPr>
  </w:style>
  <w:style w:type="character" w:customStyle="1" w:styleId="BodyTextChar">
    <w:name w:val="Body Text Char"/>
    <w:aliases w:val="b Char"/>
    <w:basedOn w:val="DefaultParagraphFont"/>
    <w:link w:val="BodyText"/>
    <w:rsid w:val="00F012AB"/>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qFormat="1"/>
    <w:lsdException w:name="footnote reference" w:uiPriority="0"/>
    <w:lsdException w:name="Title" w:semiHidden="0" w:uiPriority="1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F4"/>
    <w:rPr>
      <w:sz w:val="22"/>
    </w:rPr>
  </w:style>
  <w:style w:type="paragraph" w:styleId="Heading1">
    <w:name w:val="heading 1"/>
    <w:basedOn w:val="Normal"/>
    <w:next w:val="Normal"/>
    <w:link w:val="Heading1Char"/>
    <w:uiPriority w:val="99"/>
    <w:qFormat/>
    <w:rsid w:val="00F63FF4"/>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F63FF4"/>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F63FF4"/>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F63FF4"/>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F63FF4"/>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F63FF4"/>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F63FF4"/>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F63FF4"/>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F63FF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 w:type="character" w:customStyle="1" w:styleId="Heading3Char">
    <w:name w:val="Heading 3 Char"/>
    <w:basedOn w:val="DefaultParagraphFont"/>
    <w:link w:val="Heading3"/>
    <w:uiPriority w:val="99"/>
    <w:semiHidden/>
    <w:rPr>
      <w:rFonts w:ascii="Calibri" w:hAnsi="Calibri" w:cs="Times New Roman"/>
      <w:b/>
      <w:bCs/>
      <w:sz w:val="26"/>
    </w:rPr>
  </w:style>
  <w:style w:type="character" w:customStyle="1" w:styleId="Heading4Char">
    <w:name w:val="Heading 4 Char"/>
    <w:basedOn w:val="DefaultParagraphFont"/>
    <w:link w:val="Heading4"/>
    <w:uiPriority w:val="99"/>
    <w:semiHidden/>
    <w:rPr>
      <w:rFonts w:ascii="Cambria" w:hAnsi="Cambria" w:cs="Times New Roman"/>
      <w:b/>
      <w:bCs/>
      <w:sz w:val="28"/>
    </w:rPr>
  </w:style>
  <w:style w:type="character" w:customStyle="1" w:styleId="Heading5Char">
    <w:name w:val="Heading 5 Char"/>
    <w:basedOn w:val="DefaultParagraphFont"/>
    <w:link w:val="Heading5"/>
    <w:uiPriority w:val="99"/>
    <w:semiHidden/>
    <w:rPr>
      <w:rFonts w:ascii="Cambria" w:hAnsi="Cambria" w:cs="Times New Roman"/>
      <w:b/>
      <w:bCs/>
      <w:i/>
      <w:iCs/>
      <w:sz w:val="26"/>
    </w:rPr>
  </w:style>
  <w:style w:type="character" w:customStyle="1" w:styleId="Heading6Char">
    <w:name w:val="Heading 6 Char"/>
    <w:basedOn w:val="DefaultParagraphFont"/>
    <w:link w:val="Heading6"/>
    <w:uiPriority w:val="99"/>
    <w:semiHidden/>
    <w:rPr>
      <w:rFonts w:ascii="Cambria" w:hAnsi="Cambria" w:cs="Times New Roman"/>
      <w:b/>
      <w:bCs/>
      <w:sz w:val="22"/>
    </w:rPr>
  </w:style>
  <w:style w:type="character" w:customStyle="1" w:styleId="Heading7Char">
    <w:name w:val="Heading 7 Char"/>
    <w:basedOn w:val="DefaultParagraphFont"/>
    <w:link w:val="Heading7"/>
    <w:uiPriority w:val="99"/>
    <w:semiHidden/>
    <w:rPr>
      <w:rFonts w:ascii="Cambria" w:hAnsi="Cambria" w:cs="Times New Roman"/>
      <w:sz w:val="24"/>
    </w:rPr>
  </w:style>
  <w:style w:type="character" w:customStyle="1" w:styleId="Heading8Char">
    <w:name w:val="Heading 8 Char"/>
    <w:basedOn w:val="DefaultParagraphFont"/>
    <w:link w:val="Heading8"/>
    <w:uiPriority w:val="99"/>
    <w:semiHidden/>
    <w:rPr>
      <w:rFonts w:ascii="Cambria" w:hAnsi="Cambria" w:cs="Times New Roman"/>
      <w:i/>
      <w:iCs/>
      <w:sz w:val="24"/>
    </w:rPr>
  </w:style>
  <w:style w:type="character" w:customStyle="1" w:styleId="Heading9Char">
    <w:name w:val="Heading 9 Char"/>
    <w:basedOn w:val="DefaultParagraphFont"/>
    <w:link w:val="Heading9"/>
    <w:uiPriority w:val="99"/>
    <w:semiHidden/>
    <w:rPr>
      <w:rFonts w:ascii="Calibri" w:hAnsi="Calibri" w:cs="Times New Roman"/>
      <w:sz w:val="22"/>
    </w:rPr>
  </w:style>
  <w:style w:type="paragraph" w:styleId="Header">
    <w:name w:val="header"/>
    <w:basedOn w:val="Normal"/>
    <w:link w:val="HeaderChar"/>
    <w:uiPriority w:val="99"/>
    <w:semiHidden/>
    <w:rsid w:val="00F63FF4"/>
    <w:pPr>
      <w:tabs>
        <w:tab w:val="center" w:pos="4320"/>
        <w:tab w:val="right" w:pos="8640"/>
      </w:tabs>
    </w:pPr>
  </w:style>
  <w:style w:type="character" w:customStyle="1" w:styleId="HeaderChar">
    <w:name w:val="Header Char"/>
    <w:basedOn w:val="DefaultParagraphFont"/>
    <w:link w:val="Header"/>
    <w:uiPriority w:val="99"/>
    <w:semiHidden/>
    <w:rPr>
      <w:rFonts w:cs="Times New Roman"/>
      <w:sz w:val="22"/>
    </w:rPr>
  </w:style>
  <w:style w:type="paragraph" w:styleId="Footer">
    <w:name w:val="footer"/>
    <w:basedOn w:val="Normal"/>
    <w:link w:val="FooterChar"/>
    <w:uiPriority w:val="99"/>
    <w:semiHidden/>
    <w:rsid w:val="00F63FF4"/>
    <w:pPr>
      <w:tabs>
        <w:tab w:val="center" w:pos="4320"/>
        <w:tab w:val="right" w:pos="8640"/>
      </w:tabs>
    </w:pPr>
  </w:style>
  <w:style w:type="character" w:customStyle="1" w:styleId="FooterChar">
    <w:name w:val="Footer Char"/>
    <w:basedOn w:val="DefaultParagraphFont"/>
    <w:link w:val="Footer"/>
    <w:uiPriority w:val="99"/>
    <w:rsid w:val="00F15EC8"/>
    <w:rPr>
      <w:rFonts w:cs="Times New Roman"/>
      <w:sz w:val="22"/>
    </w:rPr>
  </w:style>
  <w:style w:type="character" w:styleId="Hyperlink">
    <w:name w:val="Hyperlink"/>
    <w:basedOn w:val="DefaultParagraphFont"/>
    <w:uiPriority w:val="99"/>
    <w:semiHidden/>
    <w:rsid w:val="00F63FF4"/>
    <w:rPr>
      <w:rFonts w:cs="Times New Roman"/>
      <w:color w:val="0000FF"/>
      <w:u w:val="single"/>
    </w:rPr>
  </w:style>
  <w:style w:type="paragraph" w:styleId="BlockText">
    <w:name w:val="Block Text"/>
    <w:basedOn w:val="Normal"/>
    <w:uiPriority w:val="99"/>
    <w:semiHidden/>
    <w:rsid w:val="00F63FF4"/>
    <w:pPr>
      <w:widowControl w:val="0"/>
      <w:spacing w:after="220"/>
      <w:ind w:left="1440" w:right="1440"/>
      <w:jc w:val="both"/>
    </w:pPr>
  </w:style>
  <w:style w:type="paragraph" w:customStyle="1" w:styleId="Bullet">
    <w:name w:val="Bullet"/>
    <w:basedOn w:val="Normal"/>
    <w:uiPriority w:val="99"/>
    <w:rsid w:val="00F63FF4"/>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F63FF4"/>
    <w:pPr>
      <w:spacing w:before="120" w:after="120"/>
    </w:pPr>
    <w:rPr>
      <w:b/>
    </w:rPr>
  </w:style>
  <w:style w:type="character" w:styleId="FootnoteReference">
    <w:name w:val="footnote reference"/>
    <w:aliases w:val="o,fr,Style 3,Appel note de bas de p,(NECG) Footnote Reference,Style 17,FR,Style 12,Style 124"/>
    <w:basedOn w:val="DefaultParagraphFont"/>
    <w:rsid w:val="00F63FF4"/>
    <w:rPr>
      <w:rFonts w:cs="Times New Roman"/>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F63FF4"/>
    <w:pPr>
      <w:tabs>
        <w:tab w:val="left" w:pos="720"/>
      </w:tabs>
      <w:spacing w:after="200"/>
    </w:pPr>
  </w:style>
  <w:style w:type="character" w:customStyle="1" w:styleId="FootnoteTextChar">
    <w:name w:val="Footnote Text Char"/>
    <w:aliases w:val="Footnote Text Char2 Char Char1,Footnote Text Char3 Char Char Char1,Footnote Text Char2 Char Char Char Char1,Footnote Text Char Char Char1 Char Char Char Char1,Footnote Text Char1 Char1 Char Char Char Char1,fn Char1,f Char"/>
    <w:basedOn w:val="DefaultParagraphFont"/>
    <w:link w:val="FootnoteText"/>
    <w:uiPriority w:val="99"/>
    <w:semiHidden/>
    <w:rPr>
      <w:rFonts w:cs="Times New Roman"/>
      <w:sz w:val="24"/>
    </w:rPr>
  </w:style>
  <w:style w:type="paragraph" w:customStyle="1" w:styleId="NumberedList">
    <w:name w:val="Numbered List"/>
    <w:basedOn w:val="Normal"/>
    <w:uiPriority w:val="99"/>
    <w:rsid w:val="00F63FF4"/>
    <w:pPr>
      <w:numPr>
        <w:numId w:val="11"/>
      </w:numPr>
      <w:tabs>
        <w:tab w:val="clear" w:pos="1080"/>
      </w:tabs>
      <w:spacing w:after="220"/>
      <w:ind w:firstLine="0"/>
    </w:pPr>
  </w:style>
  <w:style w:type="paragraph" w:customStyle="1" w:styleId="Paranum">
    <w:name w:val="Paranum"/>
    <w:basedOn w:val="Normal"/>
    <w:uiPriority w:val="99"/>
    <w:rsid w:val="00F63FF4"/>
    <w:pPr>
      <w:widowControl w:val="0"/>
      <w:numPr>
        <w:numId w:val="12"/>
      </w:numPr>
      <w:tabs>
        <w:tab w:val="clear" w:pos="1080"/>
      </w:tabs>
      <w:spacing w:after="220"/>
      <w:jc w:val="both"/>
    </w:pPr>
  </w:style>
  <w:style w:type="paragraph" w:customStyle="1" w:styleId="TableFormat">
    <w:name w:val="Table Format"/>
    <w:basedOn w:val="Normal"/>
    <w:uiPriority w:val="99"/>
    <w:rsid w:val="00F63FF4"/>
    <w:pPr>
      <w:widowControl w:val="0"/>
      <w:tabs>
        <w:tab w:val="left" w:pos="5040"/>
      </w:tabs>
      <w:spacing w:after="220"/>
      <w:ind w:left="5040" w:hanging="3600"/>
      <w:jc w:val="both"/>
    </w:pPr>
  </w:style>
  <w:style w:type="paragraph" w:styleId="TOC1">
    <w:name w:val="toc 1"/>
    <w:basedOn w:val="Normal"/>
    <w:next w:val="Normal"/>
    <w:autoRedefine/>
    <w:uiPriority w:val="99"/>
    <w:semiHidden/>
    <w:rsid w:val="00F63FF4"/>
    <w:rPr>
      <w:caps/>
    </w:rPr>
  </w:style>
  <w:style w:type="character" w:styleId="FollowedHyperlink">
    <w:name w:val="FollowedHyperlink"/>
    <w:basedOn w:val="DefaultParagraphFont"/>
    <w:uiPriority w:val="99"/>
    <w:semiHidden/>
    <w:rsid w:val="00F63FF4"/>
    <w:rPr>
      <w:rFonts w:cs="Times New Roman"/>
      <w:color w:val="800080"/>
      <w:u w:val="single"/>
    </w:rPr>
  </w:style>
  <w:style w:type="paragraph" w:styleId="BalloonText">
    <w:name w:val="Balloon Text"/>
    <w:basedOn w:val="Normal"/>
    <w:link w:val="BalloonTextChar"/>
    <w:uiPriority w:val="99"/>
    <w:semiHidden/>
    <w:unhideWhenUsed/>
    <w:rsid w:val="00F012AB"/>
    <w:rPr>
      <w:rFonts w:ascii="Tahoma" w:hAnsi="Tahoma" w:cs="Tahoma"/>
      <w:sz w:val="16"/>
      <w:szCs w:val="16"/>
    </w:rPr>
  </w:style>
  <w:style w:type="character" w:customStyle="1" w:styleId="BalloonTextChar">
    <w:name w:val="Balloon Text Char"/>
    <w:basedOn w:val="DefaultParagraphFont"/>
    <w:link w:val="BalloonText"/>
    <w:uiPriority w:val="99"/>
    <w:semiHidden/>
    <w:rsid w:val="00F012AB"/>
    <w:rPr>
      <w:rFonts w:ascii="Tahoma" w:hAnsi="Tahoma" w:cs="Tahoma"/>
      <w:sz w:val="16"/>
      <w:szCs w:val="16"/>
    </w:rPr>
  </w:style>
  <w:style w:type="character" w:customStyle="1" w:styleId="Normal1">
    <w:name w:val="Normal1"/>
    <w:rsid w:val="00F012AB"/>
    <w:rPr>
      <w:rFonts w:ascii="Times New Roman" w:hAnsi="Times New Roman"/>
      <w:noProof w:val="0"/>
      <w:sz w:val="20"/>
      <w:lang w:val="en-US"/>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rsid w:val="00F012AB"/>
    <w:rPr>
      <w:rFonts w:ascii="Times New Roman" w:eastAsia="Times New Roman" w:hAnsi="Times New Roman" w:cs="Times New Roman"/>
      <w:snapToGrid w:val="0"/>
      <w:sz w:val="20"/>
      <w:szCs w:val="20"/>
    </w:rPr>
  </w:style>
  <w:style w:type="paragraph" w:styleId="BodyText">
    <w:name w:val="Body Text"/>
    <w:aliases w:val="b"/>
    <w:basedOn w:val="Normal"/>
    <w:link w:val="BodyTextChar"/>
    <w:rsid w:val="00F012AB"/>
    <w:pPr>
      <w:widowControl w:val="0"/>
      <w:spacing w:after="240"/>
      <w:ind w:firstLine="720"/>
    </w:pPr>
    <w:rPr>
      <w:snapToGrid w:val="0"/>
    </w:rPr>
  </w:style>
  <w:style w:type="character" w:customStyle="1" w:styleId="BodyTextChar">
    <w:name w:val="Body Text Char"/>
    <w:aliases w:val="b Char"/>
    <w:basedOn w:val="DefaultParagraphFont"/>
    <w:link w:val="BodyText"/>
    <w:rsid w:val="00F012AB"/>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ristine.goepp@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sa.scanla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eter.doyle@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9146</Characters>
  <Application>Microsoft Office Word</Application>
  <DocSecurity>0</DocSecurity>
  <Lines>143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2013-09-18T12:17:00Z</cp:lastPrinted>
  <dcterms:created xsi:type="dcterms:W3CDTF">2014-07-29T13:35:00Z</dcterms:created>
  <dcterms:modified xsi:type="dcterms:W3CDTF">2014-07-29T13:35:00Z</dcterms:modified>
  <cp:category> </cp:category>
  <cp:contentStatus> </cp:contentStatus>
</cp:coreProperties>
</file>