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D4" w:rsidRDefault="00C519D4">
      <w:pPr>
        <w:widowControl/>
        <w:rPr>
          <w:color w:val="000000"/>
          <w:sz w:val="23"/>
        </w:rPr>
        <w:sectPr w:rsidR="00C519D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C519D4" w:rsidRPr="00C63F47" w:rsidRDefault="00C519D4">
      <w:pPr>
        <w:widowControl/>
        <w:suppressAutoHyphens/>
        <w:jc w:val="right"/>
        <w:rPr>
          <w:b/>
          <w:color w:val="000000"/>
          <w:szCs w:val="22"/>
        </w:rPr>
      </w:pPr>
      <w:r w:rsidRPr="00C63F47">
        <w:rPr>
          <w:b/>
          <w:color w:val="000000"/>
          <w:szCs w:val="22"/>
        </w:rPr>
        <w:lastRenderedPageBreak/>
        <w:t>DA 1</w:t>
      </w:r>
      <w:r w:rsidR="00662087" w:rsidRPr="00C63F47">
        <w:rPr>
          <w:b/>
          <w:color w:val="000000"/>
          <w:szCs w:val="22"/>
        </w:rPr>
        <w:t>4</w:t>
      </w:r>
      <w:r w:rsidRPr="00C63F47">
        <w:rPr>
          <w:b/>
          <w:color w:val="000000"/>
          <w:szCs w:val="22"/>
        </w:rPr>
        <w:t>-</w:t>
      </w:r>
      <w:r w:rsidR="007C516C">
        <w:rPr>
          <w:b/>
          <w:color w:val="000000"/>
          <w:szCs w:val="22"/>
        </w:rPr>
        <w:t>1020</w:t>
      </w:r>
    </w:p>
    <w:p w:rsidR="00C519D4" w:rsidRPr="00C63F47" w:rsidRDefault="00C519D4">
      <w:pPr>
        <w:widowControl/>
        <w:suppressAutoHyphens/>
        <w:spacing w:after="240"/>
        <w:jc w:val="right"/>
        <w:rPr>
          <w:b/>
          <w:color w:val="000000"/>
          <w:szCs w:val="22"/>
        </w:rPr>
      </w:pPr>
      <w:r w:rsidRPr="00C63F47">
        <w:rPr>
          <w:b/>
          <w:color w:val="000000"/>
          <w:szCs w:val="22"/>
        </w:rPr>
        <w:t xml:space="preserve">Released:  </w:t>
      </w:r>
      <w:r w:rsidR="00C627C4" w:rsidRPr="00C63F47">
        <w:rPr>
          <w:b/>
          <w:color w:val="000000"/>
          <w:szCs w:val="22"/>
        </w:rPr>
        <w:t>July 18</w:t>
      </w:r>
      <w:r w:rsidRPr="00C63F47">
        <w:rPr>
          <w:b/>
          <w:color w:val="000000"/>
          <w:szCs w:val="22"/>
        </w:rPr>
        <w:t>, 201</w:t>
      </w:r>
      <w:r w:rsidR="00662087" w:rsidRPr="00C63F47">
        <w:rPr>
          <w:b/>
          <w:color w:val="000000"/>
          <w:szCs w:val="22"/>
        </w:rPr>
        <w:t>4</w:t>
      </w:r>
    </w:p>
    <w:p w:rsidR="0011184A" w:rsidRPr="00C63F47" w:rsidRDefault="00AD15CC" w:rsidP="00FA022E">
      <w:pPr>
        <w:widowControl/>
        <w:suppressAutoHyphens/>
        <w:jc w:val="center"/>
        <w:rPr>
          <w:b/>
          <w:szCs w:val="22"/>
        </w:rPr>
      </w:pPr>
      <w:r w:rsidRPr="00C63F47">
        <w:rPr>
          <w:b/>
          <w:szCs w:val="22"/>
        </w:rPr>
        <w:t xml:space="preserve">DOMESTIC SECTION 214 </w:t>
      </w:r>
      <w:r w:rsidR="009228DB" w:rsidRPr="00C63F47">
        <w:rPr>
          <w:b/>
          <w:szCs w:val="22"/>
        </w:rPr>
        <w:t>APPLICATION</w:t>
      </w:r>
      <w:r w:rsidR="003B0DA1" w:rsidRPr="00C63F47">
        <w:rPr>
          <w:b/>
          <w:szCs w:val="22"/>
        </w:rPr>
        <w:t xml:space="preserve"> </w:t>
      </w:r>
      <w:r w:rsidR="00516A52" w:rsidRPr="00C63F47">
        <w:rPr>
          <w:b/>
          <w:szCs w:val="22"/>
        </w:rPr>
        <w:t>GRANTED</w:t>
      </w:r>
      <w:r w:rsidR="003B0DA1" w:rsidRPr="00C63F47">
        <w:rPr>
          <w:b/>
          <w:szCs w:val="22"/>
        </w:rPr>
        <w:t xml:space="preserve"> </w:t>
      </w:r>
      <w:r w:rsidR="00FA022E" w:rsidRPr="00C63F47">
        <w:rPr>
          <w:b/>
          <w:szCs w:val="22"/>
        </w:rPr>
        <w:t xml:space="preserve">FOR THE TRANSFER OF CONTROL OF </w:t>
      </w:r>
      <w:r w:rsidR="003F5BDA" w:rsidRPr="00C63F47">
        <w:rPr>
          <w:b/>
          <w:szCs w:val="22"/>
        </w:rPr>
        <w:t xml:space="preserve">PRIMUS TELECOMMUNICATIONS, INC. TO PTUS, INC. </w:t>
      </w:r>
    </w:p>
    <w:p w:rsidR="00C519D4" w:rsidRPr="00C63F47" w:rsidRDefault="00C519D4">
      <w:pPr>
        <w:widowControl/>
        <w:suppressAutoHyphens/>
        <w:jc w:val="center"/>
        <w:rPr>
          <w:b/>
          <w:color w:val="000000"/>
          <w:szCs w:val="22"/>
        </w:rPr>
      </w:pPr>
    </w:p>
    <w:p w:rsidR="00E00BB1" w:rsidRPr="00C63F47" w:rsidRDefault="00C519D4" w:rsidP="002031AA">
      <w:pPr>
        <w:widowControl/>
        <w:suppressAutoHyphens/>
        <w:spacing w:after="240"/>
        <w:jc w:val="center"/>
        <w:rPr>
          <w:rFonts w:ascii="Arial" w:hAnsi="Arial" w:cs="Arial"/>
          <w:snapToGrid/>
          <w:kern w:val="0"/>
          <w:szCs w:val="22"/>
        </w:rPr>
      </w:pPr>
      <w:r w:rsidRPr="00C63F47">
        <w:rPr>
          <w:b/>
          <w:color w:val="000000"/>
          <w:szCs w:val="22"/>
        </w:rPr>
        <w:t>WC Docket No. 1</w:t>
      </w:r>
      <w:r w:rsidR="003F5BDA" w:rsidRPr="00C63F47">
        <w:rPr>
          <w:b/>
          <w:color w:val="000000"/>
          <w:szCs w:val="22"/>
        </w:rPr>
        <w:t>3-145</w:t>
      </w:r>
    </w:p>
    <w:p w:rsidR="00C627C4" w:rsidRDefault="00C627C4" w:rsidP="00C627C4">
      <w:pPr>
        <w:widowControl/>
        <w:autoSpaceDE w:val="0"/>
        <w:autoSpaceDN w:val="0"/>
        <w:adjustRightInd w:val="0"/>
        <w:ind w:firstLine="720"/>
        <w:jc w:val="left"/>
        <w:rPr>
          <w:snapToGrid/>
          <w:kern w:val="0"/>
          <w:szCs w:val="22"/>
        </w:rPr>
      </w:pPr>
      <w:r w:rsidRPr="00C627C4">
        <w:rPr>
          <w:snapToGrid/>
          <w:kern w:val="0"/>
          <w:szCs w:val="22"/>
        </w:rPr>
        <w:t>On June 5, 2013, Primus Telecommunications Group, Incorporated (PTGI), Primus Telecommunications, Inc. (PTI), and PTUS, Inc. (PTUS) (collectively, Applicants) filed an application pursuant to section 63.03 of the Commission’s rules to transfer control of PTI from PTGI to PTUS.</w:t>
      </w:r>
      <w:r w:rsidR="00561368">
        <w:rPr>
          <w:rStyle w:val="FootnoteReference"/>
          <w:snapToGrid/>
          <w:kern w:val="0"/>
          <w:szCs w:val="22"/>
        </w:rPr>
        <w:footnoteReference w:id="1"/>
      </w:r>
    </w:p>
    <w:p w:rsidR="00FA022E" w:rsidRPr="00C627C4" w:rsidRDefault="00FA022E" w:rsidP="00C627C4">
      <w:pPr>
        <w:widowControl/>
        <w:autoSpaceDE w:val="0"/>
        <w:autoSpaceDN w:val="0"/>
        <w:adjustRightInd w:val="0"/>
        <w:ind w:firstLine="720"/>
        <w:jc w:val="left"/>
        <w:rPr>
          <w:snapToGrid/>
          <w:kern w:val="0"/>
          <w:szCs w:val="22"/>
        </w:rPr>
      </w:pPr>
    </w:p>
    <w:p w:rsidR="00C519D4" w:rsidRDefault="00C627C4" w:rsidP="00FA022E">
      <w:pPr>
        <w:autoSpaceDE w:val="0"/>
        <w:autoSpaceDN w:val="0"/>
        <w:adjustRightInd w:val="0"/>
        <w:ind w:firstLine="720"/>
        <w:jc w:val="left"/>
      </w:pPr>
      <w:r w:rsidRPr="00C627C4">
        <w:rPr>
          <w:snapToGrid/>
          <w:kern w:val="0"/>
          <w:szCs w:val="22"/>
        </w:rPr>
        <w:t xml:space="preserve">PTI provides telecommunications services in 49 states (every state except Alaska), the District of Columbia, and the Commonwealth of Puerto Rico.  PTI, a Delaware corporation, is a wholly owned subsidiary of Primus Telecommunications Holdings, Inc., which is, in turn, wholly owned by PTGI. </w:t>
      </w:r>
      <w:r w:rsidR="009C18B5">
        <w:rPr>
          <w:snapToGrid/>
          <w:kern w:val="0"/>
          <w:szCs w:val="22"/>
        </w:rPr>
        <w:t xml:space="preserve"> </w:t>
      </w:r>
      <w:r w:rsidR="009C18B5">
        <w:rPr>
          <w:szCs w:val="22"/>
        </w:rPr>
        <w:t>PTUS does currently provide telecommunications services.</w:t>
      </w:r>
      <w:r w:rsidR="00561368" w:rsidRPr="00561368">
        <w:rPr>
          <w:snapToGrid/>
          <w:kern w:val="0"/>
          <w:szCs w:val="22"/>
          <w:vertAlign w:val="superscript"/>
        </w:rPr>
        <w:t xml:space="preserve"> </w:t>
      </w:r>
      <w:r w:rsidR="00561368" w:rsidRPr="00C627C4">
        <w:rPr>
          <w:snapToGrid/>
          <w:kern w:val="0"/>
          <w:szCs w:val="22"/>
          <w:vertAlign w:val="superscript"/>
        </w:rPr>
        <w:footnoteReference w:id="2"/>
      </w:r>
      <w:r w:rsidR="009C18B5">
        <w:rPr>
          <w:szCs w:val="22"/>
        </w:rPr>
        <w:t xml:space="preserve">  </w:t>
      </w:r>
      <w:r w:rsidR="00431FEE">
        <w:t>The Wireline Com</w:t>
      </w:r>
      <w:r w:rsidR="009228DB">
        <w:t>petition Bureau (</w:t>
      </w:r>
      <w:r w:rsidR="00431FEE">
        <w:t>B</w:t>
      </w:r>
      <w:r w:rsidR="009228DB">
        <w:t>ureau</w:t>
      </w:r>
      <w:r w:rsidR="00431FEE">
        <w:t>) ha</w:t>
      </w:r>
      <w:r w:rsidR="008926F3">
        <w:t>s determined that grant of the Application</w:t>
      </w:r>
      <w:r w:rsidR="00431FEE">
        <w:t xml:space="preserve">, as conditioned, serves the public interest, </w:t>
      </w:r>
      <w:r w:rsidR="00B90FC6">
        <w:t>and accordingly the Application is</w:t>
      </w:r>
      <w:r w:rsidR="00431FEE">
        <w:t xml:space="preserve"> granted with the conditions stated herein.</w:t>
      </w:r>
    </w:p>
    <w:p w:rsidR="008926F3" w:rsidRPr="008926F3" w:rsidRDefault="008926F3" w:rsidP="008926F3">
      <w:pPr>
        <w:autoSpaceDE w:val="0"/>
        <w:autoSpaceDN w:val="0"/>
        <w:adjustRightInd w:val="0"/>
        <w:ind w:firstLine="720"/>
      </w:pPr>
    </w:p>
    <w:p w:rsidR="000F6F61" w:rsidRDefault="009C18B5" w:rsidP="00B07540">
      <w:pPr>
        <w:ind w:firstLine="720"/>
        <w:jc w:val="left"/>
        <w:rPr>
          <w:szCs w:val="22"/>
        </w:rPr>
      </w:pPr>
      <w:r w:rsidRPr="009C18B5">
        <w:rPr>
          <w:snapToGrid/>
          <w:kern w:val="0"/>
        </w:rPr>
        <w:t xml:space="preserve">On June 28, 2013, the Department of Justice, including the Federal Bureau of Investigation, with the concurrence of the Department of Homeland Security </w:t>
      </w:r>
      <w:r w:rsidRPr="009C18B5">
        <w:rPr>
          <w:snapToGrid/>
          <w:kern w:val="0"/>
          <w:szCs w:val="24"/>
        </w:rPr>
        <w:t>(collectively, the Executive Branch Agencies)</w:t>
      </w:r>
      <w:r w:rsidRPr="009C18B5">
        <w:rPr>
          <w:snapToGrid/>
          <w:kern w:val="0"/>
        </w:rPr>
        <w:t>, filed a letter requesting that the Commission defer action</w:t>
      </w:r>
      <w:r w:rsidRPr="009C18B5">
        <w:rPr>
          <w:snapToGrid/>
          <w:kern w:val="0"/>
          <w:szCs w:val="24"/>
        </w:rPr>
        <w:t xml:space="preserve"> on this </w:t>
      </w:r>
      <w:r w:rsidR="00561368">
        <w:rPr>
          <w:snapToGrid/>
          <w:kern w:val="0"/>
          <w:szCs w:val="24"/>
        </w:rPr>
        <w:t>A</w:t>
      </w:r>
      <w:r w:rsidRPr="009C18B5">
        <w:rPr>
          <w:snapToGrid/>
          <w:kern w:val="0"/>
          <w:szCs w:val="24"/>
        </w:rPr>
        <w:t>pplication while they review</w:t>
      </w:r>
      <w:r w:rsidR="003F5BDA">
        <w:rPr>
          <w:snapToGrid/>
          <w:kern w:val="0"/>
          <w:szCs w:val="24"/>
        </w:rPr>
        <w:t>ed</w:t>
      </w:r>
      <w:r w:rsidRPr="009C18B5">
        <w:rPr>
          <w:snapToGrid/>
          <w:kern w:val="0"/>
          <w:szCs w:val="24"/>
        </w:rPr>
        <w:t xml:space="preserve"> potential national security, law enforcement, and public safety issues</w:t>
      </w:r>
      <w:r w:rsidRPr="009C18B5">
        <w:rPr>
          <w:snapToGrid/>
          <w:kern w:val="0"/>
        </w:rPr>
        <w:t>.</w:t>
      </w:r>
      <w:r w:rsidRPr="009C18B5">
        <w:rPr>
          <w:snapToGrid/>
          <w:kern w:val="0"/>
          <w:vertAlign w:val="superscript"/>
        </w:rPr>
        <w:footnoteReference w:id="3"/>
      </w:r>
      <w:r>
        <w:rPr>
          <w:snapToGrid/>
          <w:kern w:val="0"/>
        </w:rPr>
        <w:t xml:space="preserve">  </w:t>
      </w:r>
      <w:r w:rsidR="00613D3A">
        <w:rPr>
          <w:snapToGrid/>
          <w:kern w:val="0"/>
        </w:rPr>
        <w:t>I</w:t>
      </w:r>
      <w:r w:rsidR="003F5BDA">
        <w:rPr>
          <w:snapToGrid/>
          <w:kern w:val="0"/>
        </w:rPr>
        <w:t>n</w:t>
      </w:r>
      <w:r w:rsidR="00613D3A">
        <w:rPr>
          <w:snapToGrid/>
          <w:kern w:val="0"/>
        </w:rPr>
        <w:t xml:space="preserve"> response to the</w:t>
      </w:r>
      <w:r w:rsidR="003F5BDA">
        <w:rPr>
          <w:snapToGrid/>
          <w:kern w:val="0"/>
        </w:rPr>
        <w:t xml:space="preserve"> </w:t>
      </w:r>
      <w:r w:rsidR="00613D3A">
        <w:rPr>
          <w:snapToGrid/>
          <w:kern w:val="0"/>
        </w:rPr>
        <w:t xml:space="preserve">request, the Bureau removed the </w:t>
      </w:r>
      <w:r w:rsidR="00561368">
        <w:rPr>
          <w:snapToGrid/>
          <w:kern w:val="0"/>
        </w:rPr>
        <w:t>A</w:t>
      </w:r>
      <w:r w:rsidR="00613D3A">
        <w:rPr>
          <w:snapToGrid/>
          <w:kern w:val="0"/>
        </w:rPr>
        <w:t>pplication from streamlined review.</w:t>
      </w:r>
      <w:r w:rsidR="00613D3A">
        <w:rPr>
          <w:rStyle w:val="FootnoteReference"/>
          <w:snapToGrid/>
          <w:kern w:val="0"/>
        </w:rPr>
        <w:footnoteReference w:id="4"/>
      </w:r>
      <w:r w:rsidR="00613D3A">
        <w:rPr>
          <w:snapToGrid/>
          <w:kern w:val="0"/>
        </w:rPr>
        <w:t xml:space="preserve">  </w:t>
      </w:r>
      <w:r w:rsidR="003F5BDA">
        <w:rPr>
          <w:snapToGrid/>
          <w:kern w:val="0"/>
        </w:rPr>
        <w:t xml:space="preserve">On July 17, 2014, the </w:t>
      </w:r>
      <w:r w:rsidR="001E2194" w:rsidRPr="001D4F8C">
        <w:rPr>
          <w:szCs w:val="22"/>
        </w:rPr>
        <w:t>Executive Branch Agencies advise</w:t>
      </w:r>
      <w:r w:rsidR="003F5BDA">
        <w:rPr>
          <w:szCs w:val="22"/>
        </w:rPr>
        <w:t>d</w:t>
      </w:r>
      <w:r w:rsidR="001E2194" w:rsidRPr="001D4F8C">
        <w:rPr>
          <w:szCs w:val="22"/>
        </w:rPr>
        <w:t xml:space="preserve"> the Commission that they have no objection to the Commission granting its consent in this proceeding, provided the Commission conditions </w:t>
      </w:r>
      <w:r w:rsidR="003F5BDA">
        <w:rPr>
          <w:szCs w:val="22"/>
        </w:rPr>
        <w:t>its approval on the assurance of PTUS</w:t>
      </w:r>
      <w:r w:rsidR="00280C79">
        <w:rPr>
          <w:szCs w:val="22"/>
        </w:rPr>
        <w:t xml:space="preserve"> </w:t>
      </w:r>
      <w:r w:rsidR="00B90FC6">
        <w:rPr>
          <w:szCs w:val="22"/>
        </w:rPr>
        <w:t xml:space="preserve">to abide by </w:t>
      </w:r>
      <w:r w:rsidR="001E2194" w:rsidRPr="001D4F8C">
        <w:rPr>
          <w:szCs w:val="22"/>
        </w:rPr>
        <w:t xml:space="preserve">the </w:t>
      </w:r>
      <w:r w:rsidR="003F5BDA">
        <w:rPr>
          <w:szCs w:val="22"/>
        </w:rPr>
        <w:t xml:space="preserve">July 16, 2014 </w:t>
      </w:r>
      <w:r w:rsidR="001E0491">
        <w:rPr>
          <w:szCs w:val="22"/>
        </w:rPr>
        <w:t>Letter of Assurances (</w:t>
      </w:r>
      <w:r w:rsidR="00B90FC6">
        <w:rPr>
          <w:szCs w:val="22"/>
        </w:rPr>
        <w:t>L</w:t>
      </w:r>
      <w:r w:rsidR="001E0491">
        <w:rPr>
          <w:szCs w:val="22"/>
        </w:rPr>
        <w:t>etter of Assurances</w:t>
      </w:r>
      <w:r w:rsidR="00B90FC6">
        <w:rPr>
          <w:szCs w:val="22"/>
        </w:rPr>
        <w:t xml:space="preserve">) </w:t>
      </w:r>
      <w:r w:rsidR="00BD28C4">
        <w:rPr>
          <w:szCs w:val="22"/>
        </w:rPr>
        <w:t xml:space="preserve">that addresses national security, law </w:t>
      </w:r>
      <w:r w:rsidR="00BD28C4">
        <w:rPr>
          <w:szCs w:val="22"/>
        </w:rPr>
        <w:lastRenderedPageBreak/>
        <w:t>enforcement, and public safety concerns</w:t>
      </w:r>
      <w:r w:rsidR="001E2194" w:rsidRPr="001D4F8C">
        <w:rPr>
          <w:szCs w:val="22"/>
        </w:rPr>
        <w:t>.</w:t>
      </w:r>
      <w:r w:rsidR="001E2194" w:rsidRPr="001D4F8C">
        <w:rPr>
          <w:rStyle w:val="FootnoteReference"/>
          <w:szCs w:val="22"/>
        </w:rPr>
        <w:footnoteReference w:id="5"/>
      </w:r>
      <w:r w:rsidR="001E2194" w:rsidRPr="001D4F8C">
        <w:rPr>
          <w:szCs w:val="22"/>
        </w:rPr>
        <w:t xml:space="preserve">  The Executive Branch Agencies filed the </w:t>
      </w:r>
      <w:r w:rsidR="001E0491">
        <w:rPr>
          <w:szCs w:val="22"/>
        </w:rPr>
        <w:t>Letter of Assurances</w:t>
      </w:r>
      <w:r w:rsidR="001E2194" w:rsidRPr="001D4F8C">
        <w:rPr>
          <w:szCs w:val="22"/>
        </w:rPr>
        <w:t xml:space="preserve"> in WC Docket No. 1</w:t>
      </w:r>
      <w:r w:rsidR="003F5BDA">
        <w:rPr>
          <w:szCs w:val="22"/>
        </w:rPr>
        <w:t>3-145</w:t>
      </w:r>
      <w:r w:rsidR="001E2194" w:rsidRPr="001D4F8C">
        <w:rPr>
          <w:szCs w:val="22"/>
        </w:rPr>
        <w:t xml:space="preserve"> on </w:t>
      </w:r>
      <w:r w:rsidR="003F5BDA">
        <w:rPr>
          <w:szCs w:val="22"/>
        </w:rPr>
        <w:t>July 1</w:t>
      </w:r>
      <w:r w:rsidR="00561368">
        <w:rPr>
          <w:szCs w:val="22"/>
        </w:rPr>
        <w:t>7</w:t>
      </w:r>
      <w:r w:rsidR="003F5BDA">
        <w:rPr>
          <w:szCs w:val="22"/>
        </w:rPr>
        <w:t>, 2014</w:t>
      </w:r>
      <w:r w:rsidR="001E2194">
        <w:rPr>
          <w:szCs w:val="22"/>
        </w:rPr>
        <w:t>.</w:t>
      </w:r>
      <w:r w:rsidR="00BD28C4" w:rsidRPr="001D3B79">
        <w:rPr>
          <w:rStyle w:val="FootnoteReference"/>
          <w:szCs w:val="22"/>
        </w:rPr>
        <w:footnoteReference w:id="6"/>
      </w:r>
      <w:r w:rsidR="001E2194" w:rsidRPr="00890BF0">
        <w:rPr>
          <w:szCs w:val="22"/>
        </w:rPr>
        <w:t xml:space="preserve"> </w:t>
      </w:r>
      <w:r w:rsidR="001E2194">
        <w:rPr>
          <w:szCs w:val="22"/>
        </w:rPr>
        <w:t xml:space="preserve"> </w:t>
      </w:r>
    </w:p>
    <w:p w:rsidR="001D3B79" w:rsidRPr="001D3B79" w:rsidRDefault="001D3B79">
      <w:pPr>
        <w:ind w:firstLine="720"/>
        <w:jc w:val="left"/>
        <w:rPr>
          <w:color w:val="000000"/>
          <w:szCs w:val="22"/>
        </w:rPr>
      </w:pPr>
    </w:p>
    <w:p w:rsidR="005D65C6" w:rsidRDefault="005D65C6" w:rsidP="005D65C6">
      <w:pPr>
        <w:ind w:firstLine="720"/>
        <w:jc w:val="left"/>
        <w:rPr>
          <w:color w:val="000000"/>
          <w:szCs w:val="22"/>
        </w:rPr>
      </w:pPr>
      <w:bookmarkStart w:id="1" w:name="FN[FN8]"/>
      <w:bookmarkStart w:id="2" w:name="sp_999_1"/>
      <w:bookmarkStart w:id="3" w:name="SDU_1"/>
      <w:bookmarkStart w:id="4" w:name="SearchTerm"/>
      <w:bookmarkEnd w:id="1"/>
      <w:bookmarkEnd w:id="2"/>
      <w:bookmarkEnd w:id="3"/>
      <w:r w:rsidRPr="001D3B79">
        <w:rPr>
          <w:color w:val="000000"/>
          <w:szCs w:val="22"/>
        </w:rPr>
        <w:t>Consistent with Commission precedent, the Bureau</w:t>
      </w:r>
      <w:r>
        <w:rPr>
          <w:color w:val="000000"/>
          <w:szCs w:val="22"/>
        </w:rPr>
        <w:t xml:space="preserve"> accord</w:t>
      </w:r>
      <w:r w:rsidR="009228DB">
        <w:rPr>
          <w:color w:val="000000"/>
          <w:szCs w:val="22"/>
        </w:rPr>
        <w:t>s</w:t>
      </w:r>
      <w:r>
        <w:rPr>
          <w:color w:val="000000"/>
          <w:szCs w:val="22"/>
        </w:rPr>
        <w:t xml:space="preserve"> </w:t>
      </w:r>
      <w:r w:rsidRPr="001D3B79">
        <w:rPr>
          <w:color w:val="000000"/>
          <w:szCs w:val="22"/>
        </w:rPr>
        <w:t>the appropriate level of deference to the Executive Branch Agencies' expertise on national security and law enforcement issues</w:t>
      </w:r>
      <w:bookmarkStart w:id="5" w:name="FN[FN9]"/>
      <w:bookmarkEnd w:id="5"/>
      <w:r w:rsidR="00A053DD">
        <w:rPr>
          <w:color w:val="000000"/>
          <w:szCs w:val="22"/>
        </w:rPr>
        <w:t>.</w:t>
      </w:r>
      <w:r w:rsidRPr="001D3B79">
        <w:rPr>
          <w:rStyle w:val="FootnoteReference"/>
          <w:szCs w:val="22"/>
        </w:rPr>
        <w:t xml:space="preserve"> </w:t>
      </w:r>
      <w:r w:rsidRPr="001D3B79">
        <w:rPr>
          <w:rStyle w:val="FootnoteReference"/>
          <w:szCs w:val="22"/>
        </w:rPr>
        <w:footnoteReference w:id="7"/>
      </w:r>
      <w:r>
        <w:rPr>
          <w:rStyle w:val="FootnoteReference"/>
          <w:szCs w:val="22"/>
        </w:rPr>
        <w:t xml:space="preserve"> </w:t>
      </w:r>
      <w:r w:rsidR="00A053DD">
        <w:rPr>
          <w:rStyle w:val="FootnoteReference"/>
          <w:szCs w:val="22"/>
        </w:rPr>
        <w:t xml:space="preserve"> </w:t>
      </w:r>
      <w:r w:rsidR="001313DF">
        <w:rPr>
          <w:szCs w:val="22"/>
        </w:rPr>
        <w:t>T</w:t>
      </w:r>
      <w:r w:rsidR="001313DF" w:rsidRPr="001D3B79">
        <w:rPr>
          <w:color w:val="000000"/>
          <w:szCs w:val="22"/>
        </w:rPr>
        <w:t>he Bureau</w:t>
      </w:r>
      <w:r w:rsidR="001313DF">
        <w:rPr>
          <w:color w:val="000000"/>
          <w:szCs w:val="22"/>
        </w:rPr>
        <w:t xml:space="preserve"> finds</w:t>
      </w:r>
      <w:r w:rsidR="001313DF" w:rsidRPr="001D3B79">
        <w:rPr>
          <w:color w:val="000000"/>
          <w:szCs w:val="22"/>
        </w:rPr>
        <w:t>, upon consideration of</w:t>
      </w:r>
      <w:r w:rsidR="001313DF">
        <w:rPr>
          <w:color w:val="000000"/>
          <w:szCs w:val="22"/>
        </w:rPr>
        <w:t xml:space="preserve"> the record, that grant of the A</w:t>
      </w:r>
      <w:r w:rsidR="001313DF" w:rsidRPr="001D3B79">
        <w:rPr>
          <w:color w:val="000000"/>
          <w:szCs w:val="22"/>
        </w:rPr>
        <w:t>pplication, subject to compliance with the</w:t>
      </w:r>
      <w:r w:rsidR="001313DF">
        <w:rPr>
          <w:color w:val="000000"/>
          <w:szCs w:val="22"/>
        </w:rPr>
        <w:t xml:space="preserve"> </w:t>
      </w:r>
      <w:r w:rsidR="001313DF">
        <w:rPr>
          <w:szCs w:val="22"/>
        </w:rPr>
        <w:t>Letter of Assurances</w:t>
      </w:r>
      <w:r w:rsidR="001313DF">
        <w:rPr>
          <w:color w:val="000000"/>
          <w:szCs w:val="22"/>
        </w:rPr>
        <w:t xml:space="preserve"> with the Executive Branch Agencies, </w:t>
      </w:r>
      <w:r w:rsidR="001313DF" w:rsidRPr="001D3B79">
        <w:rPr>
          <w:color w:val="000000"/>
          <w:szCs w:val="22"/>
        </w:rPr>
        <w:t>will serve the public interest, convenience, and necessity.</w:t>
      </w:r>
      <w:r w:rsidR="001313DF">
        <w:rPr>
          <w:color w:val="000000"/>
          <w:szCs w:val="22"/>
        </w:rPr>
        <w:t xml:space="preserve">  </w:t>
      </w:r>
      <w:r w:rsidR="001313DF" w:rsidRPr="001313DF">
        <w:rPr>
          <w:snapToGrid/>
          <w:color w:val="000000"/>
          <w:kern w:val="0"/>
          <w:szCs w:val="22"/>
        </w:rPr>
        <w:t>Upon consummation of the transaction, the resulting entity will have a market share in the U.S. interstate interexchange market of less than 10 percent and will provide competitive telephone exchange services or exchange access services exclusively in geographic areas served by a dominant local exchange carrier in the U.S. that is not a party to the transaction.  In addition, no party to the transaction is dominant with respect to any domestic service.</w:t>
      </w:r>
      <w:bookmarkEnd w:id="4"/>
      <w:r w:rsidR="001313DF">
        <w:rPr>
          <w:rStyle w:val="FootnoteReference"/>
          <w:szCs w:val="22"/>
        </w:rPr>
        <w:footnoteReference w:id="8"/>
      </w:r>
      <w:r>
        <w:rPr>
          <w:color w:val="000000"/>
          <w:szCs w:val="22"/>
        </w:rPr>
        <w:t xml:space="preserve"> </w:t>
      </w:r>
      <w:r w:rsidR="00B07540">
        <w:rPr>
          <w:color w:val="000000"/>
          <w:szCs w:val="22"/>
        </w:rPr>
        <w:t xml:space="preserve"> </w:t>
      </w:r>
    </w:p>
    <w:p w:rsidR="005D65C6" w:rsidRDefault="005D65C6" w:rsidP="005D65C6">
      <w:pPr>
        <w:ind w:firstLine="720"/>
        <w:jc w:val="left"/>
        <w:rPr>
          <w:color w:val="000000"/>
          <w:szCs w:val="22"/>
        </w:rPr>
      </w:pPr>
    </w:p>
    <w:p w:rsidR="000F6F61" w:rsidRPr="001D3B79" w:rsidRDefault="000F6F61" w:rsidP="005D65C6">
      <w:pPr>
        <w:ind w:firstLine="720"/>
        <w:jc w:val="left"/>
        <w:rPr>
          <w:color w:val="000000"/>
          <w:szCs w:val="22"/>
        </w:rPr>
      </w:pPr>
      <w:r w:rsidRPr="001D3B79">
        <w:rPr>
          <w:color w:val="000000"/>
          <w:szCs w:val="22"/>
        </w:rPr>
        <w:t xml:space="preserve">Therefore, pursuant to </w:t>
      </w:r>
      <w:r w:rsidR="001D3B79">
        <w:rPr>
          <w:color w:val="000000"/>
          <w:szCs w:val="22"/>
        </w:rPr>
        <w:t>section 214 o</w:t>
      </w:r>
      <w:r w:rsidRPr="001D3B79">
        <w:rPr>
          <w:color w:val="000000"/>
          <w:szCs w:val="22"/>
        </w:rPr>
        <w:t xml:space="preserve">f the </w:t>
      </w:r>
      <w:r w:rsidR="00193AD9">
        <w:rPr>
          <w:color w:val="000000"/>
          <w:szCs w:val="22"/>
        </w:rPr>
        <w:t>A</w:t>
      </w:r>
      <w:r w:rsidRPr="001D3B79">
        <w:rPr>
          <w:color w:val="000000"/>
          <w:szCs w:val="22"/>
        </w:rPr>
        <w:t>ct</w:t>
      </w:r>
      <w:r w:rsidR="00193AD9">
        <w:rPr>
          <w:color w:val="000000"/>
          <w:szCs w:val="22"/>
        </w:rPr>
        <w:t xml:space="preserve">, </w:t>
      </w:r>
      <w:r w:rsidR="001D3B79">
        <w:rPr>
          <w:color w:val="000000"/>
          <w:szCs w:val="22"/>
        </w:rPr>
        <w:t>47 U.S.C. § 214</w:t>
      </w:r>
      <w:r w:rsidR="001313DF">
        <w:rPr>
          <w:color w:val="000000"/>
          <w:szCs w:val="22"/>
        </w:rPr>
        <w:t>,</w:t>
      </w:r>
      <w:r w:rsidRPr="001D3B79">
        <w:rPr>
          <w:color w:val="000000"/>
          <w:szCs w:val="22"/>
        </w:rPr>
        <w:t xml:space="preserve"> and section</w:t>
      </w:r>
      <w:r w:rsidR="00193AD9">
        <w:rPr>
          <w:color w:val="000000"/>
          <w:szCs w:val="22"/>
        </w:rPr>
        <w:t>s</w:t>
      </w:r>
      <w:r w:rsidRPr="001D3B79">
        <w:rPr>
          <w:color w:val="000000"/>
          <w:szCs w:val="22"/>
        </w:rPr>
        <w:t xml:space="preserve"> </w:t>
      </w:r>
      <w:r w:rsidR="00EB7B82">
        <w:rPr>
          <w:color w:val="000000"/>
          <w:szCs w:val="22"/>
        </w:rPr>
        <w:t xml:space="preserve">0.91, and </w:t>
      </w:r>
      <w:r w:rsidRPr="001D3B79">
        <w:rPr>
          <w:color w:val="000000"/>
          <w:szCs w:val="22"/>
        </w:rPr>
        <w:t>0.291 of the Commission's rules,</w:t>
      </w:r>
      <w:bookmarkStart w:id="6" w:name="FN[FN10]"/>
      <w:bookmarkEnd w:id="6"/>
      <w:r w:rsidRPr="001D3B79">
        <w:rPr>
          <w:color w:val="000000"/>
          <w:szCs w:val="22"/>
        </w:rPr>
        <w:t xml:space="preserve"> 47 C.F.R. §</w:t>
      </w:r>
      <w:r w:rsidR="00193AD9">
        <w:rPr>
          <w:color w:val="000000"/>
          <w:szCs w:val="22"/>
        </w:rPr>
        <w:t>§</w:t>
      </w:r>
      <w:r w:rsidRPr="001D3B79">
        <w:rPr>
          <w:color w:val="000000"/>
          <w:szCs w:val="22"/>
        </w:rPr>
        <w:t xml:space="preserve"> </w:t>
      </w:r>
      <w:r w:rsidR="00EB7B82">
        <w:rPr>
          <w:color w:val="000000"/>
          <w:szCs w:val="22"/>
        </w:rPr>
        <w:t xml:space="preserve">0.91, </w:t>
      </w:r>
      <w:r w:rsidRPr="001D3B79">
        <w:rPr>
          <w:color w:val="000000"/>
          <w:szCs w:val="22"/>
        </w:rPr>
        <w:t>0.291,</w:t>
      </w:r>
      <w:r w:rsidR="00193AD9">
        <w:rPr>
          <w:color w:val="000000"/>
          <w:szCs w:val="22"/>
        </w:rPr>
        <w:t xml:space="preserve"> </w:t>
      </w:r>
      <w:r w:rsidRPr="001D3B79">
        <w:rPr>
          <w:color w:val="000000"/>
          <w:szCs w:val="22"/>
        </w:rPr>
        <w:t>the Bureau</w:t>
      </w:r>
      <w:r w:rsidR="005D65C6">
        <w:rPr>
          <w:color w:val="000000"/>
          <w:szCs w:val="22"/>
        </w:rPr>
        <w:t xml:space="preserve"> hereby grant</w:t>
      </w:r>
      <w:r w:rsidR="00332A75">
        <w:rPr>
          <w:color w:val="000000"/>
          <w:szCs w:val="22"/>
        </w:rPr>
        <w:t>s</w:t>
      </w:r>
      <w:r w:rsidR="00B96B1D">
        <w:rPr>
          <w:color w:val="000000"/>
          <w:szCs w:val="22"/>
        </w:rPr>
        <w:t xml:space="preserve"> the </w:t>
      </w:r>
      <w:r w:rsidR="00561368">
        <w:rPr>
          <w:color w:val="000000"/>
          <w:szCs w:val="22"/>
        </w:rPr>
        <w:t>A</w:t>
      </w:r>
      <w:r w:rsidRPr="001D3B79">
        <w:rPr>
          <w:color w:val="000000"/>
          <w:szCs w:val="22"/>
        </w:rPr>
        <w:t>pplication discussed in this Public Notice</w:t>
      </w:r>
      <w:r w:rsidR="006A1653">
        <w:rPr>
          <w:color w:val="000000"/>
          <w:szCs w:val="22"/>
        </w:rPr>
        <w:t xml:space="preserve"> subject to compliance with the </w:t>
      </w:r>
      <w:r w:rsidR="001E0491">
        <w:rPr>
          <w:szCs w:val="22"/>
        </w:rPr>
        <w:t>Letter of Assurances</w:t>
      </w:r>
      <w:r w:rsidR="001E0491">
        <w:rPr>
          <w:color w:val="000000"/>
          <w:szCs w:val="22"/>
        </w:rPr>
        <w:t xml:space="preserve"> </w:t>
      </w:r>
      <w:r w:rsidR="006A1653">
        <w:rPr>
          <w:color w:val="000000"/>
          <w:szCs w:val="22"/>
        </w:rPr>
        <w:t>described above</w:t>
      </w:r>
      <w:r w:rsidRPr="001D3B79">
        <w:rPr>
          <w:color w:val="000000"/>
          <w:szCs w:val="22"/>
        </w:rPr>
        <w:t>.</w:t>
      </w:r>
      <w:r w:rsidR="00EB7B82">
        <w:rPr>
          <w:color w:val="000000"/>
          <w:szCs w:val="22"/>
        </w:rPr>
        <w:t xml:space="preserve">  </w:t>
      </w:r>
      <w:r w:rsidR="00EB7B82">
        <w:t xml:space="preserve">A failure to comply with and/or remain in compliance with any of the provisions of the </w:t>
      </w:r>
      <w:r w:rsidR="001E0491">
        <w:t>Letter of Assurances</w:t>
      </w:r>
      <w:r w:rsidR="00EB7B82">
        <w:t xml:space="preserve"> shall constitute a failure to meet a condition of this authorization and thus grounds for declaring the </w:t>
      </w:r>
      <w:r w:rsidR="00FD2C22">
        <w:t xml:space="preserve">underlying </w:t>
      </w:r>
      <w:r w:rsidR="00EB7B82">
        <w:t>authorization</w:t>
      </w:r>
      <w:r w:rsidR="00FD2C22">
        <w:t>s</w:t>
      </w:r>
      <w:r w:rsidR="00EB7B82">
        <w:t xml:space="preserve"> terminated without further action on the part of the Commission.  Failure to meet a condition of this authorization may also result in monetary sanctions or other enforcement action by the Commission. </w:t>
      </w:r>
    </w:p>
    <w:p w:rsidR="000F6F61" w:rsidRPr="001D3B79" w:rsidRDefault="000F6F61" w:rsidP="000F6F61">
      <w:pPr>
        <w:ind w:firstLine="720"/>
        <w:jc w:val="left"/>
        <w:rPr>
          <w:color w:val="000000"/>
          <w:szCs w:val="22"/>
        </w:rPr>
      </w:pPr>
    </w:p>
    <w:p w:rsidR="002031AA" w:rsidRDefault="000F6F61" w:rsidP="000F6F61">
      <w:pPr>
        <w:ind w:firstLine="720"/>
        <w:jc w:val="left"/>
        <w:rPr>
          <w:color w:val="000000"/>
          <w:szCs w:val="22"/>
        </w:rPr>
      </w:pPr>
      <w:r w:rsidRPr="001D3B79">
        <w:rPr>
          <w:color w:val="000000"/>
          <w:szCs w:val="22"/>
        </w:rPr>
        <w:t>Pursuant to section 1.103 of the Commission's rules, 47 C.F.R. § 1.103, the grant is effective upon release of this Public Notice.</w:t>
      </w:r>
      <w:bookmarkStart w:id="7" w:name="FN[FN11]"/>
      <w:bookmarkEnd w:id="7"/>
      <w:r w:rsidRPr="001D3B79">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8" w:name="FN[FN12]"/>
      <w:bookmarkEnd w:id="8"/>
    </w:p>
    <w:p w:rsidR="002031AA" w:rsidRPr="002031AA" w:rsidRDefault="002031AA" w:rsidP="002031AA">
      <w:pPr>
        <w:widowControl/>
        <w:jc w:val="left"/>
        <w:rPr>
          <w:snapToGrid/>
          <w:color w:val="000000"/>
          <w:kern w:val="0"/>
          <w:szCs w:val="22"/>
        </w:rPr>
      </w:pPr>
    </w:p>
    <w:p w:rsidR="00C519D4" w:rsidRDefault="000F6F61" w:rsidP="001D3B79">
      <w:pPr>
        <w:ind w:firstLine="720"/>
        <w:jc w:val="left"/>
        <w:rPr>
          <w:color w:val="000000"/>
          <w:szCs w:val="22"/>
        </w:rPr>
      </w:pPr>
      <w:bookmarkStart w:id="9" w:name="sp_999_2"/>
      <w:bookmarkStart w:id="10" w:name="SDU_2"/>
      <w:bookmarkEnd w:id="9"/>
      <w:bookmarkEnd w:id="10"/>
      <w:r w:rsidRPr="001D3B79">
        <w:rPr>
          <w:color w:val="000000"/>
          <w:szCs w:val="22"/>
        </w:rPr>
        <w:t xml:space="preserve">For further information, please contact </w:t>
      </w:r>
      <w:r w:rsidR="00B90FC6">
        <w:rPr>
          <w:color w:val="000000"/>
          <w:szCs w:val="22"/>
        </w:rPr>
        <w:t>Dennis Johnson</w:t>
      </w:r>
      <w:r w:rsidRPr="001D3B79">
        <w:rPr>
          <w:color w:val="000000"/>
          <w:szCs w:val="22"/>
        </w:rPr>
        <w:t>, Wireline C</w:t>
      </w:r>
      <w:r w:rsidR="001D3B79">
        <w:rPr>
          <w:color w:val="000000"/>
          <w:szCs w:val="22"/>
        </w:rPr>
        <w:t>ompetition Bureau, Competition P</w:t>
      </w:r>
      <w:r w:rsidR="00B90FC6">
        <w:rPr>
          <w:color w:val="000000"/>
          <w:szCs w:val="22"/>
        </w:rPr>
        <w:t>olicy Division, (202) 418-0809</w:t>
      </w:r>
      <w:r w:rsidRPr="001D3B79">
        <w:rPr>
          <w:color w:val="000000"/>
          <w:szCs w:val="22"/>
        </w:rPr>
        <w:t>.</w:t>
      </w:r>
    </w:p>
    <w:sectPr w:rsidR="00C519D4">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1D" w:rsidRDefault="0095071D">
      <w:pPr>
        <w:spacing w:line="20" w:lineRule="exact"/>
      </w:pPr>
    </w:p>
  </w:endnote>
  <w:endnote w:type="continuationSeparator" w:id="0">
    <w:p w:rsidR="0095071D" w:rsidRDefault="0095071D">
      <w:r>
        <w:t xml:space="preserve"> </w:t>
      </w:r>
    </w:p>
  </w:endnote>
  <w:endnote w:type="continuationNotice" w:id="1">
    <w:p w:rsidR="0095071D" w:rsidRDefault="009507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5BDA" w:rsidRDefault="003F5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B47">
      <w:rPr>
        <w:rStyle w:val="PageNumber"/>
        <w:noProof/>
      </w:rPr>
      <w:t>2</w:t>
    </w:r>
    <w:r>
      <w:rPr>
        <w:rStyle w:val="PageNumber"/>
      </w:rPr>
      <w:fldChar w:fldCharType="end"/>
    </w:r>
  </w:p>
  <w:p w:rsidR="003F5BDA" w:rsidRDefault="003F5BDA">
    <w:pPr>
      <w:pStyle w:val="Footer"/>
    </w:pPr>
  </w:p>
  <w:p w:rsidR="003F5BDA" w:rsidRDefault="003F5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1D" w:rsidRDefault="0095071D">
      <w:r>
        <w:separator/>
      </w:r>
    </w:p>
  </w:footnote>
  <w:footnote w:type="continuationSeparator" w:id="0">
    <w:p w:rsidR="0095071D" w:rsidRDefault="0095071D">
      <w:r>
        <w:continuationSeparator/>
      </w:r>
    </w:p>
  </w:footnote>
  <w:footnote w:id="1">
    <w:p w:rsidR="00561368" w:rsidRDefault="00561368" w:rsidP="00FA022E">
      <w:pPr>
        <w:pStyle w:val="FootnoteText"/>
        <w:spacing w:after="120"/>
      </w:pPr>
      <w:r>
        <w:rPr>
          <w:rStyle w:val="FootnoteReference"/>
        </w:rPr>
        <w:footnoteRef/>
      </w:r>
      <w:r>
        <w:t xml:space="preserve"> </w:t>
      </w:r>
      <w:r w:rsidRPr="00EA2FFA">
        <w:t xml:space="preserve">47 C.F.R § 63.03; </w:t>
      </w:r>
      <w:r w:rsidRPr="00EA2FFA">
        <w:rPr>
          <w:i/>
        </w:rPr>
        <w:t xml:space="preserve">see </w:t>
      </w:r>
      <w:r w:rsidRPr="00EA2FFA">
        <w:t xml:space="preserve">47 U.S.C. § 214.  </w:t>
      </w:r>
      <w:r w:rsidRPr="006B306A">
        <w:rPr>
          <w:i/>
        </w:rPr>
        <w:t>Application of Primus Telecommunications Group, Incorporated, Transferor, Primus Telecommunications, Inc., Licensee, and PTUS, Inc., Transferee, for Grant of Authority Pursuant to Section 214 of the Communications Act of 1934,</w:t>
      </w:r>
      <w:r>
        <w:rPr>
          <w:i/>
        </w:rPr>
        <w:t xml:space="preserve"> a</w:t>
      </w:r>
      <w:r w:rsidRPr="006B306A">
        <w:rPr>
          <w:i/>
        </w:rPr>
        <w:t>s Amended</w:t>
      </w:r>
      <w:r>
        <w:t xml:space="preserve">, WC Docket No. 13-145 (filed June 5, 2013) (Application).   </w:t>
      </w:r>
    </w:p>
  </w:footnote>
  <w:footnote w:id="2">
    <w:p w:rsidR="00561368" w:rsidRPr="00EA2FFA" w:rsidRDefault="00561368" w:rsidP="00FA022E">
      <w:pPr>
        <w:pStyle w:val="FootnoteText"/>
        <w:spacing w:after="120"/>
      </w:pPr>
      <w:r w:rsidRPr="00EA2FFA">
        <w:rPr>
          <w:rStyle w:val="FootnoteReference"/>
        </w:rPr>
        <w:footnoteRef/>
      </w:r>
      <w:r w:rsidRPr="00EA2FFA">
        <w:t xml:space="preserve">  </w:t>
      </w:r>
      <w:r>
        <w:rPr>
          <w:i/>
        </w:rPr>
        <w:t>See</w:t>
      </w:r>
      <w:r>
        <w:t xml:space="preserve"> </w:t>
      </w:r>
      <w:r w:rsidRPr="00613D3A">
        <w:rPr>
          <w:i/>
        </w:rPr>
        <w:t>Domestic Section 214 Application Filed for the Transfer of Control of</w:t>
      </w:r>
      <w:r w:rsidR="00AD15CC">
        <w:rPr>
          <w:i/>
        </w:rPr>
        <w:t xml:space="preserve"> </w:t>
      </w:r>
      <w:r w:rsidRPr="00613D3A">
        <w:rPr>
          <w:i/>
        </w:rPr>
        <w:t xml:space="preserve"> Primus Telecommunications, Inc. to PTUS, Inc</w:t>
      </w:r>
      <w:r>
        <w:t xml:space="preserve">., WC Docket No. 13-145, Public Notice, 28 FCC Rcd 8442 (Wireline Comp. Bur. 2013).  </w:t>
      </w:r>
      <w:r w:rsidRPr="00EA2FFA">
        <w:t xml:space="preserve">    </w:t>
      </w:r>
    </w:p>
  </w:footnote>
  <w:footnote w:id="3">
    <w:p w:rsidR="003F5BDA" w:rsidRDefault="003F5BDA" w:rsidP="00FA022E">
      <w:pPr>
        <w:pStyle w:val="FootnoteText"/>
        <w:spacing w:after="120"/>
      </w:pPr>
      <w:r>
        <w:rPr>
          <w:rStyle w:val="FootnoteReference"/>
        </w:rPr>
        <w:footnoteRef/>
      </w:r>
      <w:r>
        <w:t xml:space="preserve">  </w:t>
      </w:r>
      <w:r>
        <w:rPr>
          <w:i/>
        </w:rPr>
        <w:t>See</w:t>
      </w:r>
      <w:r>
        <w:t xml:space="preserve"> </w:t>
      </w:r>
      <w:r>
        <w:rPr>
          <w:rFonts w:ascii="Times New (W1)" w:hAnsi="Times New (W1)"/>
        </w:rPr>
        <w:t>Letter from Siobhan E. Dupuy, U.S. Department of Justice, to Marlene H. Dortch, FCC, WC</w:t>
      </w:r>
      <w:r>
        <w:t xml:space="preserve"> Docket No. 13-145 </w:t>
      </w:r>
      <w:r>
        <w:rPr>
          <w:rFonts w:ascii="Times New (W1)" w:hAnsi="Times New (W1)"/>
        </w:rPr>
        <w:t>(filed June 28, 2013).</w:t>
      </w:r>
    </w:p>
  </w:footnote>
  <w:footnote w:id="4">
    <w:p w:rsidR="003F5BDA" w:rsidRDefault="003F5BDA" w:rsidP="00FA022E">
      <w:pPr>
        <w:pStyle w:val="FootnoteText"/>
        <w:spacing w:after="120"/>
      </w:pPr>
      <w:r>
        <w:rPr>
          <w:rStyle w:val="FootnoteReference"/>
        </w:rPr>
        <w:footnoteRef/>
      </w:r>
      <w:r>
        <w:t xml:space="preserve"> </w:t>
      </w:r>
      <w:r w:rsidRPr="00613D3A">
        <w:rPr>
          <w:i/>
        </w:rPr>
        <w:t>Notice of Removal of Domestic Section 214 Application from Streamlined Treatment</w:t>
      </w:r>
      <w:r>
        <w:t>, WC Docket No. 13-145, Public Notice, 28 FCC Rcd 9966 (Wireline Comp. Bur. 2013).</w:t>
      </w:r>
    </w:p>
  </w:footnote>
  <w:footnote w:id="5">
    <w:p w:rsidR="003F5BDA" w:rsidRPr="00B90FC6" w:rsidRDefault="003F5BDA" w:rsidP="00FA022E">
      <w:pPr>
        <w:pStyle w:val="FootnoteText"/>
        <w:spacing w:after="120"/>
      </w:pPr>
      <w:r>
        <w:rPr>
          <w:rStyle w:val="FootnoteReference"/>
        </w:rPr>
        <w:footnoteRef/>
      </w:r>
      <w:r>
        <w:t xml:space="preserve">  Letter to John Carlin, Assistant Attorney General, National Security Division, U.S. Department of Justice, from Glen Gordon, PTUS, Inc., WC Docket No. 13-145 (filed July 16, 2014).   </w:t>
      </w:r>
    </w:p>
  </w:footnote>
  <w:footnote w:id="6">
    <w:p w:rsidR="003F5BDA" w:rsidRDefault="003F5BDA" w:rsidP="00FA022E">
      <w:pPr>
        <w:pStyle w:val="FootnoteText"/>
        <w:spacing w:after="120"/>
      </w:pPr>
      <w:r>
        <w:rPr>
          <w:rStyle w:val="FootnoteReference"/>
        </w:rPr>
        <w:footnoteRef/>
      </w:r>
      <w:r>
        <w:t xml:space="preserve"> </w:t>
      </w:r>
      <w:r w:rsidRPr="00B90FC6">
        <w:rPr>
          <w:i/>
        </w:rPr>
        <w:t>Id</w:t>
      </w:r>
      <w:r>
        <w:t>.</w:t>
      </w:r>
    </w:p>
  </w:footnote>
  <w:footnote w:id="7">
    <w:p w:rsidR="003F5BDA" w:rsidRDefault="003F5BDA" w:rsidP="00FA022E">
      <w:pPr>
        <w:pStyle w:val="FootnoteText"/>
        <w:spacing w:after="120"/>
      </w:pPr>
      <w:r>
        <w:rPr>
          <w:rStyle w:val="FootnoteReference"/>
        </w:rPr>
        <w:footnoteRef/>
      </w:r>
      <w:r>
        <w:t xml:space="preserve"> The Commission considers national security, law enforcement, foreign policy, and trade policy concerns when analyzing a transfer of control or assignment application in which foreign ownership is an issue.  </w:t>
      </w:r>
      <w:r>
        <w:rPr>
          <w:i/>
        </w:rPr>
        <w:t>See Amendment of the Commission’s Regulatory Policies to Allow Non-U.S. Licensed Satellites Providing Domestic and International Service in the United States</w:t>
      </w:r>
      <w:r>
        <w:t xml:space="preserve">, Report and Order, 12 FCC Rcd 24094, 24170-72, paras. 178-82 (1997); </w:t>
      </w:r>
      <w:r>
        <w:rPr>
          <w:i/>
        </w:rPr>
        <w:t>Rules and Policies on Foreign Participation in the U.S. Telecommunications Market</w:t>
      </w:r>
      <w:r>
        <w:t>, IB Docket No. 97-142, Market Entry and Regulation of Foreign Affiliated Entities, IB Docket No. 95-22, Report and Order and Order on Reconsideration, 12 FCC Rcd 23891, 23919-21, paras. 61-66 (1997) (</w:t>
      </w:r>
      <w:r>
        <w:rPr>
          <w:i/>
        </w:rPr>
        <w:t>Foreign Participation Order</w:t>
      </w:r>
      <w:r>
        <w:t xml:space="preserve">), Order on Reconsideration, 15 FCC Rcd 18158 (2000).  In assessing the public interest, the Commission considers the record and accords the appropriate level of deference to Executive Branch expertise on national security and law enforcement issues.  </w:t>
      </w:r>
      <w:r>
        <w:rPr>
          <w:i/>
        </w:rPr>
        <w:t>See Foreign Participation Order</w:t>
      </w:r>
      <w:r>
        <w:t>, 12 FCC Rcd at 23919-21, paras. 61-66.</w:t>
      </w:r>
    </w:p>
  </w:footnote>
  <w:footnote w:id="8">
    <w:p w:rsidR="001313DF" w:rsidRDefault="001313DF" w:rsidP="00FA022E">
      <w:pPr>
        <w:pStyle w:val="FootnoteText"/>
        <w:spacing w:after="120"/>
      </w:pPr>
      <w:r>
        <w:rPr>
          <w:rStyle w:val="FootnoteReference"/>
        </w:rPr>
        <w:footnoteRef/>
      </w:r>
      <w:r>
        <w:t xml:space="preserve"> </w:t>
      </w:r>
      <w:r>
        <w:rPr>
          <w:i/>
        </w:rPr>
        <w:t>See also</w:t>
      </w:r>
      <w:r>
        <w:t xml:space="preserve"> </w:t>
      </w:r>
      <w:r w:rsidRPr="00E815C0">
        <w:rPr>
          <w:i/>
        </w:rPr>
        <w:t>Implementation of Further Streamlining Measures for Domestic Section 214 Authorizations</w:t>
      </w:r>
      <w:r>
        <w:t>, CC Docket No. 01-150, 17 FCC Rcd 5517, 5533, para. 30 (2002);</w:t>
      </w:r>
      <w:r>
        <w:rPr>
          <w:i/>
        </w:rPr>
        <w:t xml:space="preserve"> </w:t>
      </w:r>
      <w:r>
        <w:t>47 C.F.R. § 63.03(b)(2)(i); Application at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F3" w:rsidRDefault="001E4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F3" w:rsidRDefault="001E4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DA" w:rsidRDefault="003F5BDA">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3F5BDA" w:rsidRPr="00FC365D" w:rsidRDefault="003F5BDA">
    <w:pPr>
      <w:suppressAutoHyphens/>
      <w:ind w:firstLine="1080"/>
      <w:rPr>
        <w:rFonts w:ascii="Arial" w:hAnsi="Arial" w:cs="Arial"/>
      </w:rPr>
    </w:pPr>
    <w:r w:rsidRPr="00FC365D">
      <w:rPr>
        <w:rFonts w:ascii="Arial" w:hAnsi="Arial" w:cs="Arial"/>
        <w:b/>
        <w:sz w:val="96"/>
      </w:rPr>
      <w:t>PUBLIC NOTICE</w:t>
    </w:r>
  </w:p>
  <w:p w:rsidR="003F5BDA" w:rsidRDefault="003F5BDA">
    <w:pPr>
      <w:suppressAutoHyphens/>
      <w:rPr>
        <w:rFonts w:ascii="Arial Narrow" w:hAnsi="Arial Narrow"/>
      </w:rPr>
    </w:pP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F5BDA" w:rsidRDefault="003F5BD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3F5BDA" w:rsidRDefault="003F5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1E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" o:allowincell="f" filled="f" stroked="f">
              <v:textbox>
                <w:txbxContent>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713CC" w:rsidRDefault="00C713CC">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713CC" w:rsidRDefault="00C713CC"/>
                </w:txbxContent>
              </v:textbox>
            </v:shape>
          </w:pict>
        </mc:Fallback>
      </mc:AlternateContent>
    </w:r>
    <w:r>
      <w:rPr>
        <w:rFonts w:ascii="Arial Narrow" w:hAnsi="Arial Narrow"/>
        <w:b/>
      </w:rPr>
      <w:tab/>
    </w:r>
    <w:r>
      <w:rPr>
        <w:rFonts w:ascii="Arial Narrow" w:hAnsi="Arial Narrow"/>
        <w:b/>
      </w:rPr>
      <w:tab/>
      <w:t>Federal Communications Commission</w:t>
    </w: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3F5BDA" w:rsidRDefault="003F5BD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3F5BDA" w:rsidRDefault="003F5BD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3F5BDA" w:rsidRDefault="003F5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31B"/>
    <w:multiLevelType w:val="hybridMultilevel"/>
    <w:tmpl w:val="BE08B4FE"/>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2">
    <w:nsid w:val="02867871"/>
    <w:multiLevelType w:val="hybridMultilevel"/>
    <w:tmpl w:val="BF0CE232"/>
    <w:lvl w:ilvl="0" w:tplc="DBDAB39C">
      <w:start w:val="1"/>
      <w:numFmt w:val="decimal"/>
      <w:lvlText w:val="%1."/>
      <w:lvlJc w:val="left"/>
      <w:pPr>
        <w:tabs>
          <w:tab w:val="num" w:pos="720"/>
        </w:tabs>
        <w:ind w:left="720" w:hanging="360"/>
      </w:pPr>
    </w:lvl>
    <w:lvl w:ilvl="1" w:tplc="DE201A04" w:tentative="1">
      <w:start w:val="1"/>
      <w:numFmt w:val="lowerLetter"/>
      <w:lvlText w:val="%2."/>
      <w:lvlJc w:val="left"/>
      <w:pPr>
        <w:tabs>
          <w:tab w:val="num" w:pos="1440"/>
        </w:tabs>
        <w:ind w:left="1440" w:hanging="360"/>
      </w:pPr>
    </w:lvl>
    <w:lvl w:ilvl="2" w:tplc="8FAE8102" w:tentative="1">
      <w:start w:val="1"/>
      <w:numFmt w:val="lowerRoman"/>
      <w:lvlText w:val="%3."/>
      <w:lvlJc w:val="right"/>
      <w:pPr>
        <w:tabs>
          <w:tab w:val="num" w:pos="2160"/>
        </w:tabs>
        <w:ind w:left="2160" w:hanging="180"/>
      </w:pPr>
    </w:lvl>
    <w:lvl w:ilvl="3" w:tplc="8EF4A986" w:tentative="1">
      <w:start w:val="1"/>
      <w:numFmt w:val="decimal"/>
      <w:lvlText w:val="%4."/>
      <w:lvlJc w:val="left"/>
      <w:pPr>
        <w:tabs>
          <w:tab w:val="num" w:pos="2880"/>
        </w:tabs>
        <w:ind w:left="2880" w:hanging="360"/>
      </w:pPr>
    </w:lvl>
    <w:lvl w:ilvl="4" w:tplc="F7425F02" w:tentative="1">
      <w:start w:val="1"/>
      <w:numFmt w:val="lowerLetter"/>
      <w:lvlText w:val="%5."/>
      <w:lvlJc w:val="left"/>
      <w:pPr>
        <w:tabs>
          <w:tab w:val="num" w:pos="3600"/>
        </w:tabs>
        <w:ind w:left="3600" w:hanging="360"/>
      </w:pPr>
    </w:lvl>
    <w:lvl w:ilvl="5" w:tplc="22E6122E" w:tentative="1">
      <w:start w:val="1"/>
      <w:numFmt w:val="lowerRoman"/>
      <w:lvlText w:val="%6."/>
      <w:lvlJc w:val="right"/>
      <w:pPr>
        <w:tabs>
          <w:tab w:val="num" w:pos="4320"/>
        </w:tabs>
        <w:ind w:left="4320" w:hanging="180"/>
      </w:pPr>
    </w:lvl>
    <w:lvl w:ilvl="6" w:tplc="C72436B8" w:tentative="1">
      <w:start w:val="1"/>
      <w:numFmt w:val="decimal"/>
      <w:lvlText w:val="%7."/>
      <w:lvlJc w:val="left"/>
      <w:pPr>
        <w:tabs>
          <w:tab w:val="num" w:pos="5040"/>
        </w:tabs>
        <w:ind w:left="5040" w:hanging="360"/>
      </w:pPr>
    </w:lvl>
    <w:lvl w:ilvl="7" w:tplc="B5C610A4" w:tentative="1">
      <w:start w:val="1"/>
      <w:numFmt w:val="lowerLetter"/>
      <w:lvlText w:val="%8."/>
      <w:lvlJc w:val="left"/>
      <w:pPr>
        <w:tabs>
          <w:tab w:val="num" w:pos="5760"/>
        </w:tabs>
        <w:ind w:left="5760" w:hanging="360"/>
      </w:pPr>
    </w:lvl>
    <w:lvl w:ilvl="8" w:tplc="DB3879EE" w:tentative="1">
      <w:start w:val="1"/>
      <w:numFmt w:val="lowerRoman"/>
      <w:lvlText w:val="%9."/>
      <w:lvlJc w:val="right"/>
      <w:pPr>
        <w:tabs>
          <w:tab w:val="num" w:pos="6480"/>
        </w:tabs>
        <w:ind w:left="6480" w:hanging="180"/>
      </w:pPr>
    </w:lvl>
  </w:abstractNum>
  <w:abstractNum w:abstractNumId="3">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4">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D44120"/>
    <w:multiLevelType w:val="hybridMultilevel"/>
    <w:tmpl w:val="BE929A28"/>
    <w:lvl w:ilvl="0" w:tplc="736EA00C">
      <w:start w:val="1"/>
      <w:numFmt w:val="decimal"/>
      <w:lvlText w:val="%1."/>
      <w:lvlJc w:val="left"/>
      <w:pPr>
        <w:ind w:left="171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8">
    <w:nsid w:val="460F0118"/>
    <w:multiLevelType w:val="hybridMultilevel"/>
    <w:tmpl w:val="7EB0ADD2"/>
    <w:lvl w:ilvl="0" w:tplc="97CCE210">
      <w:start w:val="1"/>
      <w:numFmt w:val="lowerLetter"/>
      <w:lvlText w:val="%1)"/>
      <w:lvlJc w:val="left"/>
      <w:pPr>
        <w:tabs>
          <w:tab w:val="num" w:pos="1440"/>
        </w:tabs>
        <w:ind w:left="1440" w:hanging="360"/>
      </w:pPr>
      <w:rPr>
        <w:b w:val="0"/>
        <w:i w:val="0"/>
      </w:rPr>
    </w:lvl>
    <w:lvl w:ilvl="1" w:tplc="1EA85EBA">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E2D6667"/>
    <w:multiLevelType w:val="hybridMultilevel"/>
    <w:tmpl w:val="55006EB2"/>
    <w:lvl w:ilvl="0" w:tplc="2C4A7FEA">
      <w:start w:val="1"/>
      <w:numFmt w:val="decimal"/>
      <w:lvlText w:val="%1."/>
      <w:lvlJc w:val="left"/>
      <w:pPr>
        <w:tabs>
          <w:tab w:val="num" w:pos="630"/>
        </w:tabs>
        <w:ind w:left="630" w:hanging="360"/>
      </w:pPr>
      <w:rPr>
        <w:b w:val="0"/>
      </w:rPr>
    </w:lvl>
    <w:lvl w:ilvl="1" w:tplc="987E7D9E" w:tentative="1">
      <w:start w:val="1"/>
      <w:numFmt w:val="lowerLetter"/>
      <w:lvlText w:val="%2."/>
      <w:lvlJc w:val="left"/>
      <w:pPr>
        <w:tabs>
          <w:tab w:val="num" w:pos="1350"/>
        </w:tabs>
        <w:ind w:left="1350" w:hanging="360"/>
      </w:pPr>
    </w:lvl>
    <w:lvl w:ilvl="2" w:tplc="BD9E0870" w:tentative="1">
      <w:start w:val="1"/>
      <w:numFmt w:val="lowerRoman"/>
      <w:lvlText w:val="%3."/>
      <w:lvlJc w:val="right"/>
      <w:pPr>
        <w:tabs>
          <w:tab w:val="num" w:pos="2070"/>
        </w:tabs>
        <w:ind w:left="2070" w:hanging="180"/>
      </w:pPr>
    </w:lvl>
    <w:lvl w:ilvl="3" w:tplc="348C48A8" w:tentative="1">
      <w:start w:val="1"/>
      <w:numFmt w:val="decimal"/>
      <w:lvlText w:val="%4."/>
      <w:lvlJc w:val="left"/>
      <w:pPr>
        <w:tabs>
          <w:tab w:val="num" w:pos="2790"/>
        </w:tabs>
        <w:ind w:left="2790" w:hanging="360"/>
      </w:pPr>
    </w:lvl>
    <w:lvl w:ilvl="4" w:tplc="EA86B0F6" w:tentative="1">
      <w:start w:val="1"/>
      <w:numFmt w:val="lowerLetter"/>
      <w:lvlText w:val="%5."/>
      <w:lvlJc w:val="left"/>
      <w:pPr>
        <w:tabs>
          <w:tab w:val="num" w:pos="3510"/>
        </w:tabs>
        <w:ind w:left="3510" w:hanging="360"/>
      </w:pPr>
    </w:lvl>
    <w:lvl w:ilvl="5" w:tplc="699AD8BA" w:tentative="1">
      <w:start w:val="1"/>
      <w:numFmt w:val="lowerRoman"/>
      <w:lvlText w:val="%6."/>
      <w:lvlJc w:val="right"/>
      <w:pPr>
        <w:tabs>
          <w:tab w:val="num" w:pos="4230"/>
        </w:tabs>
        <w:ind w:left="4230" w:hanging="180"/>
      </w:pPr>
    </w:lvl>
    <w:lvl w:ilvl="6" w:tplc="F14C9690" w:tentative="1">
      <w:start w:val="1"/>
      <w:numFmt w:val="decimal"/>
      <w:lvlText w:val="%7."/>
      <w:lvlJc w:val="left"/>
      <w:pPr>
        <w:tabs>
          <w:tab w:val="num" w:pos="4950"/>
        </w:tabs>
        <w:ind w:left="4950" w:hanging="360"/>
      </w:pPr>
    </w:lvl>
    <w:lvl w:ilvl="7" w:tplc="91A61AEA" w:tentative="1">
      <w:start w:val="1"/>
      <w:numFmt w:val="lowerLetter"/>
      <w:lvlText w:val="%8."/>
      <w:lvlJc w:val="left"/>
      <w:pPr>
        <w:tabs>
          <w:tab w:val="num" w:pos="5670"/>
        </w:tabs>
        <w:ind w:left="5670" w:hanging="360"/>
      </w:pPr>
    </w:lvl>
    <w:lvl w:ilvl="8" w:tplc="FF3C4CCA" w:tentative="1">
      <w:start w:val="1"/>
      <w:numFmt w:val="lowerRoman"/>
      <w:lvlText w:val="%9."/>
      <w:lvlJc w:val="right"/>
      <w:pPr>
        <w:tabs>
          <w:tab w:val="num" w:pos="6390"/>
        </w:tabs>
        <w:ind w:left="6390" w:hanging="180"/>
      </w:p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6B597F9D"/>
    <w:multiLevelType w:val="hybridMultilevel"/>
    <w:tmpl w:val="EA183FBE"/>
    <w:lvl w:ilvl="0" w:tplc="661A7274">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73DF0DF6"/>
    <w:multiLevelType w:val="hybridMultilevel"/>
    <w:tmpl w:val="79902C04"/>
    <w:lvl w:ilvl="0" w:tplc="01129018">
      <w:start w:val="1"/>
      <w:numFmt w:val="decimal"/>
      <w:lvlText w:val="%1."/>
      <w:lvlJc w:val="left"/>
      <w:pPr>
        <w:tabs>
          <w:tab w:val="num" w:pos="360"/>
        </w:tabs>
        <w:ind w:left="360" w:hanging="360"/>
      </w:pPr>
    </w:lvl>
    <w:lvl w:ilvl="1" w:tplc="73D89BFE" w:tentative="1">
      <w:start w:val="1"/>
      <w:numFmt w:val="lowerLetter"/>
      <w:lvlText w:val="%2."/>
      <w:lvlJc w:val="left"/>
      <w:pPr>
        <w:tabs>
          <w:tab w:val="num" w:pos="1080"/>
        </w:tabs>
        <w:ind w:left="1080" w:hanging="360"/>
      </w:pPr>
    </w:lvl>
    <w:lvl w:ilvl="2" w:tplc="F1889638" w:tentative="1">
      <w:start w:val="1"/>
      <w:numFmt w:val="lowerRoman"/>
      <w:lvlText w:val="%3."/>
      <w:lvlJc w:val="right"/>
      <w:pPr>
        <w:tabs>
          <w:tab w:val="num" w:pos="1800"/>
        </w:tabs>
        <w:ind w:left="1800" w:hanging="180"/>
      </w:pPr>
    </w:lvl>
    <w:lvl w:ilvl="3" w:tplc="7F2C260C" w:tentative="1">
      <w:start w:val="1"/>
      <w:numFmt w:val="decimal"/>
      <w:lvlText w:val="%4."/>
      <w:lvlJc w:val="left"/>
      <w:pPr>
        <w:tabs>
          <w:tab w:val="num" w:pos="2520"/>
        </w:tabs>
        <w:ind w:left="2520" w:hanging="360"/>
      </w:pPr>
    </w:lvl>
    <w:lvl w:ilvl="4" w:tplc="21B45D70" w:tentative="1">
      <w:start w:val="1"/>
      <w:numFmt w:val="lowerLetter"/>
      <w:lvlText w:val="%5."/>
      <w:lvlJc w:val="left"/>
      <w:pPr>
        <w:tabs>
          <w:tab w:val="num" w:pos="3240"/>
        </w:tabs>
        <w:ind w:left="3240" w:hanging="360"/>
      </w:pPr>
    </w:lvl>
    <w:lvl w:ilvl="5" w:tplc="E56E6646" w:tentative="1">
      <w:start w:val="1"/>
      <w:numFmt w:val="lowerRoman"/>
      <w:lvlText w:val="%6."/>
      <w:lvlJc w:val="right"/>
      <w:pPr>
        <w:tabs>
          <w:tab w:val="num" w:pos="3960"/>
        </w:tabs>
        <w:ind w:left="3960" w:hanging="180"/>
      </w:pPr>
    </w:lvl>
    <w:lvl w:ilvl="6" w:tplc="E6BA1B54" w:tentative="1">
      <w:start w:val="1"/>
      <w:numFmt w:val="decimal"/>
      <w:lvlText w:val="%7."/>
      <w:lvlJc w:val="left"/>
      <w:pPr>
        <w:tabs>
          <w:tab w:val="num" w:pos="4680"/>
        </w:tabs>
        <w:ind w:left="4680" w:hanging="360"/>
      </w:pPr>
    </w:lvl>
    <w:lvl w:ilvl="7" w:tplc="BEB48A40" w:tentative="1">
      <w:start w:val="1"/>
      <w:numFmt w:val="lowerLetter"/>
      <w:lvlText w:val="%8."/>
      <w:lvlJc w:val="left"/>
      <w:pPr>
        <w:tabs>
          <w:tab w:val="num" w:pos="5400"/>
        </w:tabs>
        <w:ind w:left="5400" w:hanging="360"/>
      </w:pPr>
    </w:lvl>
    <w:lvl w:ilvl="8" w:tplc="29BEE896" w:tentative="1">
      <w:start w:val="1"/>
      <w:numFmt w:val="lowerRoman"/>
      <w:lvlText w:val="%9."/>
      <w:lvlJc w:val="right"/>
      <w:pPr>
        <w:tabs>
          <w:tab w:val="num" w:pos="6120"/>
        </w:tabs>
        <w:ind w:left="6120" w:hanging="180"/>
      </w:pPr>
    </w:lvl>
  </w:abstractNum>
  <w:abstractNum w:abstractNumId="13">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9370CEA"/>
    <w:multiLevelType w:val="hybridMultilevel"/>
    <w:tmpl w:val="5338FD5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D8120BC"/>
    <w:multiLevelType w:val="hybridMultilevel"/>
    <w:tmpl w:val="90D00BFA"/>
    <w:lvl w:ilvl="0" w:tplc="661A727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3"/>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
  </w:num>
  <w:num w:numId="30">
    <w:abstractNumId w:val="7"/>
  </w:num>
  <w:num w:numId="31">
    <w:abstractNumId w:val="13"/>
  </w:num>
  <w:num w:numId="32">
    <w:abstractNumId w:val="9"/>
  </w:num>
  <w:num w:numId="33">
    <w:abstractNumId w:val="12"/>
  </w:num>
  <w:num w:numId="34">
    <w:abstractNumId w:val="2"/>
  </w:num>
  <w:num w:numId="35">
    <w:abstractNumId w:val="10"/>
  </w:num>
  <w:num w:numId="36">
    <w:abstractNumId w:val="8"/>
  </w:num>
  <w:num w:numId="37">
    <w:abstractNumId w:val="5"/>
  </w:num>
  <w:num w:numId="38">
    <w:abstractNumId w:val="6"/>
  </w:num>
  <w:num w:numId="39">
    <w:abstractNumId w:val="15"/>
  </w:num>
  <w:num w:numId="40">
    <w:abstractNumId w:val="11"/>
  </w:num>
  <w:num w:numId="41">
    <w:abstractNumId w:val="1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D4"/>
    <w:rsid w:val="00070AA3"/>
    <w:rsid w:val="00072E51"/>
    <w:rsid w:val="000F6F61"/>
    <w:rsid w:val="0011184A"/>
    <w:rsid w:val="001313DF"/>
    <w:rsid w:val="001502AB"/>
    <w:rsid w:val="001741A2"/>
    <w:rsid w:val="00193AD9"/>
    <w:rsid w:val="001A2900"/>
    <w:rsid w:val="001D3B79"/>
    <w:rsid w:val="001E0491"/>
    <w:rsid w:val="001E2194"/>
    <w:rsid w:val="001E43F3"/>
    <w:rsid w:val="001F35A7"/>
    <w:rsid w:val="002031AA"/>
    <w:rsid w:val="002332AE"/>
    <w:rsid w:val="0025758D"/>
    <w:rsid w:val="002660CA"/>
    <w:rsid w:val="002713ED"/>
    <w:rsid w:val="00280C79"/>
    <w:rsid w:val="002A190A"/>
    <w:rsid w:val="002F1DB3"/>
    <w:rsid w:val="00332A75"/>
    <w:rsid w:val="00337F45"/>
    <w:rsid w:val="00386CC8"/>
    <w:rsid w:val="003B0DA1"/>
    <w:rsid w:val="003F5BDA"/>
    <w:rsid w:val="003F65D3"/>
    <w:rsid w:val="004307A1"/>
    <w:rsid w:val="00431FEE"/>
    <w:rsid w:val="004329A8"/>
    <w:rsid w:val="0046465E"/>
    <w:rsid w:val="00481B47"/>
    <w:rsid w:val="00482113"/>
    <w:rsid w:val="0048479A"/>
    <w:rsid w:val="004A430F"/>
    <w:rsid w:val="004E3E49"/>
    <w:rsid w:val="0051444D"/>
    <w:rsid w:val="00516A52"/>
    <w:rsid w:val="0055115C"/>
    <w:rsid w:val="00561368"/>
    <w:rsid w:val="00582863"/>
    <w:rsid w:val="005A034B"/>
    <w:rsid w:val="005B45F7"/>
    <w:rsid w:val="005C2E3A"/>
    <w:rsid w:val="005C699D"/>
    <w:rsid w:val="005D06B7"/>
    <w:rsid w:val="005D65C6"/>
    <w:rsid w:val="00613D3A"/>
    <w:rsid w:val="00662087"/>
    <w:rsid w:val="006A1653"/>
    <w:rsid w:val="006B306A"/>
    <w:rsid w:val="006E1B37"/>
    <w:rsid w:val="006E676D"/>
    <w:rsid w:val="006F03B1"/>
    <w:rsid w:val="00737A33"/>
    <w:rsid w:val="00753D9B"/>
    <w:rsid w:val="00790772"/>
    <w:rsid w:val="00792D42"/>
    <w:rsid w:val="007C516C"/>
    <w:rsid w:val="007D7028"/>
    <w:rsid w:val="00811DEC"/>
    <w:rsid w:val="008156B7"/>
    <w:rsid w:val="00832582"/>
    <w:rsid w:val="00861A39"/>
    <w:rsid w:val="00882966"/>
    <w:rsid w:val="008926F3"/>
    <w:rsid w:val="008D10DE"/>
    <w:rsid w:val="008F0F3A"/>
    <w:rsid w:val="009228DB"/>
    <w:rsid w:val="00923B0D"/>
    <w:rsid w:val="0095071D"/>
    <w:rsid w:val="00976A0D"/>
    <w:rsid w:val="009C18B5"/>
    <w:rsid w:val="009D575C"/>
    <w:rsid w:val="00A053DD"/>
    <w:rsid w:val="00A54227"/>
    <w:rsid w:val="00AB3613"/>
    <w:rsid w:val="00AC4D23"/>
    <w:rsid w:val="00AD00CB"/>
    <w:rsid w:val="00AD15CC"/>
    <w:rsid w:val="00AE5BD8"/>
    <w:rsid w:val="00B07540"/>
    <w:rsid w:val="00B27B33"/>
    <w:rsid w:val="00B4654A"/>
    <w:rsid w:val="00B62906"/>
    <w:rsid w:val="00B90FC6"/>
    <w:rsid w:val="00B96B1D"/>
    <w:rsid w:val="00BD28C4"/>
    <w:rsid w:val="00BD7F40"/>
    <w:rsid w:val="00C0202D"/>
    <w:rsid w:val="00C17675"/>
    <w:rsid w:val="00C30043"/>
    <w:rsid w:val="00C519D4"/>
    <w:rsid w:val="00C54A49"/>
    <w:rsid w:val="00C627C4"/>
    <w:rsid w:val="00C63F47"/>
    <w:rsid w:val="00C713CC"/>
    <w:rsid w:val="00C85D84"/>
    <w:rsid w:val="00CA2B5D"/>
    <w:rsid w:val="00CB77F1"/>
    <w:rsid w:val="00CE1B11"/>
    <w:rsid w:val="00D002F7"/>
    <w:rsid w:val="00D1029A"/>
    <w:rsid w:val="00D2187C"/>
    <w:rsid w:val="00D62A9F"/>
    <w:rsid w:val="00E00BB1"/>
    <w:rsid w:val="00E073A7"/>
    <w:rsid w:val="00E6043D"/>
    <w:rsid w:val="00E60CA9"/>
    <w:rsid w:val="00E65229"/>
    <w:rsid w:val="00E815C0"/>
    <w:rsid w:val="00E90E75"/>
    <w:rsid w:val="00E95A59"/>
    <w:rsid w:val="00EB7B82"/>
    <w:rsid w:val="00EE199A"/>
    <w:rsid w:val="00F0706E"/>
    <w:rsid w:val="00F10037"/>
    <w:rsid w:val="00F90C6E"/>
    <w:rsid w:val="00FA022E"/>
    <w:rsid w:val="00FA4A1D"/>
    <w:rsid w:val="00FA56B2"/>
    <w:rsid w:val="00FB2FE2"/>
    <w:rsid w:val="00FC3214"/>
    <w:rsid w:val="00FC365D"/>
    <w:rsid w:val="00FD2C22"/>
    <w:rsid w:val="00FD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semiHidden/>
    <w:pPr>
      <w:tabs>
        <w:tab w:val="left" w:pos="720"/>
        <w:tab w:val="left" w:pos="1440"/>
      </w:tabs>
      <w:spacing w:after="200"/>
      <w:ind w:right="144"/>
    </w:pPr>
  </w:style>
  <w:style w:type="character" w:styleId="FootnoteReference">
    <w:name w:val="footnote reference"/>
    <w:aliases w:val="o,fr,Style 3,Appel note de bas de p,(NECG) Footnote Reference,Style 17,FR,Style 12,Style 124"/>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paragraph" w:customStyle="1" w:styleId="NumberedList">
    <w:name w:val="Numbered List"/>
    <w:basedOn w:val="Normal"/>
    <w:pPr>
      <w:widowControl/>
      <w:numPr>
        <w:numId w:val="35"/>
      </w:numPr>
      <w:tabs>
        <w:tab w:val="clear" w:pos="1080"/>
      </w:tabs>
      <w:spacing w:after="220"/>
      <w:ind w:firstLine="0"/>
      <w:jc w:val="left"/>
    </w:pPr>
    <w:rPr>
      <w:snapToGrid/>
      <w:kern w:val="0"/>
    </w:rPr>
  </w:style>
  <w:style w:type="character" w:customStyle="1" w:styleId="FootnoteTextChar1">
    <w:name w:val="Footnote Text Char1"/>
    <w:aliases w:val="Footnote Text Char Char,Footnote Text Char2 Char Char1,Footnote Text Char3 Char Char Char,Footnote Text Char2 Char Char Char Char,Footnote Text Char Char Char1 Char Char Char Char,Footnote Text Char1 Char1 Char Char Char Char,fn Char"/>
    <w:link w:val="FootnoteText"/>
    <w:rPr>
      <w:lang w:val="en-US" w:eastAsia="en-US" w:bidi="ar-SA"/>
    </w:rPr>
  </w:style>
  <w:style w:type="character" w:customStyle="1" w:styleId="FootnoteTextChar4Char">
    <w:name w:val="Footnote Text Char4 Char"/>
    <w:aliases w:val="Footnote Text Char2 Char Char,Footnote Text Char1 Char Char Char,Footnote Text Char Char Char1 Char Char,Footnote Text Char4 Char Char Char1 Char Char,Footnote Text Char1 Char Char Char Char1 Char Char"/>
    <w:rPr>
      <w:snapToGrid w:val="0"/>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Characters">
    <w:name w:val="Footnote Characters"/>
    <w:rsid w:val="00070A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3429</Characters>
  <Application>Microsoft Office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4043</CharactersWithSpaces>
  <SharedDoc>false</SharedDoc>
  <HyperlinkBase> </HyperlinkBase>
  <HLinks>
    <vt:vector size="12" baseType="variant">
      <vt:variant>
        <vt:i4>6553695</vt:i4>
      </vt:variant>
      <vt:variant>
        <vt:i4>3</vt:i4>
      </vt:variant>
      <vt:variant>
        <vt:i4>0</vt:i4>
      </vt:variant>
      <vt:variant>
        <vt:i4>5</vt:i4>
      </vt:variant>
      <vt:variant>
        <vt:lpwstr>mailto:fccebaccess@fcc.gov</vt:lpwstr>
      </vt:variant>
      <vt:variant>
        <vt:lpwstr/>
      </vt:variant>
      <vt:variant>
        <vt:i4>6553695</vt:i4>
      </vt:variant>
      <vt:variant>
        <vt:i4>0</vt:i4>
      </vt:variant>
      <vt:variant>
        <vt:i4>0</vt:i4>
      </vt:variant>
      <vt:variant>
        <vt:i4>5</vt:i4>
      </vt:variant>
      <vt:variant>
        <vt:lpwstr>mailto:fccebaccess@fcc.gov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2011-05-23T21:27:00Z</cp:lastPrinted>
  <dcterms:created xsi:type="dcterms:W3CDTF">2014-07-18T16:05:00Z</dcterms:created>
  <dcterms:modified xsi:type="dcterms:W3CDTF">2014-07-18T16:05:00Z</dcterms:modified>
  <cp:category> </cp:category>
  <cp:contentStatus> </cp:contentStatus>
</cp:coreProperties>
</file>