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94533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3E71EB" w:rsidRDefault="00C2513F">
      <w:pPr>
        <w:jc w:val="right"/>
        <w:rPr>
          <w:b/>
          <w:sz w:val="24"/>
        </w:rPr>
      </w:pPr>
      <w:r w:rsidRPr="003E71EB">
        <w:rPr>
          <w:b/>
          <w:sz w:val="24"/>
        </w:rPr>
        <w:lastRenderedPageBreak/>
        <w:t>DA 14-</w:t>
      </w:r>
      <w:r w:rsidR="00A22219">
        <w:rPr>
          <w:b/>
          <w:sz w:val="24"/>
        </w:rPr>
        <w:t>1026</w:t>
      </w:r>
    </w:p>
    <w:p w:rsidR="00602577" w:rsidRPr="003E71EB" w:rsidRDefault="00A22219">
      <w:pPr>
        <w:spacing w:before="60"/>
        <w:jc w:val="right"/>
        <w:rPr>
          <w:b/>
          <w:sz w:val="24"/>
        </w:rPr>
      </w:pPr>
      <w:r>
        <w:rPr>
          <w:b/>
          <w:sz w:val="24"/>
        </w:rPr>
        <w:t>July 21</w:t>
      </w:r>
      <w:r w:rsidR="00C2513F" w:rsidRPr="003E71EB">
        <w:rPr>
          <w:b/>
          <w:sz w:val="24"/>
        </w:rPr>
        <w:t>, 2014</w:t>
      </w:r>
    </w:p>
    <w:p w:rsidR="00602577" w:rsidRDefault="00602577">
      <w:pPr>
        <w:jc w:val="right"/>
        <w:rPr>
          <w:sz w:val="24"/>
        </w:rPr>
      </w:pPr>
    </w:p>
    <w:p w:rsidR="00C2513F" w:rsidRDefault="00C2513F" w:rsidP="00C2513F">
      <w:pPr>
        <w:jc w:val="center"/>
        <w:rPr>
          <w:b/>
          <w:caps/>
          <w:szCs w:val="22"/>
        </w:rPr>
      </w:pPr>
      <w:r>
        <w:rPr>
          <w:b/>
          <w:caps/>
          <w:szCs w:val="22"/>
        </w:rPr>
        <w:t xml:space="preserve">Public safety and homeland security bureau seeks COMMENT ON </w:t>
      </w:r>
    </w:p>
    <w:p w:rsidR="00C2513F" w:rsidRDefault="00C2513F" w:rsidP="00C2513F">
      <w:pPr>
        <w:jc w:val="center"/>
        <w:rPr>
          <w:b/>
          <w:caps/>
          <w:szCs w:val="22"/>
        </w:rPr>
      </w:pPr>
      <w:r>
        <w:rPr>
          <w:b/>
          <w:caps/>
          <w:szCs w:val="22"/>
        </w:rPr>
        <w:t>REGION 9 (FLORIDA) 800 mhz NPSPAC regional plan AMENDMENT</w:t>
      </w:r>
    </w:p>
    <w:p w:rsidR="00C2513F" w:rsidRDefault="00C2513F" w:rsidP="00C2513F">
      <w:pPr>
        <w:jc w:val="center"/>
        <w:rPr>
          <w:b/>
          <w:caps/>
          <w:szCs w:val="22"/>
        </w:rPr>
      </w:pPr>
      <w:r>
        <w:rPr>
          <w:b/>
          <w:caps/>
          <w:szCs w:val="22"/>
        </w:rPr>
        <w:t xml:space="preserve"> </w:t>
      </w:r>
    </w:p>
    <w:p w:rsidR="00C2513F" w:rsidRDefault="00C2513F" w:rsidP="00C2513F">
      <w:pPr>
        <w:spacing w:after="240"/>
        <w:jc w:val="center"/>
        <w:rPr>
          <w:b/>
          <w:szCs w:val="22"/>
        </w:rPr>
      </w:pPr>
      <w:r>
        <w:rPr>
          <w:b/>
        </w:rPr>
        <w:t>PR Docket No. 90-119</w:t>
      </w:r>
    </w:p>
    <w:p w:rsidR="00602577" w:rsidRDefault="00C2513F" w:rsidP="00C2513F">
      <w:pPr>
        <w:spacing w:after="240"/>
        <w:jc w:val="center"/>
        <w:rPr>
          <w:b/>
          <w:szCs w:val="22"/>
        </w:rPr>
      </w:pPr>
      <w:r>
        <w:rPr>
          <w:b/>
          <w:szCs w:val="22"/>
        </w:rPr>
        <w:t>Comme</w:t>
      </w:r>
      <w:r w:rsidR="00A22219">
        <w:rPr>
          <w:b/>
          <w:szCs w:val="22"/>
        </w:rPr>
        <w:t>nts Due:  [August 11, 2014</w:t>
      </w:r>
      <w:r>
        <w:rPr>
          <w:b/>
          <w:szCs w:val="22"/>
        </w:rPr>
        <w:t>]</w:t>
      </w:r>
      <w:r w:rsidRPr="00547F51">
        <w:rPr>
          <w:b/>
          <w:szCs w:val="22"/>
        </w:rPr>
        <w:t xml:space="preserve"> </w:t>
      </w:r>
      <w:r>
        <w:rPr>
          <w:b/>
          <w:szCs w:val="22"/>
        </w:rPr>
        <w:tab/>
        <w:t>Reply Comments Due:  [</w:t>
      </w:r>
      <w:r w:rsidR="00A22219">
        <w:rPr>
          <w:b/>
          <w:szCs w:val="22"/>
        </w:rPr>
        <w:t>August 21, 2014</w:t>
      </w:r>
      <w:r>
        <w:rPr>
          <w:b/>
          <w:szCs w:val="22"/>
        </w:rPr>
        <w:t>]</w:t>
      </w:r>
    </w:p>
    <w:p w:rsidR="00D40496" w:rsidRDefault="00D40496" w:rsidP="00D40496">
      <w:pPr>
        <w:rPr>
          <w:b/>
          <w:szCs w:val="22"/>
        </w:rPr>
      </w:pPr>
    </w:p>
    <w:p w:rsidR="00D40496" w:rsidRDefault="00D40496" w:rsidP="00D40496">
      <w:pPr>
        <w:ind w:firstLine="720"/>
        <w:rPr>
          <w:szCs w:val="22"/>
        </w:rPr>
      </w:pPr>
      <w:r>
        <w:rPr>
          <w:i/>
          <w:iCs/>
        </w:rPr>
        <w:t>Introductio</w:t>
      </w:r>
      <w:r w:rsidRPr="00707CE1">
        <w:rPr>
          <w:i/>
          <w:iCs/>
        </w:rPr>
        <w:t>n</w:t>
      </w:r>
      <w:r w:rsidRPr="00707CE1">
        <w:rPr>
          <w:i/>
        </w:rPr>
        <w:t>.</w:t>
      </w:r>
      <w:r>
        <w:rPr>
          <w:i/>
        </w:rPr>
        <w:t xml:space="preserve">  </w:t>
      </w:r>
      <w:r>
        <w:t>On March 7, 2014, the Region 9 (Florida)</w:t>
      </w:r>
      <w:r>
        <w:rPr>
          <w:rStyle w:val="FootnoteReference"/>
        </w:rPr>
        <w:footnoteReference w:id="1"/>
      </w:r>
      <w:r>
        <w:t xml:space="preserve"> 800 MHz National Public Safety Plan Advisory Committee (NPSPAC) Regional Planning Committee (RPC) submitted a proposed modification (Plan Amendment)</w:t>
      </w:r>
      <w:r>
        <w:rPr>
          <w:rStyle w:val="FootnoteReference"/>
        </w:rPr>
        <w:footnoteReference w:id="2"/>
      </w:r>
      <w:r>
        <w:t xml:space="preserve"> to amend its 800 MHz Public Safety Plan.</w:t>
      </w:r>
      <w:r>
        <w:rPr>
          <w:rStyle w:val="FootnoteReference"/>
        </w:rPr>
        <w:footnoteReference w:id="3"/>
      </w:r>
      <w:r>
        <w:t xml:space="preserve"> </w:t>
      </w:r>
    </w:p>
    <w:p w:rsidR="00D40496" w:rsidRPr="00B06849" w:rsidRDefault="00D40496" w:rsidP="00D40496">
      <w:pPr>
        <w:ind w:firstLine="720"/>
        <w:rPr>
          <w:szCs w:val="22"/>
        </w:rPr>
      </w:pPr>
    </w:p>
    <w:p w:rsidR="00D40496" w:rsidRDefault="00D40496" w:rsidP="00D40496">
      <w:pPr>
        <w:ind w:firstLine="720"/>
      </w:pPr>
      <w:r>
        <w:rPr>
          <w:i/>
        </w:rPr>
        <w:t xml:space="preserve">Background.  </w:t>
      </w:r>
      <w:r>
        <w:t>In accordance with the National Public Safety Plan, each region is responsible for planning its use of the public safety radio frequency spectrum (rebanded to the 806-809/851-854 MHz segment).</w:t>
      </w:r>
      <w:r>
        <w:rPr>
          <w:rStyle w:val="FootnoteReference"/>
        </w:rPr>
        <w:footnoteReference w:id="4"/>
      </w:r>
    </w:p>
    <w:p w:rsidR="00D40496" w:rsidRPr="00DA79D5" w:rsidRDefault="00D40496" w:rsidP="00D40496">
      <w:pPr>
        <w:ind w:firstLine="720"/>
        <w:rPr>
          <w:iCs/>
          <w:szCs w:val="22"/>
        </w:rPr>
      </w:pPr>
    </w:p>
    <w:p w:rsidR="00D40496" w:rsidRDefault="00D40496" w:rsidP="00D40496">
      <w:pPr>
        <w:ind w:firstLine="720"/>
        <w:rPr>
          <w:szCs w:val="22"/>
        </w:rPr>
      </w:pPr>
      <w:r>
        <w:rPr>
          <w:i/>
          <w:iCs/>
          <w:szCs w:val="22"/>
        </w:rPr>
        <w:t>Review of the Region 9 Plan 800 MHz NPSPAC Plan Amendment</w:t>
      </w:r>
      <w:r>
        <w:rPr>
          <w:iCs/>
          <w:szCs w:val="22"/>
        </w:rPr>
        <w:t>.</w:t>
      </w:r>
      <w:r>
        <w:t xml:space="preserve">  The Plan Amendment consists of six modifications </w:t>
      </w:r>
      <w:r w:rsidRPr="00166E03">
        <w:rPr>
          <w:szCs w:val="22"/>
        </w:rPr>
        <w:t>approved by the regional membership</w:t>
      </w:r>
      <w:r>
        <w:rPr>
          <w:szCs w:val="22"/>
        </w:rPr>
        <w:t>, and coordinated with the adjacent regions, Region 1 (Alabama), Region 10 (Georgia) and Region 23 (Mississippi).</w:t>
      </w:r>
      <w:r>
        <w:rPr>
          <w:rStyle w:val="FootnoteReference"/>
          <w:szCs w:val="22"/>
        </w:rPr>
        <w:footnoteReference w:id="5"/>
      </w:r>
      <w:r>
        <w:rPr>
          <w:szCs w:val="22"/>
        </w:rPr>
        <w:t xml:space="preserve">  </w:t>
      </w:r>
    </w:p>
    <w:p w:rsidR="00D40496" w:rsidRPr="00CE105C" w:rsidRDefault="00D40496" w:rsidP="00D40496">
      <w:pPr>
        <w:rPr>
          <w:szCs w:val="22"/>
        </w:rPr>
      </w:pPr>
    </w:p>
    <w:p w:rsidR="00D40496" w:rsidRPr="009903E5" w:rsidRDefault="00D40496" w:rsidP="00D40496">
      <w:pPr>
        <w:pStyle w:val="ListParagraph"/>
        <w:numPr>
          <w:ilvl w:val="0"/>
          <w:numId w:val="15"/>
        </w:numPr>
        <w:rPr>
          <w:szCs w:val="22"/>
        </w:rPr>
      </w:pPr>
      <w:r w:rsidRPr="00C5144B">
        <w:rPr>
          <w:szCs w:val="22"/>
        </w:rPr>
        <w:t>Section 3.5(A)(5)</w:t>
      </w:r>
      <w:r>
        <w:rPr>
          <w:szCs w:val="22"/>
        </w:rPr>
        <w:t xml:space="preserve"> – Relationship with Other Organizations - adds Region 23 (Mississippi) to the list of adjacent regions for liaison and coordination of frequency use.</w:t>
      </w:r>
      <w:r>
        <w:rPr>
          <w:rStyle w:val="FootnoteReference"/>
          <w:szCs w:val="22"/>
        </w:rPr>
        <w:footnoteReference w:id="6"/>
      </w:r>
      <w:r>
        <w:rPr>
          <w:szCs w:val="22"/>
        </w:rPr>
        <w:t xml:space="preserve"> </w:t>
      </w:r>
    </w:p>
    <w:p w:rsidR="00D40496" w:rsidRPr="00C5144B" w:rsidRDefault="00D40496" w:rsidP="00D40496">
      <w:pPr>
        <w:pStyle w:val="ListParagraph"/>
        <w:ind w:left="1440"/>
        <w:rPr>
          <w:szCs w:val="22"/>
        </w:rPr>
      </w:pPr>
    </w:p>
    <w:p w:rsidR="00D40496" w:rsidRPr="00C5144B" w:rsidRDefault="00D40496" w:rsidP="00D40496">
      <w:pPr>
        <w:pStyle w:val="ListParagraph"/>
        <w:numPr>
          <w:ilvl w:val="0"/>
          <w:numId w:val="15"/>
        </w:numPr>
        <w:rPr>
          <w:szCs w:val="22"/>
        </w:rPr>
      </w:pPr>
      <w:r>
        <w:rPr>
          <w:szCs w:val="22"/>
        </w:rPr>
        <w:t>Section 3.5(C) –The Adjacent Regions of Georgia, Alabama, and Mississippi – explains that two northern Florida counties are located less than 70 miles from Region 23 (Mississippi).  Florida thus considers Region 23 as an adjacent region for adjacent region coordination purposes.  Florida also expects adjacent regions to respond to concurrence requests within 45 calendar days</w:t>
      </w:r>
      <w:r w:rsidRPr="00C5144B">
        <w:rPr>
          <w:szCs w:val="22"/>
        </w:rPr>
        <w:t>.</w:t>
      </w:r>
      <w:r>
        <w:rPr>
          <w:rStyle w:val="FootnoteReference"/>
          <w:szCs w:val="22"/>
        </w:rPr>
        <w:footnoteReference w:id="7"/>
      </w:r>
      <w:r w:rsidRPr="00C5144B">
        <w:rPr>
          <w:szCs w:val="22"/>
        </w:rPr>
        <w:t xml:space="preserve"> </w:t>
      </w:r>
    </w:p>
    <w:p w:rsidR="00D40496" w:rsidRPr="00C5144B" w:rsidRDefault="00D40496" w:rsidP="00D40496">
      <w:pPr>
        <w:pStyle w:val="ListParagraph"/>
        <w:ind w:left="1440"/>
        <w:rPr>
          <w:szCs w:val="22"/>
        </w:rPr>
      </w:pPr>
    </w:p>
    <w:p w:rsidR="00D40496" w:rsidRPr="00A930CD" w:rsidRDefault="00D40496" w:rsidP="00D40496">
      <w:pPr>
        <w:pStyle w:val="ListParagraph"/>
        <w:numPr>
          <w:ilvl w:val="0"/>
          <w:numId w:val="15"/>
        </w:numPr>
        <w:rPr>
          <w:szCs w:val="22"/>
        </w:rPr>
      </w:pPr>
      <w:r>
        <w:rPr>
          <w:szCs w:val="22"/>
        </w:rPr>
        <w:t xml:space="preserve">Sections 5.1.8 (B) and (D)(a) – Channel Loading Requirements – clarifies loading requirements for County/Municipality Systems and Trunked Systems to include loading criteria for </w:t>
      </w:r>
      <w:r w:rsidRPr="007539C4">
        <w:rPr>
          <w:iCs/>
          <w:szCs w:val="22"/>
        </w:rPr>
        <w:t xml:space="preserve">systems requesting new or expansion frequencies that are utilizing multiple slot </w:t>
      </w:r>
      <w:r>
        <w:rPr>
          <w:iCs/>
          <w:szCs w:val="22"/>
        </w:rPr>
        <w:t>Time Division Multiple Access (</w:t>
      </w:r>
      <w:r w:rsidRPr="007539C4">
        <w:rPr>
          <w:iCs/>
          <w:szCs w:val="22"/>
        </w:rPr>
        <w:t>TDMA</w:t>
      </w:r>
      <w:r>
        <w:rPr>
          <w:iCs/>
          <w:szCs w:val="22"/>
        </w:rPr>
        <w:t>)</w:t>
      </w:r>
      <w:r w:rsidRPr="007539C4">
        <w:rPr>
          <w:iCs/>
          <w:szCs w:val="22"/>
        </w:rPr>
        <w:t xml:space="preserve">, or </w:t>
      </w:r>
      <w:r>
        <w:rPr>
          <w:iCs/>
          <w:szCs w:val="22"/>
        </w:rPr>
        <w:t>Frequency-Division Multiple Access (</w:t>
      </w:r>
      <w:r w:rsidRPr="007539C4">
        <w:rPr>
          <w:iCs/>
          <w:szCs w:val="22"/>
        </w:rPr>
        <w:t>FDMA</w:t>
      </w:r>
      <w:r>
        <w:rPr>
          <w:iCs/>
          <w:szCs w:val="22"/>
        </w:rPr>
        <w:t>)</w:t>
      </w:r>
      <w:r w:rsidRPr="007539C4">
        <w:rPr>
          <w:iCs/>
          <w:szCs w:val="22"/>
        </w:rPr>
        <w:t xml:space="preserve"> trunking</w:t>
      </w:r>
      <w:r>
        <w:rPr>
          <w:iCs/>
          <w:szCs w:val="22"/>
        </w:rPr>
        <w:t>.  Specifically, Region 9 proposes that loading</w:t>
      </w:r>
      <w:r w:rsidRPr="007539C4">
        <w:rPr>
          <w:iCs/>
          <w:szCs w:val="22"/>
        </w:rPr>
        <w:t xml:space="preserve"> shall be calculated using the number of time slots v</w:t>
      </w:r>
      <w:r>
        <w:rPr>
          <w:iCs/>
          <w:szCs w:val="22"/>
        </w:rPr>
        <w:t>ersus</w:t>
      </w:r>
      <w:r w:rsidRPr="00A930CD">
        <w:rPr>
          <w:i/>
          <w:iCs/>
          <w:szCs w:val="22"/>
        </w:rPr>
        <w:t xml:space="preserve"> </w:t>
      </w:r>
      <w:r w:rsidRPr="00A930CD">
        <w:rPr>
          <w:szCs w:val="22"/>
        </w:rPr>
        <w:t>th</w:t>
      </w:r>
      <w:r>
        <w:rPr>
          <w:szCs w:val="22"/>
        </w:rPr>
        <w:t>e number of 25 kHz frequencies (</w:t>
      </w:r>
      <w:r w:rsidRPr="007539C4">
        <w:rPr>
          <w:i/>
          <w:szCs w:val="22"/>
        </w:rPr>
        <w:t>e.g.</w:t>
      </w:r>
      <w:r>
        <w:rPr>
          <w:szCs w:val="22"/>
        </w:rPr>
        <w:t xml:space="preserve"> 400 mobiles qualify</w:t>
      </w:r>
      <w:r w:rsidRPr="00A930CD">
        <w:rPr>
          <w:szCs w:val="22"/>
        </w:rPr>
        <w:t xml:space="preserve"> for one 25 kHz frequency when the applicant is using 4-slot modulation technology</w:t>
      </w:r>
      <w:r>
        <w:rPr>
          <w:szCs w:val="22"/>
        </w:rPr>
        <w:t>)</w:t>
      </w:r>
      <w:r w:rsidRPr="009C68B4">
        <w:rPr>
          <w:szCs w:val="22"/>
        </w:rPr>
        <w:t>.</w:t>
      </w:r>
      <w:r>
        <w:rPr>
          <w:rStyle w:val="FootnoteReference"/>
          <w:szCs w:val="22"/>
        </w:rPr>
        <w:footnoteReference w:id="8"/>
      </w:r>
      <w:r w:rsidRPr="00A930CD">
        <w:rPr>
          <w:szCs w:val="22"/>
        </w:rPr>
        <w:t xml:space="preserve"> </w:t>
      </w:r>
    </w:p>
    <w:p w:rsidR="00D40496" w:rsidRPr="00C5144B" w:rsidRDefault="00D40496" w:rsidP="00D40496">
      <w:pPr>
        <w:pStyle w:val="ListParagraph"/>
        <w:ind w:left="1440"/>
        <w:rPr>
          <w:szCs w:val="22"/>
        </w:rPr>
      </w:pPr>
    </w:p>
    <w:p w:rsidR="00D40496" w:rsidRPr="00C5144B" w:rsidRDefault="00D40496" w:rsidP="00D40496">
      <w:pPr>
        <w:pStyle w:val="ListParagraph"/>
        <w:numPr>
          <w:ilvl w:val="0"/>
          <w:numId w:val="15"/>
        </w:numPr>
        <w:rPr>
          <w:szCs w:val="22"/>
        </w:rPr>
      </w:pPr>
      <w:r w:rsidRPr="00C5144B">
        <w:rPr>
          <w:szCs w:val="22"/>
        </w:rPr>
        <w:t xml:space="preserve">Section 6.1 (A) </w:t>
      </w:r>
      <w:r>
        <w:rPr>
          <w:szCs w:val="22"/>
        </w:rPr>
        <w:t>– Mutual Aid Calling Channel – clarifies that use of 8CALL90 channel may aid the Incident Command System (ICS) process as a coordination channel during emergencies</w:t>
      </w:r>
      <w:r w:rsidRPr="00C5144B">
        <w:rPr>
          <w:szCs w:val="22"/>
        </w:rPr>
        <w:t>.</w:t>
      </w:r>
      <w:r>
        <w:rPr>
          <w:rStyle w:val="FootnoteReference"/>
          <w:szCs w:val="22"/>
        </w:rPr>
        <w:footnoteReference w:id="9"/>
      </w:r>
      <w:r w:rsidRPr="00C5144B">
        <w:rPr>
          <w:szCs w:val="22"/>
        </w:rPr>
        <w:t xml:space="preserve"> </w:t>
      </w:r>
    </w:p>
    <w:p w:rsidR="00D40496" w:rsidRPr="00C5144B" w:rsidRDefault="00D40496" w:rsidP="00D40496">
      <w:pPr>
        <w:pStyle w:val="ListParagraph"/>
        <w:ind w:left="1440"/>
        <w:rPr>
          <w:szCs w:val="22"/>
        </w:rPr>
      </w:pPr>
    </w:p>
    <w:p w:rsidR="00D40496" w:rsidRDefault="00D40496" w:rsidP="00D40496">
      <w:pPr>
        <w:pStyle w:val="ListParagraph"/>
        <w:numPr>
          <w:ilvl w:val="0"/>
          <w:numId w:val="15"/>
        </w:numPr>
        <w:rPr>
          <w:szCs w:val="22"/>
        </w:rPr>
      </w:pPr>
      <w:r w:rsidRPr="00C5144B">
        <w:rPr>
          <w:szCs w:val="22"/>
        </w:rPr>
        <w:t>S</w:t>
      </w:r>
      <w:r>
        <w:rPr>
          <w:szCs w:val="22"/>
        </w:rPr>
        <w:t xml:space="preserve">ection 6.2.5 (D)(E)(F) – Mutual Aid Channel Equipment Requirements - is modified by adding three new subsections: </w:t>
      </w:r>
    </w:p>
    <w:p w:rsidR="00D40496" w:rsidRPr="008E27F4" w:rsidRDefault="00D40496" w:rsidP="00D40496">
      <w:pPr>
        <w:pStyle w:val="ListParagraph"/>
        <w:numPr>
          <w:ilvl w:val="1"/>
          <w:numId w:val="15"/>
        </w:numPr>
        <w:autoSpaceDE w:val="0"/>
        <w:autoSpaceDN w:val="0"/>
        <w:ind w:left="1620" w:hanging="270"/>
      </w:pPr>
      <w:r w:rsidRPr="008E27F4">
        <w:rPr>
          <w:bCs/>
        </w:rPr>
        <w:t xml:space="preserve">D.  </w:t>
      </w:r>
      <w:r w:rsidRPr="008E27F4">
        <w:t>Repeat disable default upon power up shall be programmed in each mobile relay station (repeater).</w:t>
      </w:r>
    </w:p>
    <w:p w:rsidR="00D40496" w:rsidRPr="008E27F4" w:rsidRDefault="00D40496" w:rsidP="00D40496">
      <w:pPr>
        <w:pStyle w:val="ListParagraph"/>
        <w:numPr>
          <w:ilvl w:val="1"/>
          <w:numId w:val="15"/>
        </w:numPr>
        <w:autoSpaceDE w:val="0"/>
        <w:autoSpaceDN w:val="0"/>
        <w:ind w:left="1620" w:hanging="270"/>
      </w:pPr>
      <w:r w:rsidRPr="008E27F4">
        <w:rPr>
          <w:bCs/>
        </w:rPr>
        <w:t xml:space="preserve">E.  </w:t>
      </w:r>
      <w:r w:rsidRPr="008E27F4">
        <w:t>Repeater inactivity timer of 180 minutes (maximum) shall be programmed in each mobile relay station (repeater).</w:t>
      </w:r>
    </w:p>
    <w:p w:rsidR="00D40496" w:rsidRPr="00BA6230" w:rsidRDefault="00D40496" w:rsidP="00D40496">
      <w:pPr>
        <w:pStyle w:val="ListParagraph"/>
        <w:numPr>
          <w:ilvl w:val="1"/>
          <w:numId w:val="15"/>
        </w:numPr>
        <w:autoSpaceDE w:val="0"/>
        <w:autoSpaceDN w:val="0"/>
        <w:ind w:left="1620" w:hanging="270"/>
      </w:pPr>
      <w:r w:rsidRPr="008E27F4">
        <w:rPr>
          <w:bCs/>
        </w:rPr>
        <w:t xml:space="preserve">F.  </w:t>
      </w:r>
      <w:r w:rsidRPr="008E27F4">
        <w:t>Repeater hang-time of 2 seconds shall be programmed in each mobile relay station (</w:t>
      </w:r>
      <w:r>
        <w:t>repeater)</w:t>
      </w:r>
      <w:r w:rsidRPr="00BA6230">
        <w:rPr>
          <w:szCs w:val="22"/>
        </w:rPr>
        <w:t>.</w:t>
      </w:r>
      <w:r>
        <w:rPr>
          <w:rStyle w:val="FootnoteReference"/>
          <w:szCs w:val="22"/>
        </w:rPr>
        <w:footnoteReference w:id="10"/>
      </w:r>
      <w:r w:rsidRPr="00BA6230">
        <w:rPr>
          <w:szCs w:val="22"/>
        </w:rPr>
        <w:t xml:space="preserve"> </w:t>
      </w:r>
    </w:p>
    <w:p w:rsidR="00D40496" w:rsidRPr="00CE3B11" w:rsidRDefault="00D40496" w:rsidP="00D40496">
      <w:pPr>
        <w:rPr>
          <w:szCs w:val="22"/>
        </w:rPr>
      </w:pPr>
    </w:p>
    <w:p w:rsidR="00D40496" w:rsidRPr="00CE3B11" w:rsidRDefault="00D40496" w:rsidP="00D40496">
      <w:pPr>
        <w:pStyle w:val="ListParagraph"/>
        <w:numPr>
          <w:ilvl w:val="0"/>
          <w:numId w:val="15"/>
        </w:numPr>
        <w:rPr>
          <w:szCs w:val="22"/>
        </w:rPr>
      </w:pPr>
      <w:r w:rsidRPr="00CE3B11">
        <w:rPr>
          <w:szCs w:val="22"/>
        </w:rPr>
        <w:t xml:space="preserve">Section 8.3 </w:t>
      </w:r>
      <w:r w:rsidRPr="008657D6">
        <w:rPr>
          <w:szCs w:val="22"/>
        </w:rPr>
        <w:t xml:space="preserve">– </w:t>
      </w:r>
      <w:r w:rsidRPr="007539C4">
        <w:rPr>
          <w:bCs/>
          <w:szCs w:val="22"/>
        </w:rPr>
        <w:t>Applications for Special Temporary Authority</w:t>
      </w:r>
      <w:r w:rsidRPr="00CE3B11">
        <w:rPr>
          <w:b/>
          <w:bCs/>
          <w:szCs w:val="22"/>
        </w:rPr>
        <w:t xml:space="preserve"> - </w:t>
      </w:r>
      <w:r w:rsidRPr="00CE3B11">
        <w:rPr>
          <w:szCs w:val="22"/>
        </w:rPr>
        <w:t>notes that t</w:t>
      </w:r>
      <w:r w:rsidRPr="008657D6">
        <w:rPr>
          <w:szCs w:val="22"/>
        </w:rPr>
        <w:t xml:space="preserve">he table in new Appendix G identifies the </w:t>
      </w:r>
      <w:r>
        <w:rPr>
          <w:szCs w:val="22"/>
        </w:rPr>
        <w:t xml:space="preserve">Region 9 </w:t>
      </w:r>
      <w:r w:rsidRPr="008657D6">
        <w:rPr>
          <w:szCs w:val="22"/>
        </w:rPr>
        <w:t>submittal requirements for STAs in contrast to regular applications</w:t>
      </w:r>
      <w:r w:rsidRPr="00A930CD">
        <w:rPr>
          <w:szCs w:val="22"/>
        </w:rPr>
        <w:t xml:space="preserve"> for permanent authority.</w:t>
      </w:r>
      <w:r w:rsidRPr="00CE3B11">
        <w:rPr>
          <w:rStyle w:val="FootnoteReference"/>
          <w:szCs w:val="22"/>
        </w:rPr>
        <w:footnoteReference w:id="11"/>
      </w:r>
      <w:r w:rsidRPr="00CE3B11">
        <w:rPr>
          <w:szCs w:val="22"/>
        </w:rPr>
        <w:t xml:space="preserve"> </w:t>
      </w:r>
    </w:p>
    <w:p w:rsidR="00D40496" w:rsidRPr="00CE3B11" w:rsidRDefault="00D40496" w:rsidP="00D40496">
      <w:pPr>
        <w:pStyle w:val="ListParagraph"/>
        <w:rPr>
          <w:szCs w:val="22"/>
        </w:rPr>
      </w:pPr>
    </w:p>
    <w:p w:rsidR="00D40496" w:rsidRPr="00CE3B11" w:rsidRDefault="00D40496" w:rsidP="00D40496">
      <w:pPr>
        <w:pStyle w:val="ListParagraph"/>
        <w:numPr>
          <w:ilvl w:val="0"/>
          <w:numId w:val="15"/>
        </w:numPr>
        <w:rPr>
          <w:szCs w:val="22"/>
        </w:rPr>
      </w:pPr>
      <w:r w:rsidRPr="008657D6">
        <w:rPr>
          <w:szCs w:val="22"/>
        </w:rPr>
        <w:t xml:space="preserve">Appendix G – </w:t>
      </w:r>
      <w:r w:rsidRPr="007539C4">
        <w:rPr>
          <w:bCs/>
          <w:szCs w:val="22"/>
        </w:rPr>
        <w:t>Region 9 Application(s) Submittal Requirements</w:t>
      </w:r>
      <w:r w:rsidRPr="007539C4">
        <w:rPr>
          <w:b/>
          <w:bCs/>
          <w:szCs w:val="22"/>
        </w:rPr>
        <w:t xml:space="preserve"> - </w:t>
      </w:r>
      <w:r w:rsidRPr="007539C4">
        <w:rPr>
          <w:szCs w:val="22"/>
        </w:rPr>
        <w:t xml:space="preserve">identifies the documentation required for </w:t>
      </w:r>
      <w:r>
        <w:rPr>
          <w:szCs w:val="22"/>
        </w:rPr>
        <w:t xml:space="preserve">Region 9 review of proposed </w:t>
      </w:r>
      <w:r w:rsidRPr="007539C4">
        <w:rPr>
          <w:szCs w:val="22"/>
        </w:rPr>
        <w:t>STA and permanent applications as well as cross references to the applicable sections in the Region 9 Plan.</w:t>
      </w:r>
      <w:r w:rsidRPr="007539C4">
        <w:rPr>
          <w:rStyle w:val="FootnoteReference"/>
          <w:szCs w:val="22"/>
        </w:rPr>
        <w:footnoteReference w:id="12"/>
      </w:r>
    </w:p>
    <w:p w:rsidR="00D40496" w:rsidRPr="00C5144B" w:rsidRDefault="00D40496" w:rsidP="00D40496">
      <w:pPr>
        <w:pStyle w:val="ListParagraph"/>
        <w:ind w:left="1440"/>
        <w:rPr>
          <w:szCs w:val="22"/>
        </w:rPr>
      </w:pPr>
    </w:p>
    <w:p w:rsidR="00D40496" w:rsidRDefault="00D40496" w:rsidP="00D40496">
      <w:pPr>
        <w:pStyle w:val="ListParagraph"/>
        <w:numPr>
          <w:ilvl w:val="0"/>
          <w:numId w:val="15"/>
        </w:numPr>
        <w:rPr>
          <w:szCs w:val="22"/>
        </w:rPr>
      </w:pPr>
      <w:r w:rsidRPr="00C5144B">
        <w:rPr>
          <w:szCs w:val="22"/>
        </w:rPr>
        <w:lastRenderedPageBreak/>
        <w:t xml:space="preserve">All other changes were to update </w:t>
      </w:r>
      <w:r>
        <w:rPr>
          <w:szCs w:val="22"/>
        </w:rPr>
        <w:t>membership names or addresses.</w:t>
      </w:r>
    </w:p>
    <w:p w:rsidR="00D40496" w:rsidRDefault="00D40496" w:rsidP="00D40496"/>
    <w:p w:rsidR="00D40496" w:rsidRDefault="00D40496" w:rsidP="00D40496">
      <w:pPr>
        <w:ind w:firstLine="720"/>
      </w:pPr>
      <w:r>
        <w:t>We have reviewed the Region 9 Plan Amendment and find it to be compliant with the applicable Commission rules and policies, and tentatively accept the Plan Amendment.</w:t>
      </w:r>
    </w:p>
    <w:p w:rsidR="00D40496" w:rsidRDefault="00D40496" w:rsidP="00D40496">
      <w:pPr>
        <w:ind w:firstLine="720"/>
      </w:pPr>
    </w:p>
    <w:p w:rsidR="00D40496" w:rsidRDefault="00D40496" w:rsidP="00D40496">
      <w:pPr>
        <w:tabs>
          <w:tab w:val="left" w:pos="6030"/>
        </w:tabs>
        <w:autoSpaceDE w:val="0"/>
        <w:autoSpaceDN w:val="0"/>
        <w:adjustRightInd w:val="0"/>
        <w:ind w:firstLine="720"/>
        <w:rPr>
          <w:szCs w:val="22"/>
        </w:rPr>
      </w:pPr>
      <w:r w:rsidRPr="00E62EB5">
        <w:rPr>
          <w:i/>
          <w:color w:val="000000"/>
          <w:szCs w:val="22"/>
        </w:rPr>
        <w:t xml:space="preserve">Request for Comments on the Region </w:t>
      </w:r>
      <w:r>
        <w:rPr>
          <w:i/>
          <w:color w:val="000000"/>
          <w:szCs w:val="22"/>
        </w:rPr>
        <w:t>9</w:t>
      </w:r>
      <w:r w:rsidRPr="00E62EB5">
        <w:rPr>
          <w:i/>
          <w:color w:val="000000"/>
          <w:szCs w:val="22"/>
        </w:rPr>
        <w:t xml:space="preserve"> Plan Amendment.</w:t>
      </w:r>
      <w:r>
        <w:rPr>
          <w:b/>
          <w:i/>
          <w:color w:val="000000"/>
          <w:szCs w:val="22"/>
        </w:rPr>
        <w:t xml:space="preserve"> </w:t>
      </w:r>
      <w:r>
        <w:rPr>
          <w:i/>
          <w:color w:val="000000"/>
          <w:szCs w:val="22"/>
        </w:rPr>
        <w:t xml:space="preserve"> </w:t>
      </w:r>
      <w:r>
        <w:rPr>
          <w:color w:val="000000"/>
          <w:szCs w:val="22"/>
        </w:rPr>
        <w:t xml:space="preserve">Prior to taking further action on the Plan Amendment, by this Public Notice we solicit comments on the Region 9 Plan Amendment.  Pursuant to Sections 1.415 and 1.419 of the Commission’s rules, 47 C.F.R. §§ 1.415, 1.419, interested parties may file comments on the plan amendment </w:t>
      </w:r>
      <w:r>
        <w:rPr>
          <w:szCs w:val="22"/>
        </w:rPr>
        <w:t xml:space="preserve">on or before </w:t>
      </w:r>
      <w:r w:rsidRPr="005C594D">
        <w:rPr>
          <w:b/>
          <w:szCs w:val="22"/>
        </w:rPr>
        <w:t xml:space="preserve">[August </w:t>
      </w:r>
      <w:r w:rsidR="00A22219" w:rsidRPr="005C594D">
        <w:rPr>
          <w:b/>
          <w:szCs w:val="22"/>
        </w:rPr>
        <w:t>11</w:t>
      </w:r>
      <w:r w:rsidRPr="005C594D">
        <w:rPr>
          <w:b/>
          <w:szCs w:val="22"/>
        </w:rPr>
        <w:t>, 2014]</w:t>
      </w:r>
      <w:r w:rsidRPr="005C594D">
        <w:rPr>
          <w:szCs w:val="22"/>
        </w:rPr>
        <w:t>.</w:t>
      </w:r>
      <w:r w:rsidRPr="005C594D">
        <w:rPr>
          <w:b/>
          <w:szCs w:val="22"/>
        </w:rPr>
        <w:t xml:space="preserve">  </w:t>
      </w:r>
      <w:r w:rsidRPr="005C594D">
        <w:rPr>
          <w:szCs w:val="22"/>
        </w:rPr>
        <w:t xml:space="preserve">Parties interested in submitting reply comments must do so on or before </w:t>
      </w:r>
      <w:r w:rsidRPr="005C594D">
        <w:rPr>
          <w:b/>
          <w:szCs w:val="22"/>
        </w:rPr>
        <w:t>[</w:t>
      </w:r>
      <w:r w:rsidR="00A22219" w:rsidRPr="005C594D">
        <w:rPr>
          <w:b/>
          <w:szCs w:val="22"/>
        </w:rPr>
        <w:t>August 21</w:t>
      </w:r>
      <w:r w:rsidRPr="005C594D">
        <w:rPr>
          <w:b/>
          <w:szCs w:val="22"/>
        </w:rPr>
        <w:t>, 2014]</w:t>
      </w:r>
      <w:r w:rsidRPr="005C594D">
        <w:rPr>
          <w:szCs w:val="22"/>
        </w:rPr>
        <w:t xml:space="preserve">.  </w:t>
      </w:r>
      <w:r w:rsidRPr="005C594D">
        <w:rPr>
          <w:color w:val="000000"/>
          <w:szCs w:val="22"/>
        </w:rPr>
        <w:t>All comments</w:t>
      </w:r>
      <w:r>
        <w:rPr>
          <w:color w:val="000000"/>
          <w:szCs w:val="22"/>
        </w:rPr>
        <w:t xml:space="preserve"> and reply comments should reference the subject plan amendment and </w:t>
      </w:r>
      <w:r>
        <w:rPr>
          <w:b/>
          <w:iCs/>
          <w:color w:val="000000"/>
          <w:szCs w:val="22"/>
        </w:rPr>
        <w:t>PR Docket No. 90-119</w:t>
      </w:r>
      <w:r>
        <w:rPr>
          <w:b/>
          <w:color w:val="000000"/>
          <w:szCs w:val="22"/>
        </w:rPr>
        <w:t>.</w:t>
      </w:r>
      <w:r>
        <w:rPr>
          <w:iCs/>
          <w:color w:val="000000"/>
          <w:szCs w:val="22"/>
        </w:rPr>
        <w:t xml:space="preserve">  Parties may file </w:t>
      </w:r>
      <w:r>
        <w:rPr>
          <w:szCs w:val="22"/>
        </w:rPr>
        <w:t xml:space="preserve">comments and reply comments by using (1) the Commission’s Electronic Comment Filing System (ECFS), (2) the Federal Government’s eRulemaking Portal, or (3) by filing paper copies.  </w:t>
      </w:r>
      <w:r>
        <w:rPr>
          <w:i/>
          <w:szCs w:val="22"/>
        </w:rPr>
        <w:t>See</w:t>
      </w:r>
      <w:r>
        <w:rPr>
          <w:szCs w:val="22"/>
        </w:rPr>
        <w:t xml:space="preserve"> Electronic Filing of Documents in Rulemaking Proceedings, 63 FR 24121 (1998).</w:t>
      </w:r>
    </w:p>
    <w:p w:rsidR="00D40496" w:rsidRDefault="00D40496" w:rsidP="00D40496">
      <w:pPr>
        <w:ind w:left="1440" w:hanging="720"/>
        <w:rPr>
          <w:szCs w:val="22"/>
        </w:rPr>
      </w:pPr>
    </w:p>
    <w:p w:rsidR="00D40496" w:rsidRPr="00991A01" w:rsidRDefault="00D40496" w:rsidP="00D40496">
      <w:pPr>
        <w:pStyle w:val="ListParagraph"/>
        <w:numPr>
          <w:ilvl w:val="0"/>
          <w:numId w:val="14"/>
        </w:numPr>
        <w:rPr>
          <w:szCs w:val="22"/>
        </w:rPr>
      </w:pPr>
      <w:r w:rsidRPr="00991A01">
        <w:rPr>
          <w:rFonts w:cs="Courier New"/>
          <w:szCs w:val="22"/>
          <w:u w:val="single"/>
        </w:rPr>
        <w:t>Electronic Filers</w:t>
      </w:r>
      <w:r w:rsidRPr="00991A01">
        <w:rPr>
          <w:rFonts w:cs="Courier New"/>
          <w:szCs w:val="22"/>
        </w:rPr>
        <w:t>:  Comments and reply comments may be filed electronically using the Internet by accessing the ECFS:  http://www.fcc.gov/cgb/ecfs or the Federal eRulemaking Portal:  http://www.regulations.gov.  Filers should follow the instructions provided on the</w:t>
      </w:r>
      <w:r w:rsidRPr="00991A01">
        <w:rPr>
          <w:szCs w:val="22"/>
        </w:rPr>
        <w:t xml:space="preserve"> website for submitting comments.  </w:t>
      </w:r>
    </w:p>
    <w:p w:rsidR="00D40496" w:rsidRDefault="00D40496" w:rsidP="00D40496">
      <w:pPr>
        <w:ind w:left="720"/>
        <w:rPr>
          <w:szCs w:val="22"/>
        </w:rPr>
      </w:pPr>
    </w:p>
    <w:p w:rsidR="00D40496" w:rsidRPr="00991A01" w:rsidRDefault="00D40496" w:rsidP="00D40496">
      <w:pPr>
        <w:pStyle w:val="ListParagraph"/>
        <w:numPr>
          <w:ilvl w:val="0"/>
          <w:numId w:val="14"/>
        </w:numPr>
        <w:rPr>
          <w:szCs w:val="22"/>
        </w:rPr>
      </w:pPr>
      <w:r w:rsidRPr="00991A01">
        <w:rPr>
          <w:rFonts w:cs="Courier New"/>
          <w:szCs w:val="22"/>
          <w:u w:val="single"/>
        </w:rPr>
        <w:t>For ECFS Filers</w:t>
      </w:r>
      <w:r w:rsidRPr="00991A01">
        <w:rPr>
          <w:rFonts w:cs="Courier New"/>
          <w:szCs w:val="22"/>
        </w:rPr>
        <w:t>:  I</w:t>
      </w:r>
      <w:r w:rsidRPr="00991A01">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991A01">
        <w:rPr>
          <w:rFonts w:cs="Courier New"/>
          <w:szCs w:val="22"/>
        </w:rPr>
        <w:t>include</w:t>
      </w:r>
      <w:r w:rsidRPr="00991A01">
        <w:rPr>
          <w:szCs w:val="22"/>
        </w:rPr>
        <w:t xml:space="preserve"> the following words in the body of the message: “get form.”  A sample form and directions will be sent in response.</w:t>
      </w:r>
    </w:p>
    <w:p w:rsidR="00D40496" w:rsidRDefault="00D40496" w:rsidP="00D40496">
      <w:pPr>
        <w:rPr>
          <w:rFonts w:cs="Courier New"/>
          <w:szCs w:val="22"/>
          <w:u w:val="single"/>
        </w:rPr>
      </w:pPr>
    </w:p>
    <w:p w:rsidR="00D40496" w:rsidRPr="00991A01" w:rsidRDefault="00D40496" w:rsidP="00D40496">
      <w:pPr>
        <w:pStyle w:val="ListParagraph"/>
        <w:numPr>
          <w:ilvl w:val="0"/>
          <w:numId w:val="14"/>
        </w:numPr>
        <w:rPr>
          <w:szCs w:val="22"/>
        </w:rPr>
      </w:pPr>
      <w:r w:rsidRPr="00991A01">
        <w:rPr>
          <w:rFonts w:cs="Courier New"/>
          <w:szCs w:val="22"/>
          <w:u w:val="single"/>
        </w:rPr>
        <w:t>Paper Filers</w:t>
      </w:r>
      <w:r w:rsidRPr="00991A01">
        <w:rPr>
          <w:rFonts w:cs="Courier New"/>
          <w:szCs w:val="22"/>
        </w:rPr>
        <w:t>:  Parties who choose to file by paper must file an original</w:t>
      </w:r>
      <w:r w:rsidRPr="00991A01">
        <w:rPr>
          <w:szCs w:val="22"/>
        </w:rPr>
        <w:t xml:space="preserve"> and four copies of each filing. </w:t>
      </w:r>
    </w:p>
    <w:p w:rsidR="00D40496" w:rsidRDefault="00D40496" w:rsidP="00D40496">
      <w:pPr>
        <w:ind w:firstLine="720"/>
        <w:rPr>
          <w:szCs w:val="22"/>
        </w:rPr>
      </w:pPr>
    </w:p>
    <w:p w:rsidR="00D40496" w:rsidRDefault="00D40496" w:rsidP="00D40496">
      <w:pPr>
        <w:ind w:firstLine="720"/>
        <w:rPr>
          <w:szCs w:val="22"/>
        </w:rPr>
      </w:pPr>
      <w:r>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D40496" w:rsidRDefault="00D40496" w:rsidP="00D40496">
      <w:pPr>
        <w:ind w:left="1440" w:hanging="720"/>
        <w:rPr>
          <w:szCs w:val="22"/>
        </w:rPr>
      </w:pPr>
    </w:p>
    <w:p w:rsidR="00D40496" w:rsidRDefault="00D40496" w:rsidP="00D40496">
      <w:pPr>
        <w:pStyle w:val="ListParagraph"/>
        <w:numPr>
          <w:ilvl w:val="0"/>
          <w:numId w:val="13"/>
        </w:numPr>
        <w:rPr>
          <w:szCs w:val="22"/>
        </w:rPr>
      </w:pPr>
      <w:r w:rsidRPr="00991A01">
        <w:rPr>
          <w:rFonts w:cs="Courier New"/>
          <w:szCs w:val="22"/>
        </w:rPr>
        <w:t>Effective December 28, 2009, commenters must submit all hand-delivered or messenger-delivered paper filings for the Commission’s Secretary to FCC Headquarters at 445 12</w:t>
      </w:r>
      <w:r w:rsidRPr="00991A01">
        <w:rPr>
          <w:rFonts w:cs="Courier New"/>
          <w:szCs w:val="22"/>
          <w:vertAlign w:val="superscript"/>
        </w:rPr>
        <w:t>th</w:t>
      </w:r>
      <w:r w:rsidRPr="00991A01">
        <w:rPr>
          <w:rFonts w:cs="Courier New"/>
          <w:szCs w:val="22"/>
        </w:rPr>
        <w:t xml:space="preserve"> Street, SW, Room TW-A325, Washington, DC 20554.  All hand deliveries must be </w:t>
      </w:r>
      <w:r w:rsidRPr="00991A01">
        <w:rPr>
          <w:szCs w:val="22"/>
        </w:rPr>
        <w:t xml:space="preserve">held together with rubber bands or fasteners.  Any envelopes must be disposed of before entering the building.  </w:t>
      </w:r>
      <w:r w:rsidRPr="00991A01">
        <w:rPr>
          <w:b/>
          <w:szCs w:val="22"/>
        </w:rPr>
        <w:t xml:space="preserve">PLEASE NOTE:  </w:t>
      </w:r>
      <w:r w:rsidRPr="00991A01">
        <w:rPr>
          <w:szCs w:val="22"/>
        </w:rPr>
        <w:t xml:space="preserve">The Commission’s former filing location at 236 Massachusetts Avenue, NE is permanently closed. </w:t>
      </w:r>
    </w:p>
    <w:p w:rsidR="00D40496" w:rsidRDefault="00D40496" w:rsidP="00D40496">
      <w:pPr>
        <w:pStyle w:val="ListParagraph"/>
        <w:rPr>
          <w:szCs w:val="22"/>
        </w:rPr>
      </w:pPr>
    </w:p>
    <w:p w:rsidR="00D40496" w:rsidRPr="00991A01" w:rsidRDefault="00D40496" w:rsidP="00D40496">
      <w:pPr>
        <w:pStyle w:val="ListParagraph"/>
        <w:numPr>
          <w:ilvl w:val="0"/>
          <w:numId w:val="13"/>
        </w:numPr>
        <w:rPr>
          <w:szCs w:val="22"/>
        </w:rPr>
      </w:pPr>
      <w:r w:rsidRPr="00991A01">
        <w:rPr>
          <w:rFonts w:cs="Courier New"/>
          <w:szCs w:val="22"/>
        </w:rPr>
        <w:t xml:space="preserve">Commercial </w:t>
      </w:r>
      <w:r w:rsidRPr="00991A01">
        <w:rPr>
          <w:szCs w:val="22"/>
        </w:rPr>
        <w:t>overnight</w:t>
      </w:r>
      <w:r w:rsidRPr="00991A01">
        <w:rPr>
          <w:rFonts w:cs="Courier New"/>
          <w:szCs w:val="22"/>
        </w:rPr>
        <w:t xml:space="preserve"> mail (other than U.S. Postal Service Express </w:t>
      </w:r>
      <w:r w:rsidRPr="00991A01">
        <w:rPr>
          <w:szCs w:val="22"/>
        </w:rPr>
        <w:t>Mail and Priority Mail) must be sent to 9300 East Hampton Drive, Capitol Heights, MD 20743.</w:t>
      </w:r>
    </w:p>
    <w:p w:rsidR="00D40496" w:rsidRDefault="00D40496" w:rsidP="00D40496">
      <w:pPr>
        <w:ind w:left="1440" w:hanging="720"/>
        <w:rPr>
          <w:szCs w:val="22"/>
        </w:rPr>
      </w:pPr>
    </w:p>
    <w:p w:rsidR="00D40496" w:rsidRPr="00991A01" w:rsidRDefault="00D40496" w:rsidP="00D40496">
      <w:pPr>
        <w:pStyle w:val="ListParagraph"/>
        <w:numPr>
          <w:ilvl w:val="0"/>
          <w:numId w:val="13"/>
        </w:numPr>
        <w:rPr>
          <w:rFonts w:eastAsia="Batang" w:cs="Batang"/>
          <w:szCs w:val="22"/>
        </w:rPr>
      </w:pPr>
      <w:r w:rsidRPr="00991A01">
        <w:rPr>
          <w:rFonts w:cs="Courier New"/>
          <w:szCs w:val="22"/>
        </w:rPr>
        <w:t xml:space="preserve">U.S. Postal </w:t>
      </w:r>
      <w:r w:rsidRPr="00991A01">
        <w:rPr>
          <w:szCs w:val="22"/>
        </w:rPr>
        <w:t>Service</w:t>
      </w:r>
      <w:r w:rsidRPr="00991A01">
        <w:rPr>
          <w:rFonts w:cs="Courier New"/>
          <w:szCs w:val="22"/>
        </w:rPr>
        <w:t xml:space="preserve"> first-class, Express, and Priority mail should be addressed to 445 12th Street, SW, Washington, D.C. 20554.</w:t>
      </w:r>
    </w:p>
    <w:p w:rsidR="00D40496" w:rsidRDefault="00D40496" w:rsidP="00D40496">
      <w:pPr>
        <w:rPr>
          <w:rFonts w:eastAsia="Batang" w:cs="Batang"/>
          <w:szCs w:val="22"/>
        </w:rPr>
      </w:pPr>
    </w:p>
    <w:p w:rsidR="00D40496" w:rsidRPr="00991A01" w:rsidRDefault="00D40496" w:rsidP="00D40496">
      <w:pPr>
        <w:pStyle w:val="ListParagraph"/>
        <w:numPr>
          <w:ilvl w:val="0"/>
          <w:numId w:val="13"/>
        </w:numPr>
        <w:rPr>
          <w:rFonts w:eastAsia="Batang" w:cs="Batang"/>
          <w:szCs w:val="22"/>
        </w:rPr>
      </w:pPr>
      <w:r w:rsidRPr="00991A01">
        <w:rPr>
          <w:rFonts w:cs="Courier New"/>
          <w:szCs w:val="22"/>
          <w:u w:val="single"/>
        </w:rPr>
        <w:t>People with Disabilities</w:t>
      </w:r>
      <w:r w:rsidRPr="00991A01">
        <w:rPr>
          <w:rFonts w:cs="Courier New"/>
          <w:szCs w:val="22"/>
        </w:rPr>
        <w:t xml:space="preserve">:  To request materials in accessible formats for people with disabilities (Braille, large print, electronic files, audio format), send an email to </w:t>
      </w:r>
      <w:r w:rsidRPr="00991A01">
        <w:rPr>
          <w:rFonts w:cs="Courier New"/>
          <w:szCs w:val="22"/>
          <w:u w:val="single"/>
        </w:rPr>
        <w:t xml:space="preserve">fcc504@fcc.gov </w:t>
      </w:r>
      <w:r w:rsidRPr="00991A01">
        <w:rPr>
          <w:rFonts w:cs="Courier New"/>
          <w:szCs w:val="22"/>
        </w:rPr>
        <w:t>or call the Consumer &amp; Governmental Affairs Bureau at (202) 418-0530 (voice), (202) 418-0432 (tty).</w:t>
      </w:r>
    </w:p>
    <w:p w:rsidR="00D40496" w:rsidRDefault="00D40496" w:rsidP="00D40496">
      <w:pPr>
        <w:rPr>
          <w:szCs w:val="22"/>
        </w:rPr>
      </w:pPr>
    </w:p>
    <w:p w:rsidR="00D40496" w:rsidRDefault="00D40496" w:rsidP="00D40496">
      <w:pPr>
        <w:ind w:firstLine="720"/>
        <w:rPr>
          <w:szCs w:val="22"/>
        </w:rPr>
      </w:pPr>
      <w:r>
        <w:rPr>
          <w:szCs w:val="22"/>
        </w:rPr>
        <w:lastRenderedPageBreak/>
        <w:t xml:space="preserve">Commenters must address all filings to the Commission’s Secretary, Marlene H. Dortch, Office of the Secretary, Federal Communications Commission, 445 12th Street, SW, Washington, D.C. 20554.  Parties must also serve one copy with the Commission’s copy contractor, Best Copy and Printing, Inc. (BCPI), Portals II, 445 12th Street, SW, Room CY-B402, Washington, D.C. 20554, (202) 488-5300, or via email to fcc@bcpiweb.com.  </w:t>
      </w:r>
    </w:p>
    <w:p w:rsidR="00D40496" w:rsidRDefault="00D40496" w:rsidP="00D40496">
      <w:pPr>
        <w:rPr>
          <w:szCs w:val="22"/>
        </w:rPr>
      </w:pPr>
    </w:p>
    <w:p w:rsidR="00D40496" w:rsidRDefault="00D40496" w:rsidP="00D40496">
      <w:pPr>
        <w:tabs>
          <w:tab w:val="left" w:pos="6030"/>
        </w:tabs>
        <w:autoSpaceDE w:val="0"/>
        <w:autoSpaceDN w:val="0"/>
        <w:adjustRightInd w:val="0"/>
        <w:ind w:firstLine="720"/>
        <w:rPr>
          <w:szCs w:val="22"/>
        </w:rPr>
      </w:pPr>
      <w:r>
        <w:rPr>
          <w:color w:val="000000"/>
          <w:szCs w:val="22"/>
        </w:rPr>
        <w:t xml:space="preserve">The Plan Amendment is available through ECFS at </w:t>
      </w:r>
      <w:r>
        <w:rPr>
          <w:szCs w:val="22"/>
        </w:rPr>
        <w:t xml:space="preserve">ecfs@fcc.gov.  Region 9 Plan documents in </w:t>
      </w:r>
      <w:r>
        <w:rPr>
          <w:b/>
          <w:iCs/>
          <w:color w:val="000000"/>
          <w:szCs w:val="22"/>
        </w:rPr>
        <w:t xml:space="preserve">PR Docket No. 90-119 </w:t>
      </w:r>
      <w:r>
        <w:rPr>
          <w:szCs w:val="22"/>
        </w:rPr>
        <w:t>are available for public inspection and copying during business hours at the FCC Reference Information Center, Portals II, 445 12th St. SW, Room CY</w:t>
      </w:r>
      <w:r>
        <w:rPr>
          <w:szCs w:val="22"/>
        </w:rPr>
        <w:noBreakHyphen/>
        <w:t>A257, Washington, D.C.</w:t>
      </w:r>
      <w:r>
        <w:rPr>
          <w:b/>
          <w:szCs w:val="22"/>
        </w:rPr>
        <w:t xml:space="preserve"> </w:t>
      </w:r>
      <w:r>
        <w:rPr>
          <w:szCs w:val="22"/>
        </w:rPr>
        <w:t xml:space="preserve">20554.  The documents may also be purchased from BCPI, telephone (202) 488-5300, facsimile (202) 488-5563, TTY (202) 488-5562, email fcc@bcpiweb.com.  </w:t>
      </w:r>
    </w:p>
    <w:p w:rsidR="00D40496" w:rsidRDefault="00D40496" w:rsidP="00D40496">
      <w:pPr>
        <w:tabs>
          <w:tab w:val="left" w:pos="6030"/>
        </w:tabs>
        <w:autoSpaceDE w:val="0"/>
        <w:autoSpaceDN w:val="0"/>
        <w:adjustRightInd w:val="0"/>
        <w:ind w:firstLine="720"/>
        <w:rPr>
          <w:iCs/>
          <w:color w:val="000000"/>
          <w:szCs w:val="22"/>
        </w:rPr>
      </w:pPr>
    </w:p>
    <w:p w:rsidR="00D40496" w:rsidRDefault="00D40496" w:rsidP="00D40496">
      <w:pPr>
        <w:ind w:firstLine="720"/>
        <w:rPr>
          <w:szCs w:val="22"/>
        </w:rPr>
      </w:pPr>
      <w:r>
        <w:rPr>
          <w:szCs w:val="22"/>
        </w:rPr>
        <w:t xml:space="preserve">For further information regarding this matter, contact Jeannie Benfaida, Policy and Licensing Division, Public Safety and Homeland Security Bureau at (202) 418-2313 or </w:t>
      </w:r>
      <w:hyperlink r:id="rId14" w:history="1">
        <w:r w:rsidRPr="00427C98">
          <w:rPr>
            <w:rStyle w:val="Hyperlink"/>
            <w:szCs w:val="22"/>
          </w:rPr>
          <w:t>Jeannie.Benfaida@fcc.gov</w:t>
        </w:r>
      </w:hyperlink>
      <w:r>
        <w:rPr>
          <w:szCs w:val="22"/>
        </w:rPr>
        <w:t>.</w:t>
      </w:r>
    </w:p>
    <w:p w:rsidR="00D40496" w:rsidRDefault="00D40496" w:rsidP="00D40496">
      <w:pPr>
        <w:ind w:firstLine="720"/>
        <w:rPr>
          <w:szCs w:val="22"/>
        </w:rPr>
      </w:pPr>
    </w:p>
    <w:p w:rsidR="00D40496" w:rsidRDefault="00D40496" w:rsidP="00D40496">
      <w:pPr>
        <w:autoSpaceDE w:val="0"/>
        <w:autoSpaceDN w:val="0"/>
        <w:adjustRightInd w:val="0"/>
        <w:jc w:val="center"/>
      </w:pPr>
      <w:r>
        <w:t>- FCC –</w:t>
      </w:r>
    </w:p>
    <w:p w:rsidR="00C2513F" w:rsidRDefault="00C2513F">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D0" w:rsidRDefault="003740D0">
      <w:r>
        <w:separator/>
      </w:r>
    </w:p>
  </w:endnote>
  <w:endnote w:type="continuationSeparator" w:id="0">
    <w:p w:rsidR="003740D0" w:rsidRDefault="0037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59" w:rsidRDefault="00540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59" w:rsidRDefault="00540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59" w:rsidRDefault="00540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D0" w:rsidRDefault="003740D0">
      <w:r>
        <w:separator/>
      </w:r>
    </w:p>
  </w:footnote>
  <w:footnote w:type="continuationSeparator" w:id="0">
    <w:p w:rsidR="003740D0" w:rsidRDefault="003740D0">
      <w:r>
        <w:continuationSeparator/>
      </w:r>
    </w:p>
  </w:footnote>
  <w:footnote w:id="1">
    <w:p w:rsidR="00D40496" w:rsidRDefault="00D40496" w:rsidP="00D40496">
      <w:pPr>
        <w:pStyle w:val="FootnoteText"/>
        <w:spacing w:after="120"/>
      </w:pPr>
      <w:r w:rsidRPr="00AE1F35">
        <w:rPr>
          <w:rStyle w:val="FootnoteReference"/>
          <w:sz w:val="20"/>
        </w:rPr>
        <w:footnoteRef/>
      </w:r>
      <w:r>
        <w:rPr>
          <w:sz w:val="20"/>
        </w:rPr>
        <w:t xml:space="preserve"> The Region 9</w:t>
      </w:r>
      <w:r w:rsidRPr="00AE1F35">
        <w:rPr>
          <w:sz w:val="20"/>
        </w:rPr>
        <w:t xml:space="preserve"> (</w:t>
      </w:r>
      <w:r>
        <w:rPr>
          <w:sz w:val="20"/>
        </w:rPr>
        <w:t>Florida</w:t>
      </w:r>
      <w:r w:rsidRPr="00AE1F35">
        <w:rPr>
          <w:sz w:val="20"/>
        </w:rPr>
        <w:t xml:space="preserve">) 800 MHz regional planning area consists of </w:t>
      </w:r>
      <w:r>
        <w:rPr>
          <w:sz w:val="20"/>
        </w:rPr>
        <w:t xml:space="preserve">the entire state of Florida.  </w:t>
      </w:r>
      <w:r w:rsidRPr="00AE1F35">
        <w:rPr>
          <w:sz w:val="20"/>
        </w:rPr>
        <w:t xml:space="preserve">   </w:t>
      </w:r>
    </w:p>
  </w:footnote>
  <w:footnote w:id="2">
    <w:p w:rsidR="00D40496" w:rsidRPr="00B74CB8" w:rsidRDefault="00D40496" w:rsidP="00D40496">
      <w:pPr>
        <w:widowControl w:val="0"/>
        <w:spacing w:after="120"/>
        <w:ind w:right="-18"/>
        <w:rPr>
          <w:sz w:val="20"/>
        </w:rPr>
      </w:pPr>
      <w:r w:rsidRPr="00AE1F35">
        <w:rPr>
          <w:rStyle w:val="FootnoteReference"/>
          <w:sz w:val="20"/>
        </w:rPr>
        <w:footnoteRef/>
      </w:r>
      <w:r w:rsidRPr="00AE1F35">
        <w:rPr>
          <w:sz w:val="20"/>
        </w:rPr>
        <w:t xml:space="preserve"> </w:t>
      </w:r>
      <w:r w:rsidRPr="00B74CB8">
        <w:rPr>
          <w:i/>
          <w:sz w:val="20"/>
        </w:rPr>
        <w:t xml:space="preserve">See </w:t>
      </w:r>
      <w:r w:rsidRPr="00B74CB8">
        <w:rPr>
          <w:sz w:val="20"/>
        </w:rPr>
        <w:t xml:space="preserve">Letter from Ray Carlson, Chair, Region 9 (Florida) 800 MHz Regional Planning Committee, to the Federal Communications Commission, Public Safety and Homeland Security Bureau (PSHSB), PR Docket No. 93-119 (filed Mar. 7, 2014) (Plan Amendment). </w:t>
      </w:r>
      <w:r w:rsidR="003E71EB" w:rsidRPr="00B74CB8">
        <w:rPr>
          <w:sz w:val="20"/>
        </w:rPr>
        <w:t xml:space="preserve"> On </w:t>
      </w:r>
      <w:r w:rsidR="009D2989" w:rsidRPr="00B74CB8">
        <w:rPr>
          <w:sz w:val="20"/>
        </w:rPr>
        <w:t>May 29, 2014</w:t>
      </w:r>
      <w:r w:rsidR="003E71EB" w:rsidRPr="00B74CB8">
        <w:rPr>
          <w:sz w:val="20"/>
        </w:rPr>
        <w:t xml:space="preserve">, Region 9 </w:t>
      </w:r>
      <w:r w:rsidR="009D2989" w:rsidRPr="00B74CB8">
        <w:rPr>
          <w:sz w:val="20"/>
        </w:rPr>
        <w:t xml:space="preserve">emailed staff to </w:t>
      </w:r>
      <w:r w:rsidR="003E71EB" w:rsidRPr="00B74CB8">
        <w:rPr>
          <w:sz w:val="20"/>
        </w:rPr>
        <w:t xml:space="preserve">correct a reference to Section 6.2.5 </w:t>
      </w:r>
      <w:r w:rsidR="009D2989" w:rsidRPr="00B74CB8">
        <w:rPr>
          <w:sz w:val="20"/>
        </w:rPr>
        <w:t xml:space="preserve">to read </w:t>
      </w:r>
      <w:r w:rsidR="009D2989" w:rsidRPr="00B74CB8">
        <w:rPr>
          <w:bCs/>
          <w:sz w:val="20"/>
        </w:rPr>
        <w:t>Section 6.2.5 (C)(D)(E).</w:t>
      </w:r>
    </w:p>
  </w:footnote>
  <w:footnote w:id="3">
    <w:p w:rsidR="00D40496" w:rsidRDefault="00D40496" w:rsidP="00D40496">
      <w:pPr>
        <w:pStyle w:val="FootnoteText"/>
        <w:spacing w:after="120"/>
      </w:pPr>
      <w:r>
        <w:rPr>
          <w:rStyle w:val="FootnoteReference"/>
        </w:rPr>
        <w:footnoteRef/>
      </w:r>
      <w:r>
        <w:t xml:space="preserve"> </w:t>
      </w:r>
      <w:r>
        <w:rPr>
          <w:sz w:val="20"/>
        </w:rPr>
        <w:t xml:space="preserve">The Region 9 (Florida) 800 MHz NPSPAC </w:t>
      </w:r>
      <w:r w:rsidRPr="001E52D8">
        <w:rPr>
          <w:sz w:val="20"/>
        </w:rPr>
        <w:t xml:space="preserve">Plan </w:t>
      </w:r>
      <w:r w:rsidR="003E71EB">
        <w:rPr>
          <w:sz w:val="20"/>
        </w:rPr>
        <w:t xml:space="preserve">was amended in 2009, </w:t>
      </w:r>
      <w:r>
        <w:rPr>
          <w:sz w:val="20"/>
        </w:rPr>
        <w:t xml:space="preserve"> </w:t>
      </w:r>
      <w:r w:rsidRPr="003733CF">
        <w:rPr>
          <w:i/>
          <w:sz w:val="20"/>
        </w:rPr>
        <w:t xml:space="preserve">see </w:t>
      </w:r>
      <w:r w:rsidRPr="003733CF">
        <w:rPr>
          <w:sz w:val="20"/>
        </w:rPr>
        <w:t xml:space="preserve">Public Safety and Homeland Security Bureau Approves Region 9 (Florida) NSPAC Regional Planning Committee Non-Streamlined Amendment to Reflect 800 MHz </w:t>
      </w:r>
      <w:r>
        <w:rPr>
          <w:sz w:val="20"/>
        </w:rPr>
        <w:t>Band Reconfiguration in the 806-809/</w:t>
      </w:r>
      <w:r w:rsidRPr="003733CF">
        <w:rPr>
          <w:sz w:val="20"/>
        </w:rPr>
        <w:t>851-854,</w:t>
      </w:r>
      <w:r w:rsidRPr="003733CF">
        <w:rPr>
          <w:i/>
          <w:sz w:val="20"/>
        </w:rPr>
        <w:t xml:space="preserve"> </w:t>
      </w:r>
      <w:r w:rsidRPr="003733CF">
        <w:rPr>
          <w:sz w:val="20"/>
        </w:rPr>
        <w:t xml:space="preserve">WT Docket No. 02-55, PR Docket No. 90-119, </w:t>
      </w:r>
      <w:r w:rsidRPr="003733CF">
        <w:rPr>
          <w:i/>
          <w:sz w:val="20"/>
        </w:rPr>
        <w:t>Public Notice,</w:t>
      </w:r>
      <w:r w:rsidRPr="003733CF">
        <w:rPr>
          <w:sz w:val="20"/>
        </w:rPr>
        <w:t xml:space="preserve"> 24 FCC Rcd 13840 (PSHSB 2009).</w:t>
      </w:r>
    </w:p>
  </w:footnote>
  <w:footnote w:id="4">
    <w:p w:rsidR="00D40496" w:rsidRPr="007539C4" w:rsidRDefault="00D40496" w:rsidP="00D40496">
      <w:pPr>
        <w:autoSpaceDE w:val="0"/>
        <w:autoSpaceDN w:val="0"/>
        <w:adjustRightInd w:val="0"/>
        <w:spacing w:after="120"/>
        <w:rPr>
          <w:rFonts w:ascii="TimesNewRoman,Italic" w:hAnsi="TimesNewRoman,Italic" w:cs="TimesNewRoman,Italic"/>
          <w:i/>
          <w:iCs/>
          <w:color w:val="010101"/>
          <w:sz w:val="20"/>
        </w:rPr>
      </w:pPr>
      <w:r>
        <w:rPr>
          <w:rStyle w:val="FootnoteReference"/>
        </w:rPr>
        <w:footnoteRef/>
      </w:r>
      <w:r>
        <w:t xml:space="preserve"> </w:t>
      </w:r>
      <w:r>
        <w:rPr>
          <w:i/>
          <w:sz w:val="20"/>
        </w:rPr>
        <w:t>See</w:t>
      </w:r>
      <w:r>
        <w:rPr>
          <w:sz w:val="20"/>
        </w:rPr>
        <w:t xml:space="preserve"> Development and Implementation of a Public Safety National Plan and Amendment of Part 90 to Establish Service Rules and Technical Standards for Use of the 821-824/766-869 MHz Bands by the Public Safety Services, General Docket No. 87-112, </w:t>
      </w:r>
      <w:r>
        <w:rPr>
          <w:i/>
          <w:sz w:val="20"/>
        </w:rPr>
        <w:t xml:space="preserve">Report and Order, </w:t>
      </w:r>
      <w:r>
        <w:rPr>
          <w:sz w:val="20"/>
        </w:rPr>
        <w:t xml:space="preserve">3 FCC Rcd 905 (1987).  The band was modified by the Commission in the </w:t>
      </w:r>
      <w:r>
        <w:rPr>
          <w:i/>
          <w:sz w:val="20"/>
        </w:rPr>
        <w:t xml:space="preserve">Rebanding </w:t>
      </w:r>
      <w:r>
        <w:rPr>
          <w:sz w:val="20"/>
        </w:rPr>
        <w:t xml:space="preserve">proceeding, WT Docket 02-55, by shifting the NPSPAC band down by 15 megahertz to 806-809/851-854 MHz.  </w:t>
      </w:r>
      <w:r w:rsidRPr="007539C4">
        <w:rPr>
          <w:i/>
          <w:sz w:val="20"/>
        </w:rPr>
        <w:t>See</w:t>
      </w:r>
      <w:r>
        <w:rPr>
          <w:sz w:val="20"/>
        </w:rPr>
        <w:t xml:space="preserve"> </w:t>
      </w:r>
      <w:r w:rsidRPr="00934CE5">
        <w:rPr>
          <w:color w:val="010101"/>
          <w:sz w:val="20"/>
        </w:rPr>
        <w:t xml:space="preserve">Improving Public Safety Communications in the 800 MHz Band, WT Docket No. 02-55, </w:t>
      </w:r>
      <w:r w:rsidRPr="00934CE5">
        <w:rPr>
          <w:i/>
          <w:iCs/>
          <w:color w:val="010101"/>
          <w:sz w:val="20"/>
        </w:rPr>
        <w:t>Report and Order, Fifth Report and Order, Fourth Memorandum Opinion and Order, and Order</w:t>
      </w:r>
      <w:r w:rsidRPr="00934CE5">
        <w:rPr>
          <w:color w:val="010101"/>
          <w:sz w:val="20"/>
        </w:rPr>
        <w:t>, 19 FCC Rcd 14969 (2004).</w:t>
      </w:r>
    </w:p>
  </w:footnote>
  <w:footnote w:id="5">
    <w:p w:rsidR="00D40496" w:rsidRPr="001A2DA5" w:rsidRDefault="00D40496" w:rsidP="00D40496">
      <w:pPr>
        <w:pStyle w:val="FootnoteText"/>
        <w:spacing w:after="120"/>
        <w:rPr>
          <w:sz w:val="20"/>
        </w:rPr>
      </w:pPr>
      <w:r w:rsidRPr="001A2DA5">
        <w:rPr>
          <w:rStyle w:val="FootnoteReference"/>
          <w:sz w:val="20"/>
        </w:rPr>
        <w:footnoteRef/>
      </w:r>
      <w:r w:rsidRPr="001A2DA5">
        <w:rPr>
          <w:sz w:val="20"/>
        </w:rPr>
        <w:t xml:space="preserve"> Plan Amendment, Appendix F – Adjacent Region Concurrence with the Florida Plan at 80-82.</w:t>
      </w:r>
    </w:p>
  </w:footnote>
  <w:footnote w:id="6">
    <w:p w:rsidR="00D40496" w:rsidRPr="001574F7" w:rsidRDefault="00D40496" w:rsidP="00D40496">
      <w:pPr>
        <w:pStyle w:val="FootnoteText"/>
        <w:spacing w:after="120"/>
        <w:rPr>
          <w:sz w:val="20"/>
        </w:rPr>
      </w:pPr>
      <w:r w:rsidRPr="001574F7">
        <w:rPr>
          <w:rStyle w:val="FootnoteReference"/>
          <w:sz w:val="20"/>
        </w:rPr>
        <w:footnoteRef/>
      </w:r>
      <w:r w:rsidRPr="001574F7">
        <w:rPr>
          <w:sz w:val="20"/>
        </w:rPr>
        <w:t xml:space="preserve"> Plan Amendment at 10.</w:t>
      </w:r>
    </w:p>
  </w:footnote>
  <w:footnote w:id="7">
    <w:p w:rsidR="00D40496" w:rsidRPr="005645BD" w:rsidRDefault="00D40496" w:rsidP="00D40496">
      <w:pPr>
        <w:pStyle w:val="FootnoteText"/>
        <w:rPr>
          <w:i/>
          <w:sz w:val="20"/>
        </w:rPr>
      </w:pPr>
      <w:r>
        <w:rPr>
          <w:rStyle w:val="FootnoteReference"/>
        </w:rPr>
        <w:footnoteRef/>
      </w:r>
      <w:r>
        <w:t xml:space="preserve"> </w:t>
      </w:r>
      <w:r>
        <w:rPr>
          <w:i/>
          <w:sz w:val="20"/>
        </w:rPr>
        <w:t>Id</w:t>
      </w:r>
      <w:r>
        <w:rPr>
          <w:sz w:val="20"/>
        </w:rPr>
        <w:t>.</w:t>
      </w:r>
      <w:r>
        <w:rPr>
          <w:i/>
          <w:sz w:val="20"/>
        </w:rPr>
        <w:t xml:space="preserve"> </w:t>
      </w:r>
      <w:r w:rsidRPr="007539C4">
        <w:rPr>
          <w:sz w:val="20"/>
        </w:rPr>
        <w:t>at</w:t>
      </w:r>
      <w:r w:rsidR="00945337">
        <w:rPr>
          <w:sz w:val="20"/>
        </w:rPr>
        <w:t xml:space="preserve"> </w:t>
      </w:r>
      <w:r w:rsidRPr="007539C4">
        <w:rPr>
          <w:sz w:val="20"/>
        </w:rPr>
        <w:t>10.</w:t>
      </w:r>
      <w:r w:rsidRPr="005645BD">
        <w:rPr>
          <w:i/>
          <w:sz w:val="20"/>
        </w:rPr>
        <w:t xml:space="preserve">  </w:t>
      </w:r>
    </w:p>
  </w:footnote>
  <w:footnote w:id="8">
    <w:p w:rsidR="00D40496" w:rsidRPr="005645BD" w:rsidRDefault="00D40496" w:rsidP="00D40496">
      <w:pPr>
        <w:pStyle w:val="FootnoteText"/>
      </w:pPr>
      <w:r w:rsidRPr="005645BD">
        <w:rPr>
          <w:rStyle w:val="FootnoteReference"/>
          <w:sz w:val="20"/>
        </w:rPr>
        <w:footnoteRef/>
      </w:r>
      <w:r w:rsidRPr="005645BD">
        <w:rPr>
          <w:sz w:val="20"/>
        </w:rPr>
        <w:t xml:space="preserve"> </w:t>
      </w:r>
      <w:r w:rsidRPr="005645BD">
        <w:rPr>
          <w:i/>
          <w:sz w:val="20"/>
        </w:rPr>
        <w:t>Id</w:t>
      </w:r>
      <w:r>
        <w:rPr>
          <w:sz w:val="20"/>
        </w:rPr>
        <w:t>.</w:t>
      </w:r>
      <w:r>
        <w:rPr>
          <w:i/>
          <w:sz w:val="20"/>
        </w:rPr>
        <w:t xml:space="preserve"> </w:t>
      </w:r>
      <w:r w:rsidRPr="007539C4">
        <w:rPr>
          <w:sz w:val="20"/>
        </w:rPr>
        <w:t xml:space="preserve">at 59. </w:t>
      </w:r>
    </w:p>
  </w:footnote>
  <w:footnote w:id="9">
    <w:p w:rsidR="00D40496" w:rsidRPr="00FA74AB" w:rsidRDefault="00D40496" w:rsidP="00D40496">
      <w:pPr>
        <w:pStyle w:val="FootnoteText"/>
        <w:rPr>
          <w:sz w:val="20"/>
        </w:rPr>
      </w:pPr>
      <w:r>
        <w:rPr>
          <w:rStyle w:val="FootnoteReference"/>
        </w:rPr>
        <w:footnoteRef/>
      </w:r>
      <w:r>
        <w:t xml:space="preserve"> </w:t>
      </w:r>
      <w:r>
        <w:rPr>
          <w:i/>
          <w:sz w:val="20"/>
        </w:rPr>
        <w:t>Id</w:t>
      </w:r>
      <w:r>
        <w:rPr>
          <w:sz w:val="20"/>
        </w:rPr>
        <w:t>.</w:t>
      </w:r>
      <w:r>
        <w:rPr>
          <w:i/>
          <w:sz w:val="20"/>
        </w:rPr>
        <w:t xml:space="preserve"> </w:t>
      </w:r>
      <w:r w:rsidRPr="007539C4">
        <w:rPr>
          <w:sz w:val="20"/>
        </w:rPr>
        <w:t>at 62.</w:t>
      </w:r>
    </w:p>
  </w:footnote>
  <w:footnote w:id="10">
    <w:p w:rsidR="00D40496" w:rsidRPr="00FA74AB" w:rsidRDefault="00D40496" w:rsidP="00D40496">
      <w:pPr>
        <w:pStyle w:val="FootnoteText"/>
        <w:rPr>
          <w:sz w:val="20"/>
        </w:rPr>
      </w:pPr>
      <w:r w:rsidRPr="00FA74AB">
        <w:rPr>
          <w:rStyle w:val="FootnoteReference"/>
          <w:sz w:val="20"/>
        </w:rPr>
        <w:footnoteRef/>
      </w:r>
      <w:r w:rsidRPr="00FA74AB">
        <w:rPr>
          <w:sz w:val="20"/>
        </w:rPr>
        <w:t xml:space="preserve"> </w:t>
      </w:r>
      <w:r>
        <w:rPr>
          <w:i/>
          <w:sz w:val="20"/>
        </w:rPr>
        <w:t>Id</w:t>
      </w:r>
      <w:r>
        <w:rPr>
          <w:sz w:val="20"/>
        </w:rPr>
        <w:t>.</w:t>
      </w:r>
      <w:r>
        <w:rPr>
          <w:i/>
          <w:sz w:val="20"/>
        </w:rPr>
        <w:t xml:space="preserve"> </w:t>
      </w:r>
      <w:r w:rsidRPr="007539C4">
        <w:rPr>
          <w:sz w:val="20"/>
        </w:rPr>
        <w:t xml:space="preserve">at </w:t>
      </w:r>
      <w:r>
        <w:rPr>
          <w:sz w:val="20"/>
        </w:rPr>
        <w:t>65-66</w:t>
      </w:r>
      <w:r w:rsidRPr="007539C4">
        <w:rPr>
          <w:sz w:val="20"/>
        </w:rPr>
        <w:t>.</w:t>
      </w:r>
    </w:p>
  </w:footnote>
  <w:footnote w:id="11">
    <w:p w:rsidR="00D40496" w:rsidRDefault="00D40496" w:rsidP="00D40496">
      <w:pPr>
        <w:pStyle w:val="FootnoteText"/>
      </w:pPr>
      <w:r>
        <w:rPr>
          <w:rStyle w:val="FootnoteReference"/>
        </w:rPr>
        <w:footnoteRef/>
      </w:r>
      <w:r>
        <w:t xml:space="preserve"> </w:t>
      </w:r>
      <w:r>
        <w:rPr>
          <w:i/>
          <w:sz w:val="20"/>
        </w:rPr>
        <w:t>Id</w:t>
      </w:r>
      <w:r>
        <w:rPr>
          <w:sz w:val="20"/>
        </w:rPr>
        <w:t>.</w:t>
      </w:r>
      <w:r>
        <w:rPr>
          <w:i/>
          <w:sz w:val="20"/>
        </w:rPr>
        <w:t xml:space="preserve"> </w:t>
      </w:r>
      <w:r w:rsidRPr="007539C4">
        <w:rPr>
          <w:sz w:val="20"/>
        </w:rPr>
        <w:t>at 77.</w:t>
      </w:r>
      <w:r>
        <w:rPr>
          <w:i/>
          <w:sz w:val="20"/>
        </w:rPr>
        <w:t xml:space="preserve">  </w:t>
      </w:r>
    </w:p>
  </w:footnote>
  <w:footnote w:id="12">
    <w:p w:rsidR="00D40496" w:rsidRPr="007539C4" w:rsidRDefault="00D40496" w:rsidP="00D40496">
      <w:pPr>
        <w:pStyle w:val="FootnoteText"/>
        <w:rPr>
          <w:sz w:val="20"/>
        </w:rPr>
      </w:pPr>
      <w:r>
        <w:rPr>
          <w:rStyle w:val="FootnoteReference"/>
        </w:rPr>
        <w:footnoteRef/>
      </w:r>
      <w:r>
        <w:t xml:space="preserve"> </w:t>
      </w:r>
      <w:r w:rsidRPr="007539C4">
        <w:rPr>
          <w:i/>
          <w:sz w:val="20"/>
        </w:rPr>
        <w:t>Id</w:t>
      </w:r>
      <w:r w:rsidRPr="007539C4">
        <w:rPr>
          <w:sz w:val="20"/>
        </w:rPr>
        <w:t>. at Appendix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59" w:rsidRDefault="00540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59" w:rsidRDefault="00540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66F0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72E27CD" wp14:editId="70B9E0FA">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66F0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5F8BA2D" wp14:editId="520B24C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08F4E6D" wp14:editId="64C0546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173FFF0" wp14:editId="1A2E7D52">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45D432F"/>
    <w:multiLevelType w:val="hybridMultilevel"/>
    <w:tmpl w:val="57A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64C93"/>
    <w:multiLevelType w:val="hybridMultilevel"/>
    <w:tmpl w:val="6B8067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6452E92"/>
    <w:multiLevelType w:val="hybridMultilevel"/>
    <w:tmpl w:val="64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2"/>
  </w:num>
  <w:num w:numId="12">
    <w:abstractNumId w:val="1"/>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0A"/>
    <w:rsid w:val="00016AB9"/>
    <w:rsid w:val="000265AE"/>
    <w:rsid w:val="0009645A"/>
    <w:rsid w:val="00166F0A"/>
    <w:rsid w:val="003740D0"/>
    <w:rsid w:val="003E71EB"/>
    <w:rsid w:val="00540C59"/>
    <w:rsid w:val="005C594D"/>
    <w:rsid w:val="00602577"/>
    <w:rsid w:val="0065235B"/>
    <w:rsid w:val="006D4FAA"/>
    <w:rsid w:val="008B16E3"/>
    <w:rsid w:val="008E27F4"/>
    <w:rsid w:val="00945337"/>
    <w:rsid w:val="009D2989"/>
    <w:rsid w:val="00A22219"/>
    <w:rsid w:val="00B74CB8"/>
    <w:rsid w:val="00C15D55"/>
    <w:rsid w:val="00C2513F"/>
    <w:rsid w:val="00D17DC0"/>
    <w:rsid w:val="00D244AC"/>
    <w:rsid w:val="00D40496"/>
    <w:rsid w:val="00D60EFF"/>
    <w:rsid w:val="00E35E20"/>
    <w:rsid w:val="00EA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Pr>
      <w:vertAlign w:val="superscript"/>
    </w:rPr>
  </w:style>
  <w:style w:type="paragraph" w:styleId="FootnoteText">
    <w:name w:val="footnote text"/>
    <w:aliases w:val="Footnote Text Char1,Footnote Text Char Char"/>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
    <w:basedOn w:val="DefaultParagraphFont"/>
    <w:link w:val="FootnoteText"/>
    <w:uiPriority w:val="99"/>
    <w:semiHidden/>
    <w:rsid w:val="00D40496"/>
    <w:rPr>
      <w:sz w:val="22"/>
    </w:rPr>
  </w:style>
  <w:style w:type="paragraph" w:styleId="ListParagraph">
    <w:name w:val="List Paragraph"/>
    <w:basedOn w:val="Normal"/>
    <w:uiPriority w:val="99"/>
    <w:qFormat/>
    <w:rsid w:val="00D40496"/>
    <w:pPr>
      <w:ind w:left="720"/>
      <w:contextualSpacing/>
    </w:pPr>
  </w:style>
  <w:style w:type="character" w:styleId="CommentReference">
    <w:name w:val="annotation reference"/>
    <w:basedOn w:val="DefaultParagraphFont"/>
    <w:uiPriority w:val="99"/>
    <w:semiHidden/>
    <w:unhideWhenUsed/>
    <w:rsid w:val="0009645A"/>
    <w:rPr>
      <w:sz w:val="16"/>
      <w:szCs w:val="16"/>
    </w:rPr>
  </w:style>
  <w:style w:type="paragraph" w:styleId="CommentText">
    <w:name w:val="annotation text"/>
    <w:basedOn w:val="Normal"/>
    <w:link w:val="CommentTextChar"/>
    <w:uiPriority w:val="99"/>
    <w:semiHidden/>
    <w:unhideWhenUsed/>
    <w:rsid w:val="0009645A"/>
    <w:rPr>
      <w:sz w:val="20"/>
    </w:rPr>
  </w:style>
  <w:style w:type="character" w:customStyle="1" w:styleId="CommentTextChar">
    <w:name w:val="Comment Text Char"/>
    <w:basedOn w:val="DefaultParagraphFont"/>
    <w:link w:val="CommentText"/>
    <w:uiPriority w:val="99"/>
    <w:semiHidden/>
    <w:rsid w:val="0009645A"/>
  </w:style>
  <w:style w:type="paragraph" w:styleId="CommentSubject">
    <w:name w:val="annotation subject"/>
    <w:basedOn w:val="CommentText"/>
    <w:next w:val="CommentText"/>
    <w:link w:val="CommentSubjectChar"/>
    <w:uiPriority w:val="99"/>
    <w:semiHidden/>
    <w:unhideWhenUsed/>
    <w:rsid w:val="0009645A"/>
    <w:rPr>
      <w:b/>
      <w:bCs/>
    </w:rPr>
  </w:style>
  <w:style w:type="character" w:customStyle="1" w:styleId="CommentSubjectChar">
    <w:name w:val="Comment Subject Char"/>
    <w:basedOn w:val="CommentTextChar"/>
    <w:link w:val="CommentSubject"/>
    <w:uiPriority w:val="99"/>
    <w:semiHidden/>
    <w:rsid w:val="0009645A"/>
    <w:rPr>
      <w:b/>
      <w:bCs/>
    </w:rPr>
  </w:style>
  <w:style w:type="paragraph" w:styleId="BalloonText">
    <w:name w:val="Balloon Text"/>
    <w:basedOn w:val="Normal"/>
    <w:link w:val="BalloonTextChar"/>
    <w:uiPriority w:val="99"/>
    <w:semiHidden/>
    <w:unhideWhenUsed/>
    <w:rsid w:val="0009645A"/>
    <w:rPr>
      <w:rFonts w:ascii="Tahoma" w:hAnsi="Tahoma" w:cs="Tahoma"/>
      <w:sz w:val="16"/>
      <w:szCs w:val="16"/>
    </w:rPr>
  </w:style>
  <w:style w:type="character" w:customStyle="1" w:styleId="BalloonTextChar">
    <w:name w:val="Balloon Text Char"/>
    <w:basedOn w:val="DefaultParagraphFont"/>
    <w:link w:val="BalloonText"/>
    <w:uiPriority w:val="99"/>
    <w:semiHidden/>
    <w:rsid w:val="00096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Pr>
      <w:vertAlign w:val="superscript"/>
    </w:rPr>
  </w:style>
  <w:style w:type="paragraph" w:styleId="FootnoteText">
    <w:name w:val="footnote text"/>
    <w:aliases w:val="Footnote Text Char1,Footnote Text Char Char"/>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
    <w:basedOn w:val="DefaultParagraphFont"/>
    <w:link w:val="FootnoteText"/>
    <w:uiPriority w:val="99"/>
    <w:semiHidden/>
    <w:rsid w:val="00D40496"/>
    <w:rPr>
      <w:sz w:val="22"/>
    </w:rPr>
  </w:style>
  <w:style w:type="paragraph" w:styleId="ListParagraph">
    <w:name w:val="List Paragraph"/>
    <w:basedOn w:val="Normal"/>
    <w:uiPriority w:val="99"/>
    <w:qFormat/>
    <w:rsid w:val="00D40496"/>
    <w:pPr>
      <w:ind w:left="720"/>
      <w:contextualSpacing/>
    </w:pPr>
  </w:style>
  <w:style w:type="character" w:styleId="CommentReference">
    <w:name w:val="annotation reference"/>
    <w:basedOn w:val="DefaultParagraphFont"/>
    <w:uiPriority w:val="99"/>
    <w:semiHidden/>
    <w:unhideWhenUsed/>
    <w:rsid w:val="0009645A"/>
    <w:rPr>
      <w:sz w:val="16"/>
      <w:szCs w:val="16"/>
    </w:rPr>
  </w:style>
  <w:style w:type="paragraph" w:styleId="CommentText">
    <w:name w:val="annotation text"/>
    <w:basedOn w:val="Normal"/>
    <w:link w:val="CommentTextChar"/>
    <w:uiPriority w:val="99"/>
    <w:semiHidden/>
    <w:unhideWhenUsed/>
    <w:rsid w:val="0009645A"/>
    <w:rPr>
      <w:sz w:val="20"/>
    </w:rPr>
  </w:style>
  <w:style w:type="character" w:customStyle="1" w:styleId="CommentTextChar">
    <w:name w:val="Comment Text Char"/>
    <w:basedOn w:val="DefaultParagraphFont"/>
    <w:link w:val="CommentText"/>
    <w:uiPriority w:val="99"/>
    <w:semiHidden/>
    <w:rsid w:val="0009645A"/>
  </w:style>
  <w:style w:type="paragraph" w:styleId="CommentSubject">
    <w:name w:val="annotation subject"/>
    <w:basedOn w:val="CommentText"/>
    <w:next w:val="CommentText"/>
    <w:link w:val="CommentSubjectChar"/>
    <w:uiPriority w:val="99"/>
    <w:semiHidden/>
    <w:unhideWhenUsed/>
    <w:rsid w:val="0009645A"/>
    <w:rPr>
      <w:b/>
      <w:bCs/>
    </w:rPr>
  </w:style>
  <w:style w:type="character" w:customStyle="1" w:styleId="CommentSubjectChar">
    <w:name w:val="Comment Subject Char"/>
    <w:basedOn w:val="CommentTextChar"/>
    <w:link w:val="CommentSubject"/>
    <w:uiPriority w:val="99"/>
    <w:semiHidden/>
    <w:rsid w:val="0009645A"/>
    <w:rPr>
      <w:b/>
      <w:bCs/>
    </w:rPr>
  </w:style>
  <w:style w:type="paragraph" w:styleId="BalloonText">
    <w:name w:val="Balloon Text"/>
    <w:basedOn w:val="Normal"/>
    <w:link w:val="BalloonTextChar"/>
    <w:uiPriority w:val="99"/>
    <w:semiHidden/>
    <w:unhideWhenUsed/>
    <w:rsid w:val="0009645A"/>
    <w:rPr>
      <w:rFonts w:ascii="Tahoma" w:hAnsi="Tahoma" w:cs="Tahoma"/>
      <w:sz w:val="16"/>
      <w:szCs w:val="16"/>
    </w:rPr>
  </w:style>
  <w:style w:type="character" w:customStyle="1" w:styleId="BalloonTextChar">
    <w:name w:val="Balloon Text Char"/>
    <w:basedOn w:val="DefaultParagraphFont"/>
    <w:link w:val="BalloonText"/>
    <w:uiPriority w:val="99"/>
    <w:semiHidden/>
    <w:rsid w:val="00096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eannie.Benfaida@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4</Pages>
  <Words>1117</Words>
  <Characters>6394</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7550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2014-07-21T13:46:00Z</dcterms:created>
  <dcterms:modified xsi:type="dcterms:W3CDTF">2014-07-21T13:46:00Z</dcterms:modified>
  <cp:category> </cp:category>
  <cp:contentStatus> </cp:contentStatus>
</cp:coreProperties>
</file>