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A6" w:rsidRDefault="00762972" w:rsidP="00591C5D">
      <w:pPr>
        <w:widowControl/>
        <w:autoSpaceDE w:val="0"/>
        <w:autoSpaceDN w:val="0"/>
        <w:adjustRightInd w:val="0"/>
        <w:jc w:val="center"/>
        <w:rPr>
          <w:rFonts w:eastAsiaTheme="minorHAnsi"/>
          <w:snapToGrid/>
          <w:szCs w:val="24"/>
        </w:rPr>
      </w:pPr>
      <w:bookmarkStart w:id="0" w:name="_GoBack"/>
      <w:bookmarkEnd w:id="0"/>
      <w:r>
        <w:rPr>
          <w:rFonts w:eastAsiaTheme="minorHAnsi"/>
          <w:snapToGrid/>
          <w:szCs w:val="24"/>
        </w:rPr>
        <w:t xml:space="preserve">July </w:t>
      </w:r>
      <w:r w:rsidR="008F11F5">
        <w:rPr>
          <w:rFonts w:eastAsiaTheme="minorHAnsi"/>
          <w:snapToGrid/>
          <w:szCs w:val="24"/>
        </w:rPr>
        <w:t>21</w:t>
      </w:r>
      <w:r>
        <w:rPr>
          <w:rFonts w:eastAsiaTheme="minorHAnsi"/>
          <w:snapToGrid/>
          <w:szCs w:val="24"/>
        </w:rPr>
        <w:t>, 2014</w:t>
      </w:r>
    </w:p>
    <w:p w:rsidR="00D86C07" w:rsidRPr="00D86C07" w:rsidRDefault="00D86C07" w:rsidP="00591C5D">
      <w:pPr>
        <w:widowControl/>
        <w:autoSpaceDE w:val="0"/>
        <w:autoSpaceDN w:val="0"/>
        <w:adjustRightInd w:val="0"/>
        <w:jc w:val="center"/>
        <w:rPr>
          <w:rFonts w:eastAsiaTheme="minorHAnsi"/>
          <w:snapToGrid/>
          <w:sz w:val="16"/>
          <w:szCs w:val="16"/>
        </w:rPr>
      </w:pPr>
    </w:p>
    <w:p w:rsidR="00D86C07" w:rsidRDefault="007F0825" w:rsidP="00591C5D">
      <w:pPr>
        <w:widowControl/>
        <w:autoSpaceDE w:val="0"/>
        <w:autoSpaceDN w:val="0"/>
        <w:adjustRightInd w:val="0"/>
        <w:jc w:val="center"/>
        <w:rPr>
          <w:rFonts w:eastAsiaTheme="minorHAnsi"/>
          <w:snapToGrid/>
          <w:szCs w:val="24"/>
        </w:rPr>
      </w:pPr>
      <w:r>
        <w:rPr>
          <w:rFonts w:eastAsiaTheme="minorHAnsi"/>
          <w:snapToGrid/>
          <w:szCs w:val="24"/>
        </w:rPr>
        <w:t>DA 14-1027</w:t>
      </w:r>
    </w:p>
    <w:p w:rsidR="006F7AA6" w:rsidRPr="00D86C07" w:rsidRDefault="006F7AA6" w:rsidP="008B4109">
      <w:pPr>
        <w:widowControl/>
        <w:autoSpaceDE w:val="0"/>
        <w:autoSpaceDN w:val="0"/>
        <w:adjustRightInd w:val="0"/>
        <w:rPr>
          <w:rFonts w:eastAsiaTheme="minorHAnsi"/>
          <w:snapToGrid/>
          <w:sz w:val="16"/>
          <w:szCs w:val="16"/>
        </w:rPr>
      </w:pPr>
    </w:p>
    <w:p w:rsidR="008B4109" w:rsidRPr="008B4109" w:rsidRDefault="008B4109" w:rsidP="008B4109">
      <w:pPr>
        <w:widowControl/>
        <w:autoSpaceDE w:val="0"/>
        <w:autoSpaceDN w:val="0"/>
        <w:adjustRightInd w:val="0"/>
        <w:rPr>
          <w:rFonts w:eastAsiaTheme="minorHAnsi"/>
          <w:snapToGrid/>
          <w:szCs w:val="24"/>
        </w:rPr>
      </w:pPr>
      <w:r w:rsidRPr="008B4109">
        <w:rPr>
          <w:rFonts w:eastAsiaTheme="minorHAnsi"/>
          <w:snapToGrid/>
          <w:szCs w:val="24"/>
        </w:rPr>
        <w:t>Michael D. Basile</w:t>
      </w:r>
    </w:p>
    <w:p w:rsidR="008B4109" w:rsidRPr="008B4109" w:rsidRDefault="008B4109" w:rsidP="008B4109">
      <w:pPr>
        <w:widowControl/>
        <w:autoSpaceDE w:val="0"/>
        <w:autoSpaceDN w:val="0"/>
        <w:adjustRightInd w:val="0"/>
        <w:rPr>
          <w:rFonts w:eastAsiaTheme="minorHAnsi"/>
          <w:snapToGrid/>
          <w:szCs w:val="24"/>
        </w:rPr>
      </w:pPr>
      <w:r w:rsidRPr="008B4109">
        <w:rPr>
          <w:rFonts w:eastAsiaTheme="minorHAnsi"/>
          <w:snapToGrid/>
          <w:szCs w:val="24"/>
        </w:rPr>
        <w:t>Jason E. Rademacher</w:t>
      </w:r>
    </w:p>
    <w:p w:rsidR="008B4109" w:rsidRDefault="008B4109" w:rsidP="008B4109">
      <w:pPr>
        <w:widowControl/>
        <w:autoSpaceDE w:val="0"/>
        <w:autoSpaceDN w:val="0"/>
        <w:adjustRightInd w:val="0"/>
        <w:rPr>
          <w:rFonts w:eastAsiaTheme="minorHAnsi"/>
          <w:snapToGrid/>
          <w:szCs w:val="24"/>
        </w:rPr>
      </w:pPr>
      <w:r w:rsidRPr="008B4109">
        <w:rPr>
          <w:rFonts w:eastAsiaTheme="minorHAnsi"/>
          <w:snapToGrid/>
          <w:szCs w:val="24"/>
        </w:rPr>
        <w:t>Cooley LLP</w:t>
      </w:r>
    </w:p>
    <w:p w:rsidR="008B4109" w:rsidRPr="008B4109" w:rsidRDefault="008B4109" w:rsidP="008B4109">
      <w:pPr>
        <w:widowControl/>
        <w:autoSpaceDE w:val="0"/>
        <w:autoSpaceDN w:val="0"/>
        <w:adjustRightInd w:val="0"/>
        <w:rPr>
          <w:rFonts w:eastAsiaTheme="minorHAnsi"/>
          <w:snapToGrid/>
          <w:szCs w:val="24"/>
        </w:rPr>
      </w:pPr>
      <w:r w:rsidRPr="00591C5D">
        <w:rPr>
          <w:rFonts w:eastAsiaTheme="minorHAnsi"/>
          <w:snapToGrid/>
          <w:szCs w:val="24"/>
        </w:rPr>
        <w:t>Counsel for</w:t>
      </w:r>
      <w:r>
        <w:rPr>
          <w:rFonts w:eastAsiaTheme="minorHAnsi"/>
          <w:snapToGrid/>
          <w:szCs w:val="24"/>
        </w:rPr>
        <w:t xml:space="preserve"> Buckeye Cablevision, Inc.</w:t>
      </w:r>
    </w:p>
    <w:p w:rsidR="008B4109" w:rsidRDefault="008B4109" w:rsidP="008B4109">
      <w:pPr>
        <w:widowControl/>
        <w:autoSpaceDE w:val="0"/>
        <w:autoSpaceDN w:val="0"/>
        <w:adjustRightInd w:val="0"/>
        <w:rPr>
          <w:rFonts w:eastAsiaTheme="minorHAnsi"/>
          <w:snapToGrid/>
          <w:szCs w:val="24"/>
        </w:rPr>
      </w:pPr>
      <w:r w:rsidRPr="008B4109">
        <w:rPr>
          <w:rFonts w:eastAsiaTheme="minorHAnsi"/>
          <w:snapToGrid/>
          <w:szCs w:val="24"/>
        </w:rPr>
        <w:t>1299 Pennsylvania Avenue, N</w:t>
      </w:r>
      <w:r w:rsidR="00B74F9C">
        <w:rPr>
          <w:rFonts w:eastAsiaTheme="minorHAnsi"/>
          <w:snapToGrid/>
          <w:szCs w:val="24"/>
        </w:rPr>
        <w:t>.</w:t>
      </w:r>
      <w:r w:rsidRPr="008B4109">
        <w:rPr>
          <w:rFonts w:eastAsiaTheme="minorHAnsi"/>
          <w:snapToGrid/>
          <w:szCs w:val="24"/>
        </w:rPr>
        <w:t>W</w:t>
      </w:r>
      <w:r w:rsidR="00B74F9C">
        <w:rPr>
          <w:rFonts w:eastAsiaTheme="minorHAnsi"/>
          <w:snapToGrid/>
          <w:szCs w:val="24"/>
        </w:rPr>
        <w:t>.</w:t>
      </w:r>
    </w:p>
    <w:p w:rsidR="00B74F9C" w:rsidRPr="008B4109" w:rsidRDefault="00B74F9C" w:rsidP="008B4109">
      <w:pPr>
        <w:widowControl/>
        <w:autoSpaceDE w:val="0"/>
        <w:autoSpaceDN w:val="0"/>
        <w:adjustRightInd w:val="0"/>
        <w:rPr>
          <w:rFonts w:eastAsiaTheme="minorHAnsi"/>
          <w:snapToGrid/>
          <w:szCs w:val="24"/>
        </w:rPr>
      </w:pPr>
      <w:r>
        <w:rPr>
          <w:rFonts w:eastAsiaTheme="minorHAnsi"/>
          <w:snapToGrid/>
          <w:szCs w:val="24"/>
        </w:rPr>
        <w:t>Suite 700</w:t>
      </w:r>
    </w:p>
    <w:p w:rsidR="00822552" w:rsidRPr="008B4109" w:rsidRDefault="008B4109" w:rsidP="00822552">
      <w:pPr>
        <w:rPr>
          <w:szCs w:val="24"/>
        </w:rPr>
      </w:pPr>
      <w:r w:rsidRPr="008B4109">
        <w:rPr>
          <w:rFonts w:eastAsiaTheme="minorHAnsi"/>
          <w:snapToGrid/>
          <w:szCs w:val="24"/>
        </w:rPr>
        <w:t>Washington, DC 200</w:t>
      </w:r>
      <w:r w:rsidR="00B74F9C">
        <w:rPr>
          <w:rFonts w:eastAsiaTheme="minorHAnsi"/>
          <w:snapToGrid/>
          <w:szCs w:val="24"/>
        </w:rPr>
        <w:t>36</w:t>
      </w:r>
      <w:r w:rsidR="00822552" w:rsidRPr="008B4109">
        <w:rPr>
          <w:szCs w:val="24"/>
        </w:rPr>
        <w:t xml:space="preserve"> </w:t>
      </w:r>
    </w:p>
    <w:p w:rsidR="006F1C70" w:rsidRDefault="006F1C70" w:rsidP="00822552"/>
    <w:p w:rsidR="008B4109" w:rsidRDefault="008B4109" w:rsidP="008B4109">
      <w:pPr>
        <w:widowControl/>
        <w:autoSpaceDE w:val="0"/>
        <w:autoSpaceDN w:val="0"/>
        <w:adjustRightInd w:val="0"/>
        <w:rPr>
          <w:rFonts w:eastAsiaTheme="minorHAnsi"/>
          <w:snapToGrid/>
          <w:szCs w:val="24"/>
        </w:rPr>
      </w:pPr>
      <w:r>
        <w:rPr>
          <w:rFonts w:eastAsiaTheme="minorHAnsi"/>
          <w:snapToGrid/>
          <w:szCs w:val="24"/>
        </w:rPr>
        <w:t>Clifford M. Harrington</w:t>
      </w:r>
    </w:p>
    <w:p w:rsidR="008B4109" w:rsidRDefault="008B4109" w:rsidP="008B4109">
      <w:pPr>
        <w:widowControl/>
        <w:autoSpaceDE w:val="0"/>
        <w:autoSpaceDN w:val="0"/>
        <w:adjustRightInd w:val="0"/>
        <w:rPr>
          <w:rFonts w:eastAsiaTheme="minorHAnsi"/>
          <w:snapToGrid/>
          <w:szCs w:val="24"/>
        </w:rPr>
      </w:pPr>
      <w:r>
        <w:rPr>
          <w:rFonts w:eastAsiaTheme="minorHAnsi"/>
          <w:snapToGrid/>
          <w:szCs w:val="24"/>
        </w:rPr>
        <w:t>Paul A. Cicelski</w:t>
      </w:r>
    </w:p>
    <w:p w:rsidR="008B4109" w:rsidRDefault="008B4109" w:rsidP="008B4109">
      <w:pPr>
        <w:widowControl/>
        <w:autoSpaceDE w:val="0"/>
        <w:autoSpaceDN w:val="0"/>
        <w:adjustRightInd w:val="0"/>
        <w:rPr>
          <w:rFonts w:eastAsiaTheme="minorHAnsi"/>
          <w:snapToGrid/>
          <w:szCs w:val="24"/>
        </w:rPr>
      </w:pPr>
      <w:r>
        <w:rPr>
          <w:rFonts w:eastAsiaTheme="minorHAnsi"/>
          <w:snapToGrid/>
          <w:szCs w:val="24"/>
        </w:rPr>
        <w:t>Pillsbury Winthrop Shaw Pittman LLP</w:t>
      </w:r>
    </w:p>
    <w:p w:rsidR="008B4109" w:rsidRDefault="008B4109" w:rsidP="008B4109">
      <w:pPr>
        <w:widowControl/>
        <w:autoSpaceDE w:val="0"/>
        <w:autoSpaceDN w:val="0"/>
        <w:adjustRightInd w:val="0"/>
        <w:rPr>
          <w:rFonts w:eastAsiaTheme="minorHAnsi"/>
          <w:snapToGrid/>
          <w:szCs w:val="24"/>
        </w:rPr>
      </w:pPr>
      <w:r w:rsidRPr="00591C5D">
        <w:rPr>
          <w:rFonts w:eastAsiaTheme="minorHAnsi"/>
          <w:snapToGrid/>
          <w:szCs w:val="24"/>
        </w:rPr>
        <w:t>Counsel for</w:t>
      </w:r>
      <w:r w:rsidRPr="008B4109">
        <w:rPr>
          <w:rFonts w:eastAsiaTheme="minorHAnsi"/>
          <w:i/>
          <w:snapToGrid/>
          <w:szCs w:val="24"/>
        </w:rPr>
        <w:t xml:space="preserve"> </w:t>
      </w:r>
      <w:r>
        <w:rPr>
          <w:rFonts w:eastAsiaTheme="minorHAnsi"/>
          <w:snapToGrid/>
          <w:szCs w:val="24"/>
        </w:rPr>
        <w:t>Sinclair Broadcast Group, Inc.</w:t>
      </w:r>
    </w:p>
    <w:p w:rsidR="008B4109" w:rsidRDefault="008B4109" w:rsidP="008B4109">
      <w:pPr>
        <w:widowControl/>
        <w:autoSpaceDE w:val="0"/>
        <w:autoSpaceDN w:val="0"/>
        <w:adjustRightInd w:val="0"/>
        <w:rPr>
          <w:rFonts w:eastAsiaTheme="minorHAnsi"/>
          <w:snapToGrid/>
          <w:szCs w:val="24"/>
        </w:rPr>
      </w:pPr>
      <w:r>
        <w:rPr>
          <w:rFonts w:eastAsiaTheme="minorHAnsi"/>
          <w:snapToGrid/>
          <w:szCs w:val="24"/>
        </w:rPr>
        <w:t>2300 N Street, N.W.</w:t>
      </w:r>
    </w:p>
    <w:p w:rsidR="006F1C70" w:rsidRDefault="008B4109" w:rsidP="008B4109">
      <w:r>
        <w:rPr>
          <w:rFonts w:eastAsiaTheme="minorHAnsi"/>
          <w:snapToGrid/>
          <w:szCs w:val="24"/>
        </w:rPr>
        <w:t>Washington, D.C. 20037</w:t>
      </w:r>
    </w:p>
    <w:p w:rsidR="008B4109" w:rsidRDefault="008B4109" w:rsidP="00822552"/>
    <w:p w:rsidR="00EF2AE1" w:rsidRDefault="00EF2AE1" w:rsidP="00822552"/>
    <w:p w:rsidR="0051169B" w:rsidRDefault="00822552" w:rsidP="00591C5D">
      <w:pPr>
        <w:ind w:left="2160" w:hanging="720"/>
        <w:rPr>
          <w:rFonts w:eastAsiaTheme="minorHAnsi"/>
          <w:snapToGrid/>
          <w:szCs w:val="24"/>
        </w:rPr>
      </w:pPr>
      <w:r>
        <w:t xml:space="preserve">In re:  </w:t>
      </w:r>
      <w:r>
        <w:tab/>
      </w:r>
      <w:r w:rsidR="0051169B">
        <w:rPr>
          <w:rFonts w:eastAsiaTheme="minorHAnsi"/>
          <w:snapToGrid/>
          <w:szCs w:val="24"/>
        </w:rPr>
        <w:t>WNWO Licensee, LLC v. Buckeye Cablevision, Inc.</w:t>
      </w:r>
    </w:p>
    <w:p w:rsidR="0051169B" w:rsidRDefault="0051169B" w:rsidP="00591C5D">
      <w:pPr>
        <w:ind w:left="2160" w:hanging="720"/>
        <w:rPr>
          <w:rFonts w:eastAsiaTheme="minorHAnsi"/>
          <w:snapToGrid/>
          <w:szCs w:val="24"/>
        </w:rPr>
      </w:pPr>
      <w:r>
        <w:rPr>
          <w:rFonts w:eastAsiaTheme="minorHAnsi"/>
          <w:snapToGrid/>
          <w:szCs w:val="24"/>
        </w:rPr>
        <w:tab/>
        <w:t>MB Docket No. 13-317</w:t>
      </w:r>
    </w:p>
    <w:p w:rsidR="0051169B" w:rsidRDefault="0051169B" w:rsidP="00591C5D">
      <w:pPr>
        <w:ind w:left="2160" w:hanging="720"/>
      </w:pPr>
      <w:r>
        <w:rPr>
          <w:rFonts w:eastAsiaTheme="minorHAnsi"/>
          <w:snapToGrid/>
          <w:szCs w:val="24"/>
        </w:rPr>
        <w:tab/>
        <w:t>CSR-8866-N</w:t>
      </w:r>
    </w:p>
    <w:p w:rsidR="0051169B" w:rsidRDefault="0051169B" w:rsidP="008B4109">
      <w:pPr>
        <w:ind w:left="5040" w:hanging="720"/>
      </w:pPr>
    </w:p>
    <w:p w:rsidR="00822552" w:rsidRDefault="008B4109" w:rsidP="00591C5D">
      <w:pPr>
        <w:ind w:left="2160"/>
        <w:rPr>
          <w:rFonts w:eastAsiaTheme="minorHAnsi"/>
          <w:snapToGrid/>
          <w:szCs w:val="24"/>
        </w:rPr>
      </w:pPr>
      <w:r>
        <w:rPr>
          <w:rFonts w:eastAsiaTheme="minorHAnsi"/>
          <w:snapToGrid/>
          <w:szCs w:val="24"/>
        </w:rPr>
        <w:t>Buckeye Cablevision, Inc. v.</w:t>
      </w:r>
      <w:r w:rsidR="00822552">
        <w:t xml:space="preserve"> </w:t>
      </w:r>
      <w:r>
        <w:rPr>
          <w:rFonts w:eastAsiaTheme="minorHAnsi"/>
          <w:snapToGrid/>
          <w:szCs w:val="24"/>
        </w:rPr>
        <w:t>Sinclair Broadcast Group, Inc.</w:t>
      </w:r>
    </w:p>
    <w:p w:rsidR="00822552" w:rsidRDefault="00F2788E" w:rsidP="00591C5D">
      <w:r>
        <w:tab/>
      </w:r>
      <w:r w:rsidR="00591C5D">
        <w:tab/>
      </w:r>
      <w:r w:rsidR="00591C5D">
        <w:tab/>
      </w:r>
      <w:r w:rsidR="006F1C70">
        <w:t xml:space="preserve">MB </w:t>
      </w:r>
      <w:r w:rsidR="00822552">
        <w:t xml:space="preserve">Docket </w:t>
      </w:r>
      <w:r w:rsidR="006F1C70">
        <w:t xml:space="preserve">No. </w:t>
      </w:r>
      <w:r w:rsidR="00822552">
        <w:t>1</w:t>
      </w:r>
      <w:r w:rsidR="008B4109">
        <w:t>4</w:t>
      </w:r>
      <w:r w:rsidR="00822552">
        <w:t>-</w:t>
      </w:r>
      <w:r w:rsidR="008B4109">
        <w:t>33</w:t>
      </w:r>
    </w:p>
    <w:p w:rsidR="00822552" w:rsidRDefault="00822552" w:rsidP="00591C5D">
      <w:pPr>
        <w:ind w:left="1440" w:firstLine="720"/>
      </w:pPr>
      <w:r>
        <w:t>CSR-88</w:t>
      </w:r>
      <w:r w:rsidR="008B4109">
        <w:t>74</w:t>
      </w:r>
      <w:r w:rsidR="006F1C70">
        <w:t>-</w:t>
      </w:r>
      <w:r w:rsidR="000B3531">
        <w:t>C</w:t>
      </w:r>
    </w:p>
    <w:p w:rsidR="00822552" w:rsidRPr="0049711F" w:rsidRDefault="00822552" w:rsidP="00822552">
      <w:pPr>
        <w:rPr>
          <w:sz w:val="16"/>
          <w:szCs w:val="16"/>
        </w:rPr>
      </w:pPr>
    </w:p>
    <w:p w:rsidR="00822552" w:rsidRDefault="00822552" w:rsidP="00822552">
      <w:r>
        <w:t>Dear M</w:t>
      </w:r>
      <w:r w:rsidR="006F1C70">
        <w:t>ess</w:t>
      </w:r>
      <w:r>
        <w:t>r</w:t>
      </w:r>
      <w:r w:rsidR="006F1C70">
        <w:t>s</w:t>
      </w:r>
      <w:r>
        <w:t>.</w:t>
      </w:r>
      <w:r w:rsidRPr="00047A93">
        <w:t xml:space="preserve"> </w:t>
      </w:r>
      <w:r w:rsidR="008B4109" w:rsidRPr="008B4109">
        <w:rPr>
          <w:rFonts w:eastAsiaTheme="minorHAnsi"/>
          <w:snapToGrid/>
          <w:szCs w:val="24"/>
        </w:rPr>
        <w:t>Basile</w:t>
      </w:r>
      <w:r w:rsidR="008B4109">
        <w:rPr>
          <w:rFonts w:eastAsiaTheme="minorHAnsi"/>
          <w:snapToGrid/>
          <w:szCs w:val="24"/>
        </w:rPr>
        <w:t xml:space="preserve">, </w:t>
      </w:r>
      <w:r w:rsidR="008B4109" w:rsidRPr="008B4109">
        <w:rPr>
          <w:rFonts w:eastAsiaTheme="minorHAnsi"/>
          <w:snapToGrid/>
          <w:szCs w:val="24"/>
        </w:rPr>
        <w:t>Rademacher</w:t>
      </w:r>
      <w:r w:rsidR="008B4109">
        <w:rPr>
          <w:rFonts w:eastAsiaTheme="minorHAnsi"/>
          <w:snapToGrid/>
          <w:szCs w:val="24"/>
        </w:rPr>
        <w:t>,</w:t>
      </w:r>
      <w:r w:rsidR="006F1C70">
        <w:t xml:space="preserve"> </w:t>
      </w:r>
      <w:r w:rsidR="008B4109">
        <w:rPr>
          <w:rFonts w:eastAsiaTheme="minorHAnsi"/>
          <w:snapToGrid/>
          <w:szCs w:val="24"/>
        </w:rPr>
        <w:t>Harrington,</w:t>
      </w:r>
      <w:r w:rsidR="008B4109">
        <w:t xml:space="preserve"> </w:t>
      </w:r>
      <w:r w:rsidR="006F1C70">
        <w:t xml:space="preserve">and </w:t>
      </w:r>
      <w:r w:rsidR="008B4109">
        <w:rPr>
          <w:rFonts w:eastAsiaTheme="minorHAnsi"/>
          <w:snapToGrid/>
          <w:szCs w:val="24"/>
        </w:rPr>
        <w:t>Cicelski</w:t>
      </w:r>
      <w:r>
        <w:t>:</w:t>
      </w:r>
    </w:p>
    <w:p w:rsidR="00822552" w:rsidRDefault="00822552" w:rsidP="00822552"/>
    <w:p w:rsidR="00EF2AE1" w:rsidRDefault="00AA5185" w:rsidP="00822552">
      <w:r w:rsidRPr="00AA5185">
        <w:t xml:space="preserve">By this letter and pursuant to a joint request from </w:t>
      </w:r>
      <w:r>
        <w:t>the</w:t>
      </w:r>
      <w:r w:rsidRPr="00AA5185">
        <w:t xml:space="preserve"> parties, we dismiss the complaints initiating the two above-</w:t>
      </w:r>
      <w:r w:rsidR="00591C5D">
        <w:t>referenced</w:t>
      </w:r>
      <w:r w:rsidRPr="00AA5185">
        <w:t xml:space="preserve"> proceedings and terminate these proceedings.</w:t>
      </w:r>
    </w:p>
    <w:p w:rsidR="008634CB" w:rsidRDefault="008634CB" w:rsidP="00822552"/>
    <w:p w:rsidR="00822552" w:rsidRDefault="002E201C" w:rsidP="00451871">
      <w:pPr>
        <w:widowControl/>
        <w:autoSpaceDE w:val="0"/>
        <w:autoSpaceDN w:val="0"/>
        <w:adjustRightInd w:val="0"/>
      </w:pPr>
      <w:r>
        <w:t xml:space="preserve">On December 18, 2013, </w:t>
      </w:r>
      <w:r w:rsidR="002750D0">
        <w:t xml:space="preserve">the Commission received a complaint from </w:t>
      </w:r>
      <w:r w:rsidR="0051169B">
        <w:rPr>
          <w:rFonts w:eastAsiaTheme="minorHAnsi"/>
          <w:snapToGrid/>
          <w:szCs w:val="24"/>
        </w:rPr>
        <w:t>WNWO Licensee, LLC</w:t>
      </w:r>
      <w:r w:rsidR="00591C5D">
        <w:rPr>
          <w:rFonts w:eastAsiaTheme="minorHAnsi"/>
          <w:snapToGrid/>
          <w:szCs w:val="24"/>
        </w:rPr>
        <w:t>,</w:t>
      </w:r>
      <w:r w:rsidR="002750D0">
        <w:rPr>
          <w:rStyle w:val="FootnoteReference"/>
        </w:rPr>
        <w:footnoteReference w:id="1"/>
      </w:r>
      <w:r w:rsidR="0051169B">
        <w:rPr>
          <w:rFonts w:eastAsiaTheme="minorHAnsi"/>
          <w:snapToGrid/>
          <w:szCs w:val="24"/>
        </w:rPr>
        <w:t xml:space="preserve"> licensee of commercial television station WNWO-TV, Toledo, Ohio </w:t>
      </w:r>
      <w:r w:rsidR="002750D0">
        <w:t>(“WNWO”) alleging</w:t>
      </w:r>
      <w:r w:rsidR="002750D0" w:rsidRPr="005D2793">
        <w:t xml:space="preserve"> that </w:t>
      </w:r>
      <w:r w:rsidR="002750D0">
        <w:t xml:space="preserve">Buckeye </w:t>
      </w:r>
      <w:r w:rsidR="00762972">
        <w:t xml:space="preserve">Cablevision, Inc. (“Buckeye”), </w:t>
      </w:r>
      <w:r w:rsidR="002750D0">
        <w:t xml:space="preserve">failed to provide WNWO with the network nonduplication protection to which it is entitled </w:t>
      </w:r>
      <w:r w:rsidR="007C716F">
        <w:t>in violation of</w:t>
      </w:r>
      <w:r w:rsidR="002750D0">
        <w:t xml:space="preserve"> </w:t>
      </w:r>
      <w:r w:rsidR="002750D0" w:rsidRPr="002750D0">
        <w:t>Section 76.92(a) of the Commission’s rules</w:t>
      </w:r>
      <w:r w:rsidR="002750D0">
        <w:t>.</w:t>
      </w:r>
      <w:r w:rsidR="002750D0">
        <w:rPr>
          <w:rStyle w:val="FootnoteReference"/>
        </w:rPr>
        <w:footnoteReference w:id="2"/>
      </w:r>
      <w:r w:rsidR="00451871">
        <w:t xml:space="preserve">  </w:t>
      </w:r>
      <w:r w:rsidR="00822552">
        <w:t xml:space="preserve">On </w:t>
      </w:r>
      <w:r w:rsidR="008B4109">
        <w:t>February</w:t>
      </w:r>
      <w:r w:rsidR="00822552">
        <w:t xml:space="preserve"> 1</w:t>
      </w:r>
      <w:r w:rsidR="00AB6316">
        <w:t>8</w:t>
      </w:r>
      <w:r w:rsidR="00822552">
        <w:t>, 201</w:t>
      </w:r>
      <w:r w:rsidR="008B4109">
        <w:t>4</w:t>
      </w:r>
      <w:r w:rsidR="00822552">
        <w:t xml:space="preserve">, </w:t>
      </w:r>
      <w:r w:rsidR="008B4109">
        <w:rPr>
          <w:rFonts w:eastAsiaTheme="minorHAnsi"/>
          <w:snapToGrid/>
          <w:szCs w:val="24"/>
        </w:rPr>
        <w:t xml:space="preserve">Buckeye </w:t>
      </w:r>
      <w:r w:rsidR="00822552">
        <w:t>filed a</w:t>
      </w:r>
      <w:r w:rsidR="008B4109">
        <w:t xml:space="preserve"> </w:t>
      </w:r>
      <w:r w:rsidR="00E12D4B">
        <w:t>r</w:t>
      </w:r>
      <w:r w:rsidR="00AB6316">
        <w:t xml:space="preserve">etransmission </w:t>
      </w:r>
      <w:r w:rsidR="00A9661E">
        <w:t xml:space="preserve">consent </w:t>
      </w:r>
      <w:r w:rsidR="00E12D4B">
        <w:t>c</w:t>
      </w:r>
      <w:r w:rsidR="00AB6316">
        <w:t>omplaint</w:t>
      </w:r>
      <w:r w:rsidR="00822552">
        <w:t xml:space="preserve"> </w:t>
      </w:r>
      <w:r w:rsidR="00822552">
        <w:lastRenderedPageBreak/>
        <w:t xml:space="preserve">against </w:t>
      </w:r>
      <w:r w:rsidR="008B4109">
        <w:rPr>
          <w:rFonts w:eastAsiaTheme="minorHAnsi"/>
          <w:snapToGrid/>
          <w:szCs w:val="24"/>
        </w:rPr>
        <w:t xml:space="preserve">Sinclair </w:t>
      </w:r>
      <w:r w:rsidR="00822552">
        <w:t xml:space="preserve">for allegedly </w:t>
      </w:r>
      <w:r w:rsidR="00AB6316">
        <w:t>breach</w:t>
      </w:r>
      <w:r w:rsidR="00822552">
        <w:t xml:space="preserve">ing </w:t>
      </w:r>
      <w:r w:rsidR="00AB6316">
        <w:t xml:space="preserve">its duty to negotiate in good faith a renewal of </w:t>
      </w:r>
      <w:r>
        <w:t>Buckeye</w:t>
      </w:r>
      <w:r w:rsidR="00AB6316">
        <w:t xml:space="preserve">’s </w:t>
      </w:r>
      <w:r w:rsidR="00E12D4B">
        <w:t xml:space="preserve">right to </w:t>
      </w:r>
      <w:r w:rsidR="00AB6316">
        <w:t>retransmi</w:t>
      </w:r>
      <w:r w:rsidR="00E12D4B">
        <w:t>t</w:t>
      </w:r>
      <w:r w:rsidR="00822552">
        <w:t xml:space="preserve"> </w:t>
      </w:r>
      <w:r w:rsidR="00E12D4B">
        <w:t xml:space="preserve">WNWO’s signal in the Toledo market </w:t>
      </w:r>
      <w:r w:rsidR="00822552">
        <w:t xml:space="preserve">after </w:t>
      </w:r>
      <w:r w:rsidR="00AB6316">
        <w:t xml:space="preserve">those rights expired on </w:t>
      </w:r>
      <w:r>
        <w:t>December</w:t>
      </w:r>
      <w:r w:rsidR="00AB6316">
        <w:t xml:space="preserve"> </w:t>
      </w:r>
      <w:r>
        <w:t>15</w:t>
      </w:r>
      <w:r w:rsidR="00822552" w:rsidRPr="003F43DF">
        <w:t>, 201</w:t>
      </w:r>
      <w:r w:rsidR="00AB6316">
        <w:t>3</w:t>
      </w:r>
      <w:r w:rsidR="00822552" w:rsidRPr="002B28A6">
        <w:t>.</w:t>
      </w:r>
      <w:r w:rsidR="00591C5D">
        <w:rPr>
          <w:rStyle w:val="FootnoteReference"/>
        </w:rPr>
        <w:footnoteReference w:id="3"/>
      </w:r>
    </w:p>
    <w:p w:rsidR="00591C5D" w:rsidRDefault="00591C5D" w:rsidP="00822552"/>
    <w:p w:rsidR="00822552" w:rsidRDefault="00AA5185" w:rsidP="00BF1CEB">
      <w:r>
        <w:t>These two complaints ar</w:t>
      </w:r>
      <w:r w:rsidR="004F41D6">
        <w:t>o</w:t>
      </w:r>
      <w:r w:rsidR="00BF1CEB">
        <w:t xml:space="preserve">se from an ongoing retransmission consent dispute between Buckeye and Sinclair.  </w:t>
      </w:r>
      <w:r w:rsidR="00822552">
        <w:t xml:space="preserve">In a letter dated </w:t>
      </w:r>
      <w:r w:rsidR="00265C3B">
        <w:t>July 15</w:t>
      </w:r>
      <w:r w:rsidR="00822552">
        <w:t>, 201</w:t>
      </w:r>
      <w:r w:rsidR="00265C3B">
        <w:t>4</w:t>
      </w:r>
      <w:r w:rsidR="00822552">
        <w:t xml:space="preserve">, </w:t>
      </w:r>
      <w:r w:rsidR="00265C3B">
        <w:t>Buckeye</w:t>
      </w:r>
      <w:r w:rsidR="00822552">
        <w:t xml:space="preserve"> </w:t>
      </w:r>
      <w:r w:rsidR="00B41807">
        <w:t xml:space="preserve">and </w:t>
      </w:r>
      <w:r w:rsidR="00265C3B">
        <w:t>Sinclair</w:t>
      </w:r>
      <w:r w:rsidR="00B41807">
        <w:t xml:space="preserve"> jointly </w:t>
      </w:r>
      <w:r w:rsidR="00822552">
        <w:t>informed the Commission that the parties have</w:t>
      </w:r>
      <w:r w:rsidR="00BF1CEB">
        <w:t xml:space="preserve"> “entered into an agreement resolving the disputes that gave rise to the above-referenced complaint proceedings</w:t>
      </w:r>
      <w:r w:rsidR="00822552">
        <w:t>.</w:t>
      </w:r>
      <w:r w:rsidR="00BF1CEB">
        <w:t>”</w:t>
      </w:r>
      <w:r w:rsidR="00BF1CEB">
        <w:rPr>
          <w:rStyle w:val="FootnoteReference"/>
        </w:rPr>
        <w:footnoteReference w:id="4"/>
      </w:r>
      <w:r w:rsidR="00822552">
        <w:t xml:space="preserve"> </w:t>
      </w:r>
      <w:r w:rsidR="006F7432">
        <w:t xml:space="preserve"> </w:t>
      </w:r>
      <w:r w:rsidR="00B76077">
        <w:t xml:space="preserve">Accordingly, </w:t>
      </w:r>
      <w:r w:rsidR="00265C3B">
        <w:t>Buckeye</w:t>
      </w:r>
      <w:r w:rsidR="00B76077">
        <w:t xml:space="preserve"> and </w:t>
      </w:r>
      <w:r w:rsidR="00265C3B">
        <w:t>Sinclair</w:t>
      </w:r>
      <w:r w:rsidR="00B76077">
        <w:t xml:space="preserve"> jointly request that the Commission dismiss </w:t>
      </w:r>
      <w:r w:rsidR="00BF1CEB">
        <w:t xml:space="preserve">the </w:t>
      </w:r>
      <w:r w:rsidR="00BF1CEB" w:rsidRPr="00EF2AE1">
        <w:t>complaint</w:t>
      </w:r>
      <w:r w:rsidR="00BF1CEB">
        <w:t>s</w:t>
      </w:r>
      <w:r w:rsidR="00BF1CEB" w:rsidRPr="00EF2AE1">
        <w:t xml:space="preserve"> </w:t>
      </w:r>
      <w:r w:rsidR="00BF1CEB">
        <w:t xml:space="preserve">with prejudice </w:t>
      </w:r>
      <w:r w:rsidR="00B76077">
        <w:t xml:space="preserve">and terminate </w:t>
      </w:r>
      <w:r w:rsidR="0051169B">
        <w:t>both</w:t>
      </w:r>
      <w:r w:rsidR="00B76077">
        <w:t xml:space="preserve"> proceeding</w:t>
      </w:r>
      <w:r w:rsidR="0051169B">
        <w:t>s</w:t>
      </w:r>
      <w:r w:rsidR="00B76077">
        <w:t>.</w:t>
      </w:r>
      <w:r>
        <w:rPr>
          <w:rStyle w:val="FootnoteReference"/>
        </w:rPr>
        <w:footnoteReference w:id="5"/>
      </w:r>
    </w:p>
    <w:p w:rsidR="00265C3B" w:rsidRDefault="00265C3B" w:rsidP="00822552"/>
    <w:p w:rsidR="00305E7A" w:rsidRDefault="00305E7A" w:rsidP="00822552">
      <w:r w:rsidRPr="00305E7A">
        <w:t xml:space="preserve">On the basis of the statements contained in the </w:t>
      </w:r>
      <w:r>
        <w:t>Joint Letter</w:t>
      </w:r>
      <w:r w:rsidRPr="00305E7A">
        <w:t>, we are satisfied that dismissing the complaints will serve the public interest by promoting the private resolution of disputes and by eliminating the need for further litigation and the expenditure of further time and resources of the parties and this Commission.</w:t>
      </w:r>
    </w:p>
    <w:p w:rsidR="00305E7A" w:rsidRDefault="00305E7A" w:rsidP="00822552"/>
    <w:p w:rsidR="00BF1CEB" w:rsidRDefault="00BF1CEB" w:rsidP="00822552">
      <w:r>
        <w:t xml:space="preserve">Accordingly, IT IS ORDERED, </w:t>
      </w:r>
      <w:r w:rsidR="00F2788E">
        <w:t xml:space="preserve">that </w:t>
      </w:r>
      <w:r w:rsidR="00305E7A">
        <w:t>the</w:t>
      </w:r>
      <w:r>
        <w:t xml:space="preserve"> </w:t>
      </w:r>
      <w:r w:rsidR="00305E7A">
        <w:t xml:space="preserve">joint </w:t>
      </w:r>
      <w:r>
        <w:t xml:space="preserve">request to withdraw the </w:t>
      </w:r>
      <w:r w:rsidR="00020C57">
        <w:t xml:space="preserve">complaints in the </w:t>
      </w:r>
      <w:r>
        <w:t>above-</w:t>
      </w:r>
      <w:r w:rsidR="00591C5D">
        <w:t>referenced</w:t>
      </w:r>
      <w:r>
        <w:t xml:space="preserve"> </w:t>
      </w:r>
      <w:r w:rsidR="00020C57">
        <w:t xml:space="preserve">proceedings </w:t>
      </w:r>
      <w:r>
        <w:t>IS GRANTED.</w:t>
      </w:r>
      <w:r w:rsidR="004F41D6">
        <w:t xml:space="preserve">  </w:t>
      </w:r>
      <w:r>
        <w:t xml:space="preserve">IT IS FURTHER ORDERED that the </w:t>
      </w:r>
      <w:r w:rsidR="00020C57">
        <w:t xml:space="preserve">complaints in the </w:t>
      </w:r>
      <w:r>
        <w:t>above-</w:t>
      </w:r>
      <w:r w:rsidR="004F41D6">
        <w:t>referenced</w:t>
      </w:r>
      <w:r>
        <w:t xml:space="preserve"> </w:t>
      </w:r>
      <w:r w:rsidR="00020C57">
        <w:t xml:space="preserve">proceedings </w:t>
      </w:r>
      <w:r w:rsidR="00305E7A">
        <w:t>ARE</w:t>
      </w:r>
      <w:r>
        <w:t xml:space="preserve"> DISMISSED WITH PREJUDICE and that </w:t>
      </w:r>
      <w:r w:rsidR="00305E7A">
        <w:t>the above-</w:t>
      </w:r>
      <w:r w:rsidR="004F41D6">
        <w:t xml:space="preserve">referenced </w:t>
      </w:r>
      <w:r>
        <w:t>proceeding</w:t>
      </w:r>
      <w:r w:rsidR="00305E7A">
        <w:t>s</w:t>
      </w:r>
      <w:r>
        <w:t xml:space="preserve"> </w:t>
      </w:r>
      <w:r w:rsidR="00305E7A">
        <w:t>ARE</w:t>
      </w:r>
      <w:r>
        <w:t xml:space="preserve"> TERMINATED.</w:t>
      </w:r>
      <w:r w:rsidR="004F41D6">
        <w:t xml:space="preserve">  </w:t>
      </w:r>
      <w:r w:rsidR="00F2788E" w:rsidRPr="00F2788E">
        <w:t xml:space="preserve">This action is taken </w:t>
      </w:r>
      <w:r w:rsidR="00BD452B">
        <w:t>under</w:t>
      </w:r>
      <w:r w:rsidR="00F2788E" w:rsidRPr="00F2788E">
        <w:t xml:space="preserve"> delegated authority pursuant to </w:t>
      </w:r>
      <w:r w:rsidR="00F2788E">
        <w:t>Section 0.283 of the Commission’s rules.</w:t>
      </w:r>
      <w:r w:rsidR="00F2788E">
        <w:rPr>
          <w:rStyle w:val="FootnoteReference"/>
        </w:rPr>
        <w:footnoteReference w:id="6"/>
      </w:r>
    </w:p>
    <w:p w:rsidR="00BF1CEB" w:rsidRDefault="00BF1CEB" w:rsidP="00822552"/>
    <w:p w:rsidR="00822552" w:rsidRDefault="00822552" w:rsidP="00822552"/>
    <w:p w:rsidR="00822552" w:rsidRDefault="00822552" w:rsidP="00822552">
      <w:r>
        <w:tab/>
      </w:r>
      <w:r>
        <w:tab/>
      </w:r>
      <w:r>
        <w:tab/>
      </w:r>
      <w:r>
        <w:tab/>
      </w:r>
      <w:r>
        <w:tab/>
      </w:r>
      <w:r>
        <w:tab/>
        <w:t xml:space="preserve">Sincerely, </w:t>
      </w:r>
    </w:p>
    <w:p w:rsidR="00822552" w:rsidRDefault="00822552" w:rsidP="00822552"/>
    <w:p w:rsidR="0049711F" w:rsidRDefault="0049711F" w:rsidP="00822552"/>
    <w:p w:rsidR="00822552" w:rsidRDefault="00822552" w:rsidP="00822552"/>
    <w:p w:rsidR="00822552" w:rsidRDefault="00822552" w:rsidP="00822552">
      <w:r>
        <w:tab/>
      </w:r>
      <w:r>
        <w:tab/>
      </w:r>
      <w:r>
        <w:tab/>
      </w:r>
      <w:r>
        <w:tab/>
      </w:r>
      <w:r>
        <w:tab/>
      </w:r>
      <w:r>
        <w:tab/>
      </w:r>
      <w:r w:rsidR="00E12D4B">
        <w:t>Mary Beth Murphy</w:t>
      </w:r>
    </w:p>
    <w:p w:rsidR="00822552" w:rsidRDefault="00822552" w:rsidP="00822552">
      <w:r>
        <w:tab/>
      </w:r>
      <w:r>
        <w:tab/>
      </w:r>
      <w:r>
        <w:tab/>
      </w:r>
      <w:r>
        <w:tab/>
      </w:r>
      <w:r>
        <w:tab/>
      </w:r>
      <w:r>
        <w:tab/>
        <w:t>Chief, Policy Division</w:t>
      </w:r>
    </w:p>
    <w:p w:rsidR="008634CB" w:rsidRDefault="00822552">
      <w:r>
        <w:tab/>
      </w:r>
      <w:r>
        <w:tab/>
      </w:r>
      <w:r>
        <w:tab/>
      </w:r>
      <w:r>
        <w:tab/>
      </w:r>
      <w:r>
        <w:tab/>
      </w:r>
      <w:r>
        <w:tab/>
        <w:t>Media Bureau</w:t>
      </w:r>
    </w:p>
    <w:sectPr w:rsidR="008634CB" w:rsidSect="00B756A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980" w:right="1440" w:bottom="1440" w:left="1440" w:header="720" w:footer="523"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C08" w:rsidRDefault="006B0C08">
      <w:r>
        <w:separator/>
      </w:r>
    </w:p>
  </w:endnote>
  <w:endnote w:type="continuationSeparator" w:id="0">
    <w:p w:rsidR="006B0C08" w:rsidRDefault="006B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16" w:rsidRDefault="00295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826154"/>
      <w:docPartObj>
        <w:docPartGallery w:val="Page Numbers (Bottom of Page)"/>
        <w:docPartUnique/>
      </w:docPartObj>
    </w:sdtPr>
    <w:sdtEndPr>
      <w:rPr>
        <w:noProof/>
      </w:rPr>
    </w:sdtEndPr>
    <w:sdtContent>
      <w:p w:rsidR="00B756A0" w:rsidRDefault="00B756A0">
        <w:pPr>
          <w:pStyle w:val="Footer"/>
          <w:jc w:val="center"/>
        </w:pPr>
        <w:r>
          <w:fldChar w:fldCharType="begin"/>
        </w:r>
        <w:r>
          <w:instrText xml:space="preserve"> PAGE   \* MERGEFORMAT </w:instrText>
        </w:r>
        <w:r>
          <w:fldChar w:fldCharType="separate"/>
        </w:r>
        <w:r w:rsidR="00497574">
          <w:rPr>
            <w:noProof/>
          </w:rPr>
          <w:t>2</w:t>
        </w:r>
        <w:r>
          <w:rPr>
            <w:noProof/>
          </w:rPr>
          <w:fldChar w:fldCharType="end"/>
        </w:r>
      </w:p>
    </w:sdtContent>
  </w:sdt>
  <w:p w:rsidR="00BF1CEB" w:rsidRDefault="00BF1C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A0" w:rsidRDefault="00B756A0">
    <w:pPr>
      <w:pStyle w:val="Footer"/>
      <w:jc w:val="center"/>
    </w:pPr>
  </w:p>
  <w:p w:rsidR="00B756A0" w:rsidRDefault="00B75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C08" w:rsidRDefault="006B0C08">
      <w:r>
        <w:separator/>
      </w:r>
    </w:p>
  </w:footnote>
  <w:footnote w:type="continuationSeparator" w:id="0">
    <w:p w:rsidR="006B0C08" w:rsidRDefault="006B0C08">
      <w:r>
        <w:continuationSeparator/>
      </w:r>
    </w:p>
  </w:footnote>
  <w:footnote w:id="1">
    <w:p w:rsidR="00BF1CEB" w:rsidRDefault="00BF1CEB" w:rsidP="002750D0">
      <w:pPr>
        <w:pStyle w:val="FootnoteText"/>
      </w:pPr>
      <w:r>
        <w:rPr>
          <w:rStyle w:val="FootnoteReference"/>
        </w:rPr>
        <w:footnoteRef/>
      </w:r>
      <w:r>
        <w:t xml:space="preserve"> </w:t>
      </w:r>
      <w:r w:rsidRPr="00CE3775">
        <w:t xml:space="preserve">WNWO Licensee </w:t>
      </w:r>
      <w:r>
        <w:t>LLC is ultimately controlled by Sinclair Broadcast Group, Inc. (“Sinclair”).</w:t>
      </w:r>
    </w:p>
  </w:footnote>
  <w:footnote w:id="2">
    <w:p w:rsidR="00BF1CEB" w:rsidRDefault="00BF1CEB" w:rsidP="002750D0">
      <w:pPr>
        <w:pStyle w:val="FootnoteText"/>
      </w:pPr>
      <w:r>
        <w:rPr>
          <w:rStyle w:val="FootnoteReference"/>
        </w:rPr>
        <w:footnoteRef/>
      </w:r>
      <w:r>
        <w:t xml:space="preserve"> Complaint Seeking Forfeiture Order for Violation of the Commission’s Rules, MB Docket No. 13-317, CSR-8866-N, filed </w:t>
      </w:r>
      <w:r w:rsidR="00397D6A">
        <w:t xml:space="preserve">Dec. </w:t>
      </w:r>
      <w:r>
        <w:t>18, 2013 (“</w:t>
      </w:r>
      <w:r w:rsidR="00762972">
        <w:t xml:space="preserve">WNWO </w:t>
      </w:r>
      <w:r>
        <w:t xml:space="preserve">Complaint”).  The parties subsequently exchanged responsive pleadings.  </w:t>
      </w:r>
      <w:r w:rsidRPr="00591C5D">
        <w:rPr>
          <w:i/>
        </w:rPr>
        <w:t>See</w:t>
      </w:r>
      <w:r>
        <w:t xml:space="preserve"> </w:t>
      </w:r>
      <w:r w:rsidR="00397D6A">
        <w:t xml:space="preserve">Answer of Buckeye Cablevision, Inc., </w:t>
      </w:r>
      <w:r w:rsidR="004C184A">
        <w:t xml:space="preserve">to WNWO Complaint, </w:t>
      </w:r>
      <w:r w:rsidR="00397D6A">
        <w:t>MB Docket No. 13-317, CSR-8866-N, filed Jan. 7, 2014; Reply of WNWO Licensee, LLC,</w:t>
      </w:r>
      <w:r w:rsidR="004C184A">
        <w:t xml:space="preserve"> to Buckeye Answer,</w:t>
      </w:r>
      <w:r w:rsidR="00397D6A">
        <w:t xml:space="preserve"> MB Docket No. 13-317, CSR-8866-N, filed Jan. 24, 2014</w:t>
      </w:r>
      <w:r>
        <w:t>.</w:t>
      </w:r>
    </w:p>
  </w:footnote>
  <w:footnote w:id="3">
    <w:p w:rsidR="00591C5D" w:rsidRDefault="00591C5D">
      <w:pPr>
        <w:pStyle w:val="FootnoteText"/>
      </w:pPr>
      <w:r>
        <w:rPr>
          <w:rStyle w:val="FootnoteReference"/>
        </w:rPr>
        <w:footnoteRef/>
      </w:r>
      <w:r>
        <w:t xml:space="preserve"> </w:t>
      </w:r>
      <w:r w:rsidR="00762972">
        <w:t>Complaint of</w:t>
      </w:r>
      <w:r>
        <w:t xml:space="preserve"> </w:t>
      </w:r>
      <w:r w:rsidR="00762972">
        <w:t xml:space="preserve">Buckeye </w:t>
      </w:r>
      <w:r w:rsidR="00397D6A">
        <w:t>Cablevision, Inc., MB Docket No. 14-33, CSR-8874-C, filed Feb. 18, 2014</w:t>
      </w:r>
      <w:r w:rsidR="004C184A">
        <w:t xml:space="preserve"> (“Buckeye Complaint”)</w:t>
      </w:r>
      <w:r w:rsidR="00397D6A">
        <w:t xml:space="preserve">.  </w:t>
      </w:r>
      <w:r>
        <w:t xml:space="preserve">The parties subsequently exchanged responsive pleadings.  </w:t>
      </w:r>
      <w:r w:rsidRPr="00591C5D">
        <w:rPr>
          <w:i/>
        </w:rPr>
        <w:t>See</w:t>
      </w:r>
      <w:r>
        <w:t xml:space="preserve"> </w:t>
      </w:r>
      <w:r w:rsidR="004C184A">
        <w:t xml:space="preserve">Answer of </w:t>
      </w:r>
      <w:r w:rsidR="00397D6A">
        <w:t>Sinclair Broadcasting Group, Inc.</w:t>
      </w:r>
      <w:r w:rsidR="004C184A">
        <w:t>,</w:t>
      </w:r>
      <w:r w:rsidR="00397D6A">
        <w:t xml:space="preserve"> to Buckeye Complaint, MB Docket No. 14-33, CSR-8874-C, filed Mar. 13, 2014;</w:t>
      </w:r>
      <w:r w:rsidR="00397D6A" w:rsidDel="00397D6A">
        <w:t xml:space="preserve"> </w:t>
      </w:r>
      <w:r w:rsidR="00EE216B">
        <w:t>Reply of Buckeye</w:t>
      </w:r>
      <w:r w:rsidR="004C184A">
        <w:t xml:space="preserve"> to Sinclair Answer, MB Docket No. 14-33, CSR-8874-C, filed Mar. 26, 2014</w:t>
      </w:r>
      <w:r>
        <w:t>.</w:t>
      </w:r>
    </w:p>
  </w:footnote>
  <w:footnote w:id="4">
    <w:p w:rsidR="00BF1CEB" w:rsidRDefault="00BF1CEB">
      <w:pPr>
        <w:pStyle w:val="FootnoteText"/>
      </w:pPr>
      <w:r>
        <w:rPr>
          <w:rStyle w:val="FootnoteReference"/>
        </w:rPr>
        <w:footnoteRef/>
      </w:r>
      <w:r>
        <w:t xml:space="preserve"> </w:t>
      </w:r>
      <w:r w:rsidR="004C184A">
        <w:t>Letter from Michael D. Basile, Counsel for Buckeye, and Clifford M. Harrington, Counsel for Sinclair, to Marlene H. Dortch, Secretary, FCC, at 1 (July 15, 2014)</w:t>
      </w:r>
      <w:r w:rsidR="007E3A68">
        <w:t xml:space="preserve"> (“Joint Letter”)</w:t>
      </w:r>
      <w:r w:rsidR="004C184A">
        <w:t>.</w:t>
      </w:r>
    </w:p>
  </w:footnote>
  <w:footnote w:id="5">
    <w:p w:rsidR="00AA5185" w:rsidRDefault="00AA5185">
      <w:pPr>
        <w:pStyle w:val="FootnoteText"/>
      </w:pPr>
      <w:r>
        <w:rPr>
          <w:rStyle w:val="FootnoteReference"/>
        </w:rPr>
        <w:footnoteRef/>
      </w:r>
      <w:r>
        <w:t xml:space="preserve"> </w:t>
      </w:r>
      <w:r w:rsidRPr="00AA5185">
        <w:rPr>
          <w:i/>
        </w:rPr>
        <w:t>Id</w:t>
      </w:r>
      <w:r>
        <w:t>.</w:t>
      </w:r>
    </w:p>
  </w:footnote>
  <w:footnote w:id="6">
    <w:p w:rsidR="00F2788E" w:rsidRDefault="00F2788E" w:rsidP="00F2788E">
      <w:pPr>
        <w:pStyle w:val="FootnoteText"/>
      </w:pPr>
      <w:r>
        <w:rPr>
          <w:rStyle w:val="FootnoteReference"/>
        </w:rPr>
        <w:footnoteRef/>
      </w:r>
      <w:r>
        <w:t xml:space="preserve"> </w:t>
      </w:r>
      <w:r w:rsidRPr="00C70C9F">
        <w:t>47 C.F.R. § 0.283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16" w:rsidRDefault="00295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EB" w:rsidRPr="00B03702" w:rsidRDefault="00BF1CEB" w:rsidP="008634CB">
    <w:pPr>
      <w:pStyle w:val="FootnoteText"/>
      <w:tabs>
        <w:tab w:val="right" w:pos="9270"/>
      </w:tabs>
      <w:spacing w:after="0"/>
      <w:rPr>
        <w:sz w:val="24"/>
      </w:rPr>
    </w:pPr>
  </w:p>
  <w:p w:rsidR="00BF1CEB" w:rsidRDefault="00BF1CEB">
    <w:pPr>
      <w:tabs>
        <w:tab w:val="center" w:pos="4680"/>
        <w:tab w:val="right" w:pos="9360"/>
      </w:tabs>
      <w:suppressAutoHyphens/>
      <w:spacing w:line="227" w:lineRule="auto"/>
      <w:jc w:val="both"/>
      <w:rPr>
        <w:rFonts w:ascii="Calisto MT" w:hAnsi="Calisto MT"/>
        <w:spacing w:val="-2"/>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p w:rsidR="00BF1CEB" w:rsidRDefault="00BF1CEB">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EB" w:rsidRDefault="00C1308E">
    <w:pPr>
      <w:pStyle w:val="Heading2"/>
      <w:spacing w:line="240" w:lineRule="auto"/>
      <w:rPr>
        <w:rFonts w:ascii="CG Times" w:hAnsi="CG Times"/>
        <w:color w:val="000000"/>
        <w:sz w:val="28"/>
      </w:rPr>
    </w:pPr>
    <w:r>
      <w:rPr>
        <w:rFonts w:ascii="CG Times" w:hAnsi="CG Times"/>
        <w:noProof/>
        <w:snapToGrid/>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8pt;margin-top:0;width:64.8pt;height:64.8pt;z-index:251659264;visibility:visible;mso-wrap-edited:f" o:allowincell="f" filled="t" fillcolor="#3cc">
          <v:imagedata r:id="rId1" o:title="" gain="69719f"/>
          <w10:wrap type="topAndBottom"/>
        </v:shape>
        <o:OLEObject Type="Embed" ProgID="Word.Picture.8" ShapeID="_x0000_s2049" DrawAspect="Content" ObjectID="_1467451006" r:id="rId2"/>
      </w:pict>
    </w:r>
    <w:r w:rsidR="00BF1CEB">
      <w:rPr>
        <w:rFonts w:ascii="CG Times" w:hAnsi="CG Times"/>
        <w:color w:val="000000"/>
        <w:sz w:val="28"/>
      </w:rPr>
      <w:t>Federal Communications Commission</w:t>
    </w:r>
  </w:p>
  <w:p w:rsidR="00BF1CEB" w:rsidRDefault="00BF1CEB">
    <w:pPr>
      <w:pStyle w:val="Header"/>
      <w:jc w:val="center"/>
      <w:rPr>
        <w:rFonts w:ascii="CG Times" w:hAnsi="CG Times"/>
        <w:color w:val="000000"/>
        <w:spacing w:val="-2"/>
        <w:sz w:val="28"/>
      </w:rPr>
    </w:pPr>
    <w:smartTag w:uri="urn:schemas-microsoft-com:office:smarttags" w:element="place">
      <w:smartTag w:uri="urn:schemas-microsoft-com:office:smarttags" w:element="City">
        <w:r>
          <w:rPr>
            <w:rFonts w:ascii="CG Times" w:hAnsi="CG Times"/>
            <w:color w:val="000000"/>
            <w:spacing w:val="-2"/>
            <w:sz w:val="28"/>
          </w:rPr>
          <w:t>Washington</w:t>
        </w:r>
      </w:smartTag>
      <w:r>
        <w:rPr>
          <w:rFonts w:ascii="CG Times" w:hAnsi="CG Times"/>
          <w:color w:val="000000"/>
          <w:spacing w:val="-2"/>
          <w:sz w:val="28"/>
        </w:rPr>
        <w:t xml:space="preserve">, </w:t>
      </w:r>
      <w:smartTag w:uri="urn:schemas-microsoft-com:office:smarttags" w:element="State">
        <w:r>
          <w:rPr>
            <w:rFonts w:ascii="CG Times" w:hAnsi="CG Times"/>
            <w:color w:val="000000"/>
            <w:spacing w:val="-2"/>
            <w:sz w:val="28"/>
          </w:rPr>
          <w:t>D.C.</w:t>
        </w:r>
      </w:smartTag>
      <w:r>
        <w:rPr>
          <w:rFonts w:ascii="CG Times" w:hAnsi="CG Times"/>
          <w:color w:val="000000"/>
          <w:spacing w:val="-2"/>
          <w:sz w:val="28"/>
        </w:rPr>
        <w:t xml:space="preserve"> </w:t>
      </w:r>
      <w:smartTag w:uri="urn:schemas-microsoft-com:office:smarttags" w:element="PostalCode">
        <w:r>
          <w:rPr>
            <w:rFonts w:ascii="CG Times" w:hAnsi="CG Times"/>
            <w:color w:val="000000"/>
            <w:spacing w:val="-2"/>
            <w:sz w:val="28"/>
          </w:rPr>
          <w:t>20554</w:t>
        </w:r>
      </w:smartTag>
    </w:smartTag>
  </w:p>
  <w:p w:rsidR="00BF1CEB" w:rsidRDefault="00BF1CEB">
    <w:pPr>
      <w:pStyle w:val="Header"/>
      <w:jc w:val="center"/>
      <w:rPr>
        <w:color w:val="000000"/>
        <w:spacing w:val="-2"/>
        <w:sz w:val="22"/>
      </w:rPr>
    </w:pPr>
  </w:p>
  <w:p w:rsidR="00BF1CEB" w:rsidRDefault="00BF1CEB">
    <w:pPr>
      <w:pStyle w:val="Header"/>
      <w:jc w:val="center"/>
      <w:rPr>
        <w:spacing w:val="-2"/>
      </w:rPr>
    </w:pPr>
  </w:p>
  <w:p w:rsidR="00BF1CEB" w:rsidRDefault="00BF1CEB">
    <w:pPr>
      <w:pStyle w:val="Header"/>
      <w:jc w:val="center"/>
      <w:rPr>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52"/>
    <w:rsid w:val="00020C57"/>
    <w:rsid w:val="0007245F"/>
    <w:rsid w:val="000B3531"/>
    <w:rsid w:val="000D4F5B"/>
    <w:rsid w:val="000E7429"/>
    <w:rsid w:val="00265C3B"/>
    <w:rsid w:val="002750D0"/>
    <w:rsid w:val="00295616"/>
    <w:rsid w:val="002E201C"/>
    <w:rsid w:val="002F255B"/>
    <w:rsid w:val="00305E7A"/>
    <w:rsid w:val="00341CF8"/>
    <w:rsid w:val="00397D6A"/>
    <w:rsid w:val="003D4D0C"/>
    <w:rsid w:val="00451871"/>
    <w:rsid w:val="00481406"/>
    <w:rsid w:val="004877F2"/>
    <w:rsid w:val="0049711F"/>
    <w:rsid w:val="00497574"/>
    <w:rsid w:val="004C184A"/>
    <w:rsid w:val="004F41D6"/>
    <w:rsid w:val="0051169B"/>
    <w:rsid w:val="00536AE1"/>
    <w:rsid w:val="00591C5D"/>
    <w:rsid w:val="00604B94"/>
    <w:rsid w:val="006523C3"/>
    <w:rsid w:val="006B0C08"/>
    <w:rsid w:val="006B62DF"/>
    <w:rsid w:val="006F1C70"/>
    <w:rsid w:val="006F7432"/>
    <w:rsid w:val="006F7AA6"/>
    <w:rsid w:val="00762972"/>
    <w:rsid w:val="007B14F4"/>
    <w:rsid w:val="007C716F"/>
    <w:rsid w:val="007E3A68"/>
    <w:rsid w:val="007F0825"/>
    <w:rsid w:val="00822552"/>
    <w:rsid w:val="008634CB"/>
    <w:rsid w:val="008A0118"/>
    <w:rsid w:val="008B4109"/>
    <w:rsid w:val="008F11F5"/>
    <w:rsid w:val="009D1A0B"/>
    <w:rsid w:val="00A9661E"/>
    <w:rsid w:val="00AA5185"/>
    <w:rsid w:val="00AB6316"/>
    <w:rsid w:val="00AC2ADD"/>
    <w:rsid w:val="00B41807"/>
    <w:rsid w:val="00B60722"/>
    <w:rsid w:val="00B6605E"/>
    <w:rsid w:val="00B74F9C"/>
    <w:rsid w:val="00B756A0"/>
    <w:rsid w:val="00B76077"/>
    <w:rsid w:val="00BB2B85"/>
    <w:rsid w:val="00BD452B"/>
    <w:rsid w:val="00BD6E4C"/>
    <w:rsid w:val="00BF1CEB"/>
    <w:rsid w:val="00C1308E"/>
    <w:rsid w:val="00C809A2"/>
    <w:rsid w:val="00CA5844"/>
    <w:rsid w:val="00D2690B"/>
    <w:rsid w:val="00D51A86"/>
    <w:rsid w:val="00D735A3"/>
    <w:rsid w:val="00D86C07"/>
    <w:rsid w:val="00DA5905"/>
    <w:rsid w:val="00DE6734"/>
    <w:rsid w:val="00E12D4B"/>
    <w:rsid w:val="00EE216B"/>
    <w:rsid w:val="00EF2AE1"/>
    <w:rsid w:val="00F2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52"/>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822552"/>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2552"/>
    <w:rPr>
      <w:rFonts w:ascii="Times New Roman" w:eastAsia="Times New Roman" w:hAnsi="Times New Roman" w:cs="Times New Roman"/>
      <w:snapToGrid w:val="0"/>
      <w:spacing w:val="-2"/>
      <w:sz w:val="24"/>
      <w:szCs w:val="20"/>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n,fn Char"/>
    <w:basedOn w:val="Normal"/>
    <w:link w:val="FootnoteTextChar"/>
    <w:semiHidden/>
    <w:rsid w:val="00822552"/>
    <w:pPr>
      <w:widowControl/>
      <w:spacing w:after="120"/>
    </w:pPr>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semiHidden/>
    <w:rsid w:val="00822552"/>
    <w:rPr>
      <w:rFonts w:ascii="Times New Roman" w:eastAsia="Times New Roman" w:hAnsi="Times New Roman" w:cs="Times New Roman"/>
      <w:snapToGrid w:val="0"/>
      <w:sz w:val="20"/>
      <w:szCs w:val="20"/>
    </w:rPr>
  </w:style>
  <w:style w:type="paragraph" w:styleId="Header">
    <w:name w:val="header"/>
    <w:basedOn w:val="Normal"/>
    <w:link w:val="HeaderChar"/>
    <w:rsid w:val="00822552"/>
    <w:pPr>
      <w:tabs>
        <w:tab w:val="center" w:pos="4320"/>
        <w:tab w:val="right" w:pos="8640"/>
      </w:tabs>
    </w:pPr>
  </w:style>
  <w:style w:type="character" w:customStyle="1" w:styleId="HeaderChar">
    <w:name w:val="Header Char"/>
    <w:basedOn w:val="DefaultParagraphFont"/>
    <w:link w:val="Header"/>
    <w:rsid w:val="0082255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B3531"/>
    <w:pPr>
      <w:tabs>
        <w:tab w:val="center" w:pos="4680"/>
        <w:tab w:val="right" w:pos="9360"/>
      </w:tabs>
    </w:pPr>
  </w:style>
  <w:style w:type="character" w:customStyle="1" w:styleId="FooterChar">
    <w:name w:val="Footer Char"/>
    <w:basedOn w:val="DefaultParagraphFont"/>
    <w:link w:val="Footer"/>
    <w:uiPriority w:val="99"/>
    <w:rsid w:val="000B3531"/>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F1C70"/>
    <w:rPr>
      <w:rFonts w:ascii="Tahoma" w:hAnsi="Tahoma" w:cs="Tahoma"/>
      <w:sz w:val="16"/>
      <w:szCs w:val="16"/>
    </w:rPr>
  </w:style>
  <w:style w:type="character" w:customStyle="1" w:styleId="BalloonTextChar">
    <w:name w:val="Balloon Text Char"/>
    <w:basedOn w:val="DefaultParagraphFont"/>
    <w:link w:val="BalloonText"/>
    <w:uiPriority w:val="99"/>
    <w:semiHidden/>
    <w:rsid w:val="006F1C70"/>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6F1C70"/>
    <w:rPr>
      <w:sz w:val="16"/>
      <w:szCs w:val="16"/>
    </w:rPr>
  </w:style>
  <w:style w:type="paragraph" w:styleId="CommentText">
    <w:name w:val="annotation text"/>
    <w:basedOn w:val="Normal"/>
    <w:link w:val="CommentTextChar"/>
    <w:uiPriority w:val="99"/>
    <w:semiHidden/>
    <w:unhideWhenUsed/>
    <w:rsid w:val="006F1C70"/>
    <w:rPr>
      <w:sz w:val="20"/>
    </w:rPr>
  </w:style>
  <w:style w:type="character" w:customStyle="1" w:styleId="CommentTextChar">
    <w:name w:val="Comment Text Char"/>
    <w:basedOn w:val="DefaultParagraphFont"/>
    <w:link w:val="CommentText"/>
    <w:uiPriority w:val="99"/>
    <w:semiHidden/>
    <w:rsid w:val="006F1C7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F1C70"/>
    <w:rPr>
      <w:b/>
      <w:bCs/>
    </w:rPr>
  </w:style>
  <w:style w:type="character" w:customStyle="1" w:styleId="CommentSubjectChar">
    <w:name w:val="Comment Subject Char"/>
    <w:basedOn w:val="CommentTextChar"/>
    <w:link w:val="CommentSubject"/>
    <w:uiPriority w:val="99"/>
    <w:semiHidden/>
    <w:rsid w:val="006F1C70"/>
    <w:rPr>
      <w:rFonts w:ascii="Times New Roman" w:eastAsia="Times New Roman" w:hAnsi="Times New Roman" w:cs="Times New Roman"/>
      <w:b/>
      <w:bCs/>
      <w:snapToGrid w:val="0"/>
      <w:sz w:val="20"/>
      <w:szCs w:val="20"/>
    </w:rPr>
  </w:style>
  <w:style w:type="character" w:styleId="FootnoteReference">
    <w:name w:val="footnote reference"/>
    <w:aliases w:val="Style 12,(NECG) Footnote Reference,Appel note de bas de p,Style 124,o,fr,Style 3,Style 13,FR,Style 17,Style 6,Footnote Reference/"/>
    <w:basedOn w:val="DefaultParagraphFont"/>
    <w:semiHidden/>
    <w:rsid w:val="00EF2AE1"/>
    <w:rPr>
      <w:rFonts w:cs="Times New Roman"/>
      <w:vertAlign w:val="superscript"/>
    </w:rPr>
  </w:style>
  <w:style w:type="paragraph" w:styleId="Revision">
    <w:name w:val="Revision"/>
    <w:hidden/>
    <w:uiPriority w:val="99"/>
    <w:semiHidden/>
    <w:rsid w:val="00EF2AE1"/>
    <w:pPr>
      <w:spacing w:after="0" w:line="240" w:lineRule="auto"/>
    </w:pPr>
    <w:rPr>
      <w:rFonts w:ascii="Times New Roman" w:eastAsia="Times New Roman" w:hAnsi="Times New Roman" w:cs="Times New Roman"/>
      <w:snapToGrid w:val="0"/>
      <w:sz w:val="24"/>
      <w:szCs w:val="20"/>
    </w:rPr>
  </w:style>
  <w:style w:type="character" w:customStyle="1" w:styleId="FootnoteTextChar5Char">
    <w:name w:val="Footnote Text Char5 Char"/>
    <w:aliases w:val="Footnote Text Char1 Char Char,Footnote Text Char3 Char Char1 Char,Footnote Text Char2 Char1 Char Char1 Char,Footnote Text Char2 Char Char Char Char Char1 Char"/>
    <w:semiHidden/>
    <w:rsid w:val="00BF1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52"/>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822552"/>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2552"/>
    <w:rPr>
      <w:rFonts w:ascii="Times New Roman" w:eastAsia="Times New Roman" w:hAnsi="Times New Roman" w:cs="Times New Roman"/>
      <w:snapToGrid w:val="0"/>
      <w:spacing w:val="-2"/>
      <w:sz w:val="24"/>
      <w:szCs w:val="20"/>
    </w:rPr>
  </w:style>
  <w:style w:type="paragraph" w:styleId="FootnoteText">
    <w:name w:val="footnote text"/>
    <w:aliases w:val="Footnote Text Char2 Char1,Footnote Text Char1 Char Char2,Footnote Text Char Char Char Char2,Footnote Text Char2 Char Char1 Char Char1,Footnote Text Char1 Char Char Char Char Char,Footnote Text Char2,rrfootnote,fn,fn Char"/>
    <w:basedOn w:val="Normal"/>
    <w:link w:val="FootnoteTextChar"/>
    <w:semiHidden/>
    <w:rsid w:val="00822552"/>
    <w:pPr>
      <w:widowControl/>
      <w:spacing w:after="120"/>
    </w:pPr>
    <w:rPr>
      <w:sz w:val="20"/>
    </w:rPr>
  </w:style>
  <w:style w:type="character" w:customStyle="1" w:styleId="FootnoteTextChar">
    <w:name w:val="Footnote Text Char"/>
    <w:aliases w:val="Footnote Text Char2 Char1 Char,Footnote Text Char1 Char Char2 Char,Footnote Text Char Char Char Char2 Char,Footnote Text Char2 Char Char1 Char Char1 Char,Footnote Text Char1 Char Char Char Char Char Char,Footnote Text Char2 Char"/>
    <w:basedOn w:val="DefaultParagraphFont"/>
    <w:link w:val="FootnoteText"/>
    <w:semiHidden/>
    <w:rsid w:val="00822552"/>
    <w:rPr>
      <w:rFonts w:ascii="Times New Roman" w:eastAsia="Times New Roman" w:hAnsi="Times New Roman" w:cs="Times New Roman"/>
      <w:snapToGrid w:val="0"/>
      <w:sz w:val="20"/>
      <w:szCs w:val="20"/>
    </w:rPr>
  </w:style>
  <w:style w:type="paragraph" w:styleId="Header">
    <w:name w:val="header"/>
    <w:basedOn w:val="Normal"/>
    <w:link w:val="HeaderChar"/>
    <w:rsid w:val="00822552"/>
    <w:pPr>
      <w:tabs>
        <w:tab w:val="center" w:pos="4320"/>
        <w:tab w:val="right" w:pos="8640"/>
      </w:tabs>
    </w:pPr>
  </w:style>
  <w:style w:type="character" w:customStyle="1" w:styleId="HeaderChar">
    <w:name w:val="Header Char"/>
    <w:basedOn w:val="DefaultParagraphFont"/>
    <w:link w:val="Header"/>
    <w:rsid w:val="0082255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0B3531"/>
    <w:pPr>
      <w:tabs>
        <w:tab w:val="center" w:pos="4680"/>
        <w:tab w:val="right" w:pos="9360"/>
      </w:tabs>
    </w:pPr>
  </w:style>
  <w:style w:type="character" w:customStyle="1" w:styleId="FooterChar">
    <w:name w:val="Footer Char"/>
    <w:basedOn w:val="DefaultParagraphFont"/>
    <w:link w:val="Footer"/>
    <w:uiPriority w:val="99"/>
    <w:rsid w:val="000B3531"/>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F1C70"/>
    <w:rPr>
      <w:rFonts w:ascii="Tahoma" w:hAnsi="Tahoma" w:cs="Tahoma"/>
      <w:sz w:val="16"/>
      <w:szCs w:val="16"/>
    </w:rPr>
  </w:style>
  <w:style w:type="character" w:customStyle="1" w:styleId="BalloonTextChar">
    <w:name w:val="Balloon Text Char"/>
    <w:basedOn w:val="DefaultParagraphFont"/>
    <w:link w:val="BalloonText"/>
    <w:uiPriority w:val="99"/>
    <w:semiHidden/>
    <w:rsid w:val="006F1C70"/>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6F1C70"/>
    <w:rPr>
      <w:sz w:val="16"/>
      <w:szCs w:val="16"/>
    </w:rPr>
  </w:style>
  <w:style w:type="paragraph" w:styleId="CommentText">
    <w:name w:val="annotation text"/>
    <w:basedOn w:val="Normal"/>
    <w:link w:val="CommentTextChar"/>
    <w:uiPriority w:val="99"/>
    <w:semiHidden/>
    <w:unhideWhenUsed/>
    <w:rsid w:val="006F1C70"/>
    <w:rPr>
      <w:sz w:val="20"/>
    </w:rPr>
  </w:style>
  <w:style w:type="character" w:customStyle="1" w:styleId="CommentTextChar">
    <w:name w:val="Comment Text Char"/>
    <w:basedOn w:val="DefaultParagraphFont"/>
    <w:link w:val="CommentText"/>
    <w:uiPriority w:val="99"/>
    <w:semiHidden/>
    <w:rsid w:val="006F1C70"/>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F1C70"/>
    <w:rPr>
      <w:b/>
      <w:bCs/>
    </w:rPr>
  </w:style>
  <w:style w:type="character" w:customStyle="1" w:styleId="CommentSubjectChar">
    <w:name w:val="Comment Subject Char"/>
    <w:basedOn w:val="CommentTextChar"/>
    <w:link w:val="CommentSubject"/>
    <w:uiPriority w:val="99"/>
    <w:semiHidden/>
    <w:rsid w:val="006F1C70"/>
    <w:rPr>
      <w:rFonts w:ascii="Times New Roman" w:eastAsia="Times New Roman" w:hAnsi="Times New Roman" w:cs="Times New Roman"/>
      <w:b/>
      <w:bCs/>
      <w:snapToGrid w:val="0"/>
      <w:sz w:val="20"/>
      <w:szCs w:val="20"/>
    </w:rPr>
  </w:style>
  <w:style w:type="character" w:styleId="FootnoteReference">
    <w:name w:val="footnote reference"/>
    <w:aliases w:val="Style 12,(NECG) Footnote Reference,Appel note de bas de p,Style 124,o,fr,Style 3,Style 13,FR,Style 17,Style 6,Footnote Reference/"/>
    <w:basedOn w:val="DefaultParagraphFont"/>
    <w:semiHidden/>
    <w:rsid w:val="00EF2AE1"/>
    <w:rPr>
      <w:rFonts w:cs="Times New Roman"/>
      <w:vertAlign w:val="superscript"/>
    </w:rPr>
  </w:style>
  <w:style w:type="paragraph" w:styleId="Revision">
    <w:name w:val="Revision"/>
    <w:hidden/>
    <w:uiPriority w:val="99"/>
    <w:semiHidden/>
    <w:rsid w:val="00EF2AE1"/>
    <w:pPr>
      <w:spacing w:after="0" w:line="240" w:lineRule="auto"/>
    </w:pPr>
    <w:rPr>
      <w:rFonts w:ascii="Times New Roman" w:eastAsia="Times New Roman" w:hAnsi="Times New Roman" w:cs="Times New Roman"/>
      <w:snapToGrid w:val="0"/>
      <w:sz w:val="24"/>
      <w:szCs w:val="20"/>
    </w:rPr>
  </w:style>
  <w:style w:type="character" w:customStyle="1" w:styleId="FootnoteTextChar5Char">
    <w:name w:val="Footnote Text Char5 Char"/>
    <w:aliases w:val="Footnote Text Char1 Char Char,Footnote Text Char3 Char Char1 Char,Footnote Text Char2 Char1 Char Char1 Char,Footnote Text Char2 Char Char Char Char Char1 Char"/>
    <w:semiHidden/>
    <w:rsid w:val="00BF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2246</Characters>
  <Application>Microsoft Office Word</Application>
  <DocSecurity>0</DocSecurity>
  <Lines>68</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2014-07-21T16:27:00Z</cp:lastPrinted>
  <dcterms:created xsi:type="dcterms:W3CDTF">2014-07-21T16:30:00Z</dcterms:created>
  <dcterms:modified xsi:type="dcterms:W3CDTF">2014-07-21T16:30:00Z</dcterms:modified>
  <cp:category> </cp:category>
  <cp:contentStatus> </cp:contentStatus>
</cp:coreProperties>
</file>