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8B" w:rsidRPr="00E96DA3" w:rsidRDefault="005D388B">
      <w:pPr>
        <w:rPr>
          <w:sz w:val="24"/>
          <w:szCs w:val="24"/>
        </w:rPr>
      </w:pPr>
      <w:bookmarkStart w:id="0" w:name="_GoBack"/>
      <w:bookmarkEnd w:id="0"/>
    </w:p>
    <w:p w:rsidR="005D388B" w:rsidRPr="00E96DA3" w:rsidRDefault="005D388B">
      <w:pPr>
        <w:ind w:left="6480"/>
        <w:jc w:val="right"/>
        <w:outlineLvl w:val="0"/>
        <w:rPr>
          <w:b/>
          <w:bCs/>
          <w:sz w:val="24"/>
          <w:szCs w:val="24"/>
        </w:rPr>
      </w:pPr>
      <w:r w:rsidRPr="00E96DA3">
        <w:rPr>
          <w:b/>
          <w:bCs/>
          <w:sz w:val="24"/>
          <w:szCs w:val="24"/>
        </w:rPr>
        <w:t>DA</w:t>
      </w:r>
      <w:r w:rsidR="008F16A0">
        <w:rPr>
          <w:sz w:val="24"/>
          <w:szCs w:val="24"/>
        </w:rPr>
        <w:t xml:space="preserve"> </w:t>
      </w:r>
      <w:r w:rsidR="008F16A0" w:rsidRPr="008F16A0">
        <w:rPr>
          <w:b/>
          <w:bCs/>
          <w:sz w:val="24"/>
          <w:szCs w:val="24"/>
        </w:rPr>
        <w:t>14-1028</w:t>
      </w:r>
    </w:p>
    <w:p w:rsidR="005D388B" w:rsidRPr="00E96DA3" w:rsidRDefault="005D388B">
      <w:pPr>
        <w:jc w:val="center"/>
        <w:rPr>
          <w:sz w:val="24"/>
          <w:szCs w:val="24"/>
        </w:rPr>
      </w:pPr>
    </w:p>
    <w:p w:rsidR="005D388B" w:rsidRPr="007F0C94" w:rsidRDefault="005D388B">
      <w:pPr>
        <w:jc w:val="center"/>
        <w:rPr>
          <w:b/>
          <w:sz w:val="36"/>
          <w:szCs w:val="36"/>
        </w:rPr>
      </w:pPr>
      <w:r w:rsidRPr="007F0C94">
        <w:rPr>
          <w:b/>
          <w:sz w:val="36"/>
          <w:szCs w:val="36"/>
        </w:rPr>
        <w:t>Small Entity Compliance Guide</w:t>
      </w:r>
    </w:p>
    <w:p w:rsidR="005D388B" w:rsidRPr="00E96DA3" w:rsidRDefault="005D388B">
      <w:pPr>
        <w:jc w:val="center"/>
        <w:rPr>
          <w:b/>
          <w:sz w:val="24"/>
          <w:szCs w:val="24"/>
        </w:rPr>
      </w:pPr>
    </w:p>
    <w:p w:rsidR="005D388B" w:rsidRPr="007F0C94" w:rsidRDefault="005D388B">
      <w:pPr>
        <w:jc w:val="center"/>
        <w:rPr>
          <w:sz w:val="28"/>
          <w:szCs w:val="28"/>
        </w:rPr>
      </w:pPr>
      <w:r w:rsidRPr="007F0C94">
        <w:rPr>
          <w:b/>
          <w:sz w:val="28"/>
          <w:szCs w:val="28"/>
        </w:rPr>
        <w:t xml:space="preserve">Operation </w:t>
      </w:r>
      <w:r w:rsidR="00346A11" w:rsidRPr="007F0C94">
        <w:rPr>
          <w:b/>
          <w:sz w:val="28"/>
          <w:szCs w:val="28"/>
        </w:rPr>
        <w:t>o</w:t>
      </w:r>
      <w:r w:rsidRPr="007F0C94">
        <w:rPr>
          <w:b/>
          <w:sz w:val="28"/>
          <w:szCs w:val="28"/>
        </w:rPr>
        <w:t xml:space="preserve">f Unlicensed </w:t>
      </w:r>
      <w:r w:rsidR="00BF416F" w:rsidRPr="007F0C94">
        <w:rPr>
          <w:b/>
          <w:sz w:val="28"/>
          <w:szCs w:val="28"/>
        </w:rPr>
        <w:t>Level Probing Radars in the 5.925</w:t>
      </w:r>
      <w:r w:rsidR="00BF416F" w:rsidRPr="007F0C94">
        <w:rPr>
          <w:b/>
          <w:sz w:val="28"/>
          <w:szCs w:val="28"/>
        </w:rPr>
        <w:noBreakHyphen/>
        <w:t>7.250 GHz, 24.05</w:t>
      </w:r>
      <w:r w:rsidR="00BF416F" w:rsidRPr="007F0C94">
        <w:rPr>
          <w:b/>
          <w:sz w:val="28"/>
          <w:szCs w:val="28"/>
        </w:rPr>
        <w:noBreakHyphen/>
        <w:t>29.00 GHz and 7</w:t>
      </w:r>
      <w:r w:rsidR="00CD5D52" w:rsidRPr="007F0C94">
        <w:rPr>
          <w:b/>
          <w:sz w:val="28"/>
          <w:szCs w:val="28"/>
        </w:rPr>
        <w:t>5</w:t>
      </w:r>
      <w:r w:rsidR="00CD5D52" w:rsidRPr="007F0C94">
        <w:rPr>
          <w:b/>
          <w:sz w:val="28"/>
          <w:szCs w:val="28"/>
        </w:rPr>
        <w:noBreakHyphen/>
      </w:r>
      <w:r w:rsidR="00BF416F" w:rsidRPr="007F0C94">
        <w:rPr>
          <w:b/>
          <w:sz w:val="28"/>
          <w:szCs w:val="28"/>
        </w:rPr>
        <w:t>85</w:t>
      </w:r>
      <w:r w:rsidR="00CD5D52" w:rsidRPr="007F0C94">
        <w:rPr>
          <w:b/>
          <w:sz w:val="28"/>
          <w:szCs w:val="28"/>
        </w:rPr>
        <w:t> G</w:t>
      </w:r>
      <w:r w:rsidRPr="007F0C94">
        <w:rPr>
          <w:b/>
          <w:sz w:val="28"/>
          <w:szCs w:val="28"/>
        </w:rPr>
        <w:t>Hz Band</w:t>
      </w:r>
      <w:r w:rsidR="00EE17D7" w:rsidRPr="007F0C94">
        <w:rPr>
          <w:b/>
          <w:sz w:val="28"/>
          <w:szCs w:val="28"/>
        </w:rPr>
        <w:t>s</w:t>
      </w:r>
    </w:p>
    <w:p w:rsidR="005D388B" w:rsidRPr="00E96DA3" w:rsidRDefault="005D388B">
      <w:pPr>
        <w:jc w:val="center"/>
        <w:rPr>
          <w:b/>
          <w:sz w:val="24"/>
          <w:szCs w:val="24"/>
        </w:rPr>
      </w:pPr>
    </w:p>
    <w:p w:rsidR="005D388B" w:rsidRPr="00E96DA3" w:rsidRDefault="005D388B">
      <w:pPr>
        <w:jc w:val="center"/>
        <w:rPr>
          <w:sz w:val="24"/>
          <w:szCs w:val="24"/>
        </w:rPr>
      </w:pPr>
      <w:r w:rsidRPr="00E96DA3">
        <w:rPr>
          <w:sz w:val="24"/>
          <w:szCs w:val="24"/>
        </w:rPr>
        <w:t>Report and Order</w:t>
      </w:r>
    </w:p>
    <w:p w:rsidR="005D388B" w:rsidRPr="00E96DA3" w:rsidRDefault="005D388B">
      <w:pPr>
        <w:jc w:val="center"/>
        <w:rPr>
          <w:sz w:val="24"/>
          <w:szCs w:val="24"/>
        </w:rPr>
      </w:pPr>
      <w:r w:rsidRPr="00E96DA3">
        <w:rPr>
          <w:sz w:val="24"/>
          <w:szCs w:val="24"/>
        </w:rPr>
        <w:t>FCC 1</w:t>
      </w:r>
      <w:r w:rsidR="00BF416F" w:rsidRPr="00E96DA3">
        <w:rPr>
          <w:sz w:val="24"/>
          <w:szCs w:val="24"/>
        </w:rPr>
        <w:t>4</w:t>
      </w:r>
      <w:r w:rsidRPr="00E96DA3">
        <w:rPr>
          <w:sz w:val="24"/>
          <w:szCs w:val="24"/>
        </w:rPr>
        <w:t>-</w:t>
      </w:r>
      <w:r w:rsidR="009C2675">
        <w:rPr>
          <w:sz w:val="24"/>
          <w:szCs w:val="24"/>
        </w:rPr>
        <w:t>2</w:t>
      </w:r>
    </w:p>
    <w:p w:rsidR="005D388B" w:rsidRPr="00E96DA3" w:rsidRDefault="005D388B">
      <w:pPr>
        <w:jc w:val="center"/>
        <w:rPr>
          <w:spacing w:val="-2"/>
          <w:sz w:val="24"/>
          <w:szCs w:val="24"/>
        </w:rPr>
      </w:pPr>
      <w:r w:rsidRPr="00E96DA3">
        <w:rPr>
          <w:spacing w:val="-2"/>
          <w:sz w:val="24"/>
          <w:szCs w:val="24"/>
        </w:rPr>
        <w:t>ET Docket No</w:t>
      </w:r>
      <w:r w:rsidR="00BF416F" w:rsidRPr="00E96DA3">
        <w:rPr>
          <w:spacing w:val="-2"/>
          <w:sz w:val="24"/>
          <w:szCs w:val="24"/>
        </w:rPr>
        <w:t>s</w:t>
      </w:r>
      <w:r w:rsidRPr="00E96DA3">
        <w:rPr>
          <w:spacing w:val="-2"/>
          <w:sz w:val="24"/>
          <w:szCs w:val="24"/>
        </w:rPr>
        <w:t xml:space="preserve">. </w:t>
      </w:r>
      <w:r w:rsidR="00BF416F" w:rsidRPr="00E96DA3">
        <w:rPr>
          <w:spacing w:val="-2"/>
          <w:sz w:val="24"/>
          <w:szCs w:val="24"/>
        </w:rPr>
        <w:t>10</w:t>
      </w:r>
      <w:r w:rsidR="00BF416F" w:rsidRPr="00E96DA3">
        <w:rPr>
          <w:spacing w:val="-2"/>
          <w:sz w:val="24"/>
          <w:szCs w:val="24"/>
        </w:rPr>
        <w:noBreakHyphen/>
        <w:t>23 and 10</w:t>
      </w:r>
      <w:r w:rsidR="00BF416F" w:rsidRPr="00E96DA3">
        <w:rPr>
          <w:spacing w:val="-2"/>
          <w:sz w:val="24"/>
          <w:szCs w:val="24"/>
        </w:rPr>
        <w:noBreakHyphen/>
        <w:t>27</w:t>
      </w:r>
    </w:p>
    <w:p w:rsidR="005D388B" w:rsidRPr="00E96DA3" w:rsidRDefault="005D388B">
      <w:pPr>
        <w:jc w:val="center"/>
        <w:rPr>
          <w:spacing w:val="-2"/>
          <w:sz w:val="24"/>
          <w:szCs w:val="24"/>
        </w:rPr>
      </w:pPr>
      <w:r w:rsidRPr="00E96DA3">
        <w:rPr>
          <w:spacing w:val="-2"/>
          <w:sz w:val="24"/>
          <w:szCs w:val="24"/>
        </w:rPr>
        <w:t xml:space="preserve">Released:  </w:t>
      </w:r>
      <w:r w:rsidR="000F2BF7">
        <w:rPr>
          <w:spacing w:val="-2"/>
          <w:sz w:val="24"/>
          <w:szCs w:val="24"/>
        </w:rPr>
        <w:t>Jan 15</w:t>
      </w:r>
      <w:r w:rsidRPr="00E96DA3">
        <w:rPr>
          <w:spacing w:val="-2"/>
          <w:sz w:val="24"/>
          <w:szCs w:val="24"/>
        </w:rPr>
        <w:t>, 201</w:t>
      </w:r>
      <w:r w:rsidR="00BF416F" w:rsidRPr="00E96DA3">
        <w:rPr>
          <w:spacing w:val="-2"/>
          <w:sz w:val="24"/>
          <w:szCs w:val="24"/>
        </w:rPr>
        <w:t>4</w:t>
      </w:r>
    </w:p>
    <w:p w:rsidR="005D388B" w:rsidRPr="00E96DA3" w:rsidRDefault="005D388B">
      <w:pPr>
        <w:jc w:val="center"/>
        <w:rPr>
          <w:b/>
          <w:spacing w:val="-2"/>
          <w:sz w:val="24"/>
          <w:szCs w:val="24"/>
        </w:rPr>
      </w:pPr>
    </w:p>
    <w:p w:rsidR="007F0C94" w:rsidRPr="007F0C94" w:rsidRDefault="007F0C94" w:rsidP="007F0C94">
      <w:pPr>
        <w:tabs>
          <w:tab w:val="left" w:pos="360"/>
        </w:tabs>
        <w:ind w:left="1080" w:right="648"/>
        <w:jc w:val="both"/>
        <w:rPr>
          <w:b/>
          <w:sz w:val="22"/>
          <w:szCs w:val="22"/>
        </w:rPr>
      </w:pPr>
      <w:r w:rsidRPr="007F0C94">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7F0C94" w:rsidRPr="007F0C94" w:rsidRDefault="007F0C94" w:rsidP="007F0C94">
      <w:pPr>
        <w:tabs>
          <w:tab w:val="left" w:pos="360"/>
        </w:tabs>
        <w:ind w:left="1080" w:right="720"/>
        <w:jc w:val="both"/>
        <w:rPr>
          <w:b/>
          <w:sz w:val="22"/>
          <w:szCs w:val="22"/>
        </w:rPr>
      </w:pPr>
    </w:p>
    <w:p w:rsidR="007F0C94" w:rsidRPr="007F0C94" w:rsidRDefault="007F0C94" w:rsidP="007F0C94">
      <w:pPr>
        <w:tabs>
          <w:tab w:val="left" w:pos="360"/>
        </w:tabs>
        <w:ind w:left="1080" w:right="720"/>
        <w:jc w:val="both"/>
        <w:rPr>
          <w:b/>
          <w:sz w:val="22"/>
          <w:szCs w:val="22"/>
        </w:rPr>
      </w:pPr>
      <w:r w:rsidRPr="007F0C94">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7F0C94" w:rsidRDefault="007F0C94" w:rsidP="007F0C94">
      <w:pPr>
        <w:rPr>
          <w:b/>
          <w:sz w:val="22"/>
          <w:szCs w:val="22"/>
        </w:rPr>
      </w:pPr>
    </w:p>
    <w:p w:rsidR="007F0C94" w:rsidRDefault="007F0C94" w:rsidP="007F0C94">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7F0C94" w:rsidRDefault="002E3B5C" w:rsidP="007F0C94">
      <w:pPr>
        <w:jc w:val="center"/>
        <w:rPr>
          <w:b/>
          <w:color w:val="000000"/>
          <w:sz w:val="22"/>
          <w:szCs w:val="22"/>
        </w:rPr>
      </w:pPr>
      <w:hyperlink r:id="rId8" w:history="1">
        <w:r w:rsidR="007F0C94">
          <w:rPr>
            <w:rStyle w:val="Hyperlink"/>
            <w:b/>
            <w:sz w:val="22"/>
            <w:szCs w:val="22"/>
          </w:rPr>
          <w:t>fccinfo@fcc.gov</w:t>
        </w:r>
      </w:hyperlink>
    </w:p>
    <w:p w:rsidR="007F0C94" w:rsidRDefault="007F0C94" w:rsidP="007F0C94">
      <w:pPr>
        <w:jc w:val="center"/>
        <w:rPr>
          <w:sz w:val="22"/>
          <w:szCs w:val="22"/>
        </w:rPr>
      </w:pPr>
      <w:r>
        <w:rPr>
          <w:b/>
          <w:color w:val="000000"/>
          <w:sz w:val="22"/>
          <w:szCs w:val="22"/>
        </w:rPr>
        <w:br w:type="page"/>
      </w:r>
    </w:p>
    <w:p w:rsidR="00D95390" w:rsidRPr="00E96DA3" w:rsidRDefault="005D388B">
      <w:pPr>
        <w:jc w:val="center"/>
        <w:rPr>
          <w:b/>
          <w:sz w:val="24"/>
          <w:szCs w:val="24"/>
          <w:u w:val="single"/>
        </w:rPr>
      </w:pPr>
      <w:r w:rsidRPr="00E96DA3">
        <w:rPr>
          <w:b/>
          <w:sz w:val="24"/>
          <w:szCs w:val="24"/>
          <w:u w:val="single"/>
        </w:rPr>
        <w:t xml:space="preserve">Compliance Requirements for Operation of </w:t>
      </w:r>
      <w:r w:rsidR="00B03651" w:rsidRPr="00E96DA3">
        <w:rPr>
          <w:b/>
          <w:sz w:val="24"/>
          <w:szCs w:val="24"/>
          <w:u w:val="single"/>
        </w:rPr>
        <w:t xml:space="preserve">Unlicensed </w:t>
      </w:r>
      <w:r w:rsidR="00332AF9" w:rsidRPr="00E96DA3">
        <w:rPr>
          <w:b/>
          <w:sz w:val="24"/>
          <w:szCs w:val="24"/>
          <w:u w:val="single"/>
        </w:rPr>
        <w:t>Level Probing Radars in the 5.925</w:t>
      </w:r>
      <w:r w:rsidR="00332AF9" w:rsidRPr="00E96DA3">
        <w:rPr>
          <w:b/>
          <w:sz w:val="24"/>
          <w:szCs w:val="24"/>
          <w:u w:val="single"/>
        </w:rPr>
        <w:noBreakHyphen/>
        <w:t>7.250 GHz, 24.05</w:t>
      </w:r>
      <w:r w:rsidR="00332AF9" w:rsidRPr="00E96DA3">
        <w:rPr>
          <w:b/>
          <w:sz w:val="24"/>
          <w:szCs w:val="24"/>
          <w:u w:val="single"/>
        </w:rPr>
        <w:noBreakHyphen/>
        <w:t>29.00 GHz and 75</w:t>
      </w:r>
      <w:r w:rsidR="00332AF9" w:rsidRPr="00E96DA3">
        <w:rPr>
          <w:b/>
          <w:sz w:val="24"/>
          <w:szCs w:val="24"/>
          <w:u w:val="single"/>
        </w:rPr>
        <w:noBreakHyphen/>
        <w:t>85 GHz Bands</w:t>
      </w:r>
    </w:p>
    <w:p w:rsidR="005D388B" w:rsidRPr="00E96DA3" w:rsidRDefault="005D388B" w:rsidP="006261EC">
      <w:pPr>
        <w:pStyle w:val="Heading4"/>
        <w:numPr>
          <w:ilvl w:val="0"/>
          <w:numId w:val="14"/>
        </w:numPr>
        <w:tabs>
          <w:tab w:val="left" w:pos="360"/>
        </w:tabs>
        <w:ind w:hanging="720"/>
        <w:rPr>
          <w:sz w:val="24"/>
          <w:szCs w:val="24"/>
          <w:u w:val="single"/>
        </w:rPr>
      </w:pPr>
      <w:r w:rsidRPr="00E96DA3">
        <w:rPr>
          <w:sz w:val="24"/>
          <w:szCs w:val="24"/>
          <w:u w:val="single"/>
        </w:rPr>
        <w:t>Objectives of the Proceeding</w:t>
      </w:r>
    </w:p>
    <w:p w:rsidR="005D388B" w:rsidRPr="00E96DA3" w:rsidRDefault="005D388B">
      <w:pPr>
        <w:rPr>
          <w:sz w:val="24"/>
          <w:szCs w:val="24"/>
        </w:rPr>
      </w:pPr>
    </w:p>
    <w:p w:rsidR="006D17A4" w:rsidRPr="00CE0932" w:rsidRDefault="005D388B" w:rsidP="00AA3E9B">
      <w:pPr>
        <w:pStyle w:val="ParaNum"/>
        <w:widowControl/>
        <w:numPr>
          <w:ilvl w:val="0"/>
          <w:numId w:val="0"/>
        </w:numPr>
        <w:spacing w:after="220"/>
        <w:rPr>
          <w:sz w:val="24"/>
          <w:szCs w:val="24"/>
          <w:lang w:val="en-US"/>
        </w:rPr>
      </w:pPr>
      <w:r w:rsidRPr="00E96DA3">
        <w:rPr>
          <w:sz w:val="24"/>
          <w:szCs w:val="24"/>
        </w:rPr>
        <w:t xml:space="preserve">In the </w:t>
      </w:r>
      <w:r w:rsidRPr="00E96DA3">
        <w:rPr>
          <w:i/>
          <w:sz w:val="24"/>
          <w:szCs w:val="24"/>
        </w:rPr>
        <w:t>Report and Orde</w:t>
      </w:r>
      <w:r w:rsidR="000F2BF7" w:rsidRPr="00412122">
        <w:rPr>
          <w:i/>
          <w:sz w:val="24"/>
          <w:lang w:val="en-US"/>
        </w:rPr>
        <w:t xml:space="preserve">r </w:t>
      </w:r>
      <w:r w:rsidR="00FD374D">
        <w:rPr>
          <w:sz w:val="24"/>
          <w:szCs w:val="24"/>
          <w:lang w:val="en-US"/>
        </w:rPr>
        <w:t xml:space="preserve">released on </w:t>
      </w:r>
      <w:r w:rsidR="00332AF9" w:rsidRPr="00E96DA3">
        <w:rPr>
          <w:sz w:val="24"/>
          <w:szCs w:val="24"/>
        </w:rPr>
        <w:t>January</w:t>
      </w:r>
      <w:r w:rsidR="00FD374D">
        <w:rPr>
          <w:sz w:val="24"/>
          <w:szCs w:val="24"/>
          <w:lang w:val="en-US"/>
        </w:rPr>
        <w:t xml:space="preserve"> 15,</w:t>
      </w:r>
      <w:r w:rsidR="00332AF9" w:rsidRPr="00E96DA3">
        <w:rPr>
          <w:sz w:val="24"/>
          <w:szCs w:val="24"/>
        </w:rPr>
        <w:t xml:space="preserve"> </w:t>
      </w:r>
      <w:r w:rsidRPr="00E96DA3">
        <w:rPr>
          <w:sz w:val="24"/>
          <w:szCs w:val="24"/>
        </w:rPr>
        <w:t>201</w:t>
      </w:r>
      <w:r w:rsidR="00922874">
        <w:rPr>
          <w:sz w:val="24"/>
          <w:szCs w:val="24"/>
        </w:rPr>
        <w:t>4</w:t>
      </w:r>
      <w:r w:rsidRPr="00E96DA3">
        <w:rPr>
          <w:sz w:val="24"/>
          <w:szCs w:val="24"/>
        </w:rPr>
        <w:t xml:space="preserve"> in ET Docket No</w:t>
      </w:r>
      <w:r w:rsidR="00332AF9" w:rsidRPr="00E96DA3">
        <w:rPr>
          <w:sz w:val="24"/>
          <w:szCs w:val="24"/>
        </w:rPr>
        <w:t>s</w:t>
      </w:r>
      <w:r w:rsidRPr="00E96DA3">
        <w:rPr>
          <w:sz w:val="24"/>
          <w:szCs w:val="24"/>
        </w:rPr>
        <w:t xml:space="preserve">. </w:t>
      </w:r>
      <w:r w:rsidR="00332AF9" w:rsidRPr="00E96DA3">
        <w:rPr>
          <w:sz w:val="24"/>
          <w:szCs w:val="24"/>
        </w:rPr>
        <w:t>10</w:t>
      </w:r>
      <w:r w:rsidR="00332AF9" w:rsidRPr="00E96DA3">
        <w:rPr>
          <w:sz w:val="24"/>
          <w:szCs w:val="24"/>
        </w:rPr>
        <w:noBreakHyphen/>
        <w:t>23 and 10</w:t>
      </w:r>
      <w:r w:rsidR="00332AF9" w:rsidRPr="00E96DA3">
        <w:rPr>
          <w:sz w:val="24"/>
          <w:szCs w:val="24"/>
        </w:rPr>
        <w:noBreakHyphen/>
        <w:t>27</w:t>
      </w:r>
      <w:r w:rsidRPr="00E96DA3">
        <w:rPr>
          <w:sz w:val="24"/>
          <w:szCs w:val="24"/>
        </w:rPr>
        <w:t xml:space="preserve">, the Commission amended </w:t>
      </w:r>
      <w:r w:rsidR="000F2BF7">
        <w:rPr>
          <w:sz w:val="24"/>
          <w:szCs w:val="24"/>
        </w:rPr>
        <w:t>the Part 15</w:t>
      </w:r>
      <w:r w:rsidR="00426A62">
        <w:rPr>
          <w:sz w:val="24"/>
          <w:szCs w:val="24"/>
          <w:lang w:val="en-US"/>
        </w:rPr>
        <w:t xml:space="preserve"> </w:t>
      </w:r>
      <w:r w:rsidR="000F2BF7">
        <w:rPr>
          <w:sz w:val="24"/>
          <w:szCs w:val="24"/>
        </w:rPr>
        <w:t>rules</w:t>
      </w:r>
      <w:r w:rsidR="000F2BF7" w:rsidRPr="00412122">
        <w:rPr>
          <w:sz w:val="24"/>
          <w:lang w:val="en-US"/>
        </w:rPr>
        <w:t xml:space="preserve"> </w:t>
      </w:r>
      <w:r w:rsidR="00FD374D">
        <w:rPr>
          <w:sz w:val="24"/>
          <w:lang w:val="en-US"/>
        </w:rPr>
        <w:t>governing</w:t>
      </w:r>
      <w:r w:rsidR="00C51FA6" w:rsidRPr="00E96DA3">
        <w:rPr>
          <w:sz w:val="24"/>
          <w:szCs w:val="24"/>
        </w:rPr>
        <w:t xml:space="preserve"> level probing radars (LPRs) operating on an unlicensed basis</w:t>
      </w:r>
      <w:r w:rsidR="00C51FA6" w:rsidRPr="00E96DA3">
        <w:rPr>
          <w:spacing w:val="-2"/>
          <w:sz w:val="24"/>
          <w:szCs w:val="24"/>
        </w:rPr>
        <w:t xml:space="preserve"> in the </w:t>
      </w:r>
      <w:r w:rsidR="00C51FA6" w:rsidRPr="00E96DA3">
        <w:rPr>
          <w:sz w:val="24"/>
          <w:szCs w:val="24"/>
        </w:rPr>
        <w:t>5.925</w:t>
      </w:r>
      <w:r w:rsidR="00C51FA6" w:rsidRPr="00E96DA3">
        <w:rPr>
          <w:sz w:val="24"/>
          <w:szCs w:val="24"/>
        </w:rPr>
        <w:noBreakHyphen/>
        <w:t>7.250 GHz, 24.05</w:t>
      </w:r>
      <w:r w:rsidR="00C51FA6" w:rsidRPr="00E96DA3">
        <w:rPr>
          <w:sz w:val="24"/>
          <w:szCs w:val="24"/>
        </w:rPr>
        <w:noBreakHyphen/>
        <w:t>29.00 GHz, and 75</w:t>
      </w:r>
      <w:r w:rsidR="00C51FA6" w:rsidRPr="00E96DA3">
        <w:rPr>
          <w:sz w:val="24"/>
          <w:szCs w:val="24"/>
        </w:rPr>
        <w:noBreakHyphen/>
        <w:t>85 GHz bands</w:t>
      </w:r>
      <w:r w:rsidR="00ED748A">
        <w:rPr>
          <w:sz w:val="24"/>
          <w:szCs w:val="24"/>
          <w:lang w:val="en-US"/>
        </w:rPr>
        <w:t>, with the objective of</w:t>
      </w:r>
      <w:r w:rsidR="006D17A4" w:rsidRPr="006D17A4">
        <w:rPr>
          <w:sz w:val="24"/>
          <w:szCs w:val="24"/>
        </w:rPr>
        <w:t xml:space="preserve"> </w:t>
      </w:r>
      <w:r w:rsidR="006D17A4" w:rsidRPr="00E96DA3">
        <w:rPr>
          <w:sz w:val="24"/>
          <w:szCs w:val="24"/>
        </w:rPr>
        <w:t>provid</w:t>
      </w:r>
      <w:r w:rsidR="006D17A4">
        <w:rPr>
          <w:sz w:val="24"/>
          <w:szCs w:val="24"/>
          <w:lang w:val="en-US"/>
        </w:rPr>
        <w:t xml:space="preserve">ing </w:t>
      </w:r>
      <w:r w:rsidR="006D17A4" w:rsidRPr="00E96DA3">
        <w:rPr>
          <w:sz w:val="24"/>
          <w:szCs w:val="24"/>
        </w:rPr>
        <w:t>needed flexibility and cost savings for LPR device</w:t>
      </w:r>
      <w:r w:rsidR="006D17A4">
        <w:rPr>
          <w:sz w:val="24"/>
          <w:szCs w:val="24"/>
          <w:lang w:val="en-US"/>
        </w:rPr>
        <w:t xml:space="preserve"> operator</w:t>
      </w:r>
      <w:r w:rsidR="006D17A4" w:rsidRPr="00E96DA3">
        <w:rPr>
          <w:sz w:val="24"/>
          <w:szCs w:val="24"/>
        </w:rPr>
        <w:t xml:space="preserve">s, benefiting </w:t>
      </w:r>
      <w:r w:rsidR="006D17A4">
        <w:rPr>
          <w:sz w:val="24"/>
          <w:szCs w:val="24"/>
          <w:lang w:val="en-US"/>
        </w:rPr>
        <w:t xml:space="preserve">those operators </w:t>
      </w:r>
      <w:r w:rsidR="006D17A4" w:rsidRPr="00E96DA3">
        <w:rPr>
          <w:sz w:val="24"/>
          <w:szCs w:val="24"/>
        </w:rPr>
        <w:t xml:space="preserve">and manufacturers </w:t>
      </w:r>
      <w:r w:rsidR="006D17A4">
        <w:rPr>
          <w:sz w:val="24"/>
          <w:szCs w:val="24"/>
          <w:lang w:val="en-US"/>
        </w:rPr>
        <w:t xml:space="preserve">of such devices, </w:t>
      </w:r>
      <w:r w:rsidR="006D17A4" w:rsidRPr="00E96DA3">
        <w:rPr>
          <w:sz w:val="24"/>
          <w:szCs w:val="24"/>
        </w:rPr>
        <w:t>without causing harmful interference to authorized services.</w:t>
      </w:r>
      <w:r w:rsidR="00CE0932">
        <w:rPr>
          <w:sz w:val="24"/>
          <w:szCs w:val="24"/>
          <w:lang w:val="en-US"/>
        </w:rPr>
        <w:t xml:space="preserve">  Moreover,</w:t>
      </w:r>
      <w:r w:rsidR="00CE0932" w:rsidRPr="00CE0932">
        <w:rPr>
          <w:sz w:val="24"/>
          <w:szCs w:val="24"/>
        </w:rPr>
        <w:t xml:space="preserve"> </w:t>
      </w:r>
      <w:r w:rsidR="00CE0932">
        <w:rPr>
          <w:sz w:val="24"/>
          <w:szCs w:val="24"/>
          <w:lang w:val="en-US"/>
        </w:rPr>
        <w:t xml:space="preserve">the </w:t>
      </w:r>
      <w:r w:rsidR="00CE0932" w:rsidRPr="00E96DA3">
        <w:rPr>
          <w:sz w:val="24"/>
          <w:szCs w:val="24"/>
        </w:rPr>
        <w:t>amended rules w</w:t>
      </w:r>
      <w:r w:rsidR="00CE0932">
        <w:rPr>
          <w:sz w:val="24"/>
          <w:szCs w:val="24"/>
        </w:rPr>
        <w:t>ill</w:t>
      </w:r>
      <w:r w:rsidR="00CE0932" w:rsidRPr="00E96DA3">
        <w:rPr>
          <w:sz w:val="24"/>
          <w:szCs w:val="24"/>
        </w:rPr>
        <w:t xml:space="preserve">, to the extent practicable, harmonize </w:t>
      </w:r>
      <w:r w:rsidR="00CE0932">
        <w:rPr>
          <w:sz w:val="24"/>
          <w:szCs w:val="24"/>
        </w:rPr>
        <w:t>the Commission’s</w:t>
      </w:r>
      <w:r w:rsidR="00CE0932" w:rsidRPr="00E96DA3">
        <w:rPr>
          <w:sz w:val="24"/>
          <w:szCs w:val="24"/>
        </w:rPr>
        <w:t xml:space="preserve"> technical rules for LPR devices with similar European standards and </w:t>
      </w:r>
      <w:r w:rsidR="00CE0932">
        <w:rPr>
          <w:sz w:val="24"/>
          <w:szCs w:val="24"/>
          <w:lang w:val="en-US"/>
        </w:rPr>
        <w:t xml:space="preserve">thereby </w:t>
      </w:r>
      <w:r w:rsidR="00CE0932" w:rsidRPr="00E96DA3">
        <w:rPr>
          <w:sz w:val="24"/>
          <w:szCs w:val="24"/>
        </w:rPr>
        <w:t>improve the competitiveness of U.S. manufacturers in the global economy, leading to potential cost savings for small businesses.</w:t>
      </w:r>
      <w:r w:rsidR="00CE0932">
        <w:rPr>
          <w:sz w:val="24"/>
          <w:szCs w:val="24"/>
          <w:lang w:val="en-US"/>
        </w:rPr>
        <w:t xml:space="preserve"> </w:t>
      </w:r>
    </w:p>
    <w:p w:rsidR="00D95C66" w:rsidRDefault="00A537DF" w:rsidP="00AA3E9B">
      <w:pPr>
        <w:pStyle w:val="ParaNum"/>
        <w:widowControl/>
        <w:numPr>
          <w:ilvl w:val="0"/>
          <w:numId w:val="0"/>
        </w:numPr>
        <w:spacing w:after="220"/>
        <w:rPr>
          <w:sz w:val="24"/>
          <w:szCs w:val="24"/>
        </w:rPr>
      </w:pPr>
      <w:r>
        <w:rPr>
          <w:sz w:val="24"/>
          <w:szCs w:val="24"/>
          <w:lang w:val="en-US"/>
        </w:rPr>
        <w:t xml:space="preserve">LPRs are devices that can provide </w:t>
      </w:r>
      <w:r w:rsidRPr="00A537DF">
        <w:rPr>
          <w:sz w:val="24"/>
          <w:szCs w:val="24"/>
          <w:lang w:val="en-US"/>
        </w:rPr>
        <w:t>accurate and reliable target resolution to identify water levels in rivers and dams or critical levels of materials such as fuel or sewer</w:t>
      </w:r>
      <w:r w:rsidRPr="00A537DF">
        <w:rPr>
          <w:sz w:val="24"/>
          <w:szCs w:val="24"/>
          <w:lang w:val="en-US"/>
        </w:rPr>
        <w:noBreakHyphen/>
        <w:t>treated waste, reducing overflow and spillage and minimizing exposure of maintenance personnel in the case of high risk substances.</w:t>
      </w:r>
      <w:r>
        <w:rPr>
          <w:sz w:val="24"/>
          <w:szCs w:val="24"/>
          <w:lang w:val="en-US"/>
        </w:rPr>
        <w:t xml:space="preserve">  The action taken by the Commission</w:t>
      </w:r>
      <w:r w:rsidR="006D17A4">
        <w:rPr>
          <w:sz w:val="24"/>
          <w:szCs w:val="24"/>
          <w:lang w:val="en-US"/>
        </w:rPr>
        <w:t xml:space="preserve"> – which applies to</w:t>
      </w:r>
      <w:r>
        <w:rPr>
          <w:sz w:val="24"/>
          <w:szCs w:val="24"/>
          <w:lang w:val="en-US"/>
        </w:rPr>
        <w:t xml:space="preserve"> </w:t>
      </w:r>
      <w:r w:rsidR="006D17A4" w:rsidRPr="00E96DA3">
        <w:rPr>
          <w:sz w:val="24"/>
          <w:szCs w:val="24"/>
        </w:rPr>
        <w:t>LPR devices installed both in open</w:t>
      </w:r>
      <w:r w:rsidR="006D17A4" w:rsidRPr="00E96DA3">
        <w:rPr>
          <w:sz w:val="24"/>
          <w:szCs w:val="24"/>
        </w:rPr>
        <w:noBreakHyphen/>
        <w:t>air environments and inside storage tanks (TLPR applications)</w:t>
      </w:r>
      <w:r w:rsidR="006D17A4">
        <w:rPr>
          <w:sz w:val="24"/>
          <w:szCs w:val="24"/>
          <w:lang w:val="en-US"/>
        </w:rPr>
        <w:t xml:space="preserve"> and operated on </w:t>
      </w:r>
      <w:r w:rsidR="006D17A4">
        <w:rPr>
          <w:sz w:val="24"/>
          <w:szCs w:val="24"/>
        </w:rPr>
        <w:t>the</w:t>
      </w:r>
      <w:r w:rsidR="006D17A4">
        <w:rPr>
          <w:sz w:val="24"/>
          <w:szCs w:val="24"/>
          <w:lang w:val="en-US"/>
        </w:rPr>
        <w:t xml:space="preserve"> above </w:t>
      </w:r>
      <w:r w:rsidR="006D17A4" w:rsidRPr="00E96DA3">
        <w:rPr>
          <w:sz w:val="24"/>
          <w:szCs w:val="24"/>
        </w:rPr>
        <w:t>f</w:t>
      </w:r>
      <w:r w:rsidR="006D17A4">
        <w:rPr>
          <w:sz w:val="24"/>
          <w:szCs w:val="24"/>
        </w:rPr>
        <w:t>requency bands</w:t>
      </w:r>
      <w:r w:rsidR="006D17A4">
        <w:rPr>
          <w:sz w:val="24"/>
          <w:szCs w:val="24"/>
          <w:lang w:val="en-US"/>
        </w:rPr>
        <w:t xml:space="preserve"> – </w:t>
      </w:r>
      <w:r w:rsidR="00C51FA6" w:rsidRPr="00E96DA3">
        <w:rPr>
          <w:sz w:val="24"/>
          <w:szCs w:val="24"/>
        </w:rPr>
        <w:t>revis</w:t>
      </w:r>
      <w:r>
        <w:rPr>
          <w:sz w:val="24"/>
          <w:szCs w:val="24"/>
          <w:lang w:val="en-US"/>
        </w:rPr>
        <w:t xml:space="preserve">ed </w:t>
      </w:r>
      <w:r w:rsidR="00426A62">
        <w:rPr>
          <w:sz w:val="24"/>
          <w:szCs w:val="24"/>
          <w:lang w:val="en-US"/>
        </w:rPr>
        <w:t xml:space="preserve">the </w:t>
      </w:r>
      <w:r w:rsidR="00C51FA6" w:rsidRPr="00E96DA3">
        <w:rPr>
          <w:sz w:val="24"/>
          <w:szCs w:val="24"/>
        </w:rPr>
        <w:t xml:space="preserve"> procedures </w:t>
      </w:r>
      <w:r w:rsidR="00F42D56">
        <w:rPr>
          <w:sz w:val="24"/>
          <w:szCs w:val="24"/>
          <w:lang w:val="en-US"/>
        </w:rPr>
        <w:t xml:space="preserve">for </w:t>
      </w:r>
      <w:r w:rsidR="00426A62">
        <w:rPr>
          <w:sz w:val="24"/>
          <w:szCs w:val="24"/>
          <w:lang w:val="en-US"/>
        </w:rPr>
        <w:t>measur</w:t>
      </w:r>
      <w:r w:rsidR="00F42D56">
        <w:rPr>
          <w:sz w:val="24"/>
          <w:szCs w:val="24"/>
          <w:lang w:val="en-US"/>
        </w:rPr>
        <w:t xml:space="preserve">ing </w:t>
      </w:r>
      <w:r w:rsidR="00426A62">
        <w:rPr>
          <w:sz w:val="24"/>
          <w:szCs w:val="24"/>
          <w:lang w:val="en-US"/>
        </w:rPr>
        <w:t>the radio frequency (RF) emissions of these devices</w:t>
      </w:r>
      <w:r w:rsidR="00F42D56">
        <w:rPr>
          <w:sz w:val="24"/>
          <w:szCs w:val="24"/>
          <w:lang w:val="en-US"/>
        </w:rPr>
        <w:t xml:space="preserve"> and modif</w:t>
      </w:r>
      <w:r>
        <w:rPr>
          <w:sz w:val="24"/>
          <w:szCs w:val="24"/>
          <w:lang w:val="en-US"/>
        </w:rPr>
        <w:t xml:space="preserve">ied </w:t>
      </w:r>
      <w:r w:rsidR="00F42D56">
        <w:rPr>
          <w:sz w:val="24"/>
          <w:szCs w:val="24"/>
          <w:lang w:val="en-US"/>
        </w:rPr>
        <w:t xml:space="preserve">the technical and operational limits on their use.  </w:t>
      </w:r>
      <w:r w:rsidR="00426A62">
        <w:rPr>
          <w:sz w:val="24"/>
          <w:szCs w:val="24"/>
          <w:lang w:val="en-US"/>
        </w:rPr>
        <w:t>The</w:t>
      </w:r>
      <w:r w:rsidR="00157F89">
        <w:rPr>
          <w:sz w:val="24"/>
          <w:szCs w:val="24"/>
          <w:lang w:val="en-US"/>
        </w:rPr>
        <w:t xml:space="preserve">se new </w:t>
      </w:r>
      <w:r w:rsidR="00426A62">
        <w:rPr>
          <w:sz w:val="24"/>
          <w:szCs w:val="24"/>
          <w:lang w:val="en-US"/>
        </w:rPr>
        <w:t xml:space="preserve">measurement procedures </w:t>
      </w:r>
      <w:r w:rsidR="00F42D56">
        <w:rPr>
          <w:sz w:val="24"/>
          <w:szCs w:val="24"/>
          <w:lang w:val="en-US"/>
        </w:rPr>
        <w:t xml:space="preserve">specify </w:t>
      </w:r>
      <w:r w:rsidR="00C51FA6" w:rsidRPr="00E96DA3">
        <w:rPr>
          <w:sz w:val="24"/>
          <w:szCs w:val="24"/>
        </w:rPr>
        <w:t xml:space="preserve">more accurate and repeatable measurement protocols for </w:t>
      </w:r>
      <w:r>
        <w:rPr>
          <w:sz w:val="24"/>
          <w:szCs w:val="24"/>
          <w:lang w:val="en-US"/>
        </w:rPr>
        <w:t>LPR</w:t>
      </w:r>
      <w:r w:rsidR="00C51FA6" w:rsidRPr="00E96DA3">
        <w:rPr>
          <w:sz w:val="24"/>
          <w:szCs w:val="24"/>
        </w:rPr>
        <w:t xml:space="preserve"> devices</w:t>
      </w:r>
      <w:r w:rsidR="005D388B" w:rsidRPr="00E96DA3">
        <w:rPr>
          <w:sz w:val="24"/>
          <w:szCs w:val="24"/>
        </w:rPr>
        <w:t xml:space="preserve">, </w:t>
      </w:r>
      <w:r w:rsidR="00157F89">
        <w:rPr>
          <w:sz w:val="24"/>
          <w:szCs w:val="24"/>
          <w:lang w:val="en-US"/>
        </w:rPr>
        <w:t xml:space="preserve">and the revisions to the technical and operating rules will increase LPR flexibility without increasing </w:t>
      </w:r>
      <w:r w:rsidR="005D388B" w:rsidRPr="00E96DA3">
        <w:rPr>
          <w:sz w:val="24"/>
          <w:szCs w:val="24"/>
        </w:rPr>
        <w:t xml:space="preserve">the potential for </w:t>
      </w:r>
      <w:r w:rsidR="00BF16C3" w:rsidRPr="00E96DA3">
        <w:rPr>
          <w:sz w:val="24"/>
          <w:szCs w:val="24"/>
        </w:rPr>
        <w:t>harmful interference to licensed users</w:t>
      </w:r>
      <w:r w:rsidR="00157F89">
        <w:rPr>
          <w:sz w:val="24"/>
          <w:szCs w:val="24"/>
          <w:lang w:val="en-US"/>
        </w:rPr>
        <w:t>,</w:t>
      </w:r>
      <w:r w:rsidR="00BF16C3" w:rsidRPr="00E96DA3">
        <w:rPr>
          <w:sz w:val="24"/>
          <w:szCs w:val="24"/>
        </w:rPr>
        <w:t xml:space="preserve"> </w:t>
      </w:r>
      <w:r w:rsidR="00157F89">
        <w:rPr>
          <w:sz w:val="24"/>
          <w:szCs w:val="24"/>
          <w:lang w:val="en-US"/>
        </w:rPr>
        <w:t xml:space="preserve">and without impairing </w:t>
      </w:r>
      <w:r w:rsidR="005D388B" w:rsidRPr="00E96DA3">
        <w:rPr>
          <w:sz w:val="24"/>
          <w:szCs w:val="24"/>
        </w:rPr>
        <w:t xml:space="preserve">access to spectrum shared </w:t>
      </w:r>
      <w:r w:rsidR="00157F89">
        <w:rPr>
          <w:sz w:val="24"/>
          <w:szCs w:val="24"/>
          <w:lang w:val="en-US"/>
        </w:rPr>
        <w:t xml:space="preserve">with other </w:t>
      </w:r>
      <w:r w:rsidR="00BF16C3" w:rsidRPr="00E96DA3">
        <w:rPr>
          <w:sz w:val="24"/>
          <w:szCs w:val="24"/>
        </w:rPr>
        <w:t xml:space="preserve">unlicensed </w:t>
      </w:r>
      <w:r w:rsidR="005D388B" w:rsidRPr="00E96DA3">
        <w:rPr>
          <w:sz w:val="24"/>
          <w:szCs w:val="24"/>
        </w:rPr>
        <w:t>users.</w:t>
      </w:r>
      <w:r w:rsidR="00C51FA6" w:rsidRPr="00E96DA3">
        <w:rPr>
          <w:sz w:val="24"/>
          <w:szCs w:val="24"/>
        </w:rPr>
        <w:t xml:space="preserve">  To permit LPR operation in the 75</w:t>
      </w:r>
      <w:r w:rsidR="00C51FA6" w:rsidRPr="00E96DA3">
        <w:rPr>
          <w:sz w:val="24"/>
          <w:szCs w:val="24"/>
        </w:rPr>
        <w:noBreakHyphen/>
        <w:t xml:space="preserve">85 GHz band, </w:t>
      </w:r>
      <w:r w:rsidR="00E96DA3">
        <w:rPr>
          <w:sz w:val="24"/>
          <w:szCs w:val="24"/>
        </w:rPr>
        <w:t xml:space="preserve">the Commission </w:t>
      </w:r>
      <w:r w:rsidR="00C51FA6" w:rsidRPr="00E96DA3">
        <w:rPr>
          <w:sz w:val="24"/>
          <w:szCs w:val="24"/>
        </w:rPr>
        <w:t>also modif</w:t>
      </w:r>
      <w:r w:rsidR="00756F91">
        <w:rPr>
          <w:sz w:val="24"/>
          <w:szCs w:val="24"/>
        </w:rPr>
        <w:t>ie</w:t>
      </w:r>
      <w:r w:rsidR="00756F91">
        <w:rPr>
          <w:sz w:val="24"/>
          <w:szCs w:val="24"/>
          <w:lang w:val="en-US"/>
        </w:rPr>
        <w:t>d</w:t>
      </w:r>
      <w:r w:rsidR="00C51FA6" w:rsidRPr="00E96DA3">
        <w:rPr>
          <w:sz w:val="24"/>
          <w:szCs w:val="24"/>
        </w:rPr>
        <w:t xml:space="preserve"> Section 15.205 of the rules to remove the prohibition on intentional emissions in this band.  </w:t>
      </w:r>
    </w:p>
    <w:p w:rsidR="0096696D" w:rsidRPr="00E96DA3" w:rsidRDefault="00CE0932" w:rsidP="00AA3E9B">
      <w:pPr>
        <w:pStyle w:val="ParaNum"/>
        <w:widowControl/>
        <w:numPr>
          <w:ilvl w:val="0"/>
          <w:numId w:val="0"/>
        </w:numPr>
        <w:spacing w:after="220"/>
        <w:rPr>
          <w:sz w:val="24"/>
          <w:szCs w:val="24"/>
        </w:rPr>
      </w:pPr>
      <w:r>
        <w:rPr>
          <w:sz w:val="24"/>
          <w:szCs w:val="24"/>
          <w:lang w:val="en-US"/>
        </w:rPr>
        <w:t xml:space="preserve">The Commission’s action did not change the applicability of the general requirements for certification.  Thus, </w:t>
      </w:r>
      <w:r w:rsidR="0096696D">
        <w:rPr>
          <w:sz w:val="24"/>
          <w:szCs w:val="24"/>
        </w:rPr>
        <w:t>LPR devices intended for installation inside tank enclosures made of steel or concrete may continue to be certified under the general intentional radiator requirements in Section 15.209 of the rules, when measured according to Sections 15.31(g) and (q) of the rules.</w:t>
      </w:r>
    </w:p>
    <w:p w:rsidR="00795E10" w:rsidRPr="00E96DA3" w:rsidRDefault="00795E10" w:rsidP="00795E10">
      <w:pPr>
        <w:rPr>
          <w:b/>
          <w:bCs/>
          <w:sz w:val="24"/>
          <w:szCs w:val="24"/>
        </w:rPr>
      </w:pPr>
    </w:p>
    <w:p w:rsidR="00795E10" w:rsidRPr="00E96DA3" w:rsidRDefault="00795E10" w:rsidP="00D95390">
      <w:pPr>
        <w:numPr>
          <w:ilvl w:val="0"/>
          <w:numId w:val="14"/>
        </w:numPr>
        <w:tabs>
          <w:tab w:val="left" w:pos="360"/>
        </w:tabs>
        <w:ind w:hanging="720"/>
        <w:rPr>
          <w:b/>
          <w:sz w:val="24"/>
          <w:szCs w:val="24"/>
        </w:rPr>
      </w:pPr>
      <w:r w:rsidRPr="00E96DA3">
        <w:rPr>
          <w:b/>
          <w:bCs/>
          <w:sz w:val="24"/>
          <w:szCs w:val="24"/>
          <w:u w:val="single"/>
        </w:rPr>
        <w:t>General Information</w:t>
      </w:r>
    </w:p>
    <w:p w:rsidR="00795E10" w:rsidRPr="00E96DA3" w:rsidRDefault="00795E10" w:rsidP="00795E10">
      <w:pPr>
        <w:rPr>
          <w:sz w:val="24"/>
          <w:szCs w:val="24"/>
        </w:rPr>
      </w:pPr>
    </w:p>
    <w:p w:rsidR="00795E10" w:rsidRPr="00E96DA3" w:rsidRDefault="00795E10" w:rsidP="00795E10">
      <w:pPr>
        <w:rPr>
          <w:sz w:val="24"/>
          <w:szCs w:val="24"/>
        </w:rPr>
      </w:pPr>
      <w:r w:rsidRPr="00E96DA3">
        <w:rPr>
          <w:sz w:val="24"/>
          <w:szCs w:val="24"/>
        </w:rPr>
        <w:t xml:space="preserve">Part 15 of the </w:t>
      </w:r>
      <w:r w:rsidR="00B81B78">
        <w:rPr>
          <w:sz w:val="24"/>
          <w:szCs w:val="24"/>
        </w:rPr>
        <w:t xml:space="preserve">Commission’s </w:t>
      </w:r>
      <w:r w:rsidRPr="00E96DA3">
        <w:rPr>
          <w:sz w:val="24"/>
          <w:szCs w:val="24"/>
        </w:rPr>
        <w:t>rules contains the technical requir</w:t>
      </w:r>
      <w:r w:rsidR="00A463B7">
        <w:rPr>
          <w:sz w:val="24"/>
          <w:szCs w:val="24"/>
        </w:rPr>
        <w:t xml:space="preserve">ements for </w:t>
      </w:r>
      <w:r w:rsidR="004A3108">
        <w:rPr>
          <w:sz w:val="24"/>
          <w:szCs w:val="24"/>
        </w:rPr>
        <w:t>RF</w:t>
      </w:r>
      <w:r w:rsidR="00A463B7">
        <w:rPr>
          <w:sz w:val="24"/>
          <w:szCs w:val="24"/>
        </w:rPr>
        <w:t xml:space="preserve"> </w:t>
      </w:r>
      <w:r w:rsidRPr="00E96DA3">
        <w:rPr>
          <w:sz w:val="24"/>
          <w:szCs w:val="24"/>
        </w:rPr>
        <w:t>devices that may be operated without an individual license.  All Part 15 devices are required to accept harmful interference from other authorized operations, and are prohibited from causing harmful interference to other authorized operations.  47 C.F.R. § 15.</w:t>
      </w:r>
      <w:r w:rsidR="009152B4" w:rsidRPr="00E96DA3">
        <w:rPr>
          <w:sz w:val="24"/>
          <w:szCs w:val="24"/>
        </w:rPr>
        <w:t>5</w:t>
      </w:r>
      <w:r w:rsidRPr="00E96DA3">
        <w:rPr>
          <w:sz w:val="24"/>
          <w:szCs w:val="24"/>
        </w:rPr>
        <w:t>(b).  The requirements in Part 15 also include radiated and power line conducted emission limits for intentional radiators</w:t>
      </w:r>
      <w:r w:rsidR="0092260C">
        <w:rPr>
          <w:sz w:val="24"/>
          <w:szCs w:val="24"/>
        </w:rPr>
        <w:t xml:space="preserve">, which </w:t>
      </w:r>
      <w:r w:rsidRPr="00E96DA3">
        <w:rPr>
          <w:sz w:val="24"/>
          <w:szCs w:val="24"/>
        </w:rPr>
        <w:t xml:space="preserve">are devices that intentionally generate </w:t>
      </w:r>
      <w:r w:rsidRPr="00E96DA3">
        <w:rPr>
          <w:sz w:val="24"/>
          <w:szCs w:val="24"/>
          <w:u w:val="single"/>
        </w:rPr>
        <w:t>and</w:t>
      </w:r>
      <w:r w:rsidRPr="00E96DA3">
        <w:rPr>
          <w:sz w:val="24"/>
          <w:szCs w:val="24"/>
        </w:rPr>
        <w:t xml:space="preserve"> emit RF energy</w:t>
      </w:r>
      <w:r w:rsidR="00205C84">
        <w:rPr>
          <w:sz w:val="24"/>
          <w:szCs w:val="24"/>
        </w:rPr>
        <w:t>.</w:t>
      </w:r>
      <w:r w:rsidR="0092260C">
        <w:rPr>
          <w:sz w:val="24"/>
          <w:szCs w:val="24"/>
        </w:rPr>
        <w:t xml:space="preserve">  One example of Part 15 intentional radiators are</w:t>
      </w:r>
      <w:r w:rsidR="00CC1805" w:rsidRPr="00E96DA3">
        <w:rPr>
          <w:sz w:val="24"/>
          <w:szCs w:val="24"/>
        </w:rPr>
        <w:t xml:space="preserve"> the </w:t>
      </w:r>
      <w:r w:rsidR="002C5787">
        <w:rPr>
          <w:sz w:val="24"/>
          <w:szCs w:val="24"/>
        </w:rPr>
        <w:t xml:space="preserve">LPR </w:t>
      </w:r>
      <w:r w:rsidR="00CC1805" w:rsidRPr="00E96DA3">
        <w:rPr>
          <w:sz w:val="24"/>
          <w:szCs w:val="24"/>
        </w:rPr>
        <w:t xml:space="preserve">devices operating in the </w:t>
      </w:r>
      <w:r w:rsidR="00B85DA5">
        <w:rPr>
          <w:sz w:val="24"/>
          <w:szCs w:val="24"/>
        </w:rPr>
        <w:t>above</w:t>
      </w:r>
      <w:r w:rsidR="00B85DA5">
        <w:rPr>
          <w:sz w:val="24"/>
          <w:szCs w:val="24"/>
        </w:rPr>
        <w:noBreakHyphen/>
        <w:t xml:space="preserve">identified </w:t>
      </w:r>
      <w:r w:rsidR="00CC1805" w:rsidRPr="00E96DA3">
        <w:rPr>
          <w:sz w:val="24"/>
          <w:szCs w:val="24"/>
        </w:rPr>
        <w:t>band</w:t>
      </w:r>
      <w:r w:rsidR="002C5787">
        <w:rPr>
          <w:sz w:val="24"/>
          <w:szCs w:val="24"/>
        </w:rPr>
        <w:t>s</w:t>
      </w:r>
      <w:r w:rsidR="00CC1805" w:rsidRPr="00E96DA3">
        <w:rPr>
          <w:sz w:val="24"/>
          <w:szCs w:val="24"/>
        </w:rPr>
        <w:t xml:space="preserve"> in th</w:t>
      </w:r>
      <w:r w:rsidR="002C5787">
        <w:rPr>
          <w:sz w:val="24"/>
          <w:szCs w:val="24"/>
        </w:rPr>
        <w:t>is</w:t>
      </w:r>
      <w:r w:rsidR="00CC1805" w:rsidRPr="00E96DA3">
        <w:rPr>
          <w:sz w:val="24"/>
          <w:szCs w:val="24"/>
        </w:rPr>
        <w:t xml:space="preserve"> proceeding</w:t>
      </w:r>
      <w:r w:rsidRPr="00E96DA3">
        <w:rPr>
          <w:sz w:val="24"/>
          <w:szCs w:val="24"/>
        </w:rPr>
        <w:t xml:space="preserve">.  </w:t>
      </w:r>
      <w:r w:rsidR="0092260C">
        <w:rPr>
          <w:sz w:val="24"/>
          <w:szCs w:val="24"/>
        </w:rPr>
        <w:t>Other e</w:t>
      </w:r>
      <w:r w:rsidRPr="00E96DA3">
        <w:rPr>
          <w:sz w:val="24"/>
          <w:szCs w:val="24"/>
        </w:rPr>
        <w:t>xamples include cordless telephones, remote control transmitters, remote utility meter readers, and wireless local area networking equipment.  Part 15 intentional radiators must be certified by the FCC or a designated Telecommunication Certification Body (TCB) before they can be imported into or marketed within the United States.</w:t>
      </w:r>
    </w:p>
    <w:p w:rsidR="00795E10" w:rsidRPr="00E96DA3" w:rsidRDefault="00795E10" w:rsidP="00795E10">
      <w:pPr>
        <w:rPr>
          <w:sz w:val="24"/>
          <w:szCs w:val="24"/>
        </w:rPr>
      </w:pPr>
    </w:p>
    <w:p w:rsidR="00795E10" w:rsidRPr="00E96DA3" w:rsidRDefault="00795E10" w:rsidP="00795E10">
      <w:pPr>
        <w:rPr>
          <w:sz w:val="24"/>
          <w:szCs w:val="24"/>
        </w:rPr>
      </w:pPr>
    </w:p>
    <w:p w:rsidR="00795E10" w:rsidRPr="00E96DA3" w:rsidRDefault="00795E10" w:rsidP="00D95390">
      <w:pPr>
        <w:numPr>
          <w:ilvl w:val="0"/>
          <w:numId w:val="14"/>
        </w:numPr>
        <w:tabs>
          <w:tab w:val="left" w:pos="360"/>
        </w:tabs>
        <w:ind w:left="360"/>
        <w:rPr>
          <w:b/>
          <w:sz w:val="24"/>
          <w:szCs w:val="24"/>
          <w:u w:val="single"/>
        </w:rPr>
      </w:pPr>
      <w:r w:rsidRPr="00E96DA3">
        <w:rPr>
          <w:b/>
          <w:sz w:val="24"/>
          <w:szCs w:val="24"/>
          <w:u w:val="single"/>
        </w:rPr>
        <w:t xml:space="preserve">What are the compliance requirements that apply to </w:t>
      </w:r>
      <w:r w:rsidR="002A52DF" w:rsidRPr="002A52DF">
        <w:rPr>
          <w:b/>
          <w:sz w:val="24"/>
          <w:szCs w:val="24"/>
          <w:u w:val="single"/>
        </w:rPr>
        <w:t xml:space="preserve">unlicensed </w:t>
      </w:r>
      <w:r w:rsidR="002A52DF">
        <w:rPr>
          <w:b/>
          <w:sz w:val="24"/>
          <w:szCs w:val="24"/>
          <w:u w:val="single"/>
        </w:rPr>
        <w:t>l</w:t>
      </w:r>
      <w:r w:rsidR="002A52DF" w:rsidRPr="002A52DF">
        <w:rPr>
          <w:b/>
          <w:sz w:val="24"/>
          <w:szCs w:val="24"/>
          <w:u w:val="single"/>
        </w:rPr>
        <w:t xml:space="preserve">evel </w:t>
      </w:r>
      <w:r w:rsidR="002A52DF">
        <w:rPr>
          <w:b/>
          <w:sz w:val="24"/>
          <w:szCs w:val="24"/>
          <w:u w:val="single"/>
        </w:rPr>
        <w:t>p</w:t>
      </w:r>
      <w:r w:rsidR="002A52DF" w:rsidRPr="002A52DF">
        <w:rPr>
          <w:b/>
          <w:sz w:val="24"/>
          <w:szCs w:val="24"/>
          <w:u w:val="single"/>
        </w:rPr>
        <w:t xml:space="preserve">robing </w:t>
      </w:r>
      <w:r w:rsidR="002A52DF">
        <w:rPr>
          <w:b/>
          <w:sz w:val="24"/>
          <w:szCs w:val="24"/>
          <w:u w:val="single"/>
        </w:rPr>
        <w:t>r</w:t>
      </w:r>
      <w:r w:rsidR="002A52DF" w:rsidRPr="002A52DF">
        <w:rPr>
          <w:b/>
          <w:sz w:val="24"/>
          <w:szCs w:val="24"/>
          <w:u w:val="single"/>
        </w:rPr>
        <w:t>adars in the 5.925</w:t>
      </w:r>
      <w:r w:rsidR="002A52DF" w:rsidRPr="002A52DF">
        <w:rPr>
          <w:b/>
          <w:sz w:val="24"/>
          <w:szCs w:val="24"/>
          <w:u w:val="single"/>
        </w:rPr>
        <w:noBreakHyphen/>
        <w:t>7.250 GHz, 24.05</w:t>
      </w:r>
      <w:r w:rsidR="002A52DF" w:rsidRPr="002A52DF">
        <w:rPr>
          <w:b/>
          <w:sz w:val="24"/>
          <w:szCs w:val="24"/>
          <w:u w:val="single"/>
        </w:rPr>
        <w:noBreakHyphen/>
        <w:t>29.00 GHz and 75</w:t>
      </w:r>
      <w:r w:rsidR="002A52DF" w:rsidRPr="002A52DF">
        <w:rPr>
          <w:b/>
          <w:sz w:val="24"/>
          <w:szCs w:val="24"/>
          <w:u w:val="single"/>
        </w:rPr>
        <w:noBreakHyphen/>
        <w:t>85 G</w:t>
      </w:r>
      <w:r w:rsidR="002A52DF">
        <w:rPr>
          <w:b/>
          <w:sz w:val="24"/>
          <w:szCs w:val="24"/>
          <w:u w:val="single"/>
        </w:rPr>
        <w:t>Hz b</w:t>
      </w:r>
      <w:r w:rsidR="002A52DF" w:rsidRPr="002A52DF">
        <w:rPr>
          <w:b/>
          <w:sz w:val="24"/>
          <w:szCs w:val="24"/>
          <w:u w:val="single"/>
        </w:rPr>
        <w:t>ands</w:t>
      </w:r>
      <w:r w:rsidRPr="002A52DF">
        <w:rPr>
          <w:b/>
          <w:sz w:val="24"/>
          <w:szCs w:val="24"/>
          <w:u w:val="single"/>
        </w:rPr>
        <w:t>?</w:t>
      </w:r>
    </w:p>
    <w:p w:rsidR="00795E10" w:rsidRPr="00E96DA3" w:rsidRDefault="00795E10" w:rsidP="00795E10">
      <w:pPr>
        <w:rPr>
          <w:b/>
          <w:sz w:val="24"/>
          <w:szCs w:val="24"/>
          <w:u w:val="single"/>
        </w:rPr>
      </w:pPr>
    </w:p>
    <w:p w:rsidR="00795E10" w:rsidRPr="004A3108" w:rsidRDefault="00795E10" w:rsidP="004A3108">
      <w:pPr>
        <w:numPr>
          <w:ilvl w:val="0"/>
          <w:numId w:val="12"/>
        </w:numPr>
        <w:rPr>
          <w:b/>
          <w:sz w:val="24"/>
          <w:szCs w:val="24"/>
          <w:u w:val="single"/>
        </w:rPr>
      </w:pPr>
      <w:r w:rsidRPr="00E96DA3">
        <w:rPr>
          <w:sz w:val="24"/>
          <w:szCs w:val="24"/>
        </w:rPr>
        <w:t>The devices operating under these provisions must comply with the RF safety requirements specified in §§ 1.1307(b), 2.1091 and 2.1093.</w:t>
      </w:r>
      <w:r w:rsidR="004A3108">
        <w:rPr>
          <w:sz w:val="24"/>
          <w:szCs w:val="24"/>
        </w:rPr>
        <w:t xml:space="preserve">  </w:t>
      </w:r>
      <w:r w:rsidR="004A3108" w:rsidRPr="00E96DA3">
        <w:rPr>
          <w:sz w:val="24"/>
          <w:szCs w:val="24"/>
        </w:rPr>
        <w:t xml:space="preserve">Applications for equipment authorization of devices operating under these provisions must </w:t>
      </w:r>
      <w:r w:rsidR="004A3108">
        <w:rPr>
          <w:sz w:val="24"/>
          <w:szCs w:val="24"/>
        </w:rPr>
        <w:t xml:space="preserve">also </w:t>
      </w:r>
      <w:r w:rsidR="004A3108" w:rsidRPr="00E96DA3">
        <w:rPr>
          <w:sz w:val="24"/>
          <w:szCs w:val="24"/>
        </w:rPr>
        <w:t>contain a statement confirming compliance with the</w:t>
      </w:r>
      <w:r w:rsidR="004A3108">
        <w:rPr>
          <w:sz w:val="24"/>
          <w:szCs w:val="24"/>
        </w:rPr>
        <w:t xml:space="preserve"> RF </w:t>
      </w:r>
      <w:r w:rsidR="004A3108" w:rsidRPr="00E96DA3">
        <w:rPr>
          <w:sz w:val="24"/>
          <w:szCs w:val="24"/>
        </w:rPr>
        <w:t>radiation exposure requirements</w:t>
      </w:r>
      <w:r w:rsidR="004A3108">
        <w:rPr>
          <w:sz w:val="24"/>
          <w:szCs w:val="24"/>
        </w:rPr>
        <w:t xml:space="preserve"> specified under these rules </w:t>
      </w:r>
      <w:r w:rsidR="004A3108" w:rsidRPr="00E96DA3">
        <w:rPr>
          <w:sz w:val="24"/>
          <w:szCs w:val="24"/>
        </w:rPr>
        <w:t xml:space="preserve">for both fundamental emissions and unwanted emissions.  </w:t>
      </w:r>
    </w:p>
    <w:p w:rsidR="00795E10" w:rsidRPr="00E96DA3" w:rsidRDefault="00795E10" w:rsidP="00795E10">
      <w:pPr>
        <w:numPr>
          <w:ilvl w:val="0"/>
          <w:numId w:val="12"/>
        </w:numPr>
        <w:rPr>
          <w:b/>
          <w:sz w:val="24"/>
          <w:szCs w:val="24"/>
          <w:u w:val="single"/>
        </w:rPr>
      </w:pPr>
      <w:r w:rsidRPr="00E96DA3">
        <w:rPr>
          <w:sz w:val="24"/>
          <w:szCs w:val="24"/>
        </w:rPr>
        <w:t>The devices operating under these provisions must be labeled with an FCC identification number as required by § 2.925 and the statement required by § 15.19(a)(3) indicating that the device complies with Part 15 of the rules, may not cause harmful interference and must accept any interference received.</w:t>
      </w:r>
    </w:p>
    <w:p w:rsidR="00E33862" w:rsidRPr="00E96DA3" w:rsidRDefault="00795E10" w:rsidP="00795E10">
      <w:pPr>
        <w:numPr>
          <w:ilvl w:val="0"/>
          <w:numId w:val="12"/>
        </w:numPr>
        <w:rPr>
          <w:b/>
          <w:sz w:val="24"/>
          <w:szCs w:val="24"/>
          <w:u w:val="single"/>
        </w:rPr>
      </w:pPr>
      <w:r w:rsidRPr="00E96DA3">
        <w:rPr>
          <w:sz w:val="24"/>
          <w:szCs w:val="24"/>
        </w:rPr>
        <w:t>The devices operating under these provisions must provide information to the user as specified in § 15.21.</w:t>
      </w:r>
    </w:p>
    <w:p w:rsidR="00BC7EC8" w:rsidRPr="00E96DA3" w:rsidRDefault="00FA4F99" w:rsidP="00BC7EC8">
      <w:pPr>
        <w:numPr>
          <w:ilvl w:val="0"/>
          <w:numId w:val="12"/>
        </w:numPr>
        <w:rPr>
          <w:b/>
          <w:sz w:val="24"/>
          <w:szCs w:val="24"/>
          <w:u w:val="single"/>
        </w:rPr>
      </w:pPr>
      <w:r>
        <w:rPr>
          <w:sz w:val="24"/>
          <w:szCs w:val="24"/>
        </w:rPr>
        <w:t xml:space="preserve">The bandwidth for fundamental emissions </w:t>
      </w:r>
      <w:r w:rsidR="00BC7EC8" w:rsidRPr="00E96DA3">
        <w:rPr>
          <w:sz w:val="24"/>
          <w:szCs w:val="24"/>
        </w:rPr>
        <w:t>must comply with the limits in § 15.25</w:t>
      </w:r>
      <w:r>
        <w:rPr>
          <w:sz w:val="24"/>
          <w:szCs w:val="24"/>
        </w:rPr>
        <w:t>6</w:t>
      </w:r>
      <w:r w:rsidR="00BC7EC8" w:rsidRPr="00E96DA3">
        <w:rPr>
          <w:sz w:val="24"/>
          <w:szCs w:val="24"/>
        </w:rPr>
        <w:t>(</w:t>
      </w:r>
      <w:r>
        <w:rPr>
          <w:sz w:val="24"/>
          <w:szCs w:val="24"/>
        </w:rPr>
        <w:t>f</w:t>
      </w:r>
      <w:r w:rsidR="00BC7EC8" w:rsidRPr="00E96DA3">
        <w:rPr>
          <w:sz w:val="24"/>
          <w:szCs w:val="24"/>
        </w:rPr>
        <w:t>).</w:t>
      </w:r>
    </w:p>
    <w:p w:rsidR="00BC7EC8" w:rsidRPr="00E96DA3" w:rsidRDefault="00FA4F99" w:rsidP="00BC7EC8">
      <w:pPr>
        <w:numPr>
          <w:ilvl w:val="0"/>
          <w:numId w:val="12"/>
        </w:numPr>
        <w:rPr>
          <w:b/>
          <w:sz w:val="24"/>
          <w:szCs w:val="24"/>
          <w:u w:val="single"/>
        </w:rPr>
      </w:pPr>
      <w:r>
        <w:rPr>
          <w:sz w:val="24"/>
          <w:szCs w:val="24"/>
        </w:rPr>
        <w:t xml:space="preserve">The levels of fundamental emissions must comply with the limits in </w:t>
      </w:r>
      <w:r w:rsidR="00BC7EC8" w:rsidRPr="00E96DA3">
        <w:rPr>
          <w:sz w:val="24"/>
          <w:szCs w:val="24"/>
        </w:rPr>
        <w:t>§ 15.25</w:t>
      </w:r>
      <w:r>
        <w:rPr>
          <w:sz w:val="24"/>
          <w:szCs w:val="24"/>
        </w:rPr>
        <w:t>6</w:t>
      </w:r>
      <w:r w:rsidR="00BC7EC8" w:rsidRPr="00E96DA3">
        <w:rPr>
          <w:sz w:val="24"/>
          <w:szCs w:val="24"/>
        </w:rPr>
        <w:t>(</w:t>
      </w:r>
      <w:r>
        <w:rPr>
          <w:sz w:val="24"/>
          <w:szCs w:val="24"/>
        </w:rPr>
        <w:t>g</w:t>
      </w:r>
      <w:r w:rsidR="00BC7EC8" w:rsidRPr="00E96DA3">
        <w:rPr>
          <w:sz w:val="24"/>
          <w:szCs w:val="24"/>
        </w:rPr>
        <w:t>).</w:t>
      </w:r>
    </w:p>
    <w:p w:rsidR="00BC7EC8" w:rsidRPr="00FA4F99" w:rsidRDefault="00BC7EC8" w:rsidP="00795E10">
      <w:pPr>
        <w:numPr>
          <w:ilvl w:val="0"/>
          <w:numId w:val="12"/>
        </w:numPr>
        <w:rPr>
          <w:b/>
          <w:sz w:val="24"/>
          <w:szCs w:val="24"/>
          <w:u w:val="single"/>
        </w:rPr>
      </w:pPr>
      <w:r w:rsidRPr="00E96DA3">
        <w:rPr>
          <w:sz w:val="24"/>
          <w:szCs w:val="24"/>
        </w:rPr>
        <w:t xml:space="preserve">The </w:t>
      </w:r>
      <w:r w:rsidR="00FA4F99">
        <w:rPr>
          <w:sz w:val="24"/>
          <w:szCs w:val="24"/>
        </w:rPr>
        <w:t xml:space="preserve">levels of unwanted emissions </w:t>
      </w:r>
      <w:r w:rsidRPr="00E96DA3">
        <w:rPr>
          <w:sz w:val="24"/>
          <w:szCs w:val="24"/>
        </w:rPr>
        <w:t>must comply with the limits in § 15.25</w:t>
      </w:r>
      <w:r w:rsidR="00FA4F99">
        <w:rPr>
          <w:sz w:val="24"/>
          <w:szCs w:val="24"/>
        </w:rPr>
        <w:t>6</w:t>
      </w:r>
      <w:r w:rsidRPr="00E96DA3">
        <w:rPr>
          <w:sz w:val="24"/>
          <w:szCs w:val="24"/>
        </w:rPr>
        <w:t>(</w:t>
      </w:r>
      <w:r w:rsidR="00FA4F99">
        <w:rPr>
          <w:sz w:val="24"/>
          <w:szCs w:val="24"/>
        </w:rPr>
        <w:t>h</w:t>
      </w:r>
      <w:r w:rsidRPr="00E96DA3">
        <w:rPr>
          <w:sz w:val="24"/>
          <w:szCs w:val="24"/>
        </w:rPr>
        <w:t>).</w:t>
      </w:r>
    </w:p>
    <w:p w:rsidR="00FA4F99" w:rsidRPr="00FA4F99" w:rsidRDefault="00FA4F99" w:rsidP="00795E10">
      <w:pPr>
        <w:numPr>
          <w:ilvl w:val="0"/>
          <w:numId w:val="12"/>
        </w:numPr>
        <w:rPr>
          <w:b/>
          <w:sz w:val="24"/>
          <w:szCs w:val="24"/>
          <w:u w:val="single"/>
        </w:rPr>
      </w:pPr>
      <w:r>
        <w:rPr>
          <w:sz w:val="24"/>
          <w:szCs w:val="24"/>
        </w:rPr>
        <w:t xml:space="preserve">The antenna beamwidth must comply with the requirements in </w:t>
      </w:r>
      <w:r w:rsidRPr="00E96DA3">
        <w:rPr>
          <w:sz w:val="24"/>
          <w:szCs w:val="24"/>
        </w:rPr>
        <w:t>§ 15.25</w:t>
      </w:r>
      <w:r>
        <w:rPr>
          <w:sz w:val="24"/>
          <w:szCs w:val="24"/>
        </w:rPr>
        <w:t>6</w:t>
      </w:r>
      <w:r w:rsidRPr="00E96DA3">
        <w:rPr>
          <w:sz w:val="24"/>
          <w:szCs w:val="24"/>
        </w:rPr>
        <w:t>(</w:t>
      </w:r>
      <w:r>
        <w:rPr>
          <w:sz w:val="24"/>
          <w:szCs w:val="24"/>
        </w:rPr>
        <w:t>i</w:t>
      </w:r>
      <w:r w:rsidRPr="00E96DA3">
        <w:rPr>
          <w:sz w:val="24"/>
          <w:szCs w:val="24"/>
        </w:rPr>
        <w:t>).</w:t>
      </w:r>
    </w:p>
    <w:p w:rsidR="00FA4F99" w:rsidRPr="00E96DA3" w:rsidRDefault="00FA4F99" w:rsidP="00795E10">
      <w:pPr>
        <w:numPr>
          <w:ilvl w:val="0"/>
          <w:numId w:val="12"/>
        </w:numPr>
        <w:rPr>
          <w:b/>
          <w:sz w:val="24"/>
          <w:szCs w:val="24"/>
          <w:u w:val="single"/>
        </w:rPr>
      </w:pPr>
      <w:r>
        <w:rPr>
          <w:sz w:val="24"/>
          <w:szCs w:val="24"/>
        </w:rPr>
        <w:t>The antenna side</w:t>
      </w:r>
      <w:r>
        <w:rPr>
          <w:sz w:val="24"/>
          <w:szCs w:val="24"/>
        </w:rPr>
        <w:noBreakHyphen/>
        <w:t xml:space="preserve">lobe gain must comply with the requirements in </w:t>
      </w:r>
      <w:r w:rsidRPr="00E96DA3">
        <w:rPr>
          <w:sz w:val="24"/>
          <w:szCs w:val="24"/>
        </w:rPr>
        <w:t>§ 15.25</w:t>
      </w:r>
      <w:r>
        <w:rPr>
          <w:sz w:val="24"/>
          <w:szCs w:val="24"/>
        </w:rPr>
        <w:t>6</w:t>
      </w:r>
      <w:r w:rsidRPr="00E96DA3">
        <w:rPr>
          <w:sz w:val="24"/>
          <w:szCs w:val="24"/>
        </w:rPr>
        <w:t>(</w:t>
      </w:r>
      <w:r>
        <w:rPr>
          <w:sz w:val="24"/>
          <w:szCs w:val="24"/>
        </w:rPr>
        <w:t>j</w:t>
      </w:r>
      <w:r w:rsidRPr="00E96DA3">
        <w:rPr>
          <w:sz w:val="24"/>
          <w:szCs w:val="24"/>
        </w:rPr>
        <w:t>).</w:t>
      </w:r>
    </w:p>
    <w:p w:rsidR="00FA4F99" w:rsidRPr="00FA4F99" w:rsidRDefault="00FA4F99" w:rsidP="00795E10">
      <w:pPr>
        <w:numPr>
          <w:ilvl w:val="0"/>
          <w:numId w:val="12"/>
        </w:numPr>
        <w:rPr>
          <w:b/>
          <w:sz w:val="24"/>
          <w:szCs w:val="24"/>
          <w:u w:val="single"/>
        </w:rPr>
      </w:pPr>
      <w:r>
        <w:rPr>
          <w:sz w:val="24"/>
          <w:szCs w:val="24"/>
        </w:rPr>
        <w:t xml:space="preserve">Compliance measurement of LPRs must follow the measurement procedures in </w:t>
      </w:r>
      <w:r w:rsidRPr="00E96DA3">
        <w:rPr>
          <w:sz w:val="24"/>
          <w:szCs w:val="24"/>
        </w:rPr>
        <w:t>§ 15.25</w:t>
      </w:r>
      <w:r>
        <w:rPr>
          <w:sz w:val="24"/>
          <w:szCs w:val="24"/>
        </w:rPr>
        <w:t>6</w:t>
      </w:r>
      <w:r w:rsidRPr="00E96DA3">
        <w:rPr>
          <w:sz w:val="24"/>
          <w:szCs w:val="24"/>
        </w:rPr>
        <w:t>(</w:t>
      </w:r>
      <w:r>
        <w:rPr>
          <w:sz w:val="24"/>
          <w:szCs w:val="24"/>
        </w:rPr>
        <w:t>l</w:t>
      </w:r>
      <w:r w:rsidRPr="00E96DA3">
        <w:rPr>
          <w:sz w:val="24"/>
          <w:szCs w:val="24"/>
        </w:rPr>
        <w:t>).</w:t>
      </w:r>
    </w:p>
    <w:p w:rsidR="00795E10" w:rsidRPr="00E96DA3" w:rsidRDefault="00795E10" w:rsidP="00795E10">
      <w:pPr>
        <w:rPr>
          <w:b/>
          <w:sz w:val="24"/>
          <w:szCs w:val="24"/>
        </w:rPr>
      </w:pPr>
    </w:p>
    <w:p w:rsidR="00D95390" w:rsidRPr="00E96DA3" w:rsidRDefault="00D95390" w:rsidP="00795E10">
      <w:pPr>
        <w:rPr>
          <w:b/>
          <w:sz w:val="24"/>
          <w:szCs w:val="24"/>
        </w:rPr>
      </w:pPr>
    </w:p>
    <w:p w:rsidR="00BC7EC8" w:rsidRPr="00E96DA3" w:rsidRDefault="00443369" w:rsidP="00D95390">
      <w:pPr>
        <w:numPr>
          <w:ilvl w:val="0"/>
          <w:numId w:val="14"/>
        </w:numPr>
        <w:tabs>
          <w:tab w:val="left" w:pos="360"/>
        </w:tabs>
        <w:ind w:left="360"/>
        <w:rPr>
          <w:b/>
          <w:sz w:val="24"/>
          <w:szCs w:val="24"/>
        </w:rPr>
      </w:pPr>
      <w:r w:rsidRPr="00E96DA3">
        <w:rPr>
          <w:b/>
          <w:sz w:val="24"/>
          <w:szCs w:val="24"/>
          <w:u w:val="single"/>
        </w:rPr>
        <w:t xml:space="preserve">What Measurement Procedures may be used to demonstrate compliance with the Part 15 requirements for </w:t>
      </w:r>
      <w:r w:rsidR="002A52DF" w:rsidRPr="002A52DF">
        <w:rPr>
          <w:b/>
          <w:sz w:val="24"/>
          <w:szCs w:val="24"/>
          <w:u w:val="single"/>
        </w:rPr>
        <w:t xml:space="preserve">unlicensed </w:t>
      </w:r>
      <w:r w:rsidR="002A52DF">
        <w:rPr>
          <w:b/>
          <w:sz w:val="24"/>
          <w:szCs w:val="24"/>
          <w:u w:val="single"/>
        </w:rPr>
        <w:t>l</w:t>
      </w:r>
      <w:r w:rsidR="002A52DF" w:rsidRPr="002A52DF">
        <w:rPr>
          <w:b/>
          <w:sz w:val="24"/>
          <w:szCs w:val="24"/>
          <w:u w:val="single"/>
        </w:rPr>
        <w:t xml:space="preserve">evel </w:t>
      </w:r>
      <w:r w:rsidR="002A52DF">
        <w:rPr>
          <w:b/>
          <w:sz w:val="24"/>
          <w:szCs w:val="24"/>
          <w:u w:val="single"/>
        </w:rPr>
        <w:t>p</w:t>
      </w:r>
      <w:r w:rsidR="002A52DF" w:rsidRPr="002A52DF">
        <w:rPr>
          <w:b/>
          <w:sz w:val="24"/>
          <w:szCs w:val="24"/>
          <w:u w:val="single"/>
        </w:rPr>
        <w:t xml:space="preserve">robing </w:t>
      </w:r>
      <w:r w:rsidR="002A52DF">
        <w:rPr>
          <w:b/>
          <w:sz w:val="24"/>
          <w:szCs w:val="24"/>
          <w:u w:val="single"/>
        </w:rPr>
        <w:t>r</w:t>
      </w:r>
      <w:r w:rsidR="002A52DF" w:rsidRPr="002A52DF">
        <w:rPr>
          <w:b/>
          <w:sz w:val="24"/>
          <w:szCs w:val="24"/>
          <w:u w:val="single"/>
        </w:rPr>
        <w:t>adar</w:t>
      </w:r>
      <w:r w:rsidR="002A52DF">
        <w:rPr>
          <w:b/>
          <w:sz w:val="24"/>
          <w:szCs w:val="24"/>
          <w:u w:val="single"/>
        </w:rPr>
        <w:t xml:space="preserve"> operation</w:t>
      </w:r>
      <w:r w:rsidR="002A52DF" w:rsidRPr="002A52DF">
        <w:rPr>
          <w:b/>
          <w:sz w:val="24"/>
          <w:szCs w:val="24"/>
          <w:u w:val="single"/>
        </w:rPr>
        <w:t xml:space="preserve"> in the 5.925</w:t>
      </w:r>
      <w:r w:rsidR="002A52DF" w:rsidRPr="002A52DF">
        <w:rPr>
          <w:b/>
          <w:sz w:val="24"/>
          <w:szCs w:val="24"/>
          <w:u w:val="single"/>
        </w:rPr>
        <w:noBreakHyphen/>
        <w:t>7.250 GHz, 24.05</w:t>
      </w:r>
      <w:r w:rsidR="002A52DF" w:rsidRPr="002A52DF">
        <w:rPr>
          <w:b/>
          <w:sz w:val="24"/>
          <w:szCs w:val="24"/>
          <w:u w:val="single"/>
        </w:rPr>
        <w:noBreakHyphen/>
        <w:t>29.00 GHz and 75</w:t>
      </w:r>
      <w:r w:rsidR="002A52DF" w:rsidRPr="002A52DF">
        <w:rPr>
          <w:b/>
          <w:sz w:val="24"/>
          <w:szCs w:val="24"/>
          <w:u w:val="single"/>
        </w:rPr>
        <w:noBreakHyphen/>
        <w:t xml:space="preserve">85 GHz </w:t>
      </w:r>
      <w:r w:rsidR="002A52DF">
        <w:rPr>
          <w:b/>
          <w:sz w:val="24"/>
          <w:szCs w:val="24"/>
          <w:u w:val="single"/>
        </w:rPr>
        <w:t>b</w:t>
      </w:r>
      <w:r w:rsidR="002A52DF" w:rsidRPr="002A52DF">
        <w:rPr>
          <w:b/>
          <w:sz w:val="24"/>
          <w:szCs w:val="24"/>
          <w:u w:val="single"/>
        </w:rPr>
        <w:t>ands</w:t>
      </w:r>
      <w:r w:rsidRPr="00E96DA3">
        <w:rPr>
          <w:b/>
          <w:sz w:val="24"/>
          <w:szCs w:val="24"/>
          <w:u w:val="single"/>
        </w:rPr>
        <w:t>?</w:t>
      </w:r>
    </w:p>
    <w:p w:rsidR="00443369" w:rsidRPr="00E96DA3" w:rsidRDefault="00443369" w:rsidP="00795E10">
      <w:pPr>
        <w:rPr>
          <w:b/>
          <w:sz w:val="24"/>
          <w:szCs w:val="24"/>
        </w:rPr>
      </w:pPr>
    </w:p>
    <w:p w:rsidR="00FA4F99" w:rsidRDefault="00F31E57" w:rsidP="00C46DC8">
      <w:pPr>
        <w:rPr>
          <w:sz w:val="24"/>
          <w:szCs w:val="24"/>
        </w:rPr>
      </w:pPr>
      <w:r>
        <w:rPr>
          <w:sz w:val="24"/>
          <w:szCs w:val="24"/>
        </w:rPr>
        <w:t xml:space="preserve">Section 15.256(l) of the rules provides </w:t>
      </w:r>
      <w:r w:rsidR="002A52DF">
        <w:rPr>
          <w:sz w:val="24"/>
          <w:szCs w:val="24"/>
        </w:rPr>
        <w:t xml:space="preserve">measurement procedures applicable to LPR devices.  </w:t>
      </w:r>
      <w:r w:rsidR="00FA4F99">
        <w:rPr>
          <w:sz w:val="24"/>
          <w:szCs w:val="24"/>
        </w:rPr>
        <w:t xml:space="preserve">LPR devices </w:t>
      </w:r>
      <w:r w:rsidR="0096696D">
        <w:rPr>
          <w:sz w:val="24"/>
          <w:szCs w:val="24"/>
        </w:rPr>
        <w:t xml:space="preserve">intended for installation inside tanks made of steel and concrete may </w:t>
      </w:r>
      <w:r w:rsidR="00FA4F99">
        <w:rPr>
          <w:sz w:val="24"/>
          <w:szCs w:val="24"/>
        </w:rPr>
        <w:t xml:space="preserve">continue to </w:t>
      </w:r>
      <w:r w:rsidR="0054498B">
        <w:rPr>
          <w:sz w:val="24"/>
          <w:szCs w:val="24"/>
        </w:rPr>
        <w:t xml:space="preserve">operate under </w:t>
      </w:r>
      <w:r w:rsidR="0096696D">
        <w:rPr>
          <w:sz w:val="24"/>
          <w:szCs w:val="24"/>
        </w:rPr>
        <w:t xml:space="preserve">the general intentional radiator </w:t>
      </w:r>
      <w:r w:rsidR="00FA4F99">
        <w:rPr>
          <w:sz w:val="24"/>
          <w:szCs w:val="24"/>
        </w:rPr>
        <w:t xml:space="preserve">Section 15.209 of the rules </w:t>
      </w:r>
      <w:r w:rsidR="0054498B">
        <w:rPr>
          <w:sz w:val="24"/>
          <w:szCs w:val="24"/>
        </w:rPr>
        <w:t>instead of the new Section 15.256</w:t>
      </w:r>
      <w:r w:rsidR="00B85DA5">
        <w:rPr>
          <w:sz w:val="24"/>
          <w:szCs w:val="24"/>
        </w:rPr>
        <w:t>,</w:t>
      </w:r>
      <w:r w:rsidR="0054498B">
        <w:rPr>
          <w:sz w:val="24"/>
          <w:szCs w:val="24"/>
        </w:rPr>
        <w:t xml:space="preserve"> </w:t>
      </w:r>
      <w:r w:rsidR="0096696D">
        <w:rPr>
          <w:sz w:val="24"/>
          <w:szCs w:val="24"/>
        </w:rPr>
        <w:t xml:space="preserve">but </w:t>
      </w:r>
      <w:r w:rsidR="00FA4F99">
        <w:rPr>
          <w:sz w:val="24"/>
          <w:szCs w:val="24"/>
        </w:rPr>
        <w:t xml:space="preserve">must follow the measurement standards in </w:t>
      </w:r>
      <w:r w:rsidR="00FA4F99" w:rsidRPr="00E96DA3">
        <w:rPr>
          <w:sz w:val="24"/>
          <w:szCs w:val="24"/>
        </w:rPr>
        <w:t>§§</w:t>
      </w:r>
      <w:r w:rsidR="00FA4F99">
        <w:rPr>
          <w:sz w:val="24"/>
          <w:szCs w:val="24"/>
        </w:rPr>
        <w:t xml:space="preserve"> 15.31(g) and (q)</w:t>
      </w:r>
      <w:r w:rsidR="0054498B">
        <w:rPr>
          <w:sz w:val="24"/>
          <w:szCs w:val="24"/>
        </w:rPr>
        <w:t>.</w:t>
      </w:r>
    </w:p>
    <w:p w:rsidR="00FA4F99" w:rsidRDefault="00FA4F99" w:rsidP="00C46DC8">
      <w:pPr>
        <w:rPr>
          <w:sz w:val="24"/>
          <w:szCs w:val="24"/>
        </w:rPr>
      </w:pPr>
    </w:p>
    <w:p w:rsidR="0066296B" w:rsidRPr="0066296B" w:rsidRDefault="003D433B" w:rsidP="0066296B">
      <w:pPr>
        <w:rPr>
          <w:color w:val="1F497D"/>
          <w:sz w:val="24"/>
          <w:szCs w:val="24"/>
        </w:rPr>
      </w:pPr>
      <w:r>
        <w:rPr>
          <w:sz w:val="24"/>
          <w:szCs w:val="24"/>
        </w:rPr>
        <w:t xml:space="preserve">The Commission has published a Measurement Procedure labeled </w:t>
      </w:r>
      <w:r w:rsidRPr="00C46DC8">
        <w:rPr>
          <w:sz w:val="24"/>
          <w:szCs w:val="24"/>
        </w:rPr>
        <w:t>“</w:t>
      </w:r>
      <w:r>
        <w:rPr>
          <w:sz w:val="24"/>
          <w:szCs w:val="24"/>
        </w:rPr>
        <w:t xml:space="preserve">Measurement Procedure </w:t>
      </w:r>
      <w:r w:rsidRPr="00C46DC8">
        <w:rPr>
          <w:bCs/>
          <w:color w:val="000000"/>
          <w:sz w:val="24"/>
          <w:szCs w:val="24"/>
        </w:rPr>
        <w:t xml:space="preserve">for </w:t>
      </w:r>
      <w:r>
        <w:rPr>
          <w:bCs/>
          <w:color w:val="000000"/>
          <w:sz w:val="24"/>
          <w:szCs w:val="24"/>
        </w:rPr>
        <w:t>Level Probing Radars</w:t>
      </w:r>
      <w:r w:rsidRPr="00C46DC8">
        <w:rPr>
          <w:sz w:val="24"/>
          <w:szCs w:val="24"/>
        </w:rPr>
        <w:t>”</w:t>
      </w:r>
      <w:r>
        <w:rPr>
          <w:sz w:val="24"/>
          <w:szCs w:val="24"/>
        </w:rPr>
        <w:t>.  This document can be downloaded at</w:t>
      </w:r>
      <w:r w:rsidR="00B85DA5">
        <w:rPr>
          <w:sz w:val="24"/>
          <w:szCs w:val="24"/>
        </w:rPr>
        <w:t>:</w:t>
      </w:r>
      <w:r w:rsidR="0066296B">
        <w:rPr>
          <w:sz w:val="24"/>
          <w:szCs w:val="24"/>
        </w:rPr>
        <w:t xml:space="preserve"> </w:t>
      </w:r>
      <w:hyperlink r:id="rId9" w:history="1">
        <w:r w:rsidR="0066296B" w:rsidRPr="0066296B">
          <w:rPr>
            <w:rStyle w:val="Hyperlink"/>
            <w:sz w:val="24"/>
            <w:szCs w:val="24"/>
          </w:rPr>
          <w:t>https://apps.fcc.gov/oetcf/kdb/forms/FTSSearchResultPage.cfm?switch=P&amp;id=20936</w:t>
        </w:r>
      </w:hyperlink>
    </w:p>
    <w:p w:rsidR="003D433B" w:rsidRPr="0066296B" w:rsidRDefault="003D433B" w:rsidP="00C46DC8">
      <w:pPr>
        <w:rPr>
          <w:sz w:val="24"/>
          <w:szCs w:val="24"/>
        </w:rPr>
      </w:pPr>
    </w:p>
    <w:p w:rsidR="00C46DC8" w:rsidRPr="00E96DA3" w:rsidRDefault="002A52DF" w:rsidP="00C46DC8">
      <w:pPr>
        <w:rPr>
          <w:sz w:val="24"/>
          <w:szCs w:val="24"/>
        </w:rPr>
      </w:pPr>
      <w:r>
        <w:rPr>
          <w:sz w:val="24"/>
          <w:szCs w:val="24"/>
        </w:rPr>
        <w:t xml:space="preserve">The </w:t>
      </w:r>
      <w:r w:rsidR="00C46DC8" w:rsidRPr="00E96DA3">
        <w:rPr>
          <w:sz w:val="24"/>
          <w:szCs w:val="24"/>
        </w:rPr>
        <w:t xml:space="preserve">Commission </w:t>
      </w:r>
      <w:r w:rsidR="00F31E57">
        <w:rPr>
          <w:sz w:val="24"/>
          <w:szCs w:val="24"/>
        </w:rPr>
        <w:t xml:space="preserve">also has a special website with </w:t>
      </w:r>
      <w:r w:rsidR="00C46DC8" w:rsidRPr="00E96DA3">
        <w:rPr>
          <w:sz w:val="24"/>
          <w:szCs w:val="24"/>
        </w:rPr>
        <w:t>Measurement Procedure</w:t>
      </w:r>
      <w:r w:rsidR="00F31E57">
        <w:rPr>
          <w:sz w:val="24"/>
          <w:szCs w:val="24"/>
        </w:rPr>
        <w:t xml:space="preserve">s for Part 15 </w:t>
      </w:r>
      <w:r w:rsidR="00B85DA5">
        <w:rPr>
          <w:sz w:val="24"/>
          <w:szCs w:val="24"/>
        </w:rPr>
        <w:t>devices</w:t>
      </w:r>
      <w:r w:rsidR="00F31E57">
        <w:rPr>
          <w:sz w:val="24"/>
          <w:szCs w:val="24"/>
        </w:rPr>
        <w:t xml:space="preserve"> where useful resources may be found, </w:t>
      </w:r>
      <w:r w:rsidR="00C46DC8" w:rsidRPr="00E96DA3">
        <w:rPr>
          <w:sz w:val="24"/>
          <w:szCs w:val="24"/>
        </w:rPr>
        <w:t>at</w:t>
      </w:r>
      <w:r w:rsidR="00F31E57">
        <w:rPr>
          <w:sz w:val="24"/>
          <w:szCs w:val="24"/>
        </w:rPr>
        <w:t xml:space="preserve"> the following</w:t>
      </w:r>
      <w:r w:rsidR="00CF04C3">
        <w:rPr>
          <w:sz w:val="24"/>
          <w:szCs w:val="24"/>
        </w:rPr>
        <w:t xml:space="preserve"> link</w:t>
      </w:r>
      <w:r w:rsidR="00F31E57">
        <w:rPr>
          <w:sz w:val="24"/>
          <w:szCs w:val="24"/>
        </w:rPr>
        <w:t>:</w:t>
      </w:r>
      <w:r w:rsidR="002D52FF" w:rsidRPr="00E96DA3">
        <w:rPr>
          <w:sz w:val="24"/>
          <w:szCs w:val="24"/>
        </w:rPr>
        <w:t xml:space="preserve"> </w:t>
      </w:r>
      <w:r w:rsidR="00C46DC8" w:rsidRPr="00E96DA3">
        <w:rPr>
          <w:sz w:val="24"/>
          <w:szCs w:val="24"/>
        </w:rPr>
        <w:t xml:space="preserve"> </w:t>
      </w:r>
    </w:p>
    <w:p w:rsidR="00443369" w:rsidRPr="00F31E57" w:rsidRDefault="002E3B5C" w:rsidP="00C46DC8">
      <w:pPr>
        <w:rPr>
          <w:sz w:val="24"/>
          <w:szCs w:val="24"/>
        </w:rPr>
      </w:pPr>
      <w:hyperlink r:id="rId10" w:history="1">
        <w:r w:rsidR="00F31E57" w:rsidRPr="00FE6132">
          <w:rPr>
            <w:rStyle w:val="Hyperlink"/>
            <w:sz w:val="24"/>
            <w:szCs w:val="24"/>
          </w:rPr>
          <w:t>http://transition.fcc.gov/oet/ea/eameasurements.html</w:t>
        </w:r>
      </w:hyperlink>
      <w:r w:rsidR="00FF684F">
        <w:rPr>
          <w:sz w:val="24"/>
          <w:szCs w:val="24"/>
        </w:rPr>
        <w:t>.</w:t>
      </w:r>
      <w:r w:rsidR="00F31E57">
        <w:rPr>
          <w:sz w:val="24"/>
          <w:szCs w:val="24"/>
        </w:rPr>
        <w:t xml:space="preserve"> </w:t>
      </w:r>
    </w:p>
    <w:p w:rsidR="00837613" w:rsidRPr="00E96DA3" w:rsidRDefault="00837613" w:rsidP="00C46DC8">
      <w:pPr>
        <w:rPr>
          <w:b/>
          <w:sz w:val="24"/>
          <w:szCs w:val="24"/>
        </w:rPr>
      </w:pPr>
    </w:p>
    <w:p w:rsidR="006E75EF" w:rsidRDefault="006E75EF" w:rsidP="00C46DC8">
      <w:pPr>
        <w:rPr>
          <w:b/>
          <w:sz w:val="24"/>
          <w:szCs w:val="24"/>
        </w:rPr>
      </w:pPr>
    </w:p>
    <w:p w:rsidR="007627F6" w:rsidRPr="00E96DA3" w:rsidRDefault="007627F6" w:rsidP="00D95390">
      <w:pPr>
        <w:numPr>
          <w:ilvl w:val="0"/>
          <w:numId w:val="14"/>
        </w:numPr>
        <w:tabs>
          <w:tab w:val="left" w:pos="360"/>
        </w:tabs>
        <w:ind w:left="360"/>
        <w:jc w:val="both"/>
        <w:rPr>
          <w:b/>
          <w:sz w:val="24"/>
          <w:szCs w:val="24"/>
          <w:u w:val="single"/>
        </w:rPr>
      </w:pPr>
      <w:r w:rsidRPr="00E96DA3">
        <w:rPr>
          <w:b/>
          <w:sz w:val="24"/>
          <w:szCs w:val="24"/>
          <w:u w:val="single"/>
        </w:rPr>
        <w:t xml:space="preserve">What are the certification </w:t>
      </w:r>
      <w:r w:rsidRPr="00E96DA3">
        <w:rPr>
          <w:b/>
          <w:bCs/>
          <w:sz w:val="24"/>
          <w:szCs w:val="24"/>
          <w:u w:val="single"/>
        </w:rPr>
        <w:t>approval</w:t>
      </w:r>
      <w:r w:rsidRPr="00E96DA3">
        <w:rPr>
          <w:b/>
          <w:sz w:val="24"/>
          <w:szCs w:val="24"/>
          <w:u w:val="single"/>
        </w:rPr>
        <w:t xml:space="preserve"> requirements for </w:t>
      </w:r>
      <w:r w:rsidR="00F31E57" w:rsidRPr="002A52DF">
        <w:rPr>
          <w:b/>
          <w:sz w:val="24"/>
          <w:szCs w:val="24"/>
          <w:u w:val="single"/>
        </w:rPr>
        <w:t xml:space="preserve">unlicensed </w:t>
      </w:r>
      <w:r w:rsidR="00F31E57">
        <w:rPr>
          <w:b/>
          <w:sz w:val="24"/>
          <w:szCs w:val="24"/>
          <w:u w:val="single"/>
        </w:rPr>
        <w:t>l</w:t>
      </w:r>
      <w:r w:rsidR="00F31E57" w:rsidRPr="002A52DF">
        <w:rPr>
          <w:b/>
          <w:sz w:val="24"/>
          <w:szCs w:val="24"/>
          <w:u w:val="single"/>
        </w:rPr>
        <w:t xml:space="preserve">evel </w:t>
      </w:r>
      <w:r w:rsidR="00F31E57">
        <w:rPr>
          <w:b/>
          <w:sz w:val="24"/>
          <w:szCs w:val="24"/>
          <w:u w:val="single"/>
        </w:rPr>
        <w:t>p</w:t>
      </w:r>
      <w:r w:rsidR="00F31E57" w:rsidRPr="002A52DF">
        <w:rPr>
          <w:b/>
          <w:sz w:val="24"/>
          <w:szCs w:val="24"/>
          <w:u w:val="single"/>
        </w:rPr>
        <w:t xml:space="preserve">robing </w:t>
      </w:r>
      <w:r w:rsidR="00F31E57">
        <w:rPr>
          <w:b/>
          <w:sz w:val="24"/>
          <w:szCs w:val="24"/>
          <w:u w:val="single"/>
        </w:rPr>
        <w:t>r</w:t>
      </w:r>
      <w:r w:rsidR="00F31E57" w:rsidRPr="002A52DF">
        <w:rPr>
          <w:b/>
          <w:sz w:val="24"/>
          <w:szCs w:val="24"/>
          <w:u w:val="single"/>
        </w:rPr>
        <w:t>adar</w:t>
      </w:r>
      <w:r w:rsidR="00F31E57">
        <w:rPr>
          <w:b/>
          <w:sz w:val="24"/>
          <w:szCs w:val="24"/>
          <w:u w:val="single"/>
        </w:rPr>
        <w:t xml:space="preserve"> operation</w:t>
      </w:r>
      <w:r w:rsidR="00F31E57" w:rsidRPr="002A52DF">
        <w:rPr>
          <w:b/>
          <w:sz w:val="24"/>
          <w:szCs w:val="24"/>
          <w:u w:val="single"/>
        </w:rPr>
        <w:t xml:space="preserve"> in the 5.925</w:t>
      </w:r>
      <w:r w:rsidR="00F31E57" w:rsidRPr="002A52DF">
        <w:rPr>
          <w:b/>
          <w:sz w:val="24"/>
          <w:szCs w:val="24"/>
          <w:u w:val="single"/>
        </w:rPr>
        <w:noBreakHyphen/>
        <w:t>7.250 GHz, 24.05</w:t>
      </w:r>
      <w:r w:rsidR="00F31E57" w:rsidRPr="002A52DF">
        <w:rPr>
          <w:b/>
          <w:sz w:val="24"/>
          <w:szCs w:val="24"/>
          <w:u w:val="single"/>
        </w:rPr>
        <w:noBreakHyphen/>
        <w:t>29.00 GHz and 75</w:t>
      </w:r>
      <w:r w:rsidR="00F31E57" w:rsidRPr="002A52DF">
        <w:rPr>
          <w:b/>
          <w:sz w:val="24"/>
          <w:szCs w:val="24"/>
          <w:u w:val="single"/>
        </w:rPr>
        <w:noBreakHyphen/>
        <w:t xml:space="preserve">85 GHz </w:t>
      </w:r>
      <w:r w:rsidR="00F31E57">
        <w:rPr>
          <w:b/>
          <w:sz w:val="24"/>
          <w:szCs w:val="24"/>
          <w:u w:val="single"/>
        </w:rPr>
        <w:t>b</w:t>
      </w:r>
      <w:r w:rsidR="00F31E57" w:rsidRPr="002A52DF">
        <w:rPr>
          <w:b/>
          <w:sz w:val="24"/>
          <w:szCs w:val="24"/>
          <w:u w:val="single"/>
        </w:rPr>
        <w:t>ands</w:t>
      </w:r>
      <w:r w:rsidR="00F31E57" w:rsidRPr="00E96DA3">
        <w:rPr>
          <w:b/>
          <w:sz w:val="24"/>
          <w:szCs w:val="24"/>
          <w:u w:val="single"/>
        </w:rPr>
        <w:t>?</w:t>
      </w:r>
    </w:p>
    <w:p w:rsidR="007627F6" w:rsidRPr="00E96DA3" w:rsidRDefault="007627F6" w:rsidP="007627F6">
      <w:pPr>
        <w:ind w:left="1440"/>
        <w:rPr>
          <w:sz w:val="24"/>
          <w:szCs w:val="24"/>
        </w:rPr>
      </w:pPr>
    </w:p>
    <w:p w:rsidR="007627F6" w:rsidRPr="00E96DA3" w:rsidRDefault="007627F6" w:rsidP="007627F6">
      <w:pPr>
        <w:rPr>
          <w:i/>
          <w:sz w:val="24"/>
          <w:szCs w:val="24"/>
        </w:rPr>
      </w:pPr>
      <w:r w:rsidRPr="00E96DA3">
        <w:rPr>
          <w:sz w:val="24"/>
          <w:szCs w:val="24"/>
        </w:rPr>
        <w:t xml:space="preserve">All devices operating under the provisions </w:t>
      </w:r>
      <w:r w:rsidR="00391385" w:rsidRPr="00E96DA3">
        <w:rPr>
          <w:sz w:val="24"/>
          <w:szCs w:val="24"/>
        </w:rPr>
        <w:t>of § 15.25</w:t>
      </w:r>
      <w:r w:rsidR="00F31E57">
        <w:rPr>
          <w:sz w:val="24"/>
          <w:szCs w:val="24"/>
        </w:rPr>
        <w:t>6</w:t>
      </w:r>
      <w:r w:rsidR="00391385" w:rsidRPr="00E96DA3">
        <w:rPr>
          <w:sz w:val="24"/>
          <w:szCs w:val="24"/>
        </w:rPr>
        <w:t xml:space="preserve"> </w:t>
      </w:r>
      <w:r w:rsidRPr="00E96DA3">
        <w:rPr>
          <w:sz w:val="24"/>
          <w:szCs w:val="24"/>
        </w:rPr>
        <w:t xml:space="preserve">must be certified by the FCC </w:t>
      </w:r>
      <w:r w:rsidR="00F73422" w:rsidRPr="00E96DA3">
        <w:rPr>
          <w:sz w:val="24"/>
          <w:szCs w:val="24"/>
        </w:rPr>
        <w:t>or a T</w:t>
      </w:r>
      <w:r w:rsidR="000766FE">
        <w:rPr>
          <w:sz w:val="24"/>
          <w:szCs w:val="24"/>
        </w:rPr>
        <w:t>CB</w:t>
      </w:r>
      <w:r w:rsidR="00F73422" w:rsidRPr="00E96DA3">
        <w:rPr>
          <w:sz w:val="24"/>
          <w:szCs w:val="24"/>
        </w:rPr>
        <w:t xml:space="preserve"> </w:t>
      </w:r>
      <w:r w:rsidRPr="00E96DA3">
        <w:rPr>
          <w:sz w:val="24"/>
          <w:szCs w:val="24"/>
        </w:rPr>
        <w:t xml:space="preserve">before they can be imported into or marketed within the United States.  Please refer to 47 C.F.R. § 2.901 for information on the equipment certification procedures.  </w:t>
      </w:r>
    </w:p>
    <w:p w:rsidR="007627F6" w:rsidRPr="00E96DA3" w:rsidRDefault="007627F6" w:rsidP="007627F6">
      <w:pPr>
        <w:rPr>
          <w:sz w:val="24"/>
          <w:szCs w:val="24"/>
        </w:rPr>
      </w:pPr>
    </w:p>
    <w:p w:rsidR="007627F6" w:rsidRPr="00E96DA3" w:rsidRDefault="007627F6" w:rsidP="007627F6">
      <w:pPr>
        <w:rPr>
          <w:sz w:val="24"/>
          <w:szCs w:val="24"/>
        </w:rPr>
      </w:pPr>
    </w:p>
    <w:p w:rsidR="007627F6" w:rsidRPr="00E96DA3" w:rsidRDefault="007627F6" w:rsidP="00D95390">
      <w:pPr>
        <w:numPr>
          <w:ilvl w:val="0"/>
          <w:numId w:val="14"/>
        </w:numPr>
        <w:ind w:left="360"/>
        <w:rPr>
          <w:b/>
          <w:sz w:val="24"/>
          <w:szCs w:val="24"/>
          <w:u w:val="single"/>
        </w:rPr>
      </w:pPr>
      <w:r w:rsidRPr="00E96DA3">
        <w:rPr>
          <w:b/>
          <w:sz w:val="24"/>
          <w:szCs w:val="24"/>
          <w:u w:val="single"/>
        </w:rPr>
        <w:t>What are the penalties for non-compliance with the rules?</w:t>
      </w:r>
    </w:p>
    <w:p w:rsidR="007627F6" w:rsidRPr="00E96DA3" w:rsidRDefault="007627F6" w:rsidP="007627F6">
      <w:pPr>
        <w:rPr>
          <w:b/>
          <w:sz w:val="24"/>
          <w:szCs w:val="24"/>
          <w:u w:val="single"/>
        </w:rPr>
      </w:pPr>
    </w:p>
    <w:p w:rsidR="007627F6" w:rsidRPr="00412122" w:rsidRDefault="000766FE" w:rsidP="000766FE">
      <w:pPr>
        <w:rPr>
          <w:rFonts w:ascii="Arial" w:hAnsi="Arial"/>
          <w:sz w:val="25"/>
        </w:rPr>
      </w:pPr>
      <w:r w:rsidRPr="000766FE">
        <w:rPr>
          <w:sz w:val="24"/>
          <w:szCs w:val="24"/>
        </w:rPr>
        <w:t xml:space="preserve">The Commission has the authority to investigate Part 15 violations and </w:t>
      </w:r>
      <w:r w:rsidR="00A96629">
        <w:rPr>
          <w:sz w:val="24"/>
          <w:szCs w:val="24"/>
        </w:rPr>
        <w:t xml:space="preserve">to </w:t>
      </w:r>
      <w:r w:rsidRPr="000766FE">
        <w:rPr>
          <w:sz w:val="24"/>
          <w:szCs w:val="24"/>
        </w:rPr>
        <w:t xml:space="preserve">take action </w:t>
      </w:r>
      <w:r w:rsidR="00A96629">
        <w:rPr>
          <w:sz w:val="24"/>
          <w:szCs w:val="24"/>
        </w:rPr>
        <w:t>as appropriate</w:t>
      </w:r>
      <w:r w:rsidRPr="000766FE">
        <w:rPr>
          <w:sz w:val="24"/>
          <w:szCs w:val="24"/>
        </w:rPr>
        <w:t xml:space="preserve">, including </w:t>
      </w:r>
      <w:r w:rsidR="00A96629">
        <w:rPr>
          <w:sz w:val="24"/>
          <w:szCs w:val="24"/>
        </w:rPr>
        <w:t xml:space="preserve">the </w:t>
      </w:r>
      <w:r w:rsidRPr="000766FE">
        <w:rPr>
          <w:sz w:val="24"/>
          <w:szCs w:val="24"/>
        </w:rPr>
        <w:t>impos</w:t>
      </w:r>
      <w:r w:rsidR="00A96629">
        <w:rPr>
          <w:sz w:val="24"/>
          <w:szCs w:val="24"/>
        </w:rPr>
        <w:t xml:space="preserve">ition of forfeiture </w:t>
      </w:r>
      <w:r w:rsidRPr="000766FE">
        <w:rPr>
          <w:sz w:val="24"/>
          <w:szCs w:val="24"/>
        </w:rPr>
        <w:t xml:space="preserve">penalties.  </w:t>
      </w:r>
      <w:r w:rsidR="007627F6" w:rsidRPr="000766FE">
        <w:rPr>
          <w:sz w:val="24"/>
          <w:szCs w:val="24"/>
        </w:rPr>
        <w:t>Willful or repeated violations of the FCC’s equipment authorization, importation and marketing</w:t>
      </w:r>
      <w:r w:rsidR="007627F6" w:rsidRPr="00E96DA3">
        <w:rPr>
          <w:sz w:val="24"/>
          <w:szCs w:val="24"/>
        </w:rPr>
        <w:t xml:space="preserve"> rules, including but not limited to operation of communications equipment that does not comply with one or more of those rules, can result in forfeitures of up to $16,000 for each violation or each day of continuing violation, up to a maximum of $1</w:t>
      </w:r>
      <w:r w:rsidR="007910BE" w:rsidRPr="00E96DA3">
        <w:rPr>
          <w:sz w:val="24"/>
          <w:szCs w:val="24"/>
        </w:rPr>
        <w:t>2</w:t>
      </w:r>
      <w:r w:rsidR="007627F6" w:rsidRPr="00E96DA3">
        <w:rPr>
          <w:sz w:val="24"/>
          <w:szCs w:val="24"/>
        </w:rPr>
        <w:t xml:space="preserve">2,500.  </w:t>
      </w:r>
      <w:r w:rsidR="007627F6" w:rsidRPr="00E96DA3">
        <w:rPr>
          <w:i/>
          <w:sz w:val="24"/>
          <w:szCs w:val="24"/>
        </w:rPr>
        <w:t>See</w:t>
      </w:r>
      <w:r w:rsidR="007627F6" w:rsidRPr="00E96DA3">
        <w:rPr>
          <w:sz w:val="24"/>
          <w:szCs w:val="24"/>
        </w:rPr>
        <w:t xml:space="preserve"> § 1.80 of the FCC rules.  Individuals or organizations may also be subject to criminal penalties under Title 18 of the U.S. Code.  FCC field personnel, working in conjunction with the Attorney General of the United States, may seize illegal equipment.  </w:t>
      </w:r>
      <w:r w:rsidR="007627F6" w:rsidRPr="00381C3B">
        <w:rPr>
          <w:i/>
          <w:sz w:val="24"/>
        </w:rPr>
        <w:t>See</w:t>
      </w:r>
      <w:r w:rsidR="007627F6" w:rsidRPr="00E96DA3">
        <w:rPr>
          <w:sz w:val="24"/>
          <w:szCs w:val="24"/>
        </w:rPr>
        <w:t xml:space="preserve"> 47 U.S.C § 510(b). </w:t>
      </w:r>
    </w:p>
    <w:p w:rsidR="007627F6" w:rsidRPr="00E96DA3" w:rsidRDefault="007627F6" w:rsidP="007627F6">
      <w:pPr>
        <w:rPr>
          <w:sz w:val="24"/>
          <w:szCs w:val="24"/>
        </w:rPr>
      </w:pPr>
    </w:p>
    <w:p w:rsidR="006261EC" w:rsidRPr="00E96DA3" w:rsidRDefault="006261EC" w:rsidP="006261EC">
      <w:pPr>
        <w:rPr>
          <w:sz w:val="24"/>
          <w:szCs w:val="24"/>
        </w:rPr>
      </w:pPr>
    </w:p>
    <w:p w:rsidR="006261EC" w:rsidRPr="00E96DA3" w:rsidRDefault="006261EC" w:rsidP="006261EC">
      <w:pPr>
        <w:numPr>
          <w:ilvl w:val="0"/>
          <w:numId w:val="14"/>
        </w:numPr>
        <w:autoSpaceDE w:val="0"/>
        <w:autoSpaceDN w:val="0"/>
        <w:adjustRightInd w:val="0"/>
        <w:spacing w:after="240"/>
        <w:ind w:left="360"/>
        <w:rPr>
          <w:sz w:val="24"/>
          <w:szCs w:val="24"/>
        </w:rPr>
      </w:pPr>
      <w:r w:rsidRPr="00E96DA3">
        <w:rPr>
          <w:b/>
          <w:sz w:val="24"/>
          <w:szCs w:val="24"/>
          <w:u w:val="single"/>
        </w:rPr>
        <w:t xml:space="preserve">Where can I find </w:t>
      </w:r>
      <w:r w:rsidRPr="00E96DA3">
        <w:rPr>
          <w:b/>
          <w:bCs/>
          <w:sz w:val="24"/>
          <w:szCs w:val="24"/>
          <w:u w:val="single"/>
        </w:rPr>
        <w:t xml:space="preserve">the Part 15 rules and information for </w:t>
      </w:r>
      <w:r w:rsidR="00F31E57" w:rsidRPr="002A52DF">
        <w:rPr>
          <w:b/>
          <w:sz w:val="24"/>
          <w:szCs w:val="24"/>
          <w:u w:val="single"/>
        </w:rPr>
        <w:t xml:space="preserve">unlicensed </w:t>
      </w:r>
      <w:r w:rsidR="00F31E57">
        <w:rPr>
          <w:b/>
          <w:sz w:val="24"/>
          <w:szCs w:val="24"/>
          <w:u w:val="single"/>
        </w:rPr>
        <w:t>l</w:t>
      </w:r>
      <w:r w:rsidR="00F31E57" w:rsidRPr="002A52DF">
        <w:rPr>
          <w:b/>
          <w:sz w:val="24"/>
          <w:szCs w:val="24"/>
          <w:u w:val="single"/>
        </w:rPr>
        <w:t xml:space="preserve">evel </w:t>
      </w:r>
      <w:r w:rsidR="00F31E57">
        <w:rPr>
          <w:b/>
          <w:sz w:val="24"/>
          <w:szCs w:val="24"/>
          <w:u w:val="single"/>
        </w:rPr>
        <w:t>p</w:t>
      </w:r>
      <w:r w:rsidR="00F31E57" w:rsidRPr="002A52DF">
        <w:rPr>
          <w:b/>
          <w:sz w:val="24"/>
          <w:szCs w:val="24"/>
          <w:u w:val="single"/>
        </w:rPr>
        <w:t xml:space="preserve">robing </w:t>
      </w:r>
      <w:r w:rsidR="00F31E57">
        <w:rPr>
          <w:b/>
          <w:sz w:val="24"/>
          <w:szCs w:val="24"/>
          <w:u w:val="single"/>
        </w:rPr>
        <w:t>r</w:t>
      </w:r>
      <w:r w:rsidR="00F31E57" w:rsidRPr="002A52DF">
        <w:rPr>
          <w:b/>
          <w:sz w:val="24"/>
          <w:szCs w:val="24"/>
          <w:u w:val="single"/>
        </w:rPr>
        <w:t>adar</w:t>
      </w:r>
      <w:r w:rsidR="00F31E57">
        <w:rPr>
          <w:b/>
          <w:sz w:val="24"/>
          <w:szCs w:val="24"/>
          <w:u w:val="single"/>
        </w:rPr>
        <w:t xml:space="preserve"> operation</w:t>
      </w:r>
      <w:r w:rsidR="00F31E57" w:rsidRPr="002A52DF">
        <w:rPr>
          <w:b/>
          <w:sz w:val="24"/>
          <w:szCs w:val="24"/>
          <w:u w:val="single"/>
        </w:rPr>
        <w:t xml:space="preserve"> in the 5.925</w:t>
      </w:r>
      <w:r w:rsidR="00F31E57" w:rsidRPr="002A52DF">
        <w:rPr>
          <w:b/>
          <w:sz w:val="24"/>
          <w:szCs w:val="24"/>
          <w:u w:val="single"/>
        </w:rPr>
        <w:noBreakHyphen/>
        <w:t>7.250 GHz, 24.05</w:t>
      </w:r>
      <w:r w:rsidR="00F31E57" w:rsidRPr="002A52DF">
        <w:rPr>
          <w:b/>
          <w:sz w:val="24"/>
          <w:szCs w:val="24"/>
          <w:u w:val="single"/>
        </w:rPr>
        <w:noBreakHyphen/>
        <w:t>29.00 GHz and 75</w:t>
      </w:r>
      <w:r w:rsidR="00F31E57" w:rsidRPr="002A52DF">
        <w:rPr>
          <w:b/>
          <w:sz w:val="24"/>
          <w:szCs w:val="24"/>
          <w:u w:val="single"/>
        </w:rPr>
        <w:noBreakHyphen/>
        <w:t xml:space="preserve">85 GHz </w:t>
      </w:r>
      <w:r w:rsidR="00F31E57">
        <w:rPr>
          <w:b/>
          <w:sz w:val="24"/>
          <w:szCs w:val="24"/>
          <w:u w:val="single"/>
        </w:rPr>
        <w:t>b</w:t>
      </w:r>
      <w:r w:rsidR="00F31E57" w:rsidRPr="002A52DF">
        <w:rPr>
          <w:b/>
          <w:sz w:val="24"/>
          <w:szCs w:val="24"/>
          <w:u w:val="single"/>
        </w:rPr>
        <w:t>ands</w:t>
      </w:r>
      <w:r w:rsidR="00F31E57" w:rsidRPr="00E96DA3">
        <w:rPr>
          <w:b/>
          <w:sz w:val="24"/>
          <w:szCs w:val="24"/>
          <w:u w:val="single"/>
        </w:rPr>
        <w:t>?</w:t>
      </w:r>
    </w:p>
    <w:p w:rsidR="00801ECB" w:rsidRPr="00E96DA3" w:rsidRDefault="00801ECB" w:rsidP="00801ECB">
      <w:pPr>
        <w:rPr>
          <w:sz w:val="24"/>
          <w:szCs w:val="24"/>
        </w:rPr>
      </w:pPr>
      <w:r w:rsidRPr="00E96DA3">
        <w:rPr>
          <w:sz w:val="24"/>
          <w:szCs w:val="24"/>
        </w:rPr>
        <w:t xml:space="preserve">FCC </w:t>
      </w:r>
      <w:r w:rsidR="00FF79BB" w:rsidRPr="00E96DA3">
        <w:rPr>
          <w:sz w:val="24"/>
          <w:szCs w:val="24"/>
        </w:rPr>
        <w:t>O</w:t>
      </w:r>
      <w:r w:rsidRPr="00E96DA3">
        <w:rPr>
          <w:sz w:val="24"/>
          <w:szCs w:val="24"/>
        </w:rPr>
        <w:t xml:space="preserve">rder adopting the Part 15 rules for </w:t>
      </w:r>
      <w:r w:rsidR="00F31E57">
        <w:rPr>
          <w:sz w:val="24"/>
          <w:szCs w:val="24"/>
        </w:rPr>
        <w:t xml:space="preserve">LPR </w:t>
      </w:r>
      <w:r w:rsidRPr="00E96DA3">
        <w:rPr>
          <w:sz w:val="24"/>
          <w:szCs w:val="24"/>
        </w:rPr>
        <w:t xml:space="preserve">operation in </w:t>
      </w:r>
      <w:r w:rsidR="00F31E57" w:rsidRPr="00F31E57">
        <w:rPr>
          <w:sz w:val="24"/>
          <w:szCs w:val="24"/>
        </w:rPr>
        <w:t>the 5.925</w:t>
      </w:r>
      <w:r w:rsidR="00F31E57" w:rsidRPr="00F31E57">
        <w:rPr>
          <w:sz w:val="24"/>
          <w:szCs w:val="24"/>
        </w:rPr>
        <w:noBreakHyphen/>
        <w:t>7.250 GHz, 24.05</w:t>
      </w:r>
      <w:r w:rsidR="00F31E57" w:rsidRPr="00F31E57">
        <w:rPr>
          <w:sz w:val="24"/>
          <w:szCs w:val="24"/>
        </w:rPr>
        <w:noBreakHyphen/>
        <w:t>29.00 GHz and 75</w:t>
      </w:r>
      <w:r w:rsidR="00F31E57" w:rsidRPr="00F31E57">
        <w:rPr>
          <w:sz w:val="24"/>
          <w:szCs w:val="24"/>
        </w:rPr>
        <w:noBreakHyphen/>
        <w:t>85 GHz bands</w:t>
      </w:r>
      <w:r w:rsidRPr="00E96DA3">
        <w:rPr>
          <w:sz w:val="24"/>
          <w:szCs w:val="24"/>
        </w:rPr>
        <w:t xml:space="preserve">:  </w:t>
      </w:r>
      <w:r w:rsidRPr="00E96DA3">
        <w:rPr>
          <w:i/>
          <w:sz w:val="24"/>
          <w:szCs w:val="24"/>
        </w:rPr>
        <w:t xml:space="preserve">Report and Order </w:t>
      </w:r>
      <w:r w:rsidRPr="00E96DA3">
        <w:rPr>
          <w:sz w:val="24"/>
          <w:szCs w:val="24"/>
        </w:rPr>
        <w:t>in ET Docket No</w:t>
      </w:r>
      <w:r w:rsidR="00F31E57">
        <w:rPr>
          <w:sz w:val="24"/>
          <w:szCs w:val="24"/>
        </w:rPr>
        <w:t>s</w:t>
      </w:r>
      <w:r w:rsidRPr="00E96DA3">
        <w:rPr>
          <w:sz w:val="24"/>
          <w:szCs w:val="24"/>
        </w:rPr>
        <w:t xml:space="preserve">. </w:t>
      </w:r>
      <w:r w:rsidR="00F31E57">
        <w:rPr>
          <w:sz w:val="24"/>
          <w:szCs w:val="24"/>
        </w:rPr>
        <w:t>10</w:t>
      </w:r>
      <w:r w:rsidR="00F31E57">
        <w:rPr>
          <w:sz w:val="24"/>
          <w:szCs w:val="24"/>
        </w:rPr>
        <w:noBreakHyphen/>
        <w:t>23 and 10</w:t>
      </w:r>
      <w:r w:rsidR="00F31E57">
        <w:rPr>
          <w:sz w:val="24"/>
          <w:szCs w:val="24"/>
        </w:rPr>
        <w:noBreakHyphen/>
        <w:t>27</w:t>
      </w:r>
      <w:r w:rsidRPr="00E96DA3">
        <w:rPr>
          <w:sz w:val="24"/>
          <w:szCs w:val="24"/>
        </w:rPr>
        <w:t>, FCC 1</w:t>
      </w:r>
      <w:r w:rsidR="00F31E57">
        <w:rPr>
          <w:sz w:val="24"/>
          <w:szCs w:val="24"/>
        </w:rPr>
        <w:t>4-2</w:t>
      </w:r>
      <w:r w:rsidRPr="00E96DA3">
        <w:rPr>
          <w:sz w:val="24"/>
          <w:szCs w:val="24"/>
        </w:rPr>
        <w:t xml:space="preserve">, released </w:t>
      </w:r>
      <w:r w:rsidR="000766FE">
        <w:rPr>
          <w:sz w:val="24"/>
          <w:szCs w:val="24"/>
        </w:rPr>
        <w:t>Jan. 15</w:t>
      </w:r>
      <w:r w:rsidRPr="00E96DA3">
        <w:rPr>
          <w:sz w:val="24"/>
          <w:szCs w:val="24"/>
        </w:rPr>
        <w:t>, 201</w:t>
      </w:r>
      <w:r w:rsidR="00F31E57">
        <w:rPr>
          <w:sz w:val="24"/>
          <w:szCs w:val="24"/>
        </w:rPr>
        <w:t>4</w:t>
      </w:r>
      <w:r w:rsidRPr="00E96DA3">
        <w:rPr>
          <w:sz w:val="24"/>
          <w:szCs w:val="24"/>
        </w:rPr>
        <w:t xml:space="preserve">, </w:t>
      </w:r>
      <w:r w:rsidR="00B85DA5">
        <w:rPr>
          <w:sz w:val="24"/>
          <w:szCs w:val="24"/>
        </w:rPr>
        <w:t>29</w:t>
      </w:r>
      <w:r w:rsidRPr="00E96DA3">
        <w:rPr>
          <w:sz w:val="24"/>
          <w:szCs w:val="24"/>
        </w:rPr>
        <w:t xml:space="preserve"> FCC Rcd </w:t>
      </w:r>
      <w:r w:rsidR="00B85DA5">
        <w:rPr>
          <w:sz w:val="24"/>
          <w:szCs w:val="24"/>
        </w:rPr>
        <w:t>761</w:t>
      </w:r>
      <w:r w:rsidRPr="00E96DA3">
        <w:rPr>
          <w:sz w:val="24"/>
          <w:szCs w:val="24"/>
        </w:rPr>
        <w:t xml:space="preserve"> (201</w:t>
      </w:r>
      <w:r w:rsidR="00F31E57">
        <w:rPr>
          <w:sz w:val="24"/>
          <w:szCs w:val="24"/>
        </w:rPr>
        <w:t>4</w:t>
      </w:r>
      <w:r w:rsidRPr="00E96DA3">
        <w:rPr>
          <w:sz w:val="24"/>
          <w:szCs w:val="24"/>
        </w:rPr>
        <w:t>).</w:t>
      </w:r>
    </w:p>
    <w:p w:rsidR="00C12FC3" w:rsidRDefault="00C12FC3" w:rsidP="00801ECB"/>
    <w:p w:rsidR="00801ECB" w:rsidRPr="00E96DA3" w:rsidRDefault="002E3B5C" w:rsidP="00801ECB">
      <w:pPr>
        <w:rPr>
          <w:sz w:val="24"/>
          <w:szCs w:val="24"/>
        </w:rPr>
      </w:pPr>
      <w:hyperlink r:id="rId11" w:history="1">
        <w:r w:rsidR="00C12FC3" w:rsidRPr="00AE307A">
          <w:rPr>
            <w:rStyle w:val="Hyperlink"/>
            <w:sz w:val="24"/>
            <w:szCs w:val="24"/>
          </w:rPr>
          <w:t>https://apps.fcc.gov/edocs_public/attachmatch/FCC-14-2A1.doc</w:t>
        </w:r>
      </w:hyperlink>
      <w:r w:rsidR="00801ECB" w:rsidRPr="00E96DA3">
        <w:rPr>
          <w:sz w:val="24"/>
          <w:szCs w:val="24"/>
        </w:rPr>
        <w:t xml:space="preserve">  (Word)</w:t>
      </w:r>
    </w:p>
    <w:p w:rsidR="00801ECB" w:rsidRPr="00E96DA3" w:rsidRDefault="002E3B5C" w:rsidP="00801ECB">
      <w:pPr>
        <w:rPr>
          <w:sz w:val="24"/>
          <w:szCs w:val="24"/>
        </w:rPr>
      </w:pPr>
      <w:hyperlink r:id="rId12" w:history="1">
        <w:r w:rsidR="00C12FC3" w:rsidRPr="00AE307A">
          <w:rPr>
            <w:rStyle w:val="Hyperlink"/>
            <w:sz w:val="24"/>
            <w:szCs w:val="24"/>
          </w:rPr>
          <w:t>https://apps.fcc.gov/edocs_public/attachmatch/FCC-14-2A1.pdf</w:t>
        </w:r>
      </w:hyperlink>
      <w:r w:rsidR="00801ECB" w:rsidRPr="00E96DA3">
        <w:rPr>
          <w:sz w:val="24"/>
          <w:szCs w:val="24"/>
        </w:rPr>
        <w:t xml:space="preserve">  (Acrobat)</w:t>
      </w:r>
    </w:p>
    <w:p w:rsidR="00801ECB" w:rsidRPr="00E96DA3" w:rsidRDefault="002E3B5C" w:rsidP="00801ECB">
      <w:pPr>
        <w:rPr>
          <w:sz w:val="24"/>
          <w:szCs w:val="24"/>
        </w:rPr>
      </w:pPr>
      <w:hyperlink r:id="rId13" w:history="1">
        <w:r w:rsidR="00C12FC3" w:rsidRPr="00AE307A">
          <w:rPr>
            <w:rStyle w:val="Hyperlink"/>
            <w:sz w:val="24"/>
            <w:szCs w:val="24"/>
          </w:rPr>
          <w:t>https://apps.fcc.gov/edocs_public/attachmatch/FCC-14-2A1.txt</w:t>
        </w:r>
      </w:hyperlink>
      <w:r w:rsidR="00801ECB" w:rsidRPr="00E96DA3">
        <w:rPr>
          <w:sz w:val="24"/>
          <w:szCs w:val="24"/>
        </w:rPr>
        <w:t xml:space="preserve">  (Text)</w:t>
      </w:r>
    </w:p>
    <w:p w:rsidR="00910145" w:rsidRPr="00E96DA3" w:rsidRDefault="00910145" w:rsidP="00910145">
      <w:pPr>
        <w:rPr>
          <w:sz w:val="24"/>
          <w:szCs w:val="24"/>
        </w:rPr>
      </w:pPr>
    </w:p>
    <w:p w:rsidR="00910145" w:rsidRPr="00E96DA3" w:rsidRDefault="005D388B" w:rsidP="00910145">
      <w:pPr>
        <w:autoSpaceDE w:val="0"/>
        <w:autoSpaceDN w:val="0"/>
        <w:adjustRightInd w:val="0"/>
        <w:spacing w:after="240"/>
        <w:rPr>
          <w:sz w:val="24"/>
          <w:szCs w:val="24"/>
        </w:rPr>
      </w:pPr>
      <w:r w:rsidRPr="00E96DA3">
        <w:rPr>
          <w:sz w:val="24"/>
          <w:szCs w:val="24"/>
        </w:rPr>
        <w:t xml:space="preserve">The Commission’s Rules (47 Code of Federal Regulations (47 C.F.R.)) are available at </w:t>
      </w:r>
      <w:hyperlink r:id="rId14" w:history="1">
        <w:r w:rsidRPr="00E96DA3">
          <w:rPr>
            <w:rStyle w:val="Hyperlink"/>
            <w:sz w:val="24"/>
            <w:szCs w:val="24"/>
          </w:rPr>
          <w:t>http://wireless.fcc.gov/index.htm?job=rules_and_regulations</w:t>
        </w:r>
      </w:hyperlink>
      <w:r w:rsidRPr="00E96DA3">
        <w:rPr>
          <w:sz w:val="24"/>
          <w:szCs w:val="24"/>
        </w:rPr>
        <w:t>.</w:t>
      </w:r>
    </w:p>
    <w:p w:rsidR="006261EC" w:rsidRPr="00E96DA3" w:rsidRDefault="006261EC" w:rsidP="006261EC">
      <w:pPr>
        <w:jc w:val="both"/>
        <w:rPr>
          <w:sz w:val="24"/>
          <w:szCs w:val="24"/>
        </w:rPr>
      </w:pPr>
      <w:r w:rsidRPr="00E96DA3">
        <w:rPr>
          <w:sz w:val="24"/>
          <w:szCs w:val="24"/>
        </w:rPr>
        <w:t>Equipment authorization information:</w:t>
      </w:r>
    </w:p>
    <w:p w:rsidR="006261EC" w:rsidRPr="00E96DA3" w:rsidRDefault="002E3B5C" w:rsidP="006261EC">
      <w:pPr>
        <w:rPr>
          <w:color w:val="0000FF"/>
          <w:sz w:val="24"/>
          <w:szCs w:val="24"/>
        </w:rPr>
      </w:pPr>
      <w:hyperlink r:id="rId15" w:history="1">
        <w:r w:rsidR="006261EC" w:rsidRPr="00E96DA3">
          <w:rPr>
            <w:rStyle w:val="Hyperlink"/>
            <w:sz w:val="24"/>
            <w:szCs w:val="24"/>
          </w:rPr>
          <w:t>http://www.fcc.gov/oet/ea/</w:t>
        </w:r>
      </w:hyperlink>
      <w:r w:rsidR="006261EC" w:rsidRPr="00E96DA3">
        <w:rPr>
          <w:color w:val="0000FF"/>
          <w:sz w:val="24"/>
          <w:szCs w:val="24"/>
        </w:rPr>
        <w:t xml:space="preserve"> </w:t>
      </w:r>
    </w:p>
    <w:p w:rsidR="00910145" w:rsidRPr="00E96DA3" w:rsidRDefault="00910145" w:rsidP="00910145">
      <w:pPr>
        <w:rPr>
          <w:sz w:val="24"/>
          <w:szCs w:val="24"/>
        </w:rPr>
      </w:pPr>
    </w:p>
    <w:p w:rsidR="00801ECB" w:rsidRPr="00E96DA3" w:rsidRDefault="00801ECB" w:rsidP="00801ECB">
      <w:pPr>
        <w:numPr>
          <w:ilvl w:val="0"/>
          <w:numId w:val="14"/>
        </w:numPr>
        <w:tabs>
          <w:tab w:val="left" w:pos="360"/>
        </w:tabs>
        <w:ind w:left="360"/>
        <w:rPr>
          <w:b/>
          <w:sz w:val="24"/>
          <w:szCs w:val="24"/>
          <w:u w:val="single"/>
        </w:rPr>
      </w:pPr>
      <w:r w:rsidRPr="00E96DA3">
        <w:rPr>
          <w:b/>
          <w:sz w:val="24"/>
          <w:szCs w:val="24"/>
          <w:u w:val="single"/>
        </w:rPr>
        <w:t xml:space="preserve">What if I have further questions </w:t>
      </w:r>
      <w:r w:rsidRPr="00E96DA3">
        <w:rPr>
          <w:b/>
          <w:bCs/>
          <w:sz w:val="24"/>
          <w:szCs w:val="24"/>
          <w:u w:val="single"/>
        </w:rPr>
        <w:t>on</w:t>
      </w:r>
      <w:r w:rsidRPr="00E96DA3">
        <w:rPr>
          <w:b/>
          <w:sz w:val="24"/>
          <w:szCs w:val="24"/>
          <w:u w:val="single"/>
        </w:rPr>
        <w:t xml:space="preserve"> the rules for Part 15 operations in the </w:t>
      </w:r>
      <w:r w:rsidR="00FF684F" w:rsidRPr="002A52DF">
        <w:rPr>
          <w:b/>
          <w:sz w:val="24"/>
          <w:szCs w:val="24"/>
          <w:u w:val="single"/>
        </w:rPr>
        <w:t>5.925</w:t>
      </w:r>
      <w:r w:rsidR="00FF684F" w:rsidRPr="002A52DF">
        <w:rPr>
          <w:b/>
          <w:sz w:val="24"/>
          <w:szCs w:val="24"/>
          <w:u w:val="single"/>
        </w:rPr>
        <w:noBreakHyphen/>
        <w:t>7.250 GHz, 24.05</w:t>
      </w:r>
      <w:r w:rsidR="00FF684F" w:rsidRPr="002A52DF">
        <w:rPr>
          <w:b/>
          <w:sz w:val="24"/>
          <w:szCs w:val="24"/>
          <w:u w:val="single"/>
        </w:rPr>
        <w:noBreakHyphen/>
        <w:t>29.00 GHz and 75</w:t>
      </w:r>
      <w:r w:rsidR="00FF684F" w:rsidRPr="002A52DF">
        <w:rPr>
          <w:b/>
          <w:sz w:val="24"/>
          <w:szCs w:val="24"/>
          <w:u w:val="single"/>
        </w:rPr>
        <w:noBreakHyphen/>
        <w:t xml:space="preserve">85 GHz </w:t>
      </w:r>
      <w:r w:rsidR="00FF684F">
        <w:rPr>
          <w:b/>
          <w:sz w:val="24"/>
          <w:szCs w:val="24"/>
          <w:u w:val="single"/>
        </w:rPr>
        <w:t>b</w:t>
      </w:r>
      <w:r w:rsidR="00FF684F" w:rsidRPr="002A52DF">
        <w:rPr>
          <w:b/>
          <w:sz w:val="24"/>
          <w:szCs w:val="24"/>
          <w:u w:val="single"/>
        </w:rPr>
        <w:t>ands</w:t>
      </w:r>
      <w:r w:rsidRPr="00E96DA3">
        <w:rPr>
          <w:b/>
          <w:sz w:val="24"/>
          <w:szCs w:val="24"/>
          <w:u w:val="single"/>
        </w:rPr>
        <w:t>?</w:t>
      </w:r>
    </w:p>
    <w:p w:rsidR="00801ECB" w:rsidRPr="00E96DA3" w:rsidRDefault="00801ECB" w:rsidP="00801ECB">
      <w:pPr>
        <w:jc w:val="both"/>
        <w:rPr>
          <w:b/>
          <w:sz w:val="24"/>
          <w:szCs w:val="24"/>
          <w:u w:val="single"/>
        </w:rPr>
      </w:pPr>
    </w:p>
    <w:p w:rsidR="006261EC" w:rsidRPr="00E96DA3" w:rsidRDefault="00801ECB" w:rsidP="006B6A91">
      <w:pPr>
        <w:rPr>
          <w:sz w:val="24"/>
          <w:szCs w:val="24"/>
        </w:rPr>
      </w:pPr>
      <w:r w:rsidRPr="00E96DA3">
        <w:rPr>
          <w:sz w:val="24"/>
          <w:szCs w:val="24"/>
        </w:rPr>
        <w:t>The FCC maintains a web-based system that is used to submit inquiries to its Laboratory, as well as to search for previous rule interpretations and frequently asked questions.  This system, called the OET Knowledge Data</w:t>
      </w:r>
      <w:r w:rsidR="00C60B01" w:rsidRPr="00E96DA3">
        <w:rPr>
          <w:sz w:val="24"/>
          <w:szCs w:val="24"/>
        </w:rPr>
        <w:t>b</w:t>
      </w:r>
      <w:r w:rsidRPr="00E96DA3">
        <w:rPr>
          <w:sz w:val="24"/>
          <w:szCs w:val="24"/>
        </w:rPr>
        <w:t xml:space="preserve">ase (KDB), can be accessed at </w:t>
      </w:r>
      <w:hyperlink r:id="rId16" w:history="1">
        <w:r w:rsidRPr="00E96DA3">
          <w:rPr>
            <w:rStyle w:val="Hyperlink"/>
            <w:sz w:val="24"/>
            <w:szCs w:val="24"/>
          </w:rPr>
          <w:t>www.fcc.gov/labhelp</w:t>
        </w:r>
      </w:hyperlink>
      <w:r w:rsidRPr="00E96DA3">
        <w:rPr>
          <w:sz w:val="24"/>
          <w:szCs w:val="24"/>
        </w:rPr>
        <w:t>.</w:t>
      </w:r>
    </w:p>
    <w:sectPr w:rsidR="006261EC" w:rsidRPr="00E96DA3" w:rsidSect="00FF684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00" w:rsidRDefault="00CC0200">
      <w:r>
        <w:separator/>
      </w:r>
    </w:p>
  </w:endnote>
  <w:endnote w:type="continuationSeparator" w:id="0">
    <w:p w:rsidR="00CC0200" w:rsidRDefault="00CC0200">
      <w:r>
        <w:continuationSeparator/>
      </w:r>
    </w:p>
  </w:endnote>
  <w:endnote w:type="continuationNotice" w:id="1">
    <w:p w:rsidR="00CC0200" w:rsidRDefault="00CC0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7" w:rsidRDefault="002C5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16E">
      <w:rPr>
        <w:rStyle w:val="PageNumber"/>
        <w:noProof/>
      </w:rPr>
      <w:t>4</w:t>
    </w:r>
    <w:r>
      <w:rPr>
        <w:rStyle w:val="PageNumber"/>
      </w:rPr>
      <w:fldChar w:fldCharType="end"/>
    </w:r>
  </w:p>
  <w:p w:rsidR="002C5787" w:rsidRDefault="002C5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7" w:rsidRDefault="002C5787">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0316E">
      <w:rPr>
        <w:rStyle w:val="PageNumber"/>
        <w:noProof/>
        <w:sz w:val="24"/>
        <w:szCs w:val="24"/>
      </w:rPr>
      <w:t>4</w:t>
    </w:r>
    <w:r>
      <w:rPr>
        <w:rStyle w:val="PageNumber"/>
        <w:sz w:val="24"/>
        <w:szCs w:val="24"/>
      </w:rPr>
      <w:fldChar w:fldCharType="end"/>
    </w:r>
  </w:p>
  <w:p w:rsidR="002C5787" w:rsidRDefault="002C5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6E" w:rsidRDefault="00E0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00" w:rsidRDefault="00CC0200">
      <w:r>
        <w:separator/>
      </w:r>
    </w:p>
  </w:footnote>
  <w:footnote w:type="continuationSeparator" w:id="0">
    <w:p w:rsidR="00CC0200" w:rsidRDefault="00CC0200">
      <w:r>
        <w:continuationSeparator/>
      </w:r>
    </w:p>
  </w:footnote>
  <w:footnote w:type="continuationNotice" w:id="1">
    <w:p w:rsidR="00CC0200" w:rsidRDefault="00CC0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6E" w:rsidRDefault="00E03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6E" w:rsidRDefault="00E03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87" w:rsidRDefault="002E3B5C">
    <w:pPr>
      <w:pStyle w:val="Header"/>
      <w:tabs>
        <w:tab w:val="clear" w:pos="4320"/>
        <w:tab w:val="clear" w:pos="8640"/>
      </w:tabs>
      <w:spacing w:before="360" w:line="228"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8.15pt;height:64.8pt;z-index:251657728" o:allowincell="f" filled="t" fillcolor="#3cc">
          <v:imagedata r:id="rId1" o:title="" gain="69719f"/>
          <w10:wrap type="topAndBottom"/>
        </v:shape>
      </w:pict>
    </w:r>
    <w:r w:rsidR="002C5787">
      <w:rPr>
        <w:rFonts w:ascii="CG Times (W1)" w:hAnsi="CG Times (W1)"/>
        <w:sz w:val="28"/>
      </w:rPr>
      <w:t>Federal Communications Commission</w:t>
    </w:r>
  </w:p>
  <w:p w:rsidR="002C5787" w:rsidRDefault="002C578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2C5787" w:rsidRDefault="002C5787">
    <w:pPr>
      <w:pStyle w:val="Header"/>
      <w:tabs>
        <w:tab w:val="clear" w:pos="4320"/>
      </w:tabs>
      <w:jc w:val="center"/>
      <w:rPr>
        <w:sz w:val="22"/>
      </w:rPr>
    </w:pPr>
  </w:p>
  <w:p w:rsidR="002C5787" w:rsidRDefault="007F0C94">
    <w:pPr>
      <w:pStyle w:val="Header"/>
      <w:tabs>
        <w:tab w:val="clear" w:pos="4320"/>
      </w:tabs>
      <w:jc w:val="center"/>
      <w:rPr>
        <w:sz w:val="22"/>
      </w:rPr>
    </w:pPr>
    <w:r>
      <w:rPr>
        <w:sz w:val="24"/>
        <w:szCs w:val="24"/>
      </w:rPr>
      <w:t>July</w:t>
    </w:r>
    <w:r w:rsidR="00C12FC3">
      <w:rPr>
        <w:sz w:val="24"/>
        <w:szCs w:val="24"/>
      </w:rPr>
      <w:t xml:space="preserve"> 2</w:t>
    </w:r>
    <w:r>
      <w:rPr>
        <w:sz w:val="24"/>
        <w:szCs w:val="24"/>
      </w:rPr>
      <w:t>1</w:t>
    </w:r>
    <w:r w:rsidR="002C5787">
      <w:rPr>
        <w:sz w:val="24"/>
        <w:szCs w:val="24"/>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31B"/>
    <w:multiLevelType w:val="hybridMultilevel"/>
    <w:tmpl w:val="3D5C8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94451"/>
    <w:multiLevelType w:val="hybridMultilevel"/>
    <w:tmpl w:val="28A47DE6"/>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D9E"/>
    <w:multiLevelType w:val="hybridMultilevel"/>
    <w:tmpl w:val="87B492C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E55BA"/>
    <w:multiLevelType w:val="hybridMultilevel"/>
    <w:tmpl w:val="20E2DC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B02595"/>
    <w:multiLevelType w:val="hybridMultilevel"/>
    <w:tmpl w:val="1EE240B6"/>
    <w:lvl w:ilvl="0" w:tplc="85E89D9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2D06BBF"/>
    <w:multiLevelType w:val="hybridMultilevel"/>
    <w:tmpl w:val="ABD0F5AE"/>
    <w:lvl w:ilvl="0" w:tplc="0409000B">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2CA5B71"/>
    <w:multiLevelType w:val="hybridMultilevel"/>
    <w:tmpl w:val="AA8A02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4CE1E8D"/>
    <w:multiLevelType w:val="hybridMultilevel"/>
    <w:tmpl w:val="5F860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1E1940"/>
    <w:multiLevelType w:val="hybridMultilevel"/>
    <w:tmpl w:val="F7ECAE56"/>
    <w:lvl w:ilvl="0" w:tplc="ABBA6960">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C53AE"/>
    <w:multiLevelType w:val="hybridMultilevel"/>
    <w:tmpl w:val="F58EE2D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1162143"/>
    <w:multiLevelType w:val="hybridMultilevel"/>
    <w:tmpl w:val="7BE2FE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1560B8"/>
    <w:multiLevelType w:val="hybridMultilevel"/>
    <w:tmpl w:val="6FBC0F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2"/>
  </w:num>
  <w:num w:numId="4">
    <w:abstractNumId w:val="8"/>
  </w:num>
  <w:num w:numId="5">
    <w:abstractNumId w:val="3"/>
  </w:num>
  <w:num w:numId="6">
    <w:abstractNumId w:val="6"/>
  </w:num>
  <w:num w:numId="7">
    <w:abstractNumId w:val="10"/>
  </w:num>
  <w:num w:numId="8">
    <w:abstractNumId w:val="0"/>
  </w:num>
  <w:num w:numId="9">
    <w:abstractNumId w:val="12"/>
  </w:num>
  <w:num w:numId="10">
    <w:abstractNumId w:val="13"/>
  </w:num>
  <w:num w:numId="11">
    <w:abstractNumId w:val="14"/>
  </w:num>
  <w:num w:numId="12">
    <w:abstractNumId w:val="5"/>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A46"/>
    <w:rsid w:val="000225D8"/>
    <w:rsid w:val="000766FE"/>
    <w:rsid w:val="000B6384"/>
    <w:rsid w:val="000B7300"/>
    <w:rsid w:val="000D4AA3"/>
    <w:rsid w:val="000F2BF7"/>
    <w:rsid w:val="00140F99"/>
    <w:rsid w:val="00141943"/>
    <w:rsid w:val="00142F31"/>
    <w:rsid w:val="00157F89"/>
    <w:rsid w:val="0017063E"/>
    <w:rsid w:val="001B2F36"/>
    <w:rsid w:val="001D0E59"/>
    <w:rsid w:val="00205C84"/>
    <w:rsid w:val="00231F2C"/>
    <w:rsid w:val="00236BB4"/>
    <w:rsid w:val="00274596"/>
    <w:rsid w:val="002905AD"/>
    <w:rsid w:val="002929FE"/>
    <w:rsid w:val="002A26D4"/>
    <w:rsid w:val="002A52DF"/>
    <w:rsid w:val="002C5787"/>
    <w:rsid w:val="002C76F8"/>
    <w:rsid w:val="002D52FF"/>
    <w:rsid w:val="002E0B12"/>
    <w:rsid w:val="002E3B5C"/>
    <w:rsid w:val="002E7068"/>
    <w:rsid w:val="00304E43"/>
    <w:rsid w:val="00332AF9"/>
    <w:rsid w:val="00346A11"/>
    <w:rsid w:val="00356E4A"/>
    <w:rsid w:val="0036167C"/>
    <w:rsid w:val="0037004B"/>
    <w:rsid w:val="00375907"/>
    <w:rsid w:val="00381C3B"/>
    <w:rsid w:val="00391385"/>
    <w:rsid w:val="003D3F9A"/>
    <w:rsid w:val="003D433B"/>
    <w:rsid w:val="003F754A"/>
    <w:rsid w:val="00404DD1"/>
    <w:rsid w:val="00412122"/>
    <w:rsid w:val="00424ED0"/>
    <w:rsid w:val="00426A62"/>
    <w:rsid w:val="00443369"/>
    <w:rsid w:val="004578E2"/>
    <w:rsid w:val="00474E87"/>
    <w:rsid w:val="004A3108"/>
    <w:rsid w:val="00526396"/>
    <w:rsid w:val="00536146"/>
    <w:rsid w:val="00543D5A"/>
    <w:rsid w:val="0054498B"/>
    <w:rsid w:val="00556DAA"/>
    <w:rsid w:val="005C29BE"/>
    <w:rsid w:val="005D388B"/>
    <w:rsid w:val="005F357A"/>
    <w:rsid w:val="006261EC"/>
    <w:rsid w:val="006419B1"/>
    <w:rsid w:val="006508F7"/>
    <w:rsid w:val="0066296B"/>
    <w:rsid w:val="00664AE0"/>
    <w:rsid w:val="006B6A91"/>
    <w:rsid w:val="006D17A4"/>
    <w:rsid w:val="006E75EF"/>
    <w:rsid w:val="007156A4"/>
    <w:rsid w:val="00736DAB"/>
    <w:rsid w:val="007506FE"/>
    <w:rsid w:val="00756F91"/>
    <w:rsid w:val="007627F6"/>
    <w:rsid w:val="00782EA3"/>
    <w:rsid w:val="007910BE"/>
    <w:rsid w:val="00795E10"/>
    <w:rsid w:val="007C1A46"/>
    <w:rsid w:val="007F0C94"/>
    <w:rsid w:val="00800DFD"/>
    <w:rsid w:val="00801ECB"/>
    <w:rsid w:val="0082550C"/>
    <w:rsid w:val="00837613"/>
    <w:rsid w:val="008521C7"/>
    <w:rsid w:val="00894EE2"/>
    <w:rsid w:val="008A550F"/>
    <w:rsid w:val="008F16A0"/>
    <w:rsid w:val="008F5FB5"/>
    <w:rsid w:val="00910145"/>
    <w:rsid w:val="009152B4"/>
    <w:rsid w:val="0092260C"/>
    <w:rsid w:val="00922874"/>
    <w:rsid w:val="0096696D"/>
    <w:rsid w:val="0098361E"/>
    <w:rsid w:val="00990643"/>
    <w:rsid w:val="009C2675"/>
    <w:rsid w:val="009F2F9B"/>
    <w:rsid w:val="00A463B7"/>
    <w:rsid w:val="00A537DF"/>
    <w:rsid w:val="00A96629"/>
    <w:rsid w:val="00A96B4D"/>
    <w:rsid w:val="00AA3E9B"/>
    <w:rsid w:val="00B006A4"/>
    <w:rsid w:val="00B01C13"/>
    <w:rsid w:val="00B03651"/>
    <w:rsid w:val="00B117BB"/>
    <w:rsid w:val="00B400CE"/>
    <w:rsid w:val="00B51836"/>
    <w:rsid w:val="00B55D82"/>
    <w:rsid w:val="00B62AD7"/>
    <w:rsid w:val="00B81B78"/>
    <w:rsid w:val="00B85DA5"/>
    <w:rsid w:val="00BA2739"/>
    <w:rsid w:val="00BA7E58"/>
    <w:rsid w:val="00BB14CC"/>
    <w:rsid w:val="00BB1D8A"/>
    <w:rsid w:val="00BB6605"/>
    <w:rsid w:val="00BC21AE"/>
    <w:rsid w:val="00BC7EC8"/>
    <w:rsid w:val="00BD16F3"/>
    <w:rsid w:val="00BE69F9"/>
    <w:rsid w:val="00BF16C3"/>
    <w:rsid w:val="00BF3799"/>
    <w:rsid w:val="00BF416F"/>
    <w:rsid w:val="00C12FC3"/>
    <w:rsid w:val="00C45618"/>
    <w:rsid w:val="00C45E08"/>
    <w:rsid w:val="00C46DC8"/>
    <w:rsid w:val="00C47FD2"/>
    <w:rsid w:val="00C51FA6"/>
    <w:rsid w:val="00C60B01"/>
    <w:rsid w:val="00C71ED0"/>
    <w:rsid w:val="00C93BA2"/>
    <w:rsid w:val="00C94D6E"/>
    <w:rsid w:val="00CC0200"/>
    <w:rsid w:val="00CC1805"/>
    <w:rsid w:val="00CD5D52"/>
    <w:rsid w:val="00CE0932"/>
    <w:rsid w:val="00CF04C3"/>
    <w:rsid w:val="00D062DC"/>
    <w:rsid w:val="00D3225E"/>
    <w:rsid w:val="00D46E7A"/>
    <w:rsid w:val="00D73502"/>
    <w:rsid w:val="00D7692F"/>
    <w:rsid w:val="00D93E74"/>
    <w:rsid w:val="00D95390"/>
    <w:rsid w:val="00D95C66"/>
    <w:rsid w:val="00DB317E"/>
    <w:rsid w:val="00E0316E"/>
    <w:rsid w:val="00E22865"/>
    <w:rsid w:val="00E27F9C"/>
    <w:rsid w:val="00E33862"/>
    <w:rsid w:val="00E604C8"/>
    <w:rsid w:val="00E72E0B"/>
    <w:rsid w:val="00E96DA3"/>
    <w:rsid w:val="00ED748A"/>
    <w:rsid w:val="00EE17D7"/>
    <w:rsid w:val="00F006D6"/>
    <w:rsid w:val="00F31E57"/>
    <w:rsid w:val="00F33C00"/>
    <w:rsid w:val="00F42D56"/>
    <w:rsid w:val="00F6084F"/>
    <w:rsid w:val="00F73422"/>
    <w:rsid w:val="00FA4F99"/>
    <w:rsid w:val="00FB471D"/>
    <w:rsid w:val="00FD374D"/>
    <w:rsid w:val="00FF684F"/>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numPr>
        <w:numId w:val="1"/>
      </w:numPr>
      <w:spacing w:after="120"/>
    </w:pPr>
    <w:rPr>
      <w:snapToGrid w:val="0"/>
      <w:kern w:val="28"/>
      <w:sz w:val="22"/>
      <w:lang w:val="x-none" w:eastAsia="x-none"/>
    </w:rPr>
  </w:style>
  <w:style w:type="character" w:customStyle="1" w:styleId="ParaNumChar1">
    <w:name w:val="ParaNum Char1"/>
    <w:link w:val="ParaNum"/>
    <w:rPr>
      <w:snapToGrid w:val="0"/>
      <w:kern w:val="28"/>
      <w:sz w:val="2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Pr>
      <w:rFonts w:ascii="Courier New" w:hAnsi="Courier New" w:cs="Courier New"/>
    </w:rPr>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ParaNumChar">
    <w:name w:val="ParaNum Char"/>
    <w:rPr>
      <w:snapToGrid w:val="0"/>
      <w:kern w:val="28"/>
      <w:sz w:val="22"/>
      <w:lang w:val="en-US" w:eastAsia="en-US" w:bidi="ar-SA"/>
    </w:rPr>
  </w:style>
  <w:style w:type="character" w:styleId="FollowedHyperlink">
    <w:name w:val="FollowedHyperlink"/>
    <w:rsid w:val="00894EE2"/>
    <w:rPr>
      <w:color w:val="800080"/>
      <w:u w:val="single"/>
    </w:rPr>
  </w:style>
  <w:style w:type="character" w:customStyle="1" w:styleId="highlight">
    <w:name w:val="highlight"/>
    <w:rsid w:val="00076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numPr>
        <w:numId w:val="1"/>
      </w:numPr>
      <w:spacing w:after="120"/>
    </w:pPr>
    <w:rPr>
      <w:snapToGrid w:val="0"/>
      <w:kern w:val="28"/>
      <w:sz w:val="22"/>
      <w:lang w:val="x-none" w:eastAsia="x-none"/>
    </w:rPr>
  </w:style>
  <w:style w:type="character" w:customStyle="1" w:styleId="ParaNumChar1">
    <w:name w:val="ParaNum Char1"/>
    <w:link w:val="ParaNum"/>
    <w:rPr>
      <w:snapToGrid w:val="0"/>
      <w:kern w:val="28"/>
      <w:sz w:val="2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Pr>
      <w:rFonts w:ascii="Courier New" w:hAnsi="Courier New" w:cs="Courier New"/>
    </w:rPr>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ParaNumChar">
    <w:name w:val="ParaNum Char"/>
    <w:rPr>
      <w:snapToGrid w:val="0"/>
      <w:kern w:val="28"/>
      <w:sz w:val="22"/>
      <w:lang w:val="en-US" w:eastAsia="en-US" w:bidi="ar-SA"/>
    </w:rPr>
  </w:style>
  <w:style w:type="character" w:styleId="FollowedHyperlink">
    <w:name w:val="FollowedHyperlink"/>
    <w:rsid w:val="00894EE2"/>
    <w:rPr>
      <w:color w:val="800080"/>
      <w:u w:val="single"/>
    </w:rPr>
  </w:style>
  <w:style w:type="character" w:customStyle="1" w:styleId="highlight">
    <w:name w:val="highlight"/>
    <w:rsid w:val="0007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363">
      <w:bodyDiv w:val="1"/>
      <w:marLeft w:val="0"/>
      <w:marRight w:val="0"/>
      <w:marTop w:val="0"/>
      <w:marBottom w:val="0"/>
      <w:divBdr>
        <w:top w:val="none" w:sz="0" w:space="0" w:color="auto"/>
        <w:left w:val="none" w:sz="0" w:space="0" w:color="auto"/>
        <w:bottom w:val="none" w:sz="0" w:space="0" w:color="auto"/>
        <w:right w:val="none" w:sz="0" w:space="0" w:color="auto"/>
      </w:divBdr>
    </w:div>
    <w:div w:id="237057425">
      <w:bodyDiv w:val="1"/>
      <w:marLeft w:val="10"/>
      <w:marRight w:val="10"/>
      <w:marTop w:val="0"/>
      <w:marBottom w:val="0"/>
      <w:divBdr>
        <w:top w:val="none" w:sz="0" w:space="0" w:color="auto"/>
        <w:left w:val="none" w:sz="0" w:space="0" w:color="auto"/>
        <w:bottom w:val="none" w:sz="0" w:space="0" w:color="auto"/>
        <w:right w:val="none" w:sz="0" w:space="0" w:color="auto"/>
      </w:divBdr>
    </w:div>
    <w:div w:id="373117333">
      <w:bodyDiv w:val="1"/>
      <w:marLeft w:val="0"/>
      <w:marRight w:val="0"/>
      <w:marTop w:val="0"/>
      <w:marBottom w:val="0"/>
      <w:divBdr>
        <w:top w:val="none" w:sz="0" w:space="0" w:color="auto"/>
        <w:left w:val="none" w:sz="0" w:space="0" w:color="auto"/>
        <w:bottom w:val="none" w:sz="0" w:space="0" w:color="auto"/>
        <w:right w:val="none" w:sz="0" w:space="0" w:color="auto"/>
      </w:divBdr>
      <w:divsChild>
        <w:div w:id="46078098">
          <w:marLeft w:val="0"/>
          <w:marRight w:val="0"/>
          <w:marTop w:val="0"/>
          <w:marBottom w:val="0"/>
          <w:divBdr>
            <w:top w:val="none" w:sz="0" w:space="0" w:color="auto"/>
            <w:left w:val="none" w:sz="0" w:space="0" w:color="auto"/>
            <w:bottom w:val="none" w:sz="0" w:space="0" w:color="auto"/>
            <w:right w:val="none" w:sz="0" w:space="0" w:color="auto"/>
          </w:divBdr>
        </w:div>
        <w:div w:id="450512955">
          <w:marLeft w:val="0"/>
          <w:marRight w:val="0"/>
          <w:marTop w:val="0"/>
          <w:marBottom w:val="0"/>
          <w:divBdr>
            <w:top w:val="none" w:sz="0" w:space="0" w:color="auto"/>
            <w:left w:val="none" w:sz="0" w:space="0" w:color="auto"/>
            <w:bottom w:val="none" w:sz="0" w:space="0" w:color="auto"/>
            <w:right w:val="none" w:sz="0" w:space="0" w:color="auto"/>
          </w:divBdr>
        </w:div>
        <w:div w:id="467360839">
          <w:marLeft w:val="0"/>
          <w:marRight w:val="0"/>
          <w:marTop w:val="0"/>
          <w:marBottom w:val="0"/>
          <w:divBdr>
            <w:top w:val="none" w:sz="0" w:space="0" w:color="auto"/>
            <w:left w:val="none" w:sz="0" w:space="0" w:color="auto"/>
            <w:bottom w:val="none" w:sz="0" w:space="0" w:color="auto"/>
            <w:right w:val="none" w:sz="0" w:space="0" w:color="auto"/>
          </w:divBdr>
        </w:div>
        <w:div w:id="646593270">
          <w:marLeft w:val="0"/>
          <w:marRight w:val="0"/>
          <w:marTop w:val="0"/>
          <w:marBottom w:val="0"/>
          <w:divBdr>
            <w:top w:val="none" w:sz="0" w:space="0" w:color="auto"/>
            <w:left w:val="none" w:sz="0" w:space="0" w:color="auto"/>
            <w:bottom w:val="none" w:sz="0" w:space="0" w:color="auto"/>
            <w:right w:val="none" w:sz="0" w:space="0" w:color="auto"/>
          </w:divBdr>
        </w:div>
        <w:div w:id="1135677825">
          <w:marLeft w:val="0"/>
          <w:marRight w:val="0"/>
          <w:marTop w:val="0"/>
          <w:marBottom w:val="0"/>
          <w:divBdr>
            <w:top w:val="none" w:sz="0" w:space="0" w:color="auto"/>
            <w:left w:val="none" w:sz="0" w:space="0" w:color="auto"/>
            <w:bottom w:val="none" w:sz="0" w:space="0" w:color="auto"/>
            <w:right w:val="none" w:sz="0" w:space="0" w:color="auto"/>
          </w:divBdr>
        </w:div>
        <w:div w:id="1719821816">
          <w:marLeft w:val="0"/>
          <w:marRight w:val="0"/>
          <w:marTop w:val="0"/>
          <w:marBottom w:val="0"/>
          <w:divBdr>
            <w:top w:val="none" w:sz="0" w:space="0" w:color="auto"/>
            <w:left w:val="none" w:sz="0" w:space="0" w:color="auto"/>
            <w:bottom w:val="none" w:sz="0" w:space="0" w:color="auto"/>
            <w:right w:val="none" w:sz="0" w:space="0" w:color="auto"/>
          </w:divBdr>
        </w:div>
        <w:div w:id="1896626342">
          <w:marLeft w:val="0"/>
          <w:marRight w:val="0"/>
          <w:marTop w:val="0"/>
          <w:marBottom w:val="0"/>
          <w:divBdr>
            <w:top w:val="none" w:sz="0" w:space="0" w:color="auto"/>
            <w:left w:val="none" w:sz="0" w:space="0" w:color="auto"/>
            <w:bottom w:val="none" w:sz="0" w:space="0" w:color="auto"/>
            <w:right w:val="none" w:sz="0" w:space="0" w:color="auto"/>
          </w:divBdr>
        </w:div>
      </w:divsChild>
    </w:div>
    <w:div w:id="760226444">
      <w:bodyDiv w:val="1"/>
      <w:marLeft w:val="0"/>
      <w:marRight w:val="0"/>
      <w:marTop w:val="0"/>
      <w:marBottom w:val="0"/>
      <w:divBdr>
        <w:top w:val="none" w:sz="0" w:space="0" w:color="auto"/>
        <w:left w:val="none" w:sz="0" w:space="0" w:color="auto"/>
        <w:bottom w:val="none" w:sz="0" w:space="0" w:color="auto"/>
        <w:right w:val="none" w:sz="0" w:space="0" w:color="auto"/>
      </w:divBdr>
    </w:div>
    <w:div w:id="1145388659">
      <w:bodyDiv w:val="1"/>
      <w:marLeft w:val="0"/>
      <w:marRight w:val="0"/>
      <w:marTop w:val="0"/>
      <w:marBottom w:val="0"/>
      <w:divBdr>
        <w:top w:val="none" w:sz="0" w:space="0" w:color="auto"/>
        <w:left w:val="none" w:sz="0" w:space="0" w:color="auto"/>
        <w:bottom w:val="none" w:sz="0" w:space="0" w:color="auto"/>
        <w:right w:val="none" w:sz="0" w:space="0" w:color="auto"/>
      </w:divBdr>
    </w:div>
    <w:div w:id="14348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s://apps.fcc.gov/edocs_public/attachmatch/FCC-14-2A1.tx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pps.fcc.gov/edocs_public/attachmatch/FCC-14-2A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labhel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4-2A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c.gov/oet/ea/" TargetMode="External"/><Relationship Id="rId23" Type="http://schemas.openxmlformats.org/officeDocument/2006/relationships/fontTable" Target="fontTable.xml"/><Relationship Id="rId10" Type="http://schemas.openxmlformats.org/officeDocument/2006/relationships/hyperlink" Target="http://transition.fcc.gov/oet/ea/eameasurement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fcc.gov/oetcf/kdb/forms/FTSSearchResultPage.cfm?switch=P&amp;id=20936" TargetMode="External"/><Relationship Id="rId14" Type="http://schemas.openxmlformats.org/officeDocument/2006/relationships/hyperlink" Target="http://wireless.fcc.gov/index.htm?job=rules_and_regulation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1533</Words>
  <Characters>8898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10446</CharactersWithSpaces>
  <SharedDoc>false</SharedDoc>
  <HyperlinkBase> </HyperlinkBase>
  <HLinks>
    <vt:vector size="54" baseType="variant">
      <vt:variant>
        <vt:i4>2359352</vt:i4>
      </vt:variant>
      <vt:variant>
        <vt:i4>24</vt:i4>
      </vt:variant>
      <vt:variant>
        <vt:i4>0</vt:i4>
      </vt:variant>
      <vt:variant>
        <vt:i4>5</vt:i4>
      </vt:variant>
      <vt:variant>
        <vt:lpwstr>http://www.fcc.gov/labhelp</vt:lpwstr>
      </vt:variant>
      <vt:variant>
        <vt:lpwstr/>
      </vt:variant>
      <vt:variant>
        <vt:i4>7209078</vt:i4>
      </vt:variant>
      <vt:variant>
        <vt:i4>21</vt:i4>
      </vt:variant>
      <vt:variant>
        <vt:i4>0</vt:i4>
      </vt:variant>
      <vt:variant>
        <vt:i4>5</vt:i4>
      </vt:variant>
      <vt:variant>
        <vt:lpwstr>http://www.fcc.gov/oet/ea/</vt:lpwstr>
      </vt:variant>
      <vt:variant>
        <vt:lpwstr/>
      </vt:variant>
      <vt:variant>
        <vt:i4>2490485</vt:i4>
      </vt:variant>
      <vt:variant>
        <vt:i4>18</vt:i4>
      </vt:variant>
      <vt:variant>
        <vt:i4>0</vt:i4>
      </vt:variant>
      <vt:variant>
        <vt:i4>5</vt:i4>
      </vt:variant>
      <vt:variant>
        <vt:lpwstr>http://wireless.fcc.gov/index.htm?job=rules_and_regulations</vt:lpwstr>
      </vt:variant>
      <vt:variant>
        <vt:lpwstr/>
      </vt:variant>
      <vt:variant>
        <vt:i4>131193</vt:i4>
      </vt:variant>
      <vt:variant>
        <vt:i4>15</vt:i4>
      </vt:variant>
      <vt:variant>
        <vt:i4>0</vt:i4>
      </vt:variant>
      <vt:variant>
        <vt:i4>5</vt:i4>
      </vt:variant>
      <vt:variant>
        <vt:lpwstr>https://apps.fcc.gov/edocs_public/attachmatch/FCC-14-2A1.txt</vt:lpwstr>
      </vt:variant>
      <vt:variant>
        <vt:lpwstr/>
      </vt:variant>
      <vt:variant>
        <vt:i4>1310821</vt:i4>
      </vt:variant>
      <vt:variant>
        <vt:i4>12</vt:i4>
      </vt:variant>
      <vt:variant>
        <vt:i4>0</vt:i4>
      </vt:variant>
      <vt:variant>
        <vt:i4>5</vt:i4>
      </vt:variant>
      <vt:variant>
        <vt:lpwstr>https://apps.fcc.gov/edocs_public/attachmatch/FCC-14-2A1.pdf</vt:lpwstr>
      </vt:variant>
      <vt:variant>
        <vt:lpwstr/>
      </vt:variant>
      <vt:variant>
        <vt:i4>327790</vt:i4>
      </vt:variant>
      <vt:variant>
        <vt:i4>9</vt:i4>
      </vt:variant>
      <vt:variant>
        <vt:i4>0</vt:i4>
      </vt:variant>
      <vt:variant>
        <vt:i4>5</vt:i4>
      </vt:variant>
      <vt:variant>
        <vt:lpwstr>https://apps.fcc.gov/edocs_public/attachmatch/FCC-14-2A1.doc</vt:lpwstr>
      </vt:variant>
      <vt:variant>
        <vt:lpwstr/>
      </vt:variant>
      <vt:variant>
        <vt:i4>78</vt:i4>
      </vt:variant>
      <vt:variant>
        <vt:i4>6</vt:i4>
      </vt:variant>
      <vt:variant>
        <vt:i4>0</vt:i4>
      </vt:variant>
      <vt:variant>
        <vt:i4>5</vt:i4>
      </vt:variant>
      <vt:variant>
        <vt:lpwstr>http://transition.fcc.gov/oet/ea/eameasurements.html</vt:lpwstr>
      </vt:variant>
      <vt:variant>
        <vt:lpwstr/>
      </vt:variant>
      <vt:variant>
        <vt:i4>2752633</vt:i4>
      </vt:variant>
      <vt:variant>
        <vt:i4>3</vt:i4>
      </vt:variant>
      <vt:variant>
        <vt:i4>0</vt:i4>
      </vt:variant>
      <vt:variant>
        <vt:i4>5</vt:i4>
      </vt:variant>
      <vt:variant>
        <vt:lpwstr>https://apps.fcc.gov/oetcf/kdb/forms/FTSSearchResultPage.cfm?switch=P&amp;id=20936</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2014-07-21T17:14:00Z</dcterms:created>
  <dcterms:modified xsi:type="dcterms:W3CDTF">2014-07-21T17:14:00Z</dcterms:modified>
  <cp:category> </cp:category>
  <cp:contentStatus> </cp:contentStatus>
</cp:coreProperties>
</file>