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211F2D" w:rsidTr="00571009">
        <w:trPr>
          <w:jc w:val="center"/>
        </w:trPr>
        <w:tc>
          <w:tcPr>
            <w:tcW w:w="4770" w:type="dxa"/>
          </w:tcPr>
          <w:p w:rsidR="00050854" w:rsidRPr="00211F2D" w:rsidRDefault="00050854" w:rsidP="00513F6C">
            <w:pPr>
              <w:widowControl/>
              <w:rPr>
                <w:sz w:val="22"/>
                <w:szCs w:val="22"/>
              </w:rPr>
            </w:pPr>
            <w:r w:rsidRPr="00211F2D">
              <w:rPr>
                <w:spacing w:val="-2"/>
                <w:sz w:val="22"/>
                <w:szCs w:val="22"/>
              </w:rPr>
              <w:t>In the Matter of</w:t>
            </w:r>
            <w:r w:rsidRPr="00211F2D">
              <w:rPr>
                <w:sz w:val="22"/>
                <w:szCs w:val="22"/>
              </w:rPr>
              <w:t xml:space="preserve"> </w:t>
            </w:r>
          </w:p>
          <w:p w:rsidR="00050854" w:rsidRPr="00211F2D" w:rsidRDefault="00050854" w:rsidP="00513F6C">
            <w:pPr>
              <w:widowControl/>
              <w:rPr>
                <w:sz w:val="22"/>
                <w:szCs w:val="22"/>
              </w:rPr>
            </w:pPr>
          </w:p>
          <w:p w:rsidR="00050854" w:rsidRPr="00211F2D" w:rsidRDefault="003F5B96" w:rsidP="00513F6C">
            <w:pPr>
              <w:widowControl/>
              <w:rPr>
                <w:spacing w:val="-2"/>
                <w:sz w:val="22"/>
                <w:szCs w:val="22"/>
              </w:rPr>
            </w:pPr>
            <w:r w:rsidRPr="00211F2D">
              <w:rPr>
                <w:spacing w:val="-2"/>
                <w:sz w:val="22"/>
                <w:szCs w:val="22"/>
              </w:rPr>
              <w:t>Michael Guernsey</w:t>
            </w:r>
          </w:p>
          <w:p w:rsidR="00513F6C" w:rsidRPr="00211F2D" w:rsidRDefault="00513F6C" w:rsidP="00513F6C">
            <w:pPr>
              <w:widowControl/>
              <w:rPr>
                <w:sz w:val="22"/>
                <w:szCs w:val="22"/>
              </w:rPr>
            </w:pPr>
          </w:p>
          <w:p w:rsidR="00050854" w:rsidRPr="00211F2D" w:rsidRDefault="00050854" w:rsidP="00513F6C">
            <w:pPr>
              <w:widowControl/>
              <w:rPr>
                <w:sz w:val="22"/>
                <w:szCs w:val="22"/>
              </w:rPr>
            </w:pPr>
            <w:r w:rsidRPr="00211F2D">
              <w:rPr>
                <w:sz w:val="22"/>
                <w:szCs w:val="22"/>
              </w:rPr>
              <w:t xml:space="preserve">Licensee of </w:t>
            </w:r>
            <w:r w:rsidR="00513F6C" w:rsidRPr="00211F2D">
              <w:rPr>
                <w:sz w:val="22"/>
                <w:szCs w:val="22"/>
              </w:rPr>
              <w:t xml:space="preserve">Amateur Radio </w:t>
            </w:r>
            <w:r w:rsidRPr="00211F2D">
              <w:rPr>
                <w:sz w:val="22"/>
                <w:szCs w:val="22"/>
              </w:rPr>
              <w:t>Station</w:t>
            </w:r>
            <w:r w:rsidR="003F5B96" w:rsidRPr="00211F2D">
              <w:rPr>
                <w:sz w:val="22"/>
                <w:szCs w:val="22"/>
              </w:rPr>
              <w:t xml:space="preserve"> KZ8O</w:t>
            </w:r>
          </w:p>
          <w:p w:rsidR="00050854" w:rsidRPr="00211F2D" w:rsidRDefault="003F5B96" w:rsidP="00513F6C">
            <w:pPr>
              <w:widowControl/>
              <w:rPr>
                <w:sz w:val="22"/>
                <w:szCs w:val="22"/>
              </w:rPr>
            </w:pPr>
            <w:r w:rsidRPr="00211F2D">
              <w:rPr>
                <w:sz w:val="22"/>
                <w:szCs w:val="22"/>
              </w:rPr>
              <w:t>Parchment, Michigan</w:t>
            </w:r>
          </w:p>
          <w:p w:rsidR="00050854" w:rsidRPr="00211F2D" w:rsidRDefault="00050854" w:rsidP="00BF1922">
            <w:pPr>
              <w:widowControl/>
              <w:rPr>
                <w:spacing w:val="-2"/>
                <w:sz w:val="22"/>
                <w:szCs w:val="22"/>
              </w:rPr>
            </w:pPr>
          </w:p>
        </w:tc>
        <w:tc>
          <w:tcPr>
            <w:tcW w:w="270" w:type="dxa"/>
          </w:tcPr>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p w:rsidR="00050854" w:rsidRPr="00211F2D" w:rsidRDefault="00050854" w:rsidP="00BF1922">
            <w:pPr>
              <w:widowControl/>
              <w:tabs>
                <w:tab w:val="center" w:pos="4680"/>
              </w:tabs>
              <w:suppressAutoHyphens/>
              <w:spacing w:line="240" w:lineRule="atLeast"/>
              <w:jc w:val="both"/>
              <w:outlineLvl w:val="0"/>
              <w:rPr>
                <w:sz w:val="22"/>
                <w:szCs w:val="22"/>
              </w:rPr>
            </w:pPr>
            <w:r w:rsidRPr="00211F2D">
              <w:rPr>
                <w:sz w:val="22"/>
                <w:szCs w:val="22"/>
              </w:rPr>
              <w:t>)</w:t>
            </w:r>
          </w:p>
        </w:tc>
        <w:tc>
          <w:tcPr>
            <w:tcW w:w="4680" w:type="dxa"/>
          </w:tcPr>
          <w:p w:rsidR="003E2AD5" w:rsidRPr="00211F2D" w:rsidRDefault="003E2AD5" w:rsidP="00BF1922">
            <w:pPr>
              <w:widowControl/>
              <w:rPr>
                <w:spacing w:val="-2"/>
                <w:sz w:val="22"/>
                <w:szCs w:val="22"/>
              </w:rPr>
            </w:pPr>
          </w:p>
          <w:p w:rsidR="005F002F" w:rsidRPr="00211F2D" w:rsidRDefault="005F002F" w:rsidP="00BF1922">
            <w:pPr>
              <w:widowControl/>
              <w:ind w:left="702"/>
              <w:rPr>
                <w:spacing w:val="-2"/>
                <w:sz w:val="22"/>
                <w:szCs w:val="22"/>
              </w:rPr>
            </w:pPr>
          </w:p>
          <w:p w:rsidR="00780C18" w:rsidRPr="00211F2D" w:rsidRDefault="00050854" w:rsidP="00BF1922">
            <w:pPr>
              <w:widowControl/>
              <w:ind w:left="702"/>
              <w:rPr>
                <w:sz w:val="22"/>
                <w:szCs w:val="22"/>
              </w:rPr>
            </w:pPr>
            <w:r w:rsidRPr="00211F2D">
              <w:rPr>
                <w:sz w:val="22"/>
                <w:szCs w:val="22"/>
              </w:rPr>
              <w:t>File N</w:t>
            </w:r>
            <w:r w:rsidR="00A16AF9" w:rsidRPr="00211F2D">
              <w:rPr>
                <w:sz w:val="22"/>
                <w:szCs w:val="22"/>
              </w:rPr>
              <w:t>o.</w:t>
            </w:r>
            <w:r w:rsidR="003E2AD5" w:rsidRPr="00211F2D">
              <w:rPr>
                <w:sz w:val="22"/>
                <w:szCs w:val="22"/>
              </w:rPr>
              <w:t xml:space="preserve">:  </w:t>
            </w:r>
            <w:r w:rsidR="00780C18" w:rsidRPr="00211F2D">
              <w:rPr>
                <w:sz w:val="22"/>
                <w:szCs w:val="22"/>
              </w:rPr>
              <w:t>EB-FIELD</w:t>
            </w:r>
            <w:r w:rsidR="00513F6C" w:rsidRPr="00211F2D">
              <w:rPr>
                <w:sz w:val="22"/>
                <w:szCs w:val="22"/>
              </w:rPr>
              <w:t>NER</w:t>
            </w:r>
            <w:r w:rsidR="00780C18" w:rsidRPr="00211F2D">
              <w:rPr>
                <w:sz w:val="22"/>
                <w:szCs w:val="22"/>
              </w:rPr>
              <w:t>-1</w:t>
            </w:r>
            <w:r w:rsidR="00513F6C" w:rsidRPr="00211F2D">
              <w:rPr>
                <w:sz w:val="22"/>
                <w:szCs w:val="22"/>
              </w:rPr>
              <w:t>4</w:t>
            </w:r>
            <w:r w:rsidR="00780C18" w:rsidRPr="00211F2D">
              <w:rPr>
                <w:sz w:val="22"/>
                <w:szCs w:val="22"/>
              </w:rPr>
              <w:t>-000</w:t>
            </w:r>
            <w:r w:rsidR="00513F6C" w:rsidRPr="00211F2D">
              <w:rPr>
                <w:sz w:val="22"/>
                <w:szCs w:val="22"/>
              </w:rPr>
              <w:t>14</w:t>
            </w:r>
            <w:r w:rsidR="003F5B96" w:rsidRPr="00211F2D">
              <w:rPr>
                <w:sz w:val="22"/>
                <w:szCs w:val="22"/>
              </w:rPr>
              <w:t>398</w:t>
            </w:r>
          </w:p>
          <w:p w:rsidR="005B67D8" w:rsidRPr="005A3F75" w:rsidRDefault="00050854" w:rsidP="00211F2D">
            <w:pPr>
              <w:widowControl/>
              <w:ind w:left="702"/>
              <w:rPr>
                <w:sz w:val="22"/>
                <w:szCs w:val="22"/>
              </w:rPr>
            </w:pPr>
            <w:r w:rsidRPr="005A3F75">
              <w:rPr>
                <w:sz w:val="22"/>
                <w:szCs w:val="22"/>
              </w:rPr>
              <w:t>NAL/Acct. No.</w:t>
            </w:r>
            <w:r w:rsidR="003E2AD5" w:rsidRPr="005A3F75">
              <w:rPr>
                <w:sz w:val="22"/>
                <w:szCs w:val="22"/>
              </w:rPr>
              <w:t>:</w:t>
            </w:r>
            <w:r w:rsidR="00E847E3" w:rsidRPr="005A3F75">
              <w:rPr>
                <w:sz w:val="22"/>
                <w:szCs w:val="22"/>
              </w:rPr>
              <w:t xml:space="preserve">  </w:t>
            </w:r>
            <w:r w:rsidR="005B67D8" w:rsidRPr="005A3F75">
              <w:rPr>
                <w:sz w:val="22"/>
                <w:szCs w:val="22"/>
              </w:rPr>
              <w:t>201432360001</w:t>
            </w:r>
          </w:p>
          <w:tbl>
            <w:tblPr>
              <w:tblW w:w="4950" w:type="pct"/>
              <w:tblCellSpacing w:w="0" w:type="dxa"/>
              <w:tblLayout w:type="fixed"/>
              <w:tblCellMar>
                <w:left w:w="0" w:type="dxa"/>
                <w:right w:w="0" w:type="dxa"/>
              </w:tblCellMar>
              <w:tblLook w:val="04A0" w:firstRow="1" w:lastRow="0" w:firstColumn="1" w:lastColumn="0" w:noHBand="0" w:noVBand="1"/>
            </w:tblPr>
            <w:tblGrid>
              <w:gridCol w:w="4390"/>
              <w:gridCol w:w="29"/>
            </w:tblGrid>
            <w:tr w:rsidR="005B67D8" w:rsidRPr="005B67D8" w:rsidTr="005B67D8">
              <w:trPr>
                <w:tblCellSpacing w:w="0" w:type="dxa"/>
              </w:trPr>
              <w:tc>
                <w:tcPr>
                  <w:tcW w:w="9228" w:type="dxa"/>
                  <w:vAlign w:val="center"/>
                  <w:hideMark/>
                </w:tcPr>
                <w:p w:rsidR="005B67D8" w:rsidRPr="005B67D8" w:rsidRDefault="005B67D8" w:rsidP="005B67D8">
                  <w:pPr>
                    <w:widowControl/>
                    <w:autoSpaceDE/>
                    <w:autoSpaceDN/>
                    <w:adjustRightInd/>
                    <w:rPr>
                      <w:sz w:val="24"/>
                      <w:szCs w:val="24"/>
                    </w:rPr>
                  </w:pPr>
                </w:p>
              </w:tc>
              <w:tc>
                <w:tcPr>
                  <w:tcW w:w="38" w:type="dxa"/>
                  <w:vAlign w:val="center"/>
                  <w:hideMark/>
                </w:tcPr>
                <w:p w:rsidR="005B67D8" w:rsidRPr="005B67D8" w:rsidRDefault="005B67D8" w:rsidP="005B67D8">
                  <w:pPr>
                    <w:widowControl/>
                    <w:autoSpaceDE/>
                    <w:autoSpaceDN/>
                    <w:adjustRightInd/>
                    <w:rPr>
                      <w:sz w:val="24"/>
                      <w:szCs w:val="24"/>
                    </w:rPr>
                  </w:pPr>
                </w:p>
              </w:tc>
            </w:tr>
          </w:tbl>
          <w:p w:rsidR="00050854" w:rsidRPr="00211F2D" w:rsidRDefault="00050854" w:rsidP="00FD4DF3">
            <w:pPr>
              <w:widowControl/>
              <w:ind w:left="702"/>
              <w:rPr>
                <w:sz w:val="22"/>
                <w:szCs w:val="22"/>
              </w:rPr>
            </w:pPr>
            <w:r w:rsidRPr="00211F2D">
              <w:rPr>
                <w:sz w:val="22"/>
                <w:szCs w:val="22"/>
              </w:rPr>
              <w:t>FRN</w:t>
            </w:r>
            <w:r w:rsidR="003E2AD5" w:rsidRPr="00211F2D">
              <w:rPr>
                <w:sz w:val="22"/>
                <w:szCs w:val="22"/>
              </w:rPr>
              <w:t>:</w:t>
            </w:r>
            <w:r w:rsidR="004110FC" w:rsidRPr="00211F2D">
              <w:rPr>
                <w:sz w:val="22"/>
                <w:szCs w:val="22"/>
              </w:rPr>
              <w:t xml:space="preserve"> </w:t>
            </w:r>
            <w:r w:rsidR="00513F6C" w:rsidRPr="00211F2D">
              <w:rPr>
                <w:sz w:val="22"/>
                <w:szCs w:val="22"/>
              </w:rPr>
              <w:t>0009895590</w:t>
            </w:r>
            <w:r w:rsidR="008B58B7" w:rsidRPr="00211F2D">
              <w:rPr>
                <w:sz w:val="22"/>
                <w:szCs w:val="22"/>
              </w:rPr>
              <w:t xml:space="preserve">    </w:t>
            </w:r>
          </w:p>
        </w:tc>
      </w:tr>
    </w:tbl>
    <w:p w:rsidR="003E2AD5" w:rsidRPr="00211F2D" w:rsidRDefault="00050854" w:rsidP="00FD4DF3">
      <w:pPr>
        <w:pStyle w:val="Heading2"/>
        <w:widowControl/>
        <w:numPr>
          <w:ilvl w:val="0"/>
          <w:numId w:val="0"/>
        </w:numPr>
        <w:jc w:val="center"/>
        <w:rPr>
          <w:sz w:val="22"/>
          <w:szCs w:val="22"/>
        </w:rPr>
      </w:pPr>
      <w:r w:rsidRPr="00211F2D">
        <w:rPr>
          <w:sz w:val="22"/>
          <w:szCs w:val="22"/>
        </w:rPr>
        <w:t>NOTICE OF APPARENT LIABILITY FOR FORFEITURE</w:t>
      </w:r>
    </w:p>
    <w:p w:rsidR="00050854" w:rsidRPr="00211F2D" w:rsidRDefault="007E2E05" w:rsidP="00BF1922">
      <w:pPr>
        <w:widowControl/>
        <w:rPr>
          <w:b/>
          <w:spacing w:val="-2"/>
          <w:sz w:val="22"/>
          <w:szCs w:val="22"/>
        </w:rPr>
      </w:pPr>
      <w:r w:rsidRPr="00F93CB6">
        <w:rPr>
          <w:b/>
          <w:sz w:val="22"/>
        </w:rPr>
        <w:t>Adopted:</w:t>
      </w:r>
      <w:r w:rsidR="00C747D2">
        <w:rPr>
          <w:b/>
          <w:sz w:val="22"/>
        </w:rPr>
        <w:t xml:space="preserve">  July 22, 2014</w:t>
      </w:r>
      <w:r w:rsidRPr="00F93CB6">
        <w:rPr>
          <w:b/>
          <w:sz w:val="22"/>
        </w:rPr>
        <w:tab/>
      </w:r>
      <w:r w:rsidR="00211F2D" w:rsidRPr="00F93CB6">
        <w:rPr>
          <w:b/>
          <w:sz w:val="22"/>
        </w:rPr>
        <w:tab/>
      </w:r>
      <w:r w:rsidR="00211F2D" w:rsidRPr="00F93CB6">
        <w:rPr>
          <w:b/>
          <w:sz w:val="22"/>
        </w:rPr>
        <w:tab/>
      </w:r>
      <w:r w:rsidR="00211F2D" w:rsidRPr="00F93CB6">
        <w:rPr>
          <w:b/>
          <w:sz w:val="22"/>
        </w:rPr>
        <w:tab/>
      </w:r>
      <w:r w:rsidR="00211F2D" w:rsidRPr="00F93CB6">
        <w:rPr>
          <w:b/>
          <w:sz w:val="22"/>
        </w:rPr>
        <w:tab/>
      </w:r>
      <w:r w:rsidR="00211F2D" w:rsidRPr="00F93CB6">
        <w:rPr>
          <w:b/>
          <w:sz w:val="22"/>
        </w:rPr>
        <w:tab/>
      </w:r>
      <w:r w:rsidR="00050854" w:rsidRPr="00F93CB6">
        <w:rPr>
          <w:b/>
          <w:sz w:val="22"/>
        </w:rPr>
        <w:t>Released:</w:t>
      </w:r>
      <w:r w:rsidR="00C747D2">
        <w:rPr>
          <w:b/>
          <w:sz w:val="22"/>
        </w:rPr>
        <w:t xml:space="preserve">  July 22, 2014</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the </w:t>
      </w:r>
      <w:r w:rsidR="00513F6C">
        <w:rPr>
          <w:spacing w:val="-2"/>
          <w:sz w:val="22"/>
          <w:szCs w:val="22"/>
        </w:rPr>
        <w:t xml:space="preserve">District Director, </w:t>
      </w:r>
      <w:r w:rsidR="003F5B96">
        <w:rPr>
          <w:spacing w:val="-2"/>
          <w:sz w:val="22"/>
          <w:szCs w:val="22"/>
        </w:rPr>
        <w:t xml:space="preserve">Detroit </w:t>
      </w:r>
      <w:r w:rsidR="00513F6C">
        <w:rPr>
          <w:spacing w:val="-2"/>
          <w:sz w:val="22"/>
          <w:szCs w:val="22"/>
        </w:rPr>
        <w:t xml:space="preserve">Office, Northeast Region,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Default="00990FB6" w:rsidP="00F93CB6">
      <w:pPr>
        <w:pStyle w:val="Heading1"/>
        <w:widowControl/>
        <w:spacing w:after="120"/>
        <w:rPr>
          <w:sz w:val="22"/>
          <w:szCs w:val="22"/>
        </w:rPr>
      </w:pPr>
      <w:r w:rsidRPr="003F3CFD">
        <w:rPr>
          <w:sz w:val="22"/>
          <w:szCs w:val="22"/>
        </w:rPr>
        <w:t>INTRODUCTION</w:t>
      </w:r>
    </w:p>
    <w:p w:rsidR="00C77289" w:rsidRDefault="00006836" w:rsidP="00211F2D">
      <w:pPr>
        <w:widowControl/>
        <w:numPr>
          <w:ilvl w:val="0"/>
          <w:numId w:val="22"/>
        </w:numPr>
        <w:tabs>
          <w:tab w:val="clear" w:pos="1260"/>
          <w:tab w:val="left" w:pos="0"/>
          <w:tab w:val="num" w:pos="1440"/>
        </w:tabs>
        <w:suppressAutoHyphens/>
        <w:spacing w:after="120"/>
        <w:ind w:left="0"/>
        <w:rPr>
          <w:spacing w:val="-2"/>
          <w:sz w:val="22"/>
          <w:szCs w:val="22"/>
        </w:rPr>
      </w:pPr>
      <w:r w:rsidRPr="00006836">
        <w:rPr>
          <w:spacing w:val="-2"/>
          <w:sz w:val="22"/>
          <w:szCs w:val="22"/>
        </w:rPr>
        <w:t>W</w:t>
      </w:r>
      <w:r w:rsidR="00613F65" w:rsidRPr="00006836">
        <w:rPr>
          <w:spacing w:val="-2"/>
          <w:sz w:val="22"/>
          <w:szCs w:val="22"/>
        </w:rPr>
        <w:t xml:space="preserve">e propose a penalty of $22,000 against amateur radio station operator </w:t>
      </w:r>
      <w:r w:rsidR="00C77289" w:rsidRPr="00006836">
        <w:rPr>
          <w:spacing w:val="-2"/>
          <w:sz w:val="22"/>
          <w:szCs w:val="22"/>
        </w:rPr>
        <w:t xml:space="preserve">Michael Guernsey </w:t>
      </w:r>
      <w:r w:rsidR="00613F65" w:rsidRPr="00006836">
        <w:rPr>
          <w:spacing w:val="-2"/>
          <w:sz w:val="22"/>
          <w:szCs w:val="22"/>
        </w:rPr>
        <w:t xml:space="preserve">for </w:t>
      </w:r>
      <w:r w:rsidR="00C77289" w:rsidRPr="00006836">
        <w:rPr>
          <w:spacing w:val="-2"/>
          <w:sz w:val="22"/>
          <w:szCs w:val="22"/>
        </w:rPr>
        <w:t>intentionally causing</w:t>
      </w:r>
      <w:r w:rsidR="00613F65" w:rsidRPr="00006836">
        <w:rPr>
          <w:spacing w:val="-2"/>
          <w:sz w:val="22"/>
          <w:szCs w:val="22"/>
        </w:rPr>
        <w:t xml:space="preserve"> </w:t>
      </w:r>
      <w:r w:rsidR="002F7017" w:rsidRPr="00006836">
        <w:rPr>
          <w:spacing w:val="-2"/>
          <w:sz w:val="22"/>
          <w:szCs w:val="22"/>
        </w:rPr>
        <w:t xml:space="preserve">interference to other </w:t>
      </w:r>
      <w:r w:rsidR="00613F65" w:rsidRPr="00006836">
        <w:rPr>
          <w:spacing w:val="-2"/>
          <w:sz w:val="22"/>
          <w:szCs w:val="22"/>
        </w:rPr>
        <w:t>amateur</w:t>
      </w:r>
      <w:r w:rsidR="002F7017" w:rsidRPr="00006836">
        <w:rPr>
          <w:spacing w:val="-2"/>
          <w:sz w:val="22"/>
          <w:szCs w:val="22"/>
        </w:rPr>
        <w:t xml:space="preserve"> radio operators</w:t>
      </w:r>
      <w:r w:rsidR="00613F65" w:rsidRPr="00006836">
        <w:rPr>
          <w:spacing w:val="-2"/>
          <w:sz w:val="22"/>
          <w:szCs w:val="22"/>
        </w:rPr>
        <w:t xml:space="preserve"> and failing to provide station identification.  </w:t>
      </w:r>
      <w:r w:rsidR="003F0D55" w:rsidRPr="00006836">
        <w:rPr>
          <w:spacing w:val="-2"/>
          <w:sz w:val="22"/>
          <w:szCs w:val="22"/>
        </w:rPr>
        <w:t xml:space="preserve">Amateur radio frequencies are shared and licensees may not monopolize any frequency for their exclusive use.  </w:t>
      </w:r>
      <w:r w:rsidR="00C77289" w:rsidRPr="00006836">
        <w:rPr>
          <w:spacing w:val="-2"/>
          <w:sz w:val="22"/>
          <w:szCs w:val="22"/>
        </w:rPr>
        <w:t>Deliberate</w:t>
      </w:r>
      <w:r w:rsidR="00C77289">
        <w:rPr>
          <w:spacing w:val="-2"/>
          <w:sz w:val="22"/>
          <w:szCs w:val="22"/>
        </w:rPr>
        <w:t xml:space="preserve"> interference undermines the utility</w:t>
      </w:r>
      <w:r w:rsidR="00577134">
        <w:rPr>
          <w:spacing w:val="-2"/>
          <w:sz w:val="22"/>
          <w:szCs w:val="22"/>
        </w:rPr>
        <w:t xml:space="preserve"> of the Amateur Radio S</w:t>
      </w:r>
      <w:r w:rsidR="00C77289">
        <w:rPr>
          <w:spacing w:val="-2"/>
          <w:sz w:val="22"/>
          <w:szCs w:val="22"/>
        </w:rPr>
        <w:t>ervice by preventing comm</w:t>
      </w:r>
      <w:r w:rsidR="003F0D55">
        <w:rPr>
          <w:spacing w:val="-2"/>
          <w:sz w:val="22"/>
          <w:szCs w:val="22"/>
        </w:rPr>
        <w:t xml:space="preserve">unications among licensed users that comply with the Commission’s rules.  In addition, </w:t>
      </w:r>
      <w:r w:rsidR="00CB5D98">
        <w:rPr>
          <w:spacing w:val="-2"/>
          <w:sz w:val="22"/>
          <w:szCs w:val="22"/>
        </w:rPr>
        <w:t xml:space="preserve">the </w:t>
      </w:r>
      <w:r w:rsidR="003F0D55">
        <w:rPr>
          <w:spacing w:val="-2"/>
          <w:sz w:val="22"/>
          <w:szCs w:val="22"/>
        </w:rPr>
        <w:t xml:space="preserve">failure to transmit call sign information </w:t>
      </w:r>
      <w:r w:rsidR="00C17AF7">
        <w:rPr>
          <w:spacing w:val="-2"/>
          <w:sz w:val="22"/>
          <w:szCs w:val="22"/>
        </w:rPr>
        <w:t>disrupts</w:t>
      </w:r>
      <w:r w:rsidR="003F0D55">
        <w:rPr>
          <w:spacing w:val="-2"/>
          <w:sz w:val="22"/>
          <w:szCs w:val="22"/>
        </w:rPr>
        <w:t xml:space="preserve"> the</w:t>
      </w:r>
      <w:r w:rsidR="00577134">
        <w:rPr>
          <w:spacing w:val="-2"/>
          <w:sz w:val="22"/>
          <w:szCs w:val="22"/>
        </w:rPr>
        <w:t xml:space="preserve"> orderly administration of the Amateur Radio S</w:t>
      </w:r>
      <w:r w:rsidR="003F0D55">
        <w:rPr>
          <w:spacing w:val="-2"/>
          <w:sz w:val="22"/>
          <w:szCs w:val="22"/>
        </w:rPr>
        <w:t xml:space="preserve">ervice by </w:t>
      </w:r>
      <w:r w:rsidR="00C17AF7">
        <w:rPr>
          <w:spacing w:val="-2"/>
          <w:sz w:val="22"/>
          <w:szCs w:val="22"/>
        </w:rPr>
        <w:t xml:space="preserve">preventing </w:t>
      </w:r>
      <w:r w:rsidR="003F0D55">
        <w:rPr>
          <w:spacing w:val="-2"/>
          <w:sz w:val="22"/>
          <w:szCs w:val="22"/>
        </w:rPr>
        <w:t>licensed users from identifying a transmission’s source.</w:t>
      </w:r>
      <w:r w:rsidR="002F7017">
        <w:rPr>
          <w:spacing w:val="-2"/>
          <w:sz w:val="22"/>
          <w:szCs w:val="22"/>
        </w:rPr>
        <w:t xml:space="preserve">  Mr. Guernsey has been repeatedly warned </w:t>
      </w:r>
      <w:r w:rsidR="004A2084">
        <w:rPr>
          <w:spacing w:val="-2"/>
          <w:sz w:val="22"/>
          <w:szCs w:val="22"/>
        </w:rPr>
        <w:t xml:space="preserve">in writing by the Enforcement Bureau </w:t>
      </w:r>
      <w:r w:rsidR="00CB5D98">
        <w:rPr>
          <w:spacing w:val="-2"/>
          <w:sz w:val="22"/>
          <w:szCs w:val="22"/>
        </w:rPr>
        <w:t>about</w:t>
      </w:r>
      <w:r w:rsidR="002F7017">
        <w:rPr>
          <w:spacing w:val="-2"/>
          <w:sz w:val="22"/>
          <w:szCs w:val="22"/>
        </w:rPr>
        <w:t xml:space="preserve"> causing interference to other amateur</w:t>
      </w:r>
      <w:r w:rsidR="00CB5D98">
        <w:rPr>
          <w:spacing w:val="-2"/>
          <w:sz w:val="22"/>
          <w:szCs w:val="22"/>
        </w:rPr>
        <w:t xml:space="preserve"> radio operators</w:t>
      </w:r>
      <w:r w:rsidR="002F7017">
        <w:rPr>
          <w:spacing w:val="-2"/>
          <w:sz w:val="22"/>
          <w:szCs w:val="22"/>
        </w:rPr>
        <w:t xml:space="preserve">.  This history of noncompliance, combined with Mr. Guernsey’s </w:t>
      </w:r>
      <w:r w:rsidR="00CC29A4">
        <w:rPr>
          <w:spacing w:val="-2"/>
          <w:sz w:val="22"/>
          <w:szCs w:val="22"/>
        </w:rPr>
        <w:t>deliberate</w:t>
      </w:r>
      <w:r w:rsidR="002F7017">
        <w:rPr>
          <w:spacing w:val="-2"/>
          <w:sz w:val="22"/>
          <w:szCs w:val="22"/>
        </w:rPr>
        <w:t xml:space="preserve"> disregard for Commission authority, warrants a significantly increased penalty.</w:t>
      </w:r>
    </w:p>
    <w:p w:rsidR="007907B0" w:rsidRPr="002F7017" w:rsidRDefault="00050854" w:rsidP="00F93CB6">
      <w:pPr>
        <w:widowControl/>
        <w:numPr>
          <w:ilvl w:val="0"/>
          <w:numId w:val="22"/>
        </w:numPr>
        <w:tabs>
          <w:tab w:val="clear" w:pos="1260"/>
          <w:tab w:val="left" w:pos="0"/>
          <w:tab w:val="num" w:pos="1440"/>
        </w:tabs>
        <w:suppressAutoHyphens/>
        <w:spacing w:after="120"/>
        <w:ind w:left="0"/>
        <w:rPr>
          <w:spacing w:val="-2"/>
          <w:sz w:val="22"/>
          <w:szCs w:val="22"/>
        </w:rPr>
      </w:pPr>
      <w:r w:rsidRPr="002F7017">
        <w:rPr>
          <w:spacing w:val="-2"/>
          <w:sz w:val="22"/>
          <w:szCs w:val="22"/>
        </w:rPr>
        <w:t>In this Notice of Apparent Liability for Forfeiture</w:t>
      </w:r>
      <w:r w:rsidR="009711A7" w:rsidRPr="002F7017">
        <w:rPr>
          <w:spacing w:val="-2"/>
          <w:sz w:val="22"/>
          <w:szCs w:val="22"/>
        </w:rPr>
        <w:t xml:space="preserve"> </w:t>
      </w:r>
      <w:r w:rsidRPr="002F7017">
        <w:rPr>
          <w:spacing w:val="-2"/>
          <w:sz w:val="22"/>
          <w:szCs w:val="22"/>
        </w:rPr>
        <w:t>(NAL), we find tha</w:t>
      </w:r>
      <w:r w:rsidR="00513F6C" w:rsidRPr="002F7017">
        <w:rPr>
          <w:spacing w:val="-2"/>
          <w:sz w:val="22"/>
          <w:szCs w:val="22"/>
        </w:rPr>
        <w:t xml:space="preserve">t </w:t>
      </w:r>
      <w:r w:rsidR="00225173">
        <w:rPr>
          <w:spacing w:val="-2"/>
          <w:sz w:val="22"/>
          <w:szCs w:val="22"/>
        </w:rPr>
        <w:t>Mr.</w:t>
      </w:r>
      <w:r w:rsidR="003F5B96" w:rsidRPr="002F7017">
        <w:rPr>
          <w:spacing w:val="-2"/>
          <w:sz w:val="22"/>
          <w:szCs w:val="22"/>
        </w:rPr>
        <w:t xml:space="preserve"> Guernsey</w:t>
      </w:r>
      <w:r w:rsidR="002F7017">
        <w:rPr>
          <w:spacing w:val="-2"/>
          <w:sz w:val="22"/>
          <w:szCs w:val="22"/>
        </w:rPr>
        <w:t>,</w:t>
      </w:r>
      <w:r w:rsidR="00513F6C" w:rsidRPr="002F7017">
        <w:rPr>
          <w:spacing w:val="-2"/>
          <w:sz w:val="22"/>
          <w:szCs w:val="22"/>
        </w:rPr>
        <w:t xml:space="preserve"> licensee of Amateur </w:t>
      </w:r>
      <w:r w:rsidR="002F7017">
        <w:rPr>
          <w:spacing w:val="-2"/>
          <w:sz w:val="22"/>
          <w:szCs w:val="22"/>
        </w:rPr>
        <w:t xml:space="preserve">Radio </w:t>
      </w:r>
      <w:r w:rsidR="00513F6C" w:rsidRPr="002F7017">
        <w:rPr>
          <w:spacing w:val="-2"/>
          <w:sz w:val="22"/>
          <w:szCs w:val="22"/>
        </w:rPr>
        <w:t>Station K</w:t>
      </w:r>
      <w:r w:rsidR="003F5B96" w:rsidRPr="002F7017">
        <w:rPr>
          <w:spacing w:val="-2"/>
          <w:sz w:val="22"/>
          <w:szCs w:val="22"/>
        </w:rPr>
        <w:t>Z8O</w:t>
      </w:r>
      <w:r w:rsidR="00513F6C" w:rsidRPr="002F7017">
        <w:rPr>
          <w:spacing w:val="-2"/>
          <w:sz w:val="22"/>
          <w:szCs w:val="22"/>
        </w:rPr>
        <w:t xml:space="preserve"> in </w:t>
      </w:r>
      <w:r w:rsidR="003F5B96" w:rsidRPr="002F7017">
        <w:rPr>
          <w:spacing w:val="-2"/>
          <w:sz w:val="22"/>
          <w:szCs w:val="22"/>
        </w:rPr>
        <w:t>Parchment, Michigan</w:t>
      </w:r>
      <w:r w:rsidR="00513F6C" w:rsidRPr="002F7017">
        <w:rPr>
          <w:spacing w:val="-2"/>
          <w:sz w:val="22"/>
          <w:szCs w:val="22"/>
        </w:rPr>
        <w:t xml:space="preserve">, </w:t>
      </w:r>
      <w:r w:rsidRPr="002F7017">
        <w:rPr>
          <w:spacing w:val="-2"/>
          <w:sz w:val="22"/>
          <w:szCs w:val="22"/>
        </w:rPr>
        <w:t>apparentl</w:t>
      </w:r>
      <w:r w:rsidR="00513F6C" w:rsidRPr="002F7017">
        <w:rPr>
          <w:spacing w:val="-2"/>
          <w:sz w:val="22"/>
          <w:szCs w:val="22"/>
        </w:rPr>
        <w:t xml:space="preserve">y willfully </w:t>
      </w:r>
      <w:r w:rsidRPr="002F7017">
        <w:rPr>
          <w:spacing w:val="-2"/>
          <w:sz w:val="22"/>
          <w:szCs w:val="22"/>
        </w:rPr>
        <w:t xml:space="preserve">violated </w:t>
      </w:r>
      <w:r w:rsidR="00337B75" w:rsidRPr="002F7017">
        <w:rPr>
          <w:spacing w:val="-2"/>
          <w:sz w:val="22"/>
          <w:szCs w:val="22"/>
        </w:rPr>
        <w:t>Section</w:t>
      </w:r>
      <w:r w:rsidR="00513F6C" w:rsidRPr="002F7017">
        <w:rPr>
          <w:spacing w:val="-2"/>
          <w:sz w:val="22"/>
          <w:szCs w:val="22"/>
        </w:rPr>
        <w:t xml:space="preserve"> 333</w:t>
      </w:r>
      <w:r w:rsidR="00337B75" w:rsidRPr="002F7017">
        <w:rPr>
          <w:spacing w:val="-2"/>
          <w:sz w:val="22"/>
          <w:szCs w:val="22"/>
        </w:rPr>
        <w:t xml:space="preserve"> of the Communications</w:t>
      </w:r>
      <w:r w:rsidR="002F7017">
        <w:rPr>
          <w:spacing w:val="-2"/>
          <w:sz w:val="22"/>
          <w:szCs w:val="22"/>
        </w:rPr>
        <w:t xml:space="preserve"> Act of 1934, as amended (Act), and </w:t>
      </w:r>
      <w:r w:rsidR="00B90EB1" w:rsidRPr="002F7017">
        <w:rPr>
          <w:spacing w:val="-2"/>
          <w:sz w:val="22"/>
          <w:szCs w:val="22"/>
        </w:rPr>
        <w:t>Section</w:t>
      </w:r>
      <w:r w:rsidR="002F7017">
        <w:rPr>
          <w:spacing w:val="-2"/>
          <w:sz w:val="22"/>
          <w:szCs w:val="22"/>
        </w:rPr>
        <w:t xml:space="preserve">s </w:t>
      </w:r>
      <w:r w:rsidR="00B90EB1" w:rsidRPr="002F7017">
        <w:rPr>
          <w:spacing w:val="-2"/>
          <w:sz w:val="22"/>
          <w:szCs w:val="22"/>
        </w:rPr>
        <w:t xml:space="preserve">97.101(d) </w:t>
      </w:r>
      <w:r w:rsidR="002F7017">
        <w:rPr>
          <w:spacing w:val="-2"/>
          <w:sz w:val="22"/>
          <w:szCs w:val="22"/>
        </w:rPr>
        <w:t xml:space="preserve">and 97.119(a) </w:t>
      </w:r>
      <w:r w:rsidR="00B90EB1" w:rsidRPr="002F7017">
        <w:rPr>
          <w:spacing w:val="-2"/>
          <w:sz w:val="22"/>
          <w:szCs w:val="22"/>
        </w:rPr>
        <w:t>of the Commission’s rules (Rules)</w:t>
      </w:r>
      <w:r w:rsidRPr="002F7017">
        <w:rPr>
          <w:spacing w:val="-2"/>
          <w:sz w:val="22"/>
          <w:szCs w:val="22"/>
        </w:rPr>
        <w:t xml:space="preserve"> by </w:t>
      </w:r>
      <w:r w:rsidR="00240AEB" w:rsidRPr="002F7017">
        <w:rPr>
          <w:spacing w:val="-2"/>
          <w:sz w:val="22"/>
          <w:szCs w:val="22"/>
        </w:rPr>
        <w:t xml:space="preserve">causing </w:t>
      </w:r>
      <w:r w:rsidR="00513F6C" w:rsidRPr="002F7017">
        <w:rPr>
          <w:spacing w:val="-2"/>
          <w:sz w:val="22"/>
          <w:szCs w:val="22"/>
        </w:rPr>
        <w:t>intentional interference to licensed radio operations</w:t>
      </w:r>
      <w:r w:rsidR="00513F6C" w:rsidRPr="002F7017">
        <w:rPr>
          <w:iCs/>
          <w:sz w:val="22"/>
        </w:rPr>
        <w:t xml:space="preserve"> and</w:t>
      </w:r>
      <w:r w:rsidR="002F7017">
        <w:rPr>
          <w:iCs/>
          <w:sz w:val="22"/>
        </w:rPr>
        <w:t xml:space="preserve"> </w:t>
      </w:r>
      <w:r w:rsidR="00513F6C" w:rsidRPr="002F7017">
        <w:rPr>
          <w:spacing w:val="-2"/>
          <w:sz w:val="22"/>
          <w:szCs w:val="22"/>
        </w:rPr>
        <w:t xml:space="preserve">failing to transmit his assigned call sign </w:t>
      </w:r>
      <w:r w:rsidR="00513F6C" w:rsidRPr="002F7017">
        <w:rPr>
          <w:iCs/>
          <w:sz w:val="22"/>
        </w:rPr>
        <w:t>in the Amateur Radio Service</w:t>
      </w:r>
      <w:r w:rsidR="00513F6C" w:rsidRPr="002F7017">
        <w:rPr>
          <w:spacing w:val="-2"/>
          <w:sz w:val="22"/>
          <w:szCs w:val="22"/>
        </w:rPr>
        <w:t>.</w:t>
      </w:r>
      <w:r w:rsidR="002F7017" w:rsidRPr="00E34AAE">
        <w:rPr>
          <w:rStyle w:val="FootnoteReference"/>
          <w:spacing w:val="-2"/>
          <w:sz w:val="22"/>
          <w:szCs w:val="22"/>
        </w:rPr>
        <w:footnoteReference w:id="2"/>
      </w:r>
    </w:p>
    <w:p w:rsidR="00050854" w:rsidRPr="004930F5" w:rsidRDefault="00050854" w:rsidP="00F93CB6">
      <w:pPr>
        <w:pStyle w:val="Heading1"/>
        <w:widowControl/>
        <w:spacing w:after="120"/>
        <w:rPr>
          <w:spacing w:val="-2"/>
          <w:sz w:val="22"/>
          <w:szCs w:val="22"/>
        </w:rPr>
      </w:pPr>
      <w:r w:rsidRPr="004930F5">
        <w:rPr>
          <w:sz w:val="22"/>
          <w:szCs w:val="22"/>
        </w:rPr>
        <w:t>BACKGROUND</w:t>
      </w:r>
    </w:p>
    <w:p w:rsidR="006336DF" w:rsidRPr="00597628" w:rsidRDefault="00CB5D98" w:rsidP="00F93CB6">
      <w:pPr>
        <w:widowControl/>
        <w:numPr>
          <w:ilvl w:val="0"/>
          <w:numId w:val="22"/>
        </w:numPr>
        <w:tabs>
          <w:tab w:val="clear" w:pos="1260"/>
          <w:tab w:val="left" w:pos="0"/>
          <w:tab w:val="num" w:pos="1440"/>
        </w:tabs>
        <w:suppressAutoHyphens/>
        <w:spacing w:after="120"/>
        <w:ind w:left="0"/>
        <w:rPr>
          <w:sz w:val="22"/>
        </w:rPr>
      </w:pPr>
      <w:r w:rsidRPr="00DE4A65">
        <w:rPr>
          <w:spacing w:val="-2"/>
          <w:sz w:val="22"/>
          <w:szCs w:val="22"/>
        </w:rPr>
        <w:t xml:space="preserve">Mr. Guernsey has a long </w:t>
      </w:r>
      <w:r w:rsidR="00DE4A65">
        <w:rPr>
          <w:spacing w:val="-2"/>
          <w:sz w:val="22"/>
          <w:szCs w:val="22"/>
        </w:rPr>
        <w:t>history causing</w:t>
      </w:r>
      <w:r w:rsidR="002F7017" w:rsidRPr="00DE4A65">
        <w:rPr>
          <w:spacing w:val="-2"/>
          <w:sz w:val="22"/>
          <w:szCs w:val="22"/>
        </w:rPr>
        <w:t xml:space="preserve"> </w:t>
      </w:r>
      <w:r w:rsidR="00DE4A65">
        <w:rPr>
          <w:spacing w:val="-2"/>
          <w:sz w:val="22"/>
          <w:szCs w:val="22"/>
        </w:rPr>
        <w:t xml:space="preserve">interference to </w:t>
      </w:r>
      <w:r w:rsidRPr="00DE4A65">
        <w:rPr>
          <w:spacing w:val="-2"/>
          <w:sz w:val="22"/>
          <w:szCs w:val="22"/>
        </w:rPr>
        <w:t xml:space="preserve">the communications of </w:t>
      </w:r>
      <w:r w:rsidR="002F7017" w:rsidRPr="00DE4A65">
        <w:rPr>
          <w:spacing w:val="-2"/>
          <w:sz w:val="22"/>
          <w:szCs w:val="22"/>
        </w:rPr>
        <w:t>other</w:t>
      </w:r>
      <w:r w:rsidRPr="00DE4A65">
        <w:rPr>
          <w:spacing w:val="-2"/>
          <w:sz w:val="22"/>
          <w:szCs w:val="22"/>
        </w:rPr>
        <w:t xml:space="preserve"> amateur radio operators and has been warned repeatedly in writing by the Enforcement Bureau that his actions violate the Rules.</w:t>
      </w:r>
      <w:r>
        <w:rPr>
          <w:rStyle w:val="FootnoteReference"/>
          <w:spacing w:val="-2"/>
          <w:sz w:val="22"/>
          <w:szCs w:val="22"/>
        </w:rPr>
        <w:footnoteReference w:id="3"/>
      </w:r>
      <w:r w:rsidR="00DE4A65">
        <w:rPr>
          <w:spacing w:val="-2"/>
          <w:sz w:val="22"/>
          <w:szCs w:val="22"/>
        </w:rPr>
        <w:t xml:space="preserve">  </w:t>
      </w:r>
      <w:r w:rsidR="00957592" w:rsidRPr="00DE4A65">
        <w:rPr>
          <w:spacing w:val="-2"/>
          <w:sz w:val="22"/>
          <w:szCs w:val="22"/>
        </w:rPr>
        <w:t xml:space="preserve">On March 7, 2014, in response to several complaints </w:t>
      </w:r>
      <w:r w:rsidR="00DE4A65">
        <w:rPr>
          <w:spacing w:val="-2"/>
          <w:sz w:val="22"/>
          <w:szCs w:val="22"/>
        </w:rPr>
        <w:t xml:space="preserve">of intentional interference </w:t>
      </w:r>
      <w:r w:rsidR="00DE4A65">
        <w:rPr>
          <w:spacing w:val="-2"/>
          <w:sz w:val="22"/>
          <w:szCs w:val="22"/>
        </w:rPr>
        <w:lastRenderedPageBreak/>
        <w:t xml:space="preserve">from amateur licensees operating </w:t>
      </w:r>
      <w:r w:rsidR="00957592" w:rsidRPr="00DE4A65">
        <w:rPr>
          <w:spacing w:val="-2"/>
          <w:sz w:val="22"/>
          <w:szCs w:val="22"/>
        </w:rPr>
        <w:t>on the frequency 14.313 MHz, agents from the Enforcement Bureau’s Detroit</w:t>
      </w:r>
      <w:r w:rsidR="00DE4A65">
        <w:rPr>
          <w:spacing w:val="-2"/>
          <w:sz w:val="22"/>
          <w:szCs w:val="22"/>
        </w:rPr>
        <w:t xml:space="preserve"> Office (Detroit Office) used</w:t>
      </w:r>
      <w:r w:rsidR="00957592" w:rsidRPr="00DE4A65">
        <w:rPr>
          <w:spacing w:val="-2"/>
          <w:sz w:val="22"/>
          <w:szCs w:val="22"/>
        </w:rPr>
        <w:t xml:space="preserve"> mobile direction finding techniques </w:t>
      </w:r>
      <w:r w:rsidR="00DE4A65">
        <w:rPr>
          <w:spacing w:val="-2"/>
          <w:sz w:val="22"/>
          <w:szCs w:val="22"/>
        </w:rPr>
        <w:t>to identify</w:t>
      </w:r>
      <w:r w:rsidR="00957592" w:rsidRPr="00DE4A65">
        <w:rPr>
          <w:spacing w:val="-2"/>
          <w:sz w:val="22"/>
          <w:szCs w:val="22"/>
        </w:rPr>
        <w:t xml:space="preserve"> the source of the transmissions to 2026 Travis Road, Parchment, Michigan, the address of record for Mr. Guernsey’s </w:t>
      </w:r>
      <w:r w:rsidR="00DE4A65" w:rsidRPr="00597628">
        <w:rPr>
          <w:spacing w:val="-2"/>
          <w:sz w:val="22"/>
          <w:szCs w:val="22"/>
        </w:rPr>
        <w:t xml:space="preserve">amateur station KZ8O.  The agents </w:t>
      </w:r>
      <w:r w:rsidR="00957592" w:rsidRPr="00597628">
        <w:rPr>
          <w:spacing w:val="-2"/>
          <w:sz w:val="22"/>
          <w:szCs w:val="22"/>
        </w:rPr>
        <w:t>monitored the transmissio</w:t>
      </w:r>
      <w:r w:rsidR="00DE4A65" w:rsidRPr="00597628">
        <w:rPr>
          <w:spacing w:val="-2"/>
          <w:sz w:val="22"/>
          <w:szCs w:val="22"/>
        </w:rPr>
        <w:t xml:space="preserve">ns emanating from Mr. Guernsey’s </w:t>
      </w:r>
      <w:r w:rsidR="00957592" w:rsidRPr="00597628">
        <w:rPr>
          <w:spacing w:val="-2"/>
          <w:sz w:val="22"/>
          <w:szCs w:val="22"/>
        </w:rPr>
        <w:t>station for approximately 4</w:t>
      </w:r>
      <w:r w:rsidR="00DE4A65" w:rsidRPr="00597628">
        <w:rPr>
          <w:spacing w:val="-2"/>
          <w:sz w:val="22"/>
          <w:szCs w:val="22"/>
        </w:rPr>
        <w:t>0 minutes and heard him</w:t>
      </w:r>
      <w:r w:rsidR="00957592" w:rsidRPr="00597628">
        <w:rPr>
          <w:spacing w:val="-2"/>
          <w:sz w:val="22"/>
          <w:szCs w:val="22"/>
        </w:rPr>
        <w:t xml:space="preserve"> transmit a </w:t>
      </w:r>
      <w:r w:rsidR="00225173">
        <w:rPr>
          <w:iCs/>
          <w:sz w:val="22"/>
        </w:rPr>
        <w:t>prerecorded</w:t>
      </w:r>
      <w:r w:rsidR="00225173" w:rsidRPr="00FD4DF3">
        <w:rPr>
          <w:sz w:val="22"/>
        </w:rPr>
        <w:t xml:space="preserve"> song and various animal noises</w:t>
      </w:r>
      <w:r w:rsidR="00225173" w:rsidRPr="00597628">
        <w:rPr>
          <w:spacing w:val="-2"/>
          <w:sz w:val="22"/>
          <w:szCs w:val="22"/>
        </w:rPr>
        <w:t xml:space="preserve"> </w:t>
      </w:r>
      <w:r w:rsidR="00957592" w:rsidRPr="00597628">
        <w:rPr>
          <w:spacing w:val="-2"/>
          <w:sz w:val="22"/>
          <w:szCs w:val="22"/>
        </w:rPr>
        <w:t>on the frequency.</w:t>
      </w:r>
      <w:r w:rsidR="00DE4A65" w:rsidRPr="00597628">
        <w:rPr>
          <w:rStyle w:val="FootnoteReference"/>
          <w:spacing w:val="-2"/>
          <w:sz w:val="22"/>
          <w:szCs w:val="22"/>
        </w:rPr>
        <w:footnoteReference w:id="4"/>
      </w:r>
      <w:r w:rsidR="00957592" w:rsidRPr="00597628">
        <w:rPr>
          <w:spacing w:val="-2"/>
          <w:sz w:val="22"/>
          <w:szCs w:val="22"/>
        </w:rPr>
        <w:t xml:space="preserve">  </w:t>
      </w:r>
      <w:r w:rsidR="00DE4A65" w:rsidRPr="00597628">
        <w:rPr>
          <w:spacing w:val="-2"/>
          <w:sz w:val="22"/>
          <w:szCs w:val="22"/>
        </w:rPr>
        <w:t>These transmissions prevented other amateur licensees from communicating over the frequency</w:t>
      </w:r>
      <w:r w:rsidR="00597628" w:rsidRPr="00597628">
        <w:rPr>
          <w:iCs/>
          <w:sz w:val="22"/>
          <w:szCs w:val="22"/>
        </w:rPr>
        <w:t>.</w:t>
      </w:r>
      <w:r w:rsidR="00225173">
        <w:rPr>
          <w:iCs/>
          <w:sz w:val="22"/>
          <w:szCs w:val="22"/>
        </w:rPr>
        <w:t xml:space="preserve">  During </w:t>
      </w:r>
      <w:r w:rsidR="00225173" w:rsidRPr="00FD4DF3">
        <w:rPr>
          <w:sz w:val="22"/>
        </w:rPr>
        <w:t xml:space="preserve">the </w:t>
      </w:r>
      <w:r w:rsidR="00225173">
        <w:rPr>
          <w:iCs/>
          <w:sz w:val="22"/>
          <w:szCs w:val="22"/>
        </w:rPr>
        <w:t xml:space="preserve">monitoring period, the </w:t>
      </w:r>
      <w:r w:rsidR="00225173" w:rsidRPr="00FD4DF3">
        <w:rPr>
          <w:sz w:val="22"/>
        </w:rPr>
        <w:t xml:space="preserve">agents </w:t>
      </w:r>
      <w:r w:rsidR="00225173">
        <w:rPr>
          <w:iCs/>
          <w:sz w:val="22"/>
          <w:szCs w:val="22"/>
        </w:rPr>
        <w:t xml:space="preserve">did not hear Mr. Guernsey </w:t>
      </w:r>
      <w:r w:rsidR="00225173" w:rsidRPr="00746742">
        <w:rPr>
          <w:sz w:val="22"/>
        </w:rPr>
        <w:t>t</w:t>
      </w:r>
      <w:r w:rsidR="00225173">
        <w:rPr>
          <w:sz w:val="22"/>
        </w:rPr>
        <w:t>ransmit his assigned call sign</w:t>
      </w:r>
      <w:r w:rsidR="00225173" w:rsidRPr="00FD4DF3">
        <w:rPr>
          <w:sz w:val="22"/>
        </w:rPr>
        <w:t>.</w:t>
      </w:r>
    </w:p>
    <w:p w:rsidR="00050854" w:rsidRPr="006336DF" w:rsidRDefault="00050854" w:rsidP="00F93CB6">
      <w:pPr>
        <w:pStyle w:val="Heading1"/>
        <w:spacing w:after="120"/>
      </w:pPr>
      <w:r w:rsidRPr="006336DF">
        <w:t>DISCUSSION</w:t>
      </w:r>
    </w:p>
    <w:p w:rsidR="00CE2E71" w:rsidRPr="00211F2D" w:rsidRDefault="00050854" w:rsidP="00FD4DF3">
      <w:pPr>
        <w:widowControl/>
        <w:numPr>
          <w:ilvl w:val="0"/>
          <w:numId w:val="22"/>
        </w:numPr>
        <w:tabs>
          <w:tab w:val="clear" w:pos="1260"/>
          <w:tab w:val="num" w:pos="1440"/>
          <w:tab w:val="left" w:pos="4680"/>
          <w:tab w:val="left" w:pos="5760"/>
        </w:tabs>
        <w:spacing w:after="120"/>
        <w:ind w:left="0"/>
        <w:rPr>
          <w:color w:val="000000"/>
          <w:sz w:val="22"/>
          <w:szCs w:val="22"/>
        </w:rPr>
      </w:pPr>
      <w:r w:rsidRPr="00E34AAE">
        <w:rPr>
          <w:spacing w:val="-3"/>
          <w:sz w:val="22"/>
          <w:szCs w:val="22"/>
        </w:rPr>
        <w:t xml:space="preserve">Section 503(b) of the </w:t>
      </w:r>
      <w:r w:rsidR="00286F24">
        <w:rPr>
          <w:spacing w:val="-3"/>
          <w:sz w:val="22"/>
          <w:szCs w:val="22"/>
        </w:rPr>
        <w:t>Act</w:t>
      </w:r>
      <w:r w:rsidR="007E2E05">
        <w:rPr>
          <w:spacing w:val="-3"/>
          <w:sz w:val="22"/>
          <w:szCs w:val="22"/>
        </w:rPr>
        <w:t xml:space="preserve"> </w:t>
      </w:r>
      <w:r w:rsidRPr="00E34AAE">
        <w:rPr>
          <w:spacing w:val="-3"/>
          <w:sz w:val="22"/>
          <w:szCs w:val="22"/>
        </w:rPr>
        <w:t xml:space="preserve">provides that any person who willfully </w:t>
      </w:r>
      <w:r w:rsidR="0011170C">
        <w:rPr>
          <w:spacing w:val="-3"/>
          <w:sz w:val="22"/>
          <w:szCs w:val="22"/>
        </w:rPr>
        <w:t xml:space="preserve">or repeatedly </w:t>
      </w:r>
      <w:r w:rsidRPr="00E34AAE">
        <w:rPr>
          <w:spacing w:val="-3"/>
          <w:sz w:val="22"/>
          <w:szCs w:val="22"/>
        </w:rPr>
        <w:t xml:space="preserve">fails to comply substantially with the terms and conditions of any license, or willfully </w:t>
      </w:r>
      <w:r w:rsidR="0011170C">
        <w:rPr>
          <w:spacing w:val="-3"/>
          <w:sz w:val="22"/>
          <w:szCs w:val="22"/>
        </w:rPr>
        <w:t xml:space="preserve">or repeatedly </w:t>
      </w:r>
      <w:r w:rsidRPr="00E34AAE">
        <w:rPr>
          <w:spacing w:val="-3"/>
          <w:sz w:val="22"/>
          <w:szCs w:val="22"/>
        </w:rPr>
        <w:t>fails to comply with any of the provisions of the Act or of any rule, regulation</w:t>
      </w:r>
      <w:r w:rsidR="009711A7">
        <w:rPr>
          <w:spacing w:val="-3"/>
          <w:sz w:val="22"/>
          <w:szCs w:val="22"/>
        </w:rPr>
        <w:t>,</w:t>
      </w:r>
      <w:r w:rsidRPr="00E34AAE">
        <w:rPr>
          <w:spacing w:val="-3"/>
          <w:sz w:val="22"/>
          <w:szCs w:val="22"/>
        </w:rPr>
        <w:t xml:space="preserve"> or order issued by the Commission thereunder, shall be liable for a forfeiture penalty.</w:t>
      </w:r>
      <w:r w:rsidR="009711A7">
        <w:rPr>
          <w:rStyle w:val="FootnoteReference"/>
          <w:spacing w:val="-3"/>
          <w:sz w:val="22"/>
          <w:szCs w:val="22"/>
        </w:rPr>
        <w:footnoteReference w:id="5"/>
      </w:r>
      <w:r w:rsidRPr="00E34AAE">
        <w:rPr>
          <w:spacing w:val="-3"/>
          <w:sz w:val="22"/>
          <w:szCs w:val="22"/>
        </w:rPr>
        <w:t xml:space="preserve">  </w:t>
      </w:r>
      <w:r w:rsidR="001665F5" w:rsidRPr="00A12D37">
        <w:rPr>
          <w:color w:val="000000"/>
          <w:spacing w:val="-3"/>
          <w:sz w:val="22"/>
          <w:szCs w:val="22"/>
        </w:rPr>
        <w:t xml:space="preserve">Section 312(f)(1) of the Act defines </w:t>
      </w:r>
      <w:r w:rsidR="009711A7">
        <w:rPr>
          <w:color w:val="000000"/>
          <w:spacing w:val="-3"/>
          <w:sz w:val="22"/>
          <w:szCs w:val="22"/>
        </w:rPr>
        <w:t>“</w:t>
      </w:r>
      <w:r w:rsidR="001665F5" w:rsidRPr="00A12D37">
        <w:rPr>
          <w:color w:val="000000"/>
          <w:spacing w:val="-3"/>
          <w:sz w:val="22"/>
          <w:szCs w:val="22"/>
        </w:rPr>
        <w:t>willful</w:t>
      </w:r>
      <w:r w:rsidR="009711A7">
        <w:rPr>
          <w:color w:val="000000"/>
          <w:spacing w:val="-3"/>
          <w:sz w:val="22"/>
          <w:szCs w:val="22"/>
        </w:rPr>
        <w:t>”</w:t>
      </w:r>
      <w:r w:rsidR="001665F5" w:rsidRPr="00A12D37">
        <w:rPr>
          <w:color w:val="000000"/>
          <w:spacing w:val="-3"/>
          <w:sz w:val="22"/>
          <w:szCs w:val="22"/>
        </w:rPr>
        <w:t xml:space="preserve"> as the “conscious and deliberate commission or omission of [any] act, irrespective of any intent to violate” the law.</w:t>
      </w:r>
      <w:r w:rsidR="001665F5" w:rsidRPr="00A12D37">
        <w:rPr>
          <w:rStyle w:val="FootnoteReference"/>
          <w:color w:val="000000"/>
          <w:spacing w:val="-3"/>
          <w:sz w:val="22"/>
          <w:szCs w:val="22"/>
        </w:rPr>
        <w:footnoteReference w:id="6"/>
      </w:r>
      <w:r w:rsidR="001665F5" w:rsidRPr="00A12D37">
        <w:rPr>
          <w:color w:val="000000"/>
          <w:spacing w:val="-3"/>
          <w:sz w:val="22"/>
          <w:szCs w:val="22"/>
        </w:rPr>
        <w:t xml:space="preserve">  The legislative history to </w:t>
      </w:r>
      <w:r w:rsidR="009711A7">
        <w:rPr>
          <w:color w:val="000000"/>
          <w:spacing w:val="-3"/>
          <w:sz w:val="22"/>
          <w:szCs w:val="22"/>
        </w:rPr>
        <w:t>S</w:t>
      </w:r>
      <w:r w:rsidR="001665F5" w:rsidRPr="00A12D37">
        <w:rPr>
          <w:color w:val="000000"/>
          <w:spacing w:val="-3"/>
          <w:sz w:val="22"/>
          <w:szCs w:val="22"/>
        </w:rPr>
        <w:t xml:space="preserve">ection 312(f)(1) of the Act clarifies that this definition of willful applies to both </w:t>
      </w:r>
      <w:r w:rsidR="00174A12">
        <w:rPr>
          <w:color w:val="000000"/>
          <w:spacing w:val="-3"/>
          <w:sz w:val="22"/>
          <w:szCs w:val="22"/>
        </w:rPr>
        <w:t>S</w:t>
      </w:r>
      <w:r w:rsidR="001665F5" w:rsidRPr="00A12D37">
        <w:rPr>
          <w:color w:val="000000"/>
          <w:spacing w:val="-3"/>
          <w:sz w:val="22"/>
          <w:szCs w:val="22"/>
        </w:rPr>
        <w:t>ection</w:t>
      </w:r>
      <w:r w:rsidR="00174A12">
        <w:rPr>
          <w:color w:val="000000"/>
          <w:spacing w:val="-3"/>
          <w:sz w:val="22"/>
          <w:szCs w:val="22"/>
        </w:rPr>
        <w:t>s</w:t>
      </w:r>
      <w:r w:rsidR="001665F5" w:rsidRPr="00A12D37">
        <w:rPr>
          <w:color w:val="000000"/>
          <w:spacing w:val="-3"/>
          <w:sz w:val="22"/>
          <w:szCs w:val="22"/>
        </w:rPr>
        <w:t xml:space="preserve"> 312 and 503(b) of the Act</w:t>
      </w:r>
      <w:r w:rsidR="00174A12">
        <w:rPr>
          <w:color w:val="000000"/>
          <w:spacing w:val="-3"/>
          <w:sz w:val="22"/>
          <w:szCs w:val="22"/>
        </w:rPr>
        <w:t>,</w:t>
      </w:r>
      <w:r w:rsidR="001665F5" w:rsidRPr="00A12D37">
        <w:rPr>
          <w:rStyle w:val="FootnoteReference"/>
          <w:color w:val="000000"/>
          <w:spacing w:val="-3"/>
          <w:sz w:val="22"/>
          <w:szCs w:val="22"/>
        </w:rPr>
        <w:footnoteReference w:id="7"/>
      </w:r>
      <w:r w:rsidR="001665F5" w:rsidRPr="00A12D37">
        <w:rPr>
          <w:color w:val="000000"/>
          <w:spacing w:val="-3"/>
          <w:sz w:val="22"/>
          <w:szCs w:val="22"/>
        </w:rPr>
        <w:t xml:space="preserve"> and the Commission has so interpreted the term in the </w:t>
      </w:r>
      <w:r w:rsidR="00174A12">
        <w:rPr>
          <w:color w:val="000000"/>
          <w:spacing w:val="-3"/>
          <w:sz w:val="22"/>
          <w:szCs w:val="22"/>
        </w:rPr>
        <w:t>S</w:t>
      </w:r>
      <w:r w:rsidR="001665F5" w:rsidRPr="00A12D37">
        <w:rPr>
          <w:color w:val="000000"/>
          <w:spacing w:val="-3"/>
          <w:sz w:val="22"/>
          <w:szCs w:val="22"/>
        </w:rPr>
        <w:t>ection 503(b) context.</w:t>
      </w:r>
      <w:r w:rsidR="001665F5" w:rsidRPr="00A12D37">
        <w:rPr>
          <w:rStyle w:val="FootnoteReference"/>
          <w:color w:val="000000"/>
          <w:spacing w:val="-3"/>
          <w:sz w:val="22"/>
          <w:szCs w:val="22"/>
        </w:rPr>
        <w:footnoteReference w:id="8"/>
      </w:r>
      <w:r w:rsidR="001665F5" w:rsidRPr="00A12D37">
        <w:rPr>
          <w:color w:val="000000"/>
          <w:spacing w:val="-3"/>
          <w:sz w:val="22"/>
          <w:szCs w:val="22"/>
        </w:rPr>
        <w:t xml:space="preserve">  </w:t>
      </w:r>
    </w:p>
    <w:p w:rsidR="00F46870" w:rsidRPr="00211F2D" w:rsidRDefault="00286F24" w:rsidP="00F93CB6">
      <w:pPr>
        <w:widowControl/>
        <w:numPr>
          <w:ilvl w:val="0"/>
          <w:numId w:val="33"/>
        </w:numPr>
        <w:tabs>
          <w:tab w:val="left" w:pos="0"/>
          <w:tab w:val="left" w:pos="720"/>
        </w:tabs>
        <w:suppressAutoHyphens/>
        <w:spacing w:after="120"/>
        <w:rPr>
          <w:spacing w:val="-3"/>
          <w:sz w:val="22"/>
          <w:szCs w:val="22"/>
        </w:rPr>
      </w:pPr>
      <w:r w:rsidRPr="00286F24">
        <w:rPr>
          <w:b/>
          <w:spacing w:val="-3"/>
          <w:sz w:val="22"/>
          <w:szCs w:val="22"/>
        </w:rPr>
        <w:t>Causing Intentional Interference</w:t>
      </w:r>
      <w:r w:rsidR="00577134">
        <w:rPr>
          <w:b/>
          <w:spacing w:val="-3"/>
          <w:sz w:val="22"/>
          <w:szCs w:val="22"/>
        </w:rPr>
        <w:t xml:space="preserve"> to Licensed Communications</w:t>
      </w:r>
    </w:p>
    <w:p w:rsidR="00522967" w:rsidRPr="00522967" w:rsidRDefault="00890911" w:rsidP="00211F2D">
      <w:pPr>
        <w:widowControl/>
        <w:numPr>
          <w:ilvl w:val="0"/>
          <w:numId w:val="22"/>
        </w:numPr>
        <w:tabs>
          <w:tab w:val="clear" w:pos="1260"/>
          <w:tab w:val="num" w:pos="1440"/>
          <w:tab w:val="left" w:pos="4680"/>
          <w:tab w:val="left" w:pos="5760"/>
        </w:tabs>
        <w:spacing w:after="120"/>
        <w:ind w:left="0"/>
        <w:rPr>
          <w:b/>
          <w:color w:val="FF00FF"/>
          <w:spacing w:val="-2"/>
          <w:sz w:val="22"/>
          <w:szCs w:val="22"/>
        </w:rPr>
      </w:pPr>
      <w:r w:rsidRPr="004D3A3E">
        <w:rPr>
          <w:spacing w:val="-3"/>
          <w:sz w:val="22"/>
          <w:szCs w:val="22"/>
        </w:rPr>
        <w:t>The evidence in this case is sufficient to establish th</w:t>
      </w:r>
      <w:r w:rsidR="00286F24" w:rsidRPr="004D3A3E">
        <w:rPr>
          <w:spacing w:val="-3"/>
          <w:sz w:val="22"/>
          <w:szCs w:val="22"/>
        </w:rPr>
        <w:t xml:space="preserve">at </w:t>
      </w:r>
      <w:r w:rsidR="00225173">
        <w:rPr>
          <w:spacing w:val="-3"/>
          <w:sz w:val="22"/>
          <w:szCs w:val="22"/>
        </w:rPr>
        <w:t>Mr.</w:t>
      </w:r>
      <w:r w:rsidR="00EC1415">
        <w:rPr>
          <w:spacing w:val="-3"/>
          <w:sz w:val="22"/>
          <w:szCs w:val="22"/>
        </w:rPr>
        <w:t xml:space="preserve"> Guernsey</w:t>
      </w:r>
      <w:r w:rsidR="00286F24" w:rsidRPr="004D3A3E">
        <w:rPr>
          <w:spacing w:val="-3"/>
          <w:sz w:val="22"/>
          <w:szCs w:val="22"/>
        </w:rPr>
        <w:t xml:space="preserve"> violated Section 333 of the Act</w:t>
      </w:r>
      <w:r w:rsidR="00156CD9">
        <w:rPr>
          <w:spacing w:val="-3"/>
          <w:sz w:val="22"/>
          <w:szCs w:val="22"/>
        </w:rPr>
        <w:t xml:space="preserve"> and Section 97.101(d) of the Rules</w:t>
      </w:r>
      <w:r w:rsidR="00286F24" w:rsidRPr="004D3A3E">
        <w:rPr>
          <w:spacing w:val="-3"/>
          <w:sz w:val="22"/>
          <w:szCs w:val="22"/>
        </w:rPr>
        <w:t>.  Section</w:t>
      </w:r>
      <w:r w:rsidR="00286F24" w:rsidRPr="004D3A3E">
        <w:rPr>
          <w:b/>
          <w:spacing w:val="-2"/>
          <w:sz w:val="22"/>
          <w:szCs w:val="22"/>
        </w:rPr>
        <w:t xml:space="preserve"> </w:t>
      </w:r>
      <w:r w:rsidR="00286F24" w:rsidRPr="004D3A3E">
        <w:rPr>
          <w:iCs/>
          <w:sz w:val="22"/>
        </w:rPr>
        <w:t>333 of the Act states that “[n]o person shall willfully or maliciously interfere with or cause interference to any radio communications of any station licensed or authorized by or under the Act or operated</w:t>
      </w:r>
      <w:r w:rsidR="00286F24" w:rsidRPr="00A562A6">
        <w:rPr>
          <w:iCs/>
          <w:sz w:val="22"/>
        </w:rPr>
        <w:t xml:space="preserve"> by the United States </w:t>
      </w:r>
      <w:r w:rsidR="00FE366B">
        <w:rPr>
          <w:iCs/>
          <w:sz w:val="22"/>
        </w:rPr>
        <w:t>G</w:t>
      </w:r>
      <w:r w:rsidR="00FE366B" w:rsidRPr="00A562A6">
        <w:rPr>
          <w:iCs/>
          <w:sz w:val="22"/>
        </w:rPr>
        <w:t>overnment</w:t>
      </w:r>
      <w:r w:rsidR="00286F24">
        <w:rPr>
          <w:iCs/>
          <w:sz w:val="22"/>
        </w:rPr>
        <w:t>.</w:t>
      </w:r>
      <w:r w:rsidR="00286F24" w:rsidRPr="00A562A6">
        <w:rPr>
          <w:iCs/>
          <w:sz w:val="22"/>
        </w:rPr>
        <w:t>”</w:t>
      </w:r>
      <w:r w:rsidR="00522967">
        <w:rPr>
          <w:rStyle w:val="FootnoteReference"/>
          <w:iCs/>
          <w:sz w:val="22"/>
        </w:rPr>
        <w:footnoteReference w:id="9"/>
      </w:r>
      <w:r w:rsidR="00286F24">
        <w:rPr>
          <w:iCs/>
          <w:sz w:val="22"/>
        </w:rPr>
        <w:t xml:space="preserve">  </w:t>
      </w:r>
      <w:r w:rsidR="00522967" w:rsidRPr="008F343B">
        <w:rPr>
          <w:color w:val="000000"/>
          <w:sz w:val="22"/>
          <w:szCs w:val="22"/>
          <w:shd w:val="clear" w:color="auto" w:fill="FFFFFF"/>
        </w:rPr>
        <w:t xml:space="preserve">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w:t>
      </w:r>
      <w:r w:rsidR="00522967" w:rsidRPr="008F343B">
        <w:rPr>
          <w:color w:val="000000"/>
          <w:sz w:val="22"/>
          <w:szCs w:val="22"/>
          <w:shd w:val="clear" w:color="auto" w:fill="FFFFFF"/>
        </w:rPr>
        <w:lastRenderedPageBreak/>
        <w:t>other stations.”</w:t>
      </w:r>
      <w:bookmarkStart w:id="1" w:name="FN[FN11]"/>
      <w:bookmarkEnd w:id="1"/>
      <w:r w:rsidR="00522967">
        <w:rPr>
          <w:rStyle w:val="FootnoteReference"/>
          <w:color w:val="000000"/>
          <w:sz w:val="22"/>
          <w:szCs w:val="22"/>
          <w:shd w:val="clear" w:color="auto" w:fill="FFFFFF"/>
        </w:rPr>
        <w:footnoteReference w:id="10"/>
      </w:r>
      <w:r w:rsidR="00522967" w:rsidRPr="00FD4DF3">
        <w:rPr>
          <w:color w:val="000000"/>
          <w:sz w:val="22"/>
          <w:shd w:val="clear" w:color="auto" w:fill="FFFFFF"/>
        </w:rPr>
        <w:t xml:space="preserve">  </w:t>
      </w:r>
      <w:r w:rsidR="00156CD9">
        <w:rPr>
          <w:color w:val="000000"/>
          <w:sz w:val="22"/>
          <w:szCs w:val="22"/>
        </w:rPr>
        <w:t>Section 97.101(d) of the Rules states that “</w:t>
      </w:r>
      <w:r w:rsidR="00156CD9">
        <w:rPr>
          <w:color w:val="000000"/>
          <w:sz w:val="22"/>
          <w:szCs w:val="22"/>
          <w:shd w:val="clear" w:color="auto" w:fill="FFFFFF"/>
        </w:rPr>
        <w:t>[n]o amateur operator shall willfully or maliciously interfere with or cause interference to any radio communication or signal.”</w:t>
      </w:r>
      <w:r w:rsidR="00156CD9">
        <w:rPr>
          <w:rStyle w:val="FootnoteReference"/>
          <w:color w:val="000000"/>
          <w:sz w:val="22"/>
          <w:szCs w:val="22"/>
          <w:shd w:val="clear" w:color="auto" w:fill="FFFFFF"/>
        </w:rPr>
        <w:footnoteReference w:id="11"/>
      </w:r>
      <w:r w:rsidR="00156CD9">
        <w:rPr>
          <w:spacing w:val="-2"/>
          <w:sz w:val="22"/>
          <w:szCs w:val="22"/>
        </w:rPr>
        <w:t xml:space="preserve">  </w:t>
      </w:r>
      <w:r w:rsidR="00156CD9">
        <w:rPr>
          <w:iCs/>
          <w:sz w:val="22"/>
        </w:rPr>
        <w:t xml:space="preserve"> </w:t>
      </w:r>
    </w:p>
    <w:p w:rsidR="00CF74B6" w:rsidRPr="00211F2D" w:rsidRDefault="00156CD9" w:rsidP="00FD4DF3">
      <w:pPr>
        <w:widowControl/>
        <w:numPr>
          <w:ilvl w:val="0"/>
          <w:numId w:val="22"/>
        </w:numPr>
        <w:tabs>
          <w:tab w:val="clear" w:pos="1260"/>
          <w:tab w:val="num" w:pos="1440"/>
          <w:tab w:val="left" w:pos="4680"/>
          <w:tab w:val="left" w:pos="5760"/>
        </w:tabs>
        <w:spacing w:after="120"/>
        <w:ind w:left="0"/>
        <w:rPr>
          <w:b/>
          <w:color w:val="FF00FF"/>
          <w:spacing w:val="-2"/>
          <w:sz w:val="22"/>
          <w:szCs w:val="22"/>
        </w:rPr>
      </w:pPr>
      <w:r>
        <w:rPr>
          <w:iCs/>
          <w:sz w:val="22"/>
        </w:rPr>
        <w:t xml:space="preserve">On March 7, 2014, agents from the Detroit Office </w:t>
      </w:r>
      <w:r w:rsidR="00522967">
        <w:rPr>
          <w:iCs/>
          <w:sz w:val="22"/>
        </w:rPr>
        <w:t xml:space="preserve">located the source of interference to frequency </w:t>
      </w:r>
      <w:r w:rsidR="00522967" w:rsidRPr="00DE4A65">
        <w:rPr>
          <w:spacing w:val="-2"/>
          <w:sz w:val="22"/>
          <w:szCs w:val="22"/>
        </w:rPr>
        <w:t>14.313 MHz</w:t>
      </w:r>
      <w:r w:rsidR="00522967">
        <w:rPr>
          <w:iCs/>
          <w:sz w:val="22"/>
        </w:rPr>
        <w:t xml:space="preserve"> to </w:t>
      </w:r>
      <w:r w:rsidR="00522967" w:rsidRPr="00DE4A65">
        <w:rPr>
          <w:spacing w:val="-2"/>
          <w:sz w:val="22"/>
          <w:szCs w:val="22"/>
        </w:rPr>
        <w:t xml:space="preserve">the address of record for Mr. Guernsey’s </w:t>
      </w:r>
      <w:r w:rsidR="00522967" w:rsidRPr="00597628">
        <w:rPr>
          <w:spacing w:val="-2"/>
          <w:sz w:val="22"/>
          <w:szCs w:val="22"/>
        </w:rPr>
        <w:t>amateur station KZ8O</w:t>
      </w:r>
      <w:r w:rsidR="00522967">
        <w:rPr>
          <w:spacing w:val="-2"/>
          <w:sz w:val="22"/>
          <w:szCs w:val="22"/>
        </w:rPr>
        <w:t xml:space="preserve">.  The agents heard </w:t>
      </w:r>
      <w:r w:rsidR="00522967">
        <w:rPr>
          <w:iCs/>
          <w:sz w:val="22"/>
        </w:rPr>
        <w:t xml:space="preserve">Mr. Guernsey </w:t>
      </w:r>
      <w:r>
        <w:rPr>
          <w:iCs/>
          <w:sz w:val="22"/>
        </w:rPr>
        <w:t>intentional</w:t>
      </w:r>
      <w:r w:rsidR="00522967">
        <w:rPr>
          <w:iCs/>
          <w:sz w:val="22"/>
        </w:rPr>
        <w:t>ly interfering</w:t>
      </w:r>
      <w:r w:rsidR="00577134">
        <w:rPr>
          <w:iCs/>
          <w:sz w:val="22"/>
        </w:rPr>
        <w:t xml:space="preserve"> with</w:t>
      </w:r>
      <w:r w:rsidR="00522967">
        <w:rPr>
          <w:iCs/>
          <w:sz w:val="22"/>
        </w:rPr>
        <w:t xml:space="preserve"> other amateur licensees</w:t>
      </w:r>
      <w:r>
        <w:rPr>
          <w:iCs/>
          <w:sz w:val="22"/>
        </w:rPr>
        <w:t xml:space="preserve"> by transmitting </w:t>
      </w:r>
      <w:r w:rsidR="00522967">
        <w:rPr>
          <w:iCs/>
          <w:sz w:val="22"/>
        </w:rPr>
        <w:t xml:space="preserve">a prerecorded song and </w:t>
      </w:r>
      <w:r w:rsidR="00577134">
        <w:rPr>
          <w:iCs/>
          <w:sz w:val="22"/>
        </w:rPr>
        <w:t xml:space="preserve">various </w:t>
      </w:r>
      <w:r>
        <w:rPr>
          <w:iCs/>
          <w:sz w:val="22"/>
        </w:rPr>
        <w:t>anim</w:t>
      </w:r>
      <w:r w:rsidR="00522967">
        <w:rPr>
          <w:iCs/>
          <w:sz w:val="22"/>
        </w:rPr>
        <w:t>al noises.</w:t>
      </w:r>
      <w:r>
        <w:rPr>
          <w:iCs/>
          <w:sz w:val="22"/>
        </w:rPr>
        <w:t xml:space="preserve"> </w:t>
      </w:r>
      <w:r w:rsidR="00522967">
        <w:rPr>
          <w:iCs/>
          <w:sz w:val="22"/>
        </w:rPr>
        <w:t xml:space="preserve"> </w:t>
      </w:r>
      <w:r>
        <w:rPr>
          <w:iCs/>
          <w:sz w:val="22"/>
        </w:rPr>
        <w:t>T</w:t>
      </w:r>
      <w:r w:rsidR="005F750B">
        <w:rPr>
          <w:iCs/>
          <w:sz w:val="22"/>
        </w:rPr>
        <w:t xml:space="preserve">hese transmissions were a deliberate act to </w:t>
      </w:r>
      <w:r w:rsidR="00577134">
        <w:rPr>
          <w:iCs/>
          <w:sz w:val="22"/>
        </w:rPr>
        <w:t>monopolize</w:t>
      </w:r>
      <w:r w:rsidR="004D3A3E">
        <w:rPr>
          <w:iCs/>
          <w:sz w:val="22"/>
        </w:rPr>
        <w:t xml:space="preserve"> the frequency and prevent other amateur radio operators from conducting legitimate communications.</w:t>
      </w:r>
      <w:r w:rsidR="00CF74B6">
        <w:rPr>
          <w:rStyle w:val="FootnoteReference"/>
          <w:iCs/>
          <w:sz w:val="22"/>
        </w:rPr>
        <w:footnoteReference w:id="12"/>
      </w:r>
      <w:r w:rsidR="00225173">
        <w:rPr>
          <w:iCs/>
          <w:sz w:val="22"/>
        </w:rPr>
        <w:t xml:space="preserve">  </w:t>
      </w:r>
      <w:r w:rsidR="00286F24" w:rsidRPr="005F750B">
        <w:rPr>
          <w:spacing w:val="-2"/>
          <w:sz w:val="22"/>
          <w:szCs w:val="22"/>
        </w:rPr>
        <w:t xml:space="preserve">Based on the evidence before us, we find that </w:t>
      </w:r>
      <w:r w:rsidR="00225173">
        <w:rPr>
          <w:spacing w:val="-2"/>
          <w:sz w:val="22"/>
          <w:szCs w:val="22"/>
        </w:rPr>
        <w:t>Mr.</w:t>
      </w:r>
      <w:r w:rsidR="00EC1415">
        <w:rPr>
          <w:spacing w:val="-2"/>
          <w:sz w:val="22"/>
          <w:szCs w:val="22"/>
        </w:rPr>
        <w:t xml:space="preserve"> Guernsey </w:t>
      </w:r>
      <w:r w:rsidR="00286F24" w:rsidRPr="005F750B">
        <w:rPr>
          <w:spacing w:val="-2"/>
          <w:sz w:val="22"/>
          <w:szCs w:val="22"/>
        </w:rPr>
        <w:t>apparently willfully violated Section 333 of the Act</w:t>
      </w:r>
      <w:r>
        <w:rPr>
          <w:spacing w:val="-2"/>
          <w:sz w:val="22"/>
          <w:szCs w:val="22"/>
        </w:rPr>
        <w:t xml:space="preserve"> and Section 97.101(d) of the Rules by intentionally interfering with other licensed amateur radio communications.</w:t>
      </w:r>
    </w:p>
    <w:p w:rsidR="00286F24" w:rsidRPr="00211F2D" w:rsidRDefault="00650A4A" w:rsidP="00F93CB6">
      <w:pPr>
        <w:widowControl/>
        <w:numPr>
          <w:ilvl w:val="0"/>
          <w:numId w:val="33"/>
        </w:numPr>
        <w:tabs>
          <w:tab w:val="left" w:pos="0"/>
          <w:tab w:val="left" w:pos="720"/>
        </w:tabs>
        <w:suppressAutoHyphens/>
        <w:spacing w:after="120"/>
        <w:rPr>
          <w:b/>
          <w:spacing w:val="-3"/>
          <w:sz w:val="22"/>
          <w:szCs w:val="22"/>
        </w:rPr>
      </w:pPr>
      <w:r>
        <w:rPr>
          <w:b/>
          <w:spacing w:val="-3"/>
          <w:sz w:val="22"/>
          <w:szCs w:val="22"/>
        </w:rPr>
        <w:t>Failure to Transmit a Call Sign Identification</w:t>
      </w:r>
    </w:p>
    <w:p w:rsidR="00CF74B6" w:rsidRPr="00225173" w:rsidRDefault="005F750B" w:rsidP="00FD4DF3">
      <w:pPr>
        <w:widowControl/>
        <w:numPr>
          <w:ilvl w:val="0"/>
          <w:numId w:val="22"/>
        </w:numPr>
        <w:tabs>
          <w:tab w:val="clear" w:pos="1260"/>
          <w:tab w:val="left" w:pos="0"/>
          <w:tab w:val="num" w:pos="1440"/>
          <w:tab w:val="left" w:pos="4680"/>
          <w:tab w:val="left" w:pos="5760"/>
        </w:tabs>
        <w:suppressAutoHyphens/>
        <w:spacing w:after="120"/>
        <w:ind w:left="0"/>
        <w:rPr>
          <w:spacing w:val="-2"/>
          <w:sz w:val="22"/>
          <w:szCs w:val="22"/>
        </w:rPr>
      </w:pPr>
      <w:r w:rsidRPr="00B25C02">
        <w:rPr>
          <w:spacing w:val="-2"/>
          <w:sz w:val="22"/>
          <w:szCs w:val="22"/>
        </w:rPr>
        <w:t xml:space="preserve">The evidence in this case </w:t>
      </w:r>
      <w:r w:rsidR="00225173">
        <w:rPr>
          <w:spacing w:val="-2"/>
          <w:sz w:val="22"/>
          <w:szCs w:val="22"/>
        </w:rPr>
        <w:t xml:space="preserve">also </w:t>
      </w:r>
      <w:r w:rsidRPr="00B25C02">
        <w:rPr>
          <w:spacing w:val="-2"/>
          <w:sz w:val="22"/>
          <w:szCs w:val="22"/>
        </w:rPr>
        <w:t xml:space="preserve">is sufficient to establish that </w:t>
      </w:r>
      <w:r w:rsidR="00225173">
        <w:rPr>
          <w:spacing w:val="-2"/>
          <w:sz w:val="22"/>
          <w:szCs w:val="22"/>
        </w:rPr>
        <w:t>Mr.</w:t>
      </w:r>
      <w:r w:rsidR="00275D9B" w:rsidRPr="00D5087E">
        <w:rPr>
          <w:spacing w:val="-2"/>
          <w:sz w:val="22"/>
          <w:szCs w:val="22"/>
        </w:rPr>
        <w:t xml:space="preserve"> Guernsey </w:t>
      </w:r>
      <w:r w:rsidRPr="00D5087E">
        <w:rPr>
          <w:spacing w:val="-2"/>
          <w:sz w:val="22"/>
          <w:szCs w:val="22"/>
        </w:rPr>
        <w:t>violated Section 97.11</w:t>
      </w:r>
      <w:r w:rsidR="009E0D1C" w:rsidRPr="00B25C02">
        <w:rPr>
          <w:spacing w:val="-2"/>
          <w:sz w:val="22"/>
          <w:szCs w:val="22"/>
        </w:rPr>
        <w:t>9</w:t>
      </w:r>
      <w:r w:rsidRPr="00B25C02">
        <w:rPr>
          <w:spacing w:val="-2"/>
          <w:sz w:val="22"/>
          <w:szCs w:val="22"/>
        </w:rPr>
        <w:t>(</w:t>
      </w:r>
      <w:r w:rsidR="009E0D1C" w:rsidRPr="00B25C02">
        <w:rPr>
          <w:spacing w:val="-2"/>
          <w:sz w:val="22"/>
          <w:szCs w:val="22"/>
        </w:rPr>
        <w:t>a</w:t>
      </w:r>
      <w:r w:rsidRPr="00B25C02">
        <w:rPr>
          <w:spacing w:val="-2"/>
          <w:sz w:val="22"/>
          <w:szCs w:val="22"/>
        </w:rPr>
        <w:t xml:space="preserve">) of the Rules.  </w:t>
      </w:r>
      <w:r w:rsidR="004D3A3E" w:rsidRPr="00B25C02">
        <w:rPr>
          <w:spacing w:val="-2"/>
          <w:sz w:val="22"/>
          <w:szCs w:val="22"/>
        </w:rPr>
        <w:t>Section 97.11</w:t>
      </w:r>
      <w:r w:rsidR="009E0D1C" w:rsidRPr="00B25C02">
        <w:rPr>
          <w:spacing w:val="-2"/>
          <w:sz w:val="22"/>
          <w:szCs w:val="22"/>
        </w:rPr>
        <w:t>9</w:t>
      </w:r>
      <w:r w:rsidR="004D3A3E" w:rsidRPr="00B25C02">
        <w:rPr>
          <w:spacing w:val="-2"/>
          <w:sz w:val="22"/>
          <w:szCs w:val="22"/>
        </w:rPr>
        <w:t>(</w:t>
      </w:r>
      <w:r w:rsidR="009E0D1C" w:rsidRPr="00B25C02">
        <w:rPr>
          <w:spacing w:val="-2"/>
          <w:sz w:val="22"/>
          <w:szCs w:val="22"/>
        </w:rPr>
        <w:t>a</w:t>
      </w:r>
      <w:r w:rsidR="004D3A3E" w:rsidRPr="00B25C02">
        <w:rPr>
          <w:spacing w:val="-2"/>
          <w:sz w:val="22"/>
          <w:szCs w:val="22"/>
        </w:rPr>
        <w:t xml:space="preserve">) of the Rules states that “[e]ach </w:t>
      </w:r>
      <w:r w:rsidR="00225173">
        <w:rPr>
          <w:spacing w:val="-2"/>
          <w:sz w:val="22"/>
          <w:szCs w:val="22"/>
        </w:rPr>
        <w:t xml:space="preserve">amateur station . . . </w:t>
      </w:r>
      <w:r w:rsidR="004D3A3E" w:rsidRPr="00B25C02">
        <w:rPr>
          <w:spacing w:val="-2"/>
          <w:sz w:val="22"/>
          <w:szCs w:val="22"/>
        </w:rPr>
        <w:t>must transmit its assigned call sign on its transmitting channel at the end of each communication, and at least every 10 minutes during a communication, for the purpose of clearly making the source of the transmissions from the station known to those receivi</w:t>
      </w:r>
      <w:r w:rsidR="00CE2E71" w:rsidRPr="00B25C02">
        <w:rPr>
          <w:spacing w:val="-2"/>
          <w:sz w:val="22"/>
          <w:szCs w:val="22"/>
        </w:rPr>
        <w:t>ng the transmissions.”</w:t>
      </w:r>
      <w:r w:rsidR="00225173">
        <w:rPr>
          <w:rStyle w:val="FootnoteReference"/>
          <w:spacing w:val="-2"/>
          <w:sz w:val="22"/>
          <w:szCs w:val="22"/>
        </w:rPr>
        <w:footnoteReference w:id="13"/>
      </w:r>
      <w:r w:rsidR="00CE2E71" w:rsidRPr="00B25C02">
        <w:rPr>
          <w:spacing w:val="-2"/>
          <w:sz w:val="22"/>
          <w:szCs w:val="22"/>
        </w:rPr>
        <w:t xml:space="preserve">  </w:t>
      </w:r>
      <w:r w:rsidR="00CE2E71" w:rsidRPr="00225173">
        <w:rPr>
          <w:spacing w:val="-2"/>
          <w:sz w:val="22"/>
          <w:szCs w:val="22"/>
        </w:rPr>
        <w:t xml:space="preserve">On March </w:t>
      </w:r>
      <w:r w:rsidR="00275D9B" w:rsidRPr="00225173">
        <w:rPr>
          <w:spacing w:val="-2"/>
          <w:sz w:val="22"/>
          <w:szCs w:val="22"/>
        </w:rPr>
        <w:t>7</w:t>
      </w:r>
      <w:r w:rsidR="00CE2E71" w:rsidRPr="00225173">
        <w:rPr>
          <w:spacing w:val="-2"/>
          <w:sz w:val="22"/>
          <w:szCs w:val="22"/>
        </w:rPr>
        <w:t>, 2014</w:t>
      </w:r>
      <w:r w:rsidR="0076083C" w:rsidRPr="00225173">
        <w:rPr>
          <w:spacing w:val="-2"/>
          <w:sz w:val="22"/>
          <w:szCs w:val="22"/>
        </w:rPr>
        <w:t>,</w:t>
      </w:r>
      <w:r w:rsidR="00CE2E71" w:rsidRPr="00225173">
        <w:rPr>
          <w:spacing w:val="-2"/>
          <w:sz w:val="22"/>
          <w:szCs w:val="22"/>
        </w:rPr>
        <w:t xml:space="preserve"> </w:t>
      </w:r>
      <w:r w:rsidR="00156CD9" w:rsidRPr="00225173">
        <w:rPr>
          <w:spacing w:val="-2"/>
          <w:sz w:val="22"/>
          <w:szCs w:val="22"/>
        </w:rPr>
        <w:t xml:space="preserve">agents from the </w:t>
      </w:r>
      <w:r w:rsidR="00275D9B" w:rsidRPr="00225173">
        <w:rPr>
          <w:spacing w:val="-2"/>
          <w:sz w:val="22"/>
          <w:szCs w:val="22"/>
        </w:rPr>
        <w:t xml:space="preserve">Detroit </w:t>
      </w:r>
      <w:r w:rsidR="00CE2E71" w:rsidRPr="00225173">
        <w:rPr>
          <w:spacing w:val="-2"/>
          <w:sz w:val="22"/>
          <w:szCs w:val="22"/>
        </w:rPr>
        <w:t xml:space="preserve">Office </w:t>
      </w:r>
      <w:r w:rsidR="00225173">
        <w:rPr>
          <w:sz w:val="22"/>
        </w:rPr>
        <w:t xml:space="preserve">monitored </w:t>
      </w:r>
      <w:r w:rsidR="00225173">
        <w:rPr>
          <w:iCs/>
          <w:sz w:val="22"/>
        </w:rPr>
        <w:t xml:space="preserve">frequency </w:t>
      </w:r>
      <w:r w:rsidR="00225173" w:rsidRPr="00DE4A65">
        <w:rPr>
          <w:spacing w:val="-2"/>
          <w:sz w:val="22"/>
          <w:szCs w:val="22"/>
        </w:rPr>
        <w:t>14.313 MHz</w:t>
      </w:r>
      <w:r w:rsidR="00225173">
        <w:rPr>
          <w:iCs/>
          <w:sz w:val="22"/>
        </w:rPr>
        <w:t xml:space="preserve"> for approximately 40 minutes and heard </w:t>
      </w:r>
      <w:r w:rsidR="004D3A3E" w:rsidRPr="00225173">
        <w:rPr>
          <w:sz w:val="22"/>
        </w:rPr>
        <w:t xml:space="preserve">transmissions by </w:t>
      </w:r>
      <w:r w:rsidR="00225173">
        <w:rPr>
          <w:sz w:val="22"/>
        </w:rPr>
        <w:t>Mr.</w:t>
      </w:r>
      <w:r w:rsidR="00275D9B" w:rsidRPr="00225173">
        <w:rPr>
          <w:sz w:val="22"/>
        </w:rPr>
        <w:t xml:space="preserve"> Guernsey </w:t>
      </w:r>
      <w:r w:rsidR="004D3A3E" w:rsidRPr="00225173">
        <w:rPr>
          <w:sz w:val="22"/>
        </w:rPr>
        <w:t xml:space="preserve">in which </w:t>
      </w:r>
      <w:r w:rsidR="00CE2E71" w:rsidRPr="00225173">
        <w:rPr>
          <w:sz w:val="22"/>
        </w:rPr>
        <w:t xml:space="preserve">he </w:t>
      </w:r>
      <w:r w:rsidR="004D3A3E" w:rsidRPr="00225173">
        <w:rPr>
          <w:sz w:val="22"/>
        </w:rPr>
        <w:t>failed to t</w:t>
      </w:r>
      <w:r w:rsidR="00577134">
        <w:rPr>
          <w:sz w:val="22"/>
        </w:rPr>
        <w:t>ransmit his assigned call sign</w:t>
      </w:r>
      <w:r w:rsidR="004D3A3E" w:rsidRPr="00225173">
        <w:rPr>
          <w:sz w:val="22"/>
        </w:rPr>
        <w:t>.</w:t>
      </w:r>
      <w:r w:rsidR="00225173">
        <w:rPr>
          <w:sz w:val="22"/>
        </w:rPr>
        <w:t xml:space="preserve">  </w:t>
      </w:r>
      <w:r w:rsidR="00225173" w:rsidRPr="005F750B">
        <w:rPr>
          <w:spacing w:val="-2"/>
          <w:sz w:val="22"/>
          <w:szCs w:val="22"/>
        </w:rPr>
        <w:t xml:space="preserve">Based on the evidence before us, we find that </w:t>
      </w:r>
      <w:r w:rsidR="00225173">
        <w:rPr>
          <w:spacing w:val="-2"/>
          <w:sz w:val="22"/>
          <w:szCs w:val="22"/>
        </w:rPr>
        <w:t xml:space="preserve">Mr. Guernsey </w:t>
      </w:r>
      <w:r w:rsidR="00225173" w:rsidRPr="005F750B">
        <w:rPr>
          <w:spacing w:val="-2"/>
          <w:sz w:val="22"/>
          <w:szCs w:val="22"/>
        </w:rPr>
        <w:t xml:space="preserve">apparently willfully violated </w:t>
      </w:r>
      <w:r w:rsidR="009E7749">
        <w:rPr>
          <w:spacing w:val="-2"/>
          <w:sz w:val="22"/>
          <w:szCs w:val="22"/>
        </w:rPr>
        <w:t xml:space="preserve">Section </w:t>
      </w:r>
      <w:r w:rsidR="00225173" w:rsidRPr="00B25C02">
        <w:rPr>
          <w:spacing w:val="-2"/>
          <w:sz w:val="22"/>
          <w:szCs w:val="22"/>
        </w:rPr>
        <w:t xml:space="preserve">97.119(a) of the Rules </w:t>
      </w:r>
      <w:r w:rsidR="00225173">
        <w:rPr>
          <w:spacing w:val="-2"/>
          <w:sz w:val="22"/>
          <w:szCs w:val="22"/>
        </w:rPr>
        <w:t xml:space="preserve">by </w:t>
      </w:r>
      <w:r w:rsidR="00225173" w:rsidRPr="002F7017">
        <w:rPr>
          <w:spacing w:val="-2"/>
          <w:sz w:val="22"/>
          <w:szCs w:val="22"/>
        </w:rPr>
        <w:t>failing to transmit his assigned call sign</w:t>
      </w:r>
      <w:r w:rsidR="00225173">
        <w:rPr>
          <w:spacing w:val="-2"/>
          <w:sz w:val="22"/>
          <w:szCs w:val="22"/>
        </w:rPr>
        <w:t>.</w:t>
      </w:r>
    </w:p>
    <w:p w:rsidR="00F46870" w:rsidRPr="00211F2D" w:rsidRDefault="00A13424" w:rsidP="00F93CB6">
      <w:pPr>
        <w:widowControl/>
        <w:numPr>
          <w:ilvl w:val="0"/>
          <w:numId w:val="33"/>
        </w:numPr>
        <w:tabs>
          <w:tab w:val="left" w:pos="0"/>
          <w:tab w:val="left" w:pos="720"/>
        </w:tabs>
        <w:suppressAutoHyphens/>
        <w:spacing w:after="120"/>
        <w:rPr>
          <w:b/>
          <w:spacing w:val="-2"/>
          <w:sz w:val="22"/>
          <w:szCs w:val="22"/>
        </w:rPr>
      </w:pPr>
      <w:r>
        <w:rPr>
          <w:b/>
          <w:spacing w:val="-2"/>
          <w:sz w:val="22"/>
          <w:szCs w:val="22"/>
        </w:rPr>
        <w:t>Proposed Forfeiture</w:t>
      </w:r>
    </w:p>
    <w:p w:rsidR="00CC29A4" w:rsidRDefault="007E2E05" w:rsidP="00211F2D">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195ECB">
        <w:rPr>
          <w:spacing w:val="-2"/>
          <w:sz w:val="22"/>
          <w:szCs w:val="22"/>
        </w:rPr>
        <w:t>Pursuant to the Commission’s</w:t>
      </w:r>
      <w:r w:rsidRPr="00195ECB">
        <w:rPr>
          <w:i/>
          <w:spacing w:val="-2"/>
          <w:sz w:val="22"/>
          <w:szCs w:val="22"/>
        </w:rPr>
        <w:t xml:space="preserve"> Forfeiture Policy Statement</w:t>
      </w:r>
      <w:r w:rsidR="00D57AE2" w:rsidRPr="00195ECB">
        <w:rPr>
          <w:spacing w:val="-2"/>
          <w:sz w:val="22"/>
          <w:szCs w:val="22"/>
        </w:rPr>
        <w:t xml:space="preserve"> and S</w:t>
      </w:r>
      <w:r w:rsidRPr="00195ECB">
        <w:rPr>
          <w:spacing w:val="-2"/>
          <w:sz w:val="22"/>
          <w:szCs w:val="22"/>
        </w:rPr>
        <w:t xml:space="preserve">ection 1.80 of the Rules, </w:t>
      </w:r>
      <w:r w:rsidR="00195ECB" w:rsidRPr="00195ECB">
        <w:rPr>
          <w:spacing w:val="-2"/>
          <w:sz w:val="22"/>
          <w:szCs w:val="22"/>
        </w:rPr>
        <w:t>the base forfeiture amount for interference is $7,000</w:t>
      </w:r>
      <w:r w:rsidR="00662C5C">
        <w:rPr>
          <w:spacing w:val="-2"/>
          <w:sz w:val="22"/>
          <w:szCs w:val="22"/>
        </w:rPr>
        <w:t xml:space="preserve"> </w:t>
      </w:r>
      <w:r w:rsidR="00195ECB" w:rsidRPr="00195ECB">
        <w:rPr>
          <w:spacing w:val="-2"/>
          <w:sz w:val="22"/>
          <w:szCs w:val="22"/>
        </w:rPr>
        <w:t>and the base forfeiture amount for failure to provide station identification is $1,000</w:t>
      </w:r>
      <w:r w:rsidR="00050854" w:rsidRPr="00195ECB">
        <w:rPr>
          <w:spacing w:val="-2"/>
          <w:sz w:val="22"/>
          <w:szCs w:val="22"/>
        </w:rPr>
        <w:t>.</w:t>
      </w:r>
      <w:r w:rsidR="00050854" w:rsidRPr="00E34AAE">
        <w:rPr>
          <w:rStyle w:val="FootnoteReference"/>
          <w:spacing w:val="-2"/>
          <w:sz w:val="22"/>
          <w:szCs w:val="22"/>
        </w:rPr>
        <w:footnoteReference w:id="14"/>
      </w:r>
      <w:r w:rsidR="00050854" w:rsidRPr="00195ECB">
        <w:rPr>
          <w:spacing w:val="-2"/>
          <w:sz w:val="22"/>
          <w:szCs w:val="22"/>
        </w:rPr>
        <w:t xml:space="preserve">  </w:t>
      </w:r>
      <w:r w:rsidR="00CC29A4">
        <w:rPr>
          <w:spacing w:val="-2"/>
          <w:sz w:val="22"/>
          <w:szCs w:val="22"/>
        </w:rPr>
        <w:t xml:space="preserve">We retain the discretion, however, to issue a higher or lower forfeiture than provided in the </w:t>
      </w:r>
      <w:r w:rsidR="00CC29A4">
        <w:rPr>
          <w:i/>
          <w:spacing w:val="-2"/>
          <w:sz w:val="22"/>
          <w:szCs w:val="22"/>
        </w:rPr>
        <w:t xml:space="preserve">Forfeiture Policy Statement </w:t>
      </w:r>
      <w:r w:rsidR="00CC29A4">
        <w:rPr>
          <w:spacing w:val="-2"/>
          <w:sz w:val="22"/>
          <w:szCs w:val="22"/>
        </w:rPr>
        <w:t>or to apply alternative or additional sanctions as permitted by statute, subject to the statutory cap.</w:t>
      </w:r>
      <w:r w:rsidR="00CC29A4">
        <w:rPr>
          <w:rStyle w:val="FootnoteReference"/>
          <w:spacing w:val="-2"/>
          <w:sz w:val="22"/>
          <w:szCs w:val="22"/>
        </w:rPr>
        <w:footnoteReference w:id="15"/>
      </w:r>
      <w:r w:rsidR="00CC29A4">
        <w:rPr>
          <w:spacing w:val="-2"/>
          <w:sz w:val="22"/>
          <w:szCs w:val="22"/>
        </w:rPr>
        <w:t xml:space="preserve">  </w:t>
      </w:r>
      <w:r w:rsidR="00050854" w:rsidRPr="00195ECB">
        <w:rPr>
          <w:spacing w:val="-2"/>
          <w:sz w:val="22"/>
          <w:szCs w:val="22"/>
        </w:rPr>
        <w:t xml:space="preserve">In assessing the monetary </w:t>
      </w:r>
      <w:r w:rsidR="00577134">
        <w:rPr>
          <w:spacing w:val="-2"/>
          <w:sz w:val="22"/>
          <w:szCs w:val="22"/>
        </w:rPr>
        <w:t xml:space="preserve">forfeiture amount, we must </w:t>
      </w:r>
      <w:r w:rsidR="00050854" w:rsidRPr="00195ECB">
        <w:rPr>
          <w:spacing w:val="-2"/>
          <w:sz w:val="22"/>
          <w:szCs w:val="22"/>
        </w:rPr>
        <w:t xml:space="preserve">take into account the statutory factors </w:t>
      </w:r>
      <w:r w:rsidR="00D57AE2" w:rsidRPr="00195ECB">
        <w:rPr>
          <w:spacing w:val="-2"/>
          <w:sz w:val="22"/>
          <w:szCs w:val="22"/>
        </w:rPr>
        <w:t>set forth in S</w:t>
      </w:r>
      <w:r w:rsidR="00D15A5F" w:rsidRPr="00195ECB">
        <w:rPr>
          <w:spacing w:val="-2"/>
          <w:sz w:val="22"/>
          <w:szCs w:val="22"/>
        </w:rPr>
        <w:t>ection 503(b)(2)(E</w:t>
      </w:r>
      <w:r w:rsidR="00050854" w:rsidRPr="00195ECB">
        <w:rPr>
          <w:spacing w:val="-2"/>
          <w:sz w:val="22"/>
          <w:szCs w:val="22"/>
        </w:rPr>
        <w:t>) of the Act, which include the nature, circumstances, extent, and gravity of the violations, and with respect to the violator</w:t>
      </w:r>
      <w:r w:rsidR="003E2AD5" w:rsidRPr="00195ECB">
        <w:rPr>
          <w:spacing w:val="-2"/>
          <w:sz w:val="22"/>
          <w:szCs w:val="22"/>
        </w:rPr>
        <w:t>, the degree of culpability, any</w:t>
      </w:r>
      <w:r w:rsidR="00050854" w:rsidRPr="00195ECB">
        <w:rPr>
          <w:spacing w:val="-2"/>
          <w:sz w:val="22"/>
          <w:szCs w:val="22"/>
        </w:rPr>
        <w:t xml:space="preserve"> history of prior offenses, ability to pay, and other such matters as justice may require.</w:t>
      </w:r>
      <w:r w:rsidR="00050854" w:rsidRPr="00E34AAE">
        <w:rPr>
          <w:rStyle w:val="FootnoteReference"/>
          <w:spacing w:val="-2"/>
          <w:sz w:val="22"/>
          <w:szCs w:val="22"/>
        </w:rPr>
        <w:footnoteReference w:id="16"/>
      </w:r>
      <w:r w:rsidR="00E73183">
        <w:rPr>
          <w:spacing w:val="-2"/>
          <w:sz w:val="22"/>
          <w:szCs w:val="22"/>
        </w:rPr>
        <w:t xml:space="preserve">  </w:t>
      </w:r>
    </w:p>
    <w:p w:rsidR="00050854" w:rsidRPr="00240998" w:rsidRDefault="00E73183" w:rsidP="00FD4DF3">
      <w:pPr>
        <w:widowControl/>
        <w:numPr>
          <w:ilvl w:val="0"/>
          <w:numId w:val="22"/>
        </w:numPr>
        <w:tabs>
          <w:tab w:val="clear" w:pos="1260"/>
          <w:tab w:val="num" w:pos="1440"/>
          <w:tab w:val="left" w:pos="4680"/>
          <w:tab w:val="left" w:pos="5760"/>
        </w:tabs>
        <w:suppressAutoHyphens/>
        <w:spacing w:after="120"/>
        <w:ind w:left="0"/>
        <w:rPr>
          <w:spacing w:val="-2"/>
          <w:sz w:val="22"/>
          <w:szCs w:val="22"/>
        </w:rPr>
      </w:pPr>
      <w:r>
        <w:rPr>
          <w:spacing w:val="-2"/>
          <w:sz w:val="22"/>
          <w:szCs w:val="22"/>
        </w:rPr>
        <w:t xml:space="preserve">The fact that Mr. Guernsey </w:t>
      </w:r>
      <w:r w:rsidR="00CC29A4">
        <w:rPr>
          <w:spacing w:val="-2"/>
          <w:sz w:val="22"/>
          <w:szCs w:val="22"/>
        </w:rPr>
        <w:t xml:space="preserve">intentionally </w:t>
      </w:r>
      <w:r>
        <w:rPr>
          <w:spacing w:val="-2"/>
          <w:sz w:val="22"/>
          <w:szCs w:val="22"/>
        </w:rPr>
        <w:t xml:space="preserve">interfered with other </w:t>
      </w:r>
      <w:r w:rsidR="00CC29A4">
        <w:rPr>
          <w:spacing w:val="-2"/>
          <w:sz w:val="22"/>
          <w:szCs w:val="22"/>
        </w:rPr>
        <w:t>amateur licensees</w:t>
      </w:r>
      <w:r>
        <w:rPr>
          <w:spacing w:val="-2"/>
          <w:sz w:val="22"/>
          <w:szCs w:val="22"/>
        </w:rPr>
        <w:t xml:space="preserve"> despite </w:t>
      </w:r>
      <w:r w:rsidR="00CC29A4">
        <w:rPr>
          <w:spacing w:val="-2"/>
          <w:sz w:val="22"/>
          <w:szCs w:val="22"/>
        </w:rPr>
        <w:t xml:space="preserve">multiple written warnings </w:t>
      </w:r>
      <w:r w:rsidR="00577134">
        <w:rPr>
          <w:spacing w:val="-2"/>
          <w:sz w:val="22"/>
          <w:szCs w:val="22"/>
        </w:rPr>
        <w:t>from the Enforcement Bureau that such action</w:t>
      </w:r>
      <w:r>
        <w:rPr>
          <w:spacing w:val="-2"/>
          <w:sz w:val="22"/>
          <w:szCs w:val="22"/>
        </w:rPr>
        <w:t xml:space="preserve"> violate</w:t>
      </w:r>
      <w:r w:rsidR="00CC29A4">
        <w:rPr>
          <w:spacing w:val="-2"/>
          <w:sz w:val="22"/>
          <w:szCs w:val="22"/>
        </w:rPr>
        <w:t>d the Act and Rules demonstrates</w:t>
      </w:r>
      <w:r>
        <w:rPr>
          <w:spacing w:val="-2"/>
          <w:sz w:val="22"/>
          <w:szCs w:val="22"/>
        </w:rPr>
        <w:t xml:space="preserve"> a deliberate disregard for th</w:t>
      </w:r>
      <w:r w:rsidR="00CC29A4">
        <w:rPr>
          <w:spacing w:val="-2"/>
          <w:sz w:val="22"/>
          <w:szCs w:val="22"/>
        </w:rPr>
        <w:t xml:space="preserve">e Commission’s </w:t>
      </w:r>
      <w:r>
        <w:rPr>
          <w:spacing w:val="-2"/>
          <w:sz w:val="22"/>
          <w:szCs w:val="22"/>
        </w:rPr>
        <w:t>authority.</w:t>
      </w:r>
      <w:r>
        <w:rPr>
          <w:rStyle w:val="FootnoteReference"/>
          <w:spacing w:val="-2"/>
          <w:sz w:val="22"/>
          <w:szCs w:val="22"/>
        </w:rPr>
        <w:footnoteReference w:id="17"/>
      </w:r>
      <w:r>
        <w:rPr>
          <w:spacing w:val="-2"/>
          <w:sz w:val="22"/>
          <w:szCs w:val="22"/>
        </w:rPr>
        <w:t xml:space="preserve">  </w:t>
      </w:r>
      <w:r w:rsidR="00240998">
        <w:rPr>
          <w:spacing w:val="-2"/>
          <w:sz w:val="22"/>
          <w:szCs w:val="22"/>
        </w:rPr>
        <w:t>Thus, we find that a $14,000</w:t>
      </w:r>
      <w:r w:rsidRPr="00240998">
        <w:rPr>
          <w:spacing w:val="-2"/>
          <w:sz w:val="22"/>
          <w:szCs w:val="22"/>
        </w:rPr>
        <w:t xml:space="preserve"> upward adjustment </w:t>
      </w:r>
      <w:r w:rsidR="00240998">
        <w:rPr>
          <w:spacing w:val="-2"/>
          <w:sz w:val="22"/>
          <w:szCs w:val="22"/>
        </w:rPr>
        <w:t xml:space="preserve">to the proposed forfeiture </w:t>
      </w:r>
      <w:r w:rsidRPr="00240998">
        <w:rPr>
          <w:spacing w:val="-2"/>
          <w:sz w:val="22"/>
          <w:szCs w:val="22"/>
        </w:rPr>
        <w:t>is warranted.</w:t>
      </w:r>
      <w:r w:rsidR="00240998">
        <w:rPr>
          <w:rStyle w:val="FootnoteReference"/>
          <w:spacing w:val="-2"/>
          <w:sz w:val="22"/>
          <w:szCs w:val="22"/>
        </w:rPr>
        <w:footnoteReference w:id="18"/>
      </w:r>
      <w:r w:rsidR="00D97781">
        <w:rPr>
          <w:spacing w:val="-2"/>
          <w:sz w:val="22"/>
          <w:szCs w:val="22"/>
        </w:rPr>
        <w:t xml:space="preserve">  </w:t>
      </w:r>
      <w:r w:rsidRPr="00240998">
        <w:rPr>
          <w:spacing w:val="-2"/>
          <w:sz w:val="22"/>
          <w:szCs w:val="22"/>
        </w:rPr>
        <w:t>Ap</w:t>
      </w:r>
      <w:r w:rsidR="00050854" w:rsidRPr="00240998">
        <w:rPr>
          <w:spacing w:val="-2"/>
          <w:sz w:val="22"/>
          <w:szCs w:val="22"/>
        </w:rPr>
        <w:t xml:space="preserve">plying the </w:t>
      </w:r>
      <w:r w:rsidR="00050854" w:rsidRPr="00240998">
        <w:rPr>
          <w:i/>
          <w:spacing w:val="-2"/>
          <w:sz w:val="22"/>
          <w:szCs w:val="22"/>
        </w:rPr>
        <w:t>Forfeiture Policy Statement</w:t>
      </w:r>
      <w:r w:rsidR="00D57AE2" w:rsidRPr="00240998">
        <w:rPr>
          <w:spacing w:val="-2"/>
          <w:sz w:val="22"/>
          <w:szCs w:val="22"/>
        </w:rPr>
        <w:t>, S</w:t>
      </w:r>
      <w:r w:rsidR="00260C08" w:rsidRPr="00240998">
        <w:rPr>
          <w:spacing w:val="-2"/>
          <w:sz w:val="22"/>
          <w:szCs w:val="22"/>
        </w:rPr>
        <w:t>ection 1.80</w:t>
      </w:r>
      <w:r w:rsidR="000E2560" w:rsidRPr="00240998">
        <w:rPr>
          <w:spacing w:val="-2"/>
          <w:sz w:val="22"/>
          <w:szCs w:val="22"/>
        </w:rPr>
        <w:t xml:space="preserve"> of the Rules</w:t>
      </w:r>
      <w:r w:rsidR="00260C08" w:rsidRPr="00240998">
        <w:rPr>
          <w:spacing w:val="-2"/>
          <w:sz w:val="22"/>
          <w:szCs w:val="22"/>
        </w:rPr>
        <w:t xml:space="preserve">, and </w:t>
      </w:r>
      <w:r w:rsidR="00050854" w:rsidRPr="00240998">
        <w:rPr>
          <w:spacing w:val="-2"/>
          <w:sz w:val="22"/>
          <w:szCs w:val="22"/>
        </w:rPr>
        <w:t>the statutory factors</w:t>
      </w:r>
      <w:r w:rsidR="00787C4B" w:rsidRPr="00240998">
        <w:rPr>
          <w:spacing w:val="-2"/>
          <w:sz w:val="22"/>
          <w:szCs w:val="22"/>
        </w:rPr>
        <w:t xml:space="preserve"> to the instant case, we conclude that</w:t>
      </w:r>
      <w:r w:rsidR="00195ECB" w:rsidRPr="00240998">
        <w:rPr>
          <w:spacing w:val="-2"/>
          <w:sz w:val="22"/>
          <w:szCs w:val="22"/>
        </w:rPr>
        <w:t xml:space="preserve"> </w:t>
      </w:r>
      <w:r w:rsidR="00225173" w:rsidRPr="00240998">
        <w:rPr>
          <w:spacing w:val="-2"/>
          <w:sz w:val="22"/>
          <w:szCs w:val="22"/>
        </w:rPr>
        <w:t>Mr.</w:t>
      </w:r>
      <w:r w:rsidR="00275D9B" w:rsidRPr="00240998">
        <w:rPr>
          <w:spacing w:val="-2"/>
          <w:sz w:val="22"/>
          <w:szCs w:val="22"/>
        </w:rPr>
        <w:t xml:space="preserve"> Guernsey </w:t>
      </w:r>
      <w:r w:rsidR="00787C4B" w:rsidRPr="00240998">
        <w:rPr>
          <w:spacing w:val="-2"/>
          <w:sz w:val="22"/>
          <w:szCs w:val="22"/>
        </w:rPr>
        <w:t>is apparently liable for a</w:t>
      </w:r>
      <w:r w:rsidR="00195ECB" w:rsidRPr="00240998">
        <w:rPr>
          <w:spacing w:val="-2"/>
          <w:sz w:val="22"/>
          <w:szCs w:val="22"/>
        </w:rPr>
        <w:t xml:space="preserve"> total </w:t>
      </w:r>
      <w:r w:rsidR="00050854" w:rsidRPr="00240998">
        <w:rPr>
          <w:spacing w:val="-2"/>
          <w:sz w:val="22"/>
          <w:szCs w:val="22"/>
        </w:rPr>
        <w:t>forfeiture</w:t>
      </w:r>
      <w:r w:rsidR="00E847E3" w:rsidRPr="00240998">
        <w:rPr>
          <w:spacing w:val="-2"/>
          <w:sz w:val="22"/>
          <w:szCs w:val="22"/>
        </w:rPr>
        <w:t xml:space="preserve"> </w:t>
      </w:r>
      <w:r w:rsidR="00337B75" w:rsidRPr="00240998">
        <w:rPr>
          <w:spacing w:val="-2"/>
          <w:sz w:val="22"/>
          <w:szCs w:val="22"/>
        </w:rPr>
        <w:t xml:space="preserve">in the amount </w:t>
      </w:r>
      <w:r w:rsidR="00E847E3" w:rsidRPr="00240998">
        <w:rPr>
          <w:spacing w:val="-2"/>
          <w:sz w:val="22"/>
          <w:szCs w:val="22"/>
        </w:rPr>
        <w:t>of $</w:t>
      </w:r>
      <w:r w:rsidR="00156CD9" w:rsidRPr="00240998">
        <w:rPr>
          <w:spacing w:val="-2"/>
          <w:sz w:val="22"/>
          <w:szCs w:val="22"/>
        </w:rPr>
        <w:t>22</w:t>
      </w:r>
      <w:r w:rsidR="00240998">
        <w:rPr>
          <w:spacing w:val="-2"/>
          <w:sz w:val="22"/>
          <w:szCs w:val="22"/>
        </w:rPr>
        <w:t>,000.  We caution Mr. Guernsey tha</w:t>
      </w:r>
      <w:r w:rsidR="00FA793B">
        <w:rPr>
          <w:spacing w:val="-2"/>
          <w:sz w:val="22"/>
          <w:szCs w:val="22"/>
        </w:rPr>
        <w:t>t future violations of this kind</w:t>
      </w:r>
      <w:r w:rsidR="00240998">
        <w:rPr>
          <w:spacing w:val="-2"/>
          <w:sz w:val="22"/>
          <w:szCs w:val="22"/>
        </w:rPr>
        <w:t xml:space="preserve"> may result in significantly higher forfeitures or revocation of his amateur license.</w:t>
      </w:r>
    </w:p>
    <w:p w:rsidR="00050854" w:rsidRPr="003F3CFD" w:rsidRDefault="00050854" w:rsidP="00F93CB6">
      <w:pPr>
        <w:pStyle w:val="Heading1"/>
        <w:widowControl/>
        <w:spacing w:after="120"/>
        <w:rPr>
          <w:sz w:val="22"/>
          <w:szCs w:val="22"/>
        </w:rPr>
      </w:pPr>
      <w:r w:rsidRPr="003F3CFD">
        <w:rPr>
          <w:sz w:val="22"/>
          <w:szCs w:val="22"/>
        </w:rPr>
        <w:t>ORDERING CLAUSES</w:t>
      </w:r>
    </w:p>
    <w:p w:rsidR="00A13424" w:rsidRPr="00211F2D" w:rsidRDefault="00050854" w:rsidP="00FD4DF3">
      <w:pPr>
        <w:widowControl/>
        <w:numPr>
          <w:ilvl w:val="0"/>
          <w:numId w:val="22"/>
        </w:numPr>
        <w:tabs>
          <w:tab w:val="clear" w:pos="1260"/>
          <w:tab w:val="num" w:pos="1440"/>
          <w:tab w:val="left" w:pos="4680"/>
          <w:tab w:val="left" w:pos="5760"/>
        </w:tab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ec</w:t>
      </w:r>
      <w:r w:rsidR="00FA793B">
        <w:rPr>
          <w:spacing w:val="-2"/>
          <w:sz w:val="22"/>
          <w:szCs w:val="22"/>
        </w:rPr>
        <w:t>tion 503(b) of the Act</w:t>
      </w:r>
      <w:r w:rsidR="00D57AE2">
        <w:rPr>
          <w:spacing w:val="-2"/>
          <w:sz w:val="22"/>
          <w:szCs w:val="22"/>
        </w:rPr>
        <w:t xml:space="preserve"> 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3E2AD5">
        <w:rPr>
          <w:spacing w:val="-2"/>
          <w:sz w:val="22"/>
          <w:szCs w:val="22"/>
        </w:rPr>
        <w:t xml:space="preserve"> and 1.80 o</w:t>
      </w:r>
      <w:r w:rsidR="00FA793B">
        <w:rPr>
          <w:spacing w:val="-2"/>
          <w:sz w:val="22"/>
          <w:szCs w:val="22"/>
        </w:rPr>
        <w:t>f the R</w:t>
      </w:r>
      <w:r w:rsidRPr="00E34AAE">
        <w:rPr>
          <w:spacing w:val="-2"/>
          <w:sz w:val="22"/>
          <w:szCs w:val="22"/>
        </w:rPr>
        <w:t>ules</w:t>
      </w:r>
      <w:r w:rsidR="00A13424">
        <w:rPr>
          <w:spacing w:val="-2"/>
          <w:sz w:val="22"/>
          <w:szCs w:val="22"/>
        </w:rPr>
        <w:t xml:space="preserve">, </w:t>
      </w:r>
      <w:r w:rsidR="00E73183">
        <w:rPr>
          <w:spacing w:val="-2"/>
          <w:sz w:val="22"/>
          <w:szCs w:val="22"/>
        </w:rPr>
        <w:t xml:space="preserve">Michael Guernsey </w:t>
      </w:r>
      <w:r w:rsidR="00A13424">
        <w:rPr>
          <w:spacing w:val="-2"/>
          <w:sz w:val="22"/>
          <w:szCs w:val="22"/>
        </w:rPr>
        <w:t>i</w:t>
      </w:r>
      <w:r w:rsidRPr="00E34AAE">
        <w:rPr>
          <w:spacing w:val="-2"/>
          <w:sz w:val="22"/>
          <w:szCs w:val="22"/>
        </w:rPr>
        <w:t xml:space="preserve">s hereby </w:t>
      </w:r>
      <w:r w:rsidRPr="00145224">
        <w:rPr>
          <w:b/>
          <w:spacing w:val="-2"/>
          <w:sz w:val="22"/>
          <w:szCs w:val="22"/>
        </w:rPr>
        <w:t xml:space="preserve">NOTIFIED </w:t>
      </w:r>
      <w:r w:rsidRPr="00E34AAE">
        <w:rPr>
          <w:spacing w:val="-2"/>
          <w:sz w:val="22"/>
          <w:szCs w:val="22"/>
        </w:rPr>
        <w:t xml:space="preserve">of this </w:t>
      </w:r>
      <w:r w:rsidRPr="00145224">
        <w:rPr>
          <w:b/>
          <w:spacing w:val="-2"/>
          <w:sz w:val="22"/>
          <w:szCs w:val="22"/>
        </w:rPr>
        <w:t>APPARENT LIABILITY FOR A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FA793B">
        <w:rPr>
          <w:sz w:val="22"/>
          <w:szCs w:val="22"/>
        </w:rPr>
        <w:t>twenty-</w:t>
      </w:r>
      <w:r w:rsidR="00156CD9">
        <w:rPr>
          <w:sz w:val="22"/>
          <w:szCs w:val="22"/>
        </w:rPr>
        <w:t>two</w:t>
      </w:r>
      <w:r w:rsidR="009E0D1C">
        <w:rPr>
          <w:sz w:val="22"/>
          <w:szCs w:val="22"/>
        </w:rPr>
        <w:t xml:space="preserve"> </w:t>
      </w:r>
      <w:r w:rsidRPr="00E34AAE">
        <w:rPr>
          <w:sz w:val="22"/>
          <w:szCs w:val="22"/>
        </w:rPr>
        <w:t>thousand dollars ($</w:t>
      </w:r>
      <w:r w:rsidR="00156CD9">
        <w:rPr>
          <w:sz w:val="22"/>
          <w:szCs w:val="22"/>
        </w:rPr>
        <w:t>22</w:t>
      </w:r>
      <w:r w:rsidRPr="00E34AAE">
        <w:rPr>
          <w:sz w:val="22"/>
          <w:szCs w:val="22"/>
        </w:rPr>
        <w:t xml:space="preserve">,000) for violations of </w:t>
      </w:r>
      <w:r w:rsidR="00D57AE2">
        <w:rPr>
          <w:sz w:val="22"/>
          <w:szCs w:val="22"/>
        </w:rPr>
        <w:t>S</w:t>
      </w:r>
      <w:r w:rsidRPr="00E34AAE">
        <w:rPr>
          <w:sz w:val="22"/>
          <w:szCs w:val="22"/>
        </w:rPr>
        <w:t>ection</w:t>
      </w:r>
      <w:r w:rsidR="00A13424">
        <w:rPr>
          <w:sz w:val="22"/>
          <w:szCs w:val="22"/>
        </w:rPr>
        <w:t xml:space="preserve"> 333 of the Act and Section</w:t>
      </w:r>
      <w:r w:rsidR="00156CD9">
        <w:rPr>
          <w:sz w:val="22"/>
          <w:szCs w:val="22"/>
        </w:rPr>
        <w:t>s 97.101(d) and</w:t>
      </w:r>
      <w:r w:rsidR="00A13424">
        <w:rPr>
          <w:sz w:val="22"/>
          <w:szCs w:val="22"/>
        </w:rPr>
        <w:t xml:space="preserve"> 97.119(a) </w:t>
      </w:r>
      <w:r w:rsidRPr="00E34AAE">
        <w:rPr>
          <w:spacing w:val="-2"/>
          <w:sz w:val="22"/>
          <w:szCs w:val="22"/>
        </w:rPr>
        <w:t>o</w:t>
      </w:r>
      <w:r w:rsidRPr="00E34AAE">
        <w:rPr>
          <w:sz w:val="22"/>
          <w:szCs w:val="22"/>
        </w:rPr>
        <w:t xml:space="preserve">f the </w:t>
      </w:r>
      <w:r w:rsidR="00484313">
        <w:rPr>
          <w:sz w:val="22"/>
          <w:szCs w:val="22"/>
        </w:rPr>
        <w:t>R</w:t>
      </w:r>
      <w:r w:rsidRPr="00E34AAE">
        <w:rPr>
          <w:sz w:val="22"/>
          <w:szCs w:val="22"/>
        </w:rPr>
        <w:t>ules.</w:t>
      </w:r>
      <w:r w:rsidRPr="00E34AAE">
        <w:rPr>
          <w:rStyle w:val="FootnoteReference"/>
          <w:sz w:val="22"/>
          <w:szCs w:val="22"/>
        </w:rPr>
        <w:footnoteReference w:id="19"/>
      </w:r>
    </w:p>
    <w:p w:rsidR="00A13424" w:rsidRPr="00211F2D" w:rsidRDefault="00050854" w:rsidP="00FD4DF3">
      <w:pPr>
        <w:widowControl/>
        <w:numPr>
          <w:ilvl w:val="0"/>
          <w:numId w:val="22"/>
        </w:numPr>
        <w:tabs>
          <w:tab w:val="clear" w:pos="1260"/>
          <w:tab w:val="num" w:pos="1440"/>
          <w:tab w:val="left" w:pos="4680"/>
          <w:tab w:val="left" w:pos="5760"/>
        </w:tabs>
        <w:spacing w:after="120"/>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ection 1.80 of the</w:t>
      </w:r>
      <w:r w:rsidR="00FA793B">
        <w:rPr>
          <w:spacing w:val="-2"/>
          <w:sz w:val="22"/>
          <w:szCs w:val="22"/>
        </w:rPr>
        <w:t xml:space="preserve"> Rules</w:t>
      </w:r>
      <w:r w:rsidR="002C62DA">
        <w:rPr>
          <w:spacing w:val="-2"/>
          <w:sz w:val="22"/>
          <w:szCs w:val="22"/>
        </w:rPr>
        <w:t>,</w:t>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Forfeiture</w:t>
      </w:r>
      <w:r w:rsidR="00A13424">
        <w:rPr>
          <w:spacing w:val="-2"/>
          <w:sz w:val="22"/>
          <w:szCs w:val="22"/>
        </w:rPr>
        <w:t xml:space="preserve">, </w:t>
      </w:r>
      <w:r w:rsidR="00E73183">
        <w:rPr>
          <w:spacing w:val="-2"/>
          <w:sz w:val="22"/>
          <w:szCs w:val="22"/>
        </w:rPr>
        <w:t>Michael Guernsey</w:t>
      </w:r>
      <w:r w:rsidR="00A13424">
        <w:rPr>
          <w:spacing w:val="-2"/>
          <w:sz w:val="22"/>
          <w:szCs w:val="22"/>
        </w:rPr>
        <w:t xml:space="preserve">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13424" w:rsidRPr="00211F2D" w:rsidRDefault="00A66F85" w:rsidP="00FD4DF3">
      <w:pPr>
        <w:widowControl/>
        <w:numPr>
          <w:ilvl w:val="0"/>
          <w:numId w:val="22"/>
        </w:numPr>
        <w:tabs>
          <w:tab w:val="clear" w:pos="1260"/>
          <w:tab w:val="num" w:pos="1440"/>
          <w:tab w:val="left" w:pos="4680"/>
          <w:tab w:val="left" w:pos="5760"/>
        </w:tabs>
        <w:spacing w:after="120"/>
        <w:ind w:left="0"/>
        <w:rPr>
          <w:color w:val="000000"/>
          <w:spacing w:val="-2"/>
          <w:sz w:val="22"/>
          <w:szCs w:val="22"/>
        </w:rPr>
      </w:pPr>
      <w:r w:rsidRPr="00A13424">
        <w:rPr>
          <w:rFonts w:eastAsia="MS Mincho" w:cs="Arial"/>
          <w:sz w:val="22"/>
          <w:szCs w:val="22"/>
        </w:rPr>
        <w:t>Payment of the forfeiture must be made by check or similar instrument, wire transfer, or credit card, an</w:t>
      </w:r>
      <w:r w:rsidR="00FA793B">
        <w:rPr>
          <w:rFonts w:eastAsia="MS Mincho" w:cs="Arial"/>
          <w:sz w:val="22"/>
          <w:szCs w:val="22"/>
        </w:rPr>
        <w:t>d must include the NAL/Account N</w:t>
      </w:r>
      <w:r w:rsidRPr="00A13424">
        <w:rPr>
          <w:rFonts w:eastAsia="MS Mincho" w:cs="Arial"/>
          <w:sz w:val="22"/>
          <w:szCs w:val="22"/>
        </w:rPr>
        <w:t xml:space="preserve">umber </w:t>
      </w:r>
      <w:r w:rsidRPr="009E0D1C">
        <w:rPr>
          <w:rFonts w:eastAsia="MS Mincho" w:cs="Arial"/>
          <w:sz w:val="22"/>
          <w:szCs w:val="22"/>
        </w:rPr>
        <w:t xml:space="preserve">and FRN referenced above.  </w:t>
      </w:r>
      <w:r w:rsidR="00E73183">
        <w:rPr>
          <w:rFonts w:eastAsia="MS Mincho" w:cs="Arial"/>
          <w:sz w:val="22"/>
          <w:szCs w:val="22"/>
        </w:rPr>
        <w:t xml:space="preserve">Michael Guernsey </w:t>
      </w:r>
      <w:r w:rsidR="0095119D" w:rsidRPr="009E0D1C">
        <w:rPr>
          <w:sz w:val="22"/>
          <w:szCs w:val="22"/>
          <w:lang w:bidi="he-IL"/>
        </w:rPr>
        <w:t xml:space="preserve">shall also send electronic notification on the date said payment is made to </w:t>
      </w:r>
      <w:hyperlink r:id="rId8" w:history="1">
        <w:r w:rsidR="0095119D" w:rsidRPr="00746742">
          <w:rPr>
            <w:rStyle w:val="Hyperlink"/>
            <w:color w:val="auto"/>
            <w:sz w:val="22"/>
            <w:szCs w:val="22"/>
            <w:u w:val="none"/>
          </w:rPr>
          <w:t>NER-Response@fcc.gov</w:t>
        </w:r>
      </w:hyperlink>
      <w:r w:rsidR="00A13424" w:rsidRPr="009E0D1C">
        <w:rPr>
          <w:sz w:val="22"/>
          <w:szCs w:val="22"/>
        </w:rPr>
        <w:t>.  R</w:t>
      </w:r>
      <w:r w:rsidRPr="009E0D1C">
        <w:rPr>
          <w:rFonts w:eastAsia="MS Mincho" w:cs="Arial"/>
          <w:sz w:val="22"/>
          <w:szCs w:val="22"/>
        </w:rPr>
        <w:t>egardless of the form of payment, a completed FCC Form 159 (Remittance Advice) must be submitted.</w:t>
      </w:r>
      <w:r w:rsidRPr="009E0D1C">
        <w:rPr>
          <w:rStyle w:val="FootnoteReference"/>
          <w:rFonts w:eastAsia="MS Mincho" w:cs="Arial"/>
          <w:sz w:val="22"/>
          <w:szCs w:val="22"/>
        </w:rPr>
        <w:footnoteReference w:id="20"/>
      </w:r>
      <w:r w:rsidRPr="009E0D1C">
        <w:rPr>
          <w:rFonts w:eastAsia="MS Mincho" w:cs="Arial"/>
          <w:sz w:val="22"/>
          <w:szCs w:val="22"/>
        </w:rPr>
        <w:t xml:space="preserve">  When completing the FCC Form 159, enter t</w:t>
      </w:r>
      <w:r w:rsidRPr="00A13424">
        <w:rPr>
          <w:rFonts w:eastAsia="MS Mincho" w:cs="Arial"/>
          <w:sz w:val="22"/>
          <w:szCs w:val="22"/>
        </w:rPr>
        <w:t xml:space="preserve">he Account Number in block number 23A (call sign/other ID) and enter the letters “FORF” in block </w:t>
      </w:r>
      <w:r w:rsidR="00FA793B">
        <w:rPr>
          <w:rFonts w:eastAsia="MS Mincho" w:cs="Arial"/>
          <w:sz w:val="22"/>
          <w:szCs w:val="22"/>
        </w:rPr>
        <w:t>number 24A (payment type code).</w:t>
      </w:r>
      <w:r w:rsidRPr="00A13424">
        <w:rPr>
          <w:rFonts w:eastAsia="MS Mincho" w:cs="Arial"/>
          <w:sz w:val="22"/>
          <w:szCs w:val="22"/>
        </w:rPr>
        <w:t xml:space="preserve">  </w:t>
      </w:r>
      <w:r w:rsidRPr="00A13424">
        <w:rPr>
          <w:color w:val="000000"/>
          <w:sz w:val="22"/>
          <w:szCs w:val="22"/>
        </w:rPr>
        <w:t>Below are additional instructions you should follow based on the form of payment you select:</w:t>
      </w:r>
    </w:p>
    <w:p w:rsidR="00A66F85" w:rsidRPr="00A66F85" w:rsidRDefault="00A66F85" w:rsidP="00211F2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211F2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211F2D">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 and dating the Form 159 to aut</w:t>
      </w:r>
      <w:r w:rsidR="00FA793B">
        <w:rPr>
          <w:rFonts w:eastAsia="MS Mincho"/>
          <w:sz w:val="22"/>
          <w:szCs w:val="22"/>
        </w:rPr>
        <w:t>horize the credit card payment.</w:t>
      </w:r>
      <w:r w:rsidRPr="00A66F85">
        <w:rPr>
          <w:rFonts w:eastAsia="MS Mincho"/>
          <w:sz w:val="22"/>
          <w:szCs w:val="22"/>
        </w:rPr>
        <w:t xml:space="preserve">  The completed Form 159 must then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13424" w:rsidRPr="00211F2D" w:rsidRDefault="00A66F85" w:rsidP="00FD4DF3">
      <w:pPr>
        <w:widowControl/>
        <w:numPr>
          <w:ilvl w:val="0"/>
          <w:numId w:val="22"/>
        </w:numPr>
        <w:tabs>
          <w:tab w:val="clear" w:pos="1260"/>
          <w:tab w:val="num" w:pos="1440"/>
          <w:tab w:val="left" w:pos="4680"/>
          <w:tab w:val="left" w:pos="5760"/>
        </w:tabs>
        <w:spacing w:after="1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21"/>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A13424" w:rsidRPr="00211F2D" w:rsidRDefault="007E2E05" w:rsidP="00FD4DF3">
      <w:pPr>
        <w:widowControl/>
        <w:numPr>
          <w:ilvl w:val="0"/>
          <w:numId w:val="22"/>
        </w:numPr>
        <w:tabs>
          <w:tab w:val="clear" w:pos="1260"/>
          <w:tab w:val="num" w:pos="1440"/>
          <w:tab w:val="left" w:pos="4680"/>
          <w:tab w:val="left" w:pos="5760"/>
        </w:tabs>
        <w:spacing w:after="120"/>
        <w:ind w:left="0"/>
        <w:rPr>
          <w:spacing w:val="-2"/>
          <w:sz w:val="22"/>
          <w:szCs w:val="22"/>
        </w:rPr>
      </w:pPr>
      <w:r w:rsidRPr="00A13424">
        <w:rPr>
          <w:sz w:val="22"/>
          <w:szCs w:val="22"/>
        </w:rPr>
        <w:t>The written statement seeking reduction or cancellation of the proposed forfeiture, if any, must include a detailed factual statement supported by appropriate documentat</w:t>
      </w:r>
      <w:r w:rsidR="00D57AE2" w:rsidRPr="00A13424">
        <w:rPr>
          <w:sz w:val="22"/>
          <w:szCs w:val="22"/>
        </w:rPr>
        <w:t>ion and affidavits pursuant to S</w:t>
      </w:r>
      <w:r w:rsidRPr="00A13424">
        <w:rPr>
          <w:sz w:val="22"/>
          <w:szCs w:val="22"/>
        </w:rPr>
        <w:t xml:space="preserve">ections </w:t>
      </w:r>
      <w:r w:rsidR="00F30E61" w:rsidRPr="00A13424">
        <w:rPr>
          <w:sz w:val="22"/>
          <w:szCs w:val="22"/>
        </w:rPr>
        <w:t xml:space="preserve">1.16 and </w:t>
      </w:r>
      <w:r w:rsidRPr="00A13424">
        <w:rPr>
          <w:sz w:val="22"/>
          <w:szCs w:val="22"/>
        </w:rPr>
        <w:t>1.80(f)(3) of the Rules.</w:t>
      </w:r>
      <w:r w:rsidR="003E2AD5">
        <w:rPr>
          <w:rStyle w:val="FootnoteReference"/>
          <w:sz w:val="22"/>
          <w:szCs w:val="22"/>
        </w:rPr>
        <w:footnoteReference w:id="22"/>
      </w:r>
      <w:r w:rsidRPr="00A13424">
        <w:rPr>
          <w:sz w:val="22"/>
          <w:szCs w:val="22"/>
        </w:rPr>
        <w:t xml:space="preserve">  Mail the written statement to Federal Communications Commission, Enforcement Bureau,</w:t>
      </w:r>
      <w:r w:rsidR="00050854" w:rsidRPr="00A13424">
        <w:rPr>
          <w:spacing w:val="-2"/>
          <w:sz w:val="22"/>
          <w:szCs w:val="22"/>
        </w:rPr>
        <w:t xml:space="preserve"> </w:t>
      </w:r>
      <w:r w:rsidR="00A13424">
        <w:rPr>
          <w:spacing w:val="-2"/>
          <w:sz w:val="22"/>
          <w:szCs w:val="22"/>
        </w:rPr>
        <w:t xml:space="preserve">Northeast </w:t>
      </w:r>
      <w:r w:rsidR="00050854" w:rsidRPr="00A13424">
        <w:rPr>
          <w:spacing w:val="-2"/>
          <w:sz w:val="22"/>
          <w:szCs w:val="22"/>
        </w:rPr>
        <w:t xml:space="preserve">Region, </w:t>
      </w:r>
      <w:r w:rsidR="00E73183">
        <w:rPr>
          <w:spacing w:val="-2"/>
          <w:sz w:val="22"/>
          <w:szCs w:val="22"/>
        </w:rPr>
        <w:t xml:space="preserve">Detroit </w:t>
      </w:r>
      <w:r w:rsidR="00A13424">
        <w:rPr>
          <w:spacing w:val="-2"/>
          <w:sz w:val="22"/>
          <w:szCs w:val="22"/>
        </w:rPr>
        <w:t xml:space="preserve">Office, </w:t>
      </w:r>
      <w:r w:rsidR="006B2CBC">
        <w:rPr>
          <w:spacing w:val="-2"/>
          <w:sz w:val="22"/>
          <w:szCs w:val="22"/>
        </w:rPr>
        <w:t>24897 Hathaway Street</w:t>
      </w:r>
      <w:r w:rsidR="00A13424">
        <w:rPr>
          <w:spacing w:val="-2"/>
          <w:sz w:val="22"/>
          <w:szCs w:val="22"/>
        </w:rPr>
        <w:t xml:space="preserve">, </w:t>
      </w:r>
      <w:r w:rsidR="006B2CBC">
        <w:rPr>
          <w:spacing w:val="-2"/>
          <w:sz w:val="22"/>
          <w:szCs w:val="22"/>
        </w:rPr>
        <w:t>Farmington Hills, Michigan 48335</w:t>
      </w:r>
      <w:r w:rsidR="00A13424">
        <w:rPr>
          <w:spacing w:val="-2"/>
          <w:sz w:val="22"/>
          <w:szCs w:val="22"/>
        </w:rPr>
        <w:t xml:space="preserve">, </w:t>
      </w:r>
      <w:r w:rsidR="00050854" w:rsidRPr="00A13424">
        <w:rPr>
          <w:spacing w:val="-2"/>
          <w:sz w:val="22"/>
          <w:szCs w:val="22"/>
        </w:rPr>
        <w:t>and include the NAL/Acct. No. referenced in the caption.</w:t>
      </w:r>
      <w:r w:rsidR="00683F6F" w:rsidRPr="00A13424">
        <w:rPr>
          <w:spacing w:val="-2"/>
          <w:sz w:val="22"/>
          <w:szCs w:val="22"/>
        </w:rPr>
        <w:t xml:space="preserve">  </w:t>
      </w:r>
      <w:r w:rsidR="00E73183">
        <w:rPr>
          <w:spacing w:val="-2"/>
          <w:sz w:val="22"/>
          <w:szCs w:val="22"/>
        </w:rPr>
        <w:t xml:space="preserve">Michael Guernsey </w:t>
      </w:r>
      <w:r w:rsidR="005F67D7" w:rsidRPr="00A13424">
        <w:rPr>
          <w:color w:val="000000"/>
          <w:spacing w:val="-2"/>
          <w:sz w:val="22"/>
          <w:szCs w:val="22"/>
        </w:rPr>
        <w:t>al</w:t>
      </w:r>
      <w:r w:rsidR="005F67D7" w:rsidRPr="009E0D1C">
        <w:rPr>
          <w:spacing w:val="-2"/>
          <w:sz w:val="22"/>
          <w:szCs w:val="22"/>
        </w:rPr>
        <w:t xml:space="preserve">so </w:t>
      </w:r>
      <w:r w:rsidR="00683F6F" w:rsidRPr="009E0D1C">
        <w:rPr>
          <w:spacing w:val="-2"/>
          <w:sz w:val="22"/>
          <w:szCs w:val="22"/>
        </w:rPr>
        <w:t>shall e</w:t>
      </w:r>
      <w:r w:rsidR="00C009F7" w:rsidRPr="009E0D1C">
        <w:rPr>
          <w:spacing w:val="-2"/>
          <w:sz w:val="22"/>
          <w:szCs w:val="22"/>
        </w:rPr>
        <w:t>-</w:t>
      </w:r>
      <w:r w:rsidR="00683F6F" w:rsidRPr="009E0D1C">
        <w:rPr>
          <w:spacing w:val="-2"/>
          <w:sz w:val="22"/>
          <w:szCs w:val="22"/>
        </w:rPr>
        <w:t>mail the written response to</w:t>
      </w:r>
      <w:r w:rsidR="00A13424" w:rsidRPr="009E0D1C">
        <w:rPr>
          <w:spacing w:val="-2"/>
          <w:sz w:val="22"/>
          <w:szCs w:val="22"/>
        </w:rPr>
        <w:t xml:space="preserve"> </w:t>
      </w:r>
      <w:hyperlink r:id="rId9" w:history="1">
        <w:r w:rsidR="00683F6F" w:rsidRPr="00746742">
          <w:rPr>
            <w:rStyle w:val="Hyperlink"/>
            <w:color w:val="auto"/>
            <w:sz w:val="22"/>
            <w:szCs w:val="22"/>
            <w:u w:val="none"/>
          </w:rPr>
          <w:t>NER-Response@fcc.gov</w:t>
        </w:r>
      </w:hyperlink>
      <w:r w:rsidR="00A13424" w:rsidRPr="009E0D1C">
        <w:rPr>
          <w:sz w:val="22"/>
          <w:szCs w:val="22"/>
        </w:rPr>
        <w:t>.</w:t>
      </w:r>
    </w:p>
    <w:p w:rsidR="00A13424" w:rsidRPr="00211F2D" w:rsidRDefault="00050854" w:rsidP="00FD4DF3">
      <w:pPr>
        <w:widowControl/>
        <w:numPr>
          <w:ilvl w:val="0"/>
          <w:numId w:val="22"/>
        </w:numPr>
        <w:tabs>
          <w:tab w:val="clear" w:pos="1260"/>
          <w:tab w:val="num" w:pos="1440"/>
          <w:tab w:val="left" w:pos="4680"/>
          <w:tab w:val="left" w:pos="5760"/>
        </w:tabs>
        <w:spacing w:after="120"/>
        <w:ind w:left="0"/>
        <w:rPr>
          <w:spacing w:val="-2"/>
          <w:sz w:val="22"/>
          <w:szCs w:val="22"/>
        </w:rPr>
      </w:pPr>
      <w:r w:rsidRPr="00A13424">
        <w:rPr>
          <w:spacing w:val="-2"/>
          <w:sz w:val="22"/>
          <w:szCs w:val="22"/>
        </w:rPr>
        <w:t xml:space="preserve">The Commission will not consider reducing or canceling a forfeiture in response to a claim of inability to pay unless the petitioner submits: </w:t>
      </w:r>
      <w:r w:rsidR="00F30E61" w:rsidRPr="00A13424">
        <w:rPr>
          <w:spacing w:val="-2"/>
          <w:sz w:val="22"/>
          <w:szCs w:val="22"/>
        </w:rPr>
        <w:t xml:space="preserve"> </w:t>
      </w:r>
      <w:r w:rsidRPr="00A13424">
        <w:rPr>
          <w:spacing w:val="-2"/>
          <w:sz w:val="22"/>
          <w:szCs w:val="22"/>
        </w:rPr>
        <w:t>(1) federal tax returns for the most recent three-year period; (2) financial statements prepared according to generally accepted accounting pr</w:t>
      </w:r>
      <w:r w:rsidR="00D13FA6" w:rsidRPr="00A13424">
        <w:rPr>
          <w:spacing w:val="-2"/>
          <w:sz w:val="22"/>
          <w:szCs w:val="22"/>
        </w:rPr>
        <w:t>inciples</w:t>
      </w:r>
      <w:r w:rsidRPr="00A13424">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A13424" w:rsidRDefault="00050854" w:rsidP="00FD4DF3">
      <w:pPr>
        <w:widowControl/>
        <w:numPr>
          <w:ilvl w:val="0"/>
          <w:numId w:val="22"/>
        </w:numPr>
        <w:tabs>
          <w:tab w:val="clear" w:pos="1260"/>
          <w:tab w:val="num" w:pos="1440"/>
          <w:tab w:val="left" w:pos="4680"/>
          <w:tab w:val="left" w:pos="5760"/>
        </w:tabs>
        <w:suppressAutoHyphens/>
        <w:spacing w:after="120"/>
        <w:ind w:left="0"/>
        <w:rPr>
          <w:spacing w:val="-2"/>
          <w:sz w:val="22"/>
          <w:szCs w:val="22"/>
        </w:rPr>
      </w:pPr>
      <w:r w:rsidRPr="00A13424">
        <w:rPr>
          <w:b/>
          <w:spacing w:val="-2"/>
          <w:sz w:val="22"/>
          <w:szCs w:val="22"/>
        </w:rPr>
        <w:t>IT IS FURTHER ORDERED</w:t>
      </w:r>
      <w:r w:rsidRPr="00A13424">
        <w:rPr>
          <w:spacing w:val="-2"/>
          <w:sz w:val="22"/>
          <w:szCs w:val="22"/>
        </w:rPr>
        <w:t xml:space="preserve"> </w:t>
      </w:r>
      <w:r w:rsidR="003F3CFD" w:rsidRPr="00A13424">
        <w:rPr>
          <w:spacing w:val="-2"/>
          <w:sz w:val="22"/>
          <w:szCs w:val="22"/>
        </w:rPr>
        <w:t>that</w:t>
      </w:r>
      <w:r w:rsidRPr="00A13424">
        <w:rPr>
          <w:spacing w:val="-2"/>
          <w:sz w:val="22"/>
          <w:szCs w:val="22"/>
        </w:rPr>
        <w:t xml:space="preserve"> a copy of this Notice of Apparent Liability for Forfeiture shall be sent by </w:t>
      </w:r>
      <w:r w:rsidR="00683F6F" w:rsidRPr="00A13424">
        <w:rPr>
          <w:spacing w:val="-2"/>
          <w:sz w:val="22"/>
          <w:szCs w:val="22"/>
        </w:rPr>
        <w:t xml:space="preserve">both </w:t>
      </w:r>
      <w:r w:rsidRPr="00A13424">
        <w:rPr>
          <w:spacing w:val="-2"/>
          <w:sz w:val="22"/>
          <w:szCs w:val="22"/>
        </w:rPr>
        <w:t xml:space="preserve">Certified Mail, Return Receipt Requested, and </w:t>
      </w:r>
      <w:r w:rsidR="008C26F7" w:rsidRPr="00A13424">
        <w:rPr>
          <w:spacing w:val="-2"/>
          <w:sz w:val="22"/>
          <w:szCs w:val="22"/>
        </w:rPr>
        <w:t xml:space="preserve">first class </w:t>
      </w:r>
      <w:r w:rsidRPr="00A13424">
        <w:rPr>
          <w:spacing w:val="-2"/>
          <w:sz w:val="22"/>
          <w:szCs w:val="22"/>
        </w:rPr>
        <w:t>mail to</w:t>
      </w:r>
      <w:r w:rsidR="00A13424" w:rsidRPr="00A13424">
        <w:rPr>
          <w:spacing w:val="-2"/>
          <w:sz w:val="22"/>
          <w:szCs w:val="22"/>
        </w:rPr>
        <w:t xml:space="preserve"> </w:t>
      </w:r>
      <w:r w:rsidR="00E73183">
        <w:rPr>
          <w:spacing w:val="-2"/>
          <w:sz w:val="22"/>
          <w:szCs w:val="22"/>
        </w:rPr>
        <w:t xml:space="preserve">Michael Guernsey </w:t>
      </w:r>
      <w:r w:rsidR="00A13424" w:rsidRPr="00A13424">
        <w:rPr>
          <w:spacing w:val="-2"/>
          <w:sz w:val="22"/>
          <w:szCs w:val="22"/>
        </w:rPr>
        <w:t xml:space="preserve">at his address of record.  </w:t>
      </w:r>
    </w:p>
    <w:p w:rsidR="00050854" w:rsidRPr="00E34AAE" w:rsidRDefault="00050854" w:rsidP="00FD4DF3">
      <w:pPr>
        <w:widowControl/>
        <w:tabs>
          <w:tab w:val="left" w:pos="0"/>
          <w:tab w:val="num" w:pos="1440"/>
        </w:tabs>
        <w:suppressAutoHyphens/>
        <w:spacing w:after="120"/>
        <w:jc w:val="both"/>
        <w:rPr>
          <w:spacing w:val="-2"/>
          <w:sz w:val="22"/>
          <w:szCs w:val="22"/>
        </w:rPr>
      </w:pPr>
    </w:p>
    <w:p w:rsidR="00050854" w:rsidRPr="00E34AAE" w:rsidRDefault="00331410" w:rsidP="00FD4DF3">
      <w:pPr>
        <w:widowControl/>
        <w:tabs>
          <w:tab w:val="left" w:pos="0"/>
          <w:tab w:val="num" w:pos="1440"/>
        </w:tabs>
        <w:suppressAutoHyphens/>
        <w:spacing w:after="120"/>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A13424"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ab/>
      </w:r>
      <w:r w:rsidR="00E73183">
        <w:rPr>
          <w:spacing w:val="-2"/>
          <w:sz w:val="22"/>
          <w:szCs w:val="22"/>
        </w:rPr>
        <w:t>James Bridgewater</w:t>
      </w:r>
    </w:p>
    <w:p w:rsidR="00A13424" w:rsidRDefault="00A1342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District Director</w:t>
      </w:r>
    </w:p>
    <w:p w:rsidR="00A13424" w:rsidRDefault="00A13424"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E73183">
        <w:rPr>
          <w:spacing w:val="-2"/>
          <w:sz w:val="22"/>
          <w:szCs w:val="22"/>
        </w:rPr>
        <w:t xml:space="preserve">Detroit </w:t>
      </w:r>
      <w:r>
        <w:rPr>
          <w:spacing w:val="-2"/>
          <w:sz w:val="22"/>
          <w:szCs w:val="22"/>
        </w:rPr>
        <w:t>Office</w:t>
      </w:r>
    </w:p>
    <w:p w:rsidR="00050854" w:rsidRDefault="00A13424" w:rsidP="00A13424">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Northeast Region</w:t>
      </w:r>
    </w:p>
    <w:p w:rsidR="009F6C24" w:rsidRPr="00F93CB6" w:rsidRDefault="00050854" w:rsidP="00F93CB6">
      <w:pPr>
        <w:widowControl/>
        <w:tabs>
          <w:tab w:val="left" w:pos="0"/>
          <w:tab w:val="num" w:pos="1440"/>
        </w:tabs>
        <w:suppressAutoHyphens/>
        <w:spacing w:line="240" w:lineRule="atLeast"/>
        <w:jc w:val="both"/>
        <w:rPr>
          <w:spacing w:val="-2"/>
          <w:sz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sectPr w:rsidR="009F6C24" w:rsidRPr="00F93CB6" w:rsidSect="0039241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F4" w:rsidRDefault="00DD51F4">
      <w:r>
        <w:separator/>
      </w:r>
    </w:p>
  </w:endnote>
  <w:endnote w:type="continuationSeparator" w:id="0">
    <w:p w:rsidR="00DD51F4" w:rsidRDefault="00DD51F4">
      <w:r>
        <w:continuationSeparator/>
      </w:r>
    </w:p>
  </w:endnote>
  <w:endnote w:type="continuationNotice" w:id="1">
    <w:p w:rsidR="00DD51F4" w:rsidRDefault="00DD5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D3" w:rsidRDefault="00505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6A" w:rsidRDefault="00EC0C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15A8D">
      <w:rPr>
        <w:rStyle w:val="PageNumber"/>
        <w:noProof/>
      </w:rPr>
      <w:t>2</w:t>
    </w:r>
    <w:r>
      <w:rPr>
        <w:rStyle w:val="PageNumber"/>
      </w:rPr>
      <w:fldChar w:fldCharType="end"/>
    </w:r>
  </w:p>
  <w:p w:rsidR="00EC0C6A" w:rsidRDefault="00EC0C6A"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D3" w:rsidRDefault="00505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F4" w:rsidRDefault="00DD51F4">
      <w:r>
        <w:separator/>
      </w:r>
    </w:p>
  </w:footnote>
  <w:footnote w:type="continuationSeparator" w:id="0">
    <w:p w:rsidR="00DD51F4" w:rsidRDefault="00DD51F4">
      <w:r>
        <w:separator/>
      </w:r>
    </w:p>
    <w:p w:rsidR="00DD51F4" w:rsidRDefault="00DD51F4">
      <w:r>
        <w:t>(...continued from previous page)</w:t>
      </w:r>
    </w:p>
  </w:footnote>
  <w:footnote w:type="continuationNotice" w:id="1">
    <w:p w:rsidR="00DD51F4" w:rsidRDefault="00DD51F4">
      <w:pPr>
        <w:jc w:val="right"/>
      </w:pPr>
      <w:r>
        <w:t>(continued....)</w:t>
      </w:r>
    </w:p>
  </w:footnote>
  <w:footnote w:id="2">
    <w:p w:rsidR="002F7017" w:rsidRPr="00225173" w:rsidRDefault="002F7017" w:rsidP="00240998">
      <w:pPr>
        <w:pStyle w:val="FootnoteText"/>
        <w:jc w:val="left"/>
      </w:pPr>
      <w:r w:rsidRPr="00225173">
        <w:rPr>
          <w:rStyle w:val="FootnoteReference"/>
        </w:rPr>
        <w:footnoteRef/>
      </w:r>
      <w:r w:rsidRPr="00225173">
        <w:t xml:space="preserve"> 47 U.S.C. § 333, 47 C.F.R. §§ 97.101(d), 97.119(a).</w:t>
      </w:r>
    </w:p>
  </w:footnote>
  <w:footnote w:id="3">
    <w:p w:rsidR="00CB5D98" w:rsidRPr="00225173" w:rsidRDefault="00CB5D98" w:rsidP="00240998">
      <w:pPr>
        <w:pStyle w:val="FootnoteText"/>
        <w:jc w:val="left"/>
      </w:pPr>
      <w:r w:rsidRPr="00225173">
        <w:rPr>
          <w:rStyle w:val="FootnoteReference"/>
        </w:rPr>
        <w:footnoteRef/>
      </w:r>
      <w:r w:rsidRPr="00225173">
        <w:t xml:space="preserve"> </w:t>
      </w:r>
      <w:r w:rsidRPr="00225173">
        <w:rPr>
          <w:i/>
        </w:rPr>
        <w:t>See</w:t>
      </w:r>
      <w:r w:rsidRPr="00225173">
        <w:t xml:space="preserve"> </w:t>
      </w:r>
      <w:r w:rsidR="00235D90">
        <w:t xml:space="preserve">Letter </w:t>
      </w:r>
      <w:r w:rsidRPr="00225173">
        <w:t>from Laura Smith, Esq., Special Counsel, Enforcement Bureau, Federal Communications Commission, to Michael Guernsey (Dec. 10, 2012) (on file in EB-FIELDNER-14-00014398); Letter from W. Riley Hollingsworth, Esq., Special Counsel, Enforcement Bureau, Federal Communications Commission, to Michael Guernsey (May 9, 2003) (on file in EB-FIELDNER-14-00014398); Letter from W. Riley Hollingsworth, Esq., Special Counsel, Enforcement Bureau, Federal Communications Commission, to Michael Guernsey (May 20, 2002) (on file in EB-FIELDNER-14-00014398); Letter from W. Riley Hollingsworth, Esq., Special Counsel, Enforcement Bureau, Federal Communications Commission, to Michael Guernsey (Dec. 6, 2001) (on file in EB-FIELDNER-14-00014398); Letter from W. Riley Hollingsworth, Esq., Special Counsel, Enforcement Bureau, Federal Communications Commission, to Michael Guernsey (Nov. 14, 2000) (on file in EB-FIELDNER-14-00014398); Letter from W. Riley Hollingsworth, Esq., Special Counsel, Enforcement Bureau, Federal Communications Commission, to Michael Guernsey (Oct. 17, 2000) (on file in EB-FIELDNER-14-00014398); Letter from W. Riley Hollingsworth, Esq., Special Counsel, Enforcement Bureau, Federal Communications Commission, to Michael Guernsey (Nov. 4, 1998).</w:t>
      </w:r>
    </w:p>
  </w:footnote>
  <w:footnote w:id="4">
    <w:p w:rsidR="00DE4A65" w:rsidRPr="00225173" w:rsidRDefault="00DE4A65" w:rsidP="00240998">
      <w:pPr>
        <w:pStyle w:val="FootnoteText"/>
        <w:jc w:val="left"/>
      </w:pPr>
      <w:r w:rsidRPr="00225173">
        <w:rPr>
          <w:rStyle w:val="FootnoteReference"/>
        </w:rPr>
        <w:footnoteRef/>
      </w:r>
      <w:r w:rsidRPr="00225173">
        <w:t xml:space="preserve"> The Commission’s </w:t>
      </w:r>
      <w:r w:rsidRPr="00225173">
        <w:rPr>
          <w:spacing w:val="-2"/>
        </w:rPr>
        <w:t>High Frequency Direction Finding Center, using long range direction finding techniques,</w:t>
      </w:r>
      <w:r w:rsidR="00597628" w:rsidRPr="00225173">
        <w:rPr>
          <w:spacing w:val="-2"/>
        </w:rPr>
        <w:t xml:space="preserve"> also traced </w:t>
      </w:r>
      <w:r w:rsidRPr="00225173">
        <w:rPr>
          <w:spacing w:val="-2"/>
        </w:rPr>
        <w:t xml:space="preserve">the source of the transmissions </w:t>
      </w:r>
      <w:r w:rsidR="00597628" w:rsidRPr="00225173">
        <w:rPr>
          <w:spacing w:val="-2"/>
        </w:rPr>
        <w:t>to an area containing Mr. Guernsey’s station</w:t>
      </w:r>
      <w:r w:rsidRPr="00225173">
        <w:rPr>
          <w:spacing w:val="-2"/>
        </w:rPr>
        <w:t>.</w:t>
      </w:r>
    </w:p>
  </w:footnote>
  <w:footnote w:id="5">
    <w:p w:rsidR="00EC0C6A" w:rsidRPr="00225173" w:rsidRDefault="00EC0C6A" w:rsidP="00F93CB6">
      <w:pPr>
        <w:pStyle w:val="FootnoteText"/>
        <w:jc w:val="left"/>
      </w:pPr>
      <w:r w:rsidRPr="00225173">
        <w:rPr>
          <w:rStyle w:val="FootnoteReference"/>
        </w:rPr>
        <w:footnoteRef/>
      </w:r>
      <w:r w:rsidRPr="00225173">
        <w:t xml:space="preserve"> 47 U.S.C. § 503(b).</w:t>
      </w:r>
    </w:p>
  </w:footnote>
  <w:footnote w:id="6">
    <w:p w:rsidR="00EC0C6A" w:rsidRPr="00225173" w:rsidRDefault="00EC0C6A" w:rsidP="00F93CB6">
      <w:pPr>
        <w:pStyle w:val="FootnoteText"/>
        <w:widowControl/>
        <w:jc w:val="left"/>
      </w:pPr>
      <w:r w:rsidRPr="00225173">
        <w:rPr>
          <w:rStyle w:val="FootnoteReference"/>
        </w:rPr>
        <w:footnoteRef/>
      </w:r>
      <w:r w:rsidRPr="00225173">
        <w:t xml:space="preserve"> 47 U.S.C. § 312(f)(1).</w:t>
      </w:r>
    </w:p>
  </w:footnote>
  <w:footnote w:id="7">
    <w:p w:rsidR="00EC0C6A" w:rsidRPr="00225173" w:rsidRDefault="00EC0C6A" w:rsidP="00240998">
      <w:pPr>
        <w:pStyle w:val="FootnoteText"/>
        <w:jc w:val="left"/>
      </w:pPr>
      <w:r w:rsidRPr="00225173">
        <w:rPr>
          <w:rStyle w:val="FootnoteReference"/>
        </w:rPr>
        <w:footnoteRef/>
      </w:r>
      <w:r w:rsidRPr="00225173">
        <w:t xml:space="preserve"> H.R. Rep. No. 97-765, 97</w:t>
      </w:r>
      <w:r w:rsidRPr="00225173">
        <w:rPr>
          <w:vertAlign w:val="superscript"/>
        </w:rPr>
        <w:t>th</w:t>
      </w:r>
      <w:r w:rsidRPr="00225173">
        <w:t xml:space="preserve"> Cong. 2d Sess. 51 (1982) (“</w:t>
      </w:r>
      <w:r w:rsidRPr="00225173">
        <w:rPr>
          <w:rStyle w:val="documentbody"/>
        </w:rPr>
        <w:t xml:space="preserve">This provision [inserted in Section 312] defines the terms ‘willful’ and ‘repeated’ for purposes of section </w:t>
      </w:r>
      <w:r w:rsidRPr="00225173">
        <w:rPr>
          <w:rStyle w:val="searchterm"/>
        </w:rPr>
        <w:t>312</w:t>
      </w:r>
      <w:r w:rsidRPr="00225173">
        <w:rPr>
          <w:rStyle w:val="documentbody"/>
        </w:rPr>
        <w:t>, and for any other relevant section of the act (e.g., Section 503)   . . . .  As defined[,] . . . ‘willful’ means that the licensee knew that he was doing the act in question, regardless of whether there w</w:t>
      </w:r>
      <w:r w:rsidR="00597628" w:rsidRPr="00225173">
        <w:rPr>
          <w:rStyle w:val="documentbody"/>
        </w:rPr>
        <w:t xml:space="preserve">as an intent to violate the law . . . . </w:t>
      </w:r>
      <w:r w:rsidRPr="00225173">
        <w:rPr>
          <w:rStyle w:val="documentbody"/>
        </w:rPr>
        <w:t xml:space="preserve">The definitions are intended primarily to clarify the language in Sections </w:t>
      </w:r>
      <w:r w:rsidRPr="00225173">
        <w:rPr>
          <w:rStyle w:val="searchterm"/>
        </w:rPr>
        <w:t>312</w:t>
      </w:r>
      <w:r w:rsidRPr="00225173">
        <w:rPr>
          <w:rStyle w:val="documentbody"/>
        </w:rPr>
        <w:t xml:space="preserve"> and 503, and are consistent with the Commission’s application of those terms . . . .”).</w:t>
      </w:r>
    </w:p>
  </w:footnote>
  <w:footnote w:id="8">
    <w:p w:rsidR="00EC0C6A" w:rsidRPr="00225173" w:rsidRDefault="00EC0C6A" w:rsidP="00240998">
      <w:pPr>
        <w:pStyle w:val="FootnoteText"/>
        <w:jc w:val="left"/>
      </w:pPr>
      <w:r w:rsidRPr="00225173">
        <w:rPr>
          <w:rStyle w:val="FootnoteReference"/>
        </w:rPr>
        <w:footnoteRef/>
      </w:r>
      <w:r w:rsidRPr="00225173">
        <w:t xml:space="preserve"> </w:t>
      </w:r>
      <w:r w:rsidR="00597628" w:rsidRPr="00225173">
        <w:rPr>
          <w:i/>
        </w:rPr>
        <w:t>See, e.g.</w:t>
      </w:r>
      <w:r w:rsidR="00597628" w:rsidRPr="00F93CB6">
        <w:t>,</w:t>
      </w:r>
      <w:r w:rsidRPr="00225173">
        <w:rPr>
          <w:i/>
        </w:rPr>
        <w:t xml:space="preserve"> Southern California Broadcasting Co.</w:t>
      </w:r>
      <w:r w:rsidRPr="00225173">
        <w:t>, Memorandum Opinion and Order, 6 FCC Rcd 4387, 4388</w:t>
      </w:r>
      <w:r w:rsidR="00597628" w:rsidRPr="00225173">
        <w:t>, para. 5</w:t>
      </w:r>
      <w:r w:rsidRPr="00225173">
        <w:t xml:space="preserve"> (1991), </w:t>
      </w:r>
      <w:r w:rsidR="00597628" w:rsidRPr="00225173">
        <w:rPr>
          <w:i/>
        </w:rPr>
        <w:t>recons. denied</w:t>
      </w:r>
      <w:r w:rsidR="00597628" w:rsidRPr="00F93CB6">
        <w:t>,</w:t>
      </w:r>
      <w:r w:rsidRPr="00225173">
        <w:rPr>
          <w:i/>
        </w:rPr>
        <w:t xml:space="preserve"> </w:t>
      </w:r>
      <w:r w:rsidRPr="00225173">
        <w:t>7 FCC Rcd 3454 (1992).</w:t>
      </w:r>
    </w:p>
  </w:footnote>
  <w:footnote w:id="9">
    <w:p w:rsidR="00522967" w:rsidRPr="00225173" w:rsidRDefault="00522967" w:rsidP="00240998">
      <w:pPr>
        <w:pStyle w:val="FootnoteText"/>
        <w:jc w:val="left"/>
      </w:pPr>
      <w:r w:rsidRPr="00225173">
        <w:rPr>
          <w:rStyle w:val="FootnoteReference"/>
        </w:rPr>
        <w:footnoteRef/>
      </w:r>
      <w:r w:rsidRPr="00225173">
        <w:t xml:space="preserve"> 47 U.S.C. § 333.</w:t>
      </w:r>
    </w:p>
  </w:footnote>
  <w:footnote w:id="10">
    <w:p w:rsidR="00522967" w:rsidRPr="00225173" w:rsidRDefault="00522967" w:rsidP="00240998">
      <w:pPr>
        <w:pStyle w:val="FootnoteText"/>
        <w:jc w:val="left"/>
      </w:pPr>
      <w:r w:rsidRPr="00225173">
        <w:rPr>
          <w:rStyle w:val="FootnoteReference"/>
        </w:rPr>
        <w:footnoteRef/>
      </w:r>
      <w:r w:rsidRPr="00225173">
        <w:t xml:space="preserve"> H.R. Rep. No. 101-316, at 8 (1989).  </w:t>
      </w:r>
    </w:p>
  </w:footnote>
  <w:footnote w:id="11">
    <w:p w:rsidR="00EC0C6A" w:rsidRPr="00225173" w:rsidRDefault="00EC0C6A" w:rsidP="00F93CB6">
      <w:pPr>
        <w:pStyle w:val="FootnoteText"/>
        <w:jc w:val="left"/>
      </w:pPr>
      <w:r w:rsidRPr="00225173">
        <w:rPr>
          <w:rStyle w:val="FootnoteReference"/>
        </w:rPr>
        <w:footnoteRef/>
      </w:r>
      <w:r w:rsidRPr="00225173">
        <w:t xml:space="preserve"> 47 C.F.R. § </w:t>
      </w:r>
      <w:r w:rsidR="00522967" w:rsidRPr="00225173">
        <w:t xml:space="preserve">97.101(d).  </w:t>
      </w:r>
      <w:r w:rsidR="00522967" w:rsidRPr="00225173">
        <w:rPr>
          <w:i/>
        </w:rPr>
        <w:t xml:space="preserve">See </w:t>
      </w:r>
      <w:r w:rsidR="00522967" w:rsidRPr="00225173">
        <w:t xml:space="preserve">47 C.F.R. § 97.101(a) (stating that “each amateur radio station must be operated in accordance with good engineering and good amateur practice”). </w:t>
      </w:r>
    </w:p>
  </w:footnote>
  <w:footnote w:id="12">
    <w:p w:rsidR="00EC0C6A" w:rsidRPr="00225173" w:rsidRDefault="00EC0C6A" w:rsidP="00F93CB6">
      <w:pPr>
        <w:pStyle w:val="FootnoteText"/>
        <w:jc w:val="left"/>
        <w:rPr>
          <w:iCs/>
        </w:rPr>
      </w:pPr>
      <w:r w:rsidRPr="00225173">
        <w:rPr>
          <w:rStyle w:val="FootnoteReference"/>
        </w:rPr>
        <w:footnoteRef/>
      </w:r>
      <w:r w:rsidRPr="00225173">
        <w:t xml:space="preserve">  </w:t>
      </w:r>
      <w:r w:rsidR="00225173" w:rsidRPr="00225173">
        <w:rPr>
          <w:iCs/>
        </w:rPr>
        <w:t>Specifically, evidence indicates that the transmissions were aimed at interfering with two amateur radio operators with whom Mr. Guernsey has had a longstanding and well-documented dispute</w:t>
      </w:r>
      <w:r w:rsidRPr="00225173">
        <w:rPr>
          <w:iCs/>
        </w:rPr>
        <w:t xml:space="preserve">. </w:t>
      </w:r>
      <w:r w:rsidRPr="00F93CB6">
        <w:t xml:space="preserve">  </w:t>
      </w:r>
    </w:p>
  </w:footnote>
  <w:footnote w:id="13">
    <w:p w:rsidR="00225173" w:rsidRDefault="00225173" w:rsidP="00240998">
      <w:pPr>
        <w:pStyle w:val="FootnoteText"/>
        <w:jc w:val="left"/>
      </w:pPr>
      <w:r>
        <w:rPr>
          <w:rStyle w:val="FootnoteReference"/>
        </w:rPr>
        <w:footnoteRef/>
      </w:r>
      <w:r>
        <w:t xml:space="preserve"> 47 C.F.R. § 97.11</w:t>
      </w:r>
      <w:r w:rsidR="009E7749">
        <w:t>9</w:t>
      </w:r>
      <w:r>
        <w:t>(a).</w:t>
      </w:r>
    </w:p>
  </w:footnote>
  <w:footnote w:id="14">
    <w:p w:rsidR="00EC0C6A" w:rsidRPr="00225173" w:rsidRDefault="00EC0C6A" w:rsidP="00240998">
      <w:pPr>
        <w:pStyle w:val="FootnoteText"/>
        <w:jc w:val="left"/>
      </w:pPr>
      <w:r w:rsidRPr="00225173">
        <w:rPr>
          <w:rStyle w:val="FootnoteReference"/>
        </w:rPr>
        <w:footnoteRef/>
      </w:r>
      <w:r w:rsidRPr="00225173">
        <w:t xml:space="preserve"> </w:t>
      </w:r>
      <w:r w:rsidRPr="00225173">
        <w:rPr>
          <w:i/>
        </w:rPr>
        <w:t>The Commission’s Forfeiture Policy Statement and Amendment of Section 1.80 of the Rules to Incorporate the Forfeiture Guidelines</w:t>
      </w:r>
      <w:r w:rsidRPr="00225173">
        <w:t>, Report and Order, 12 FCC Rcd 17087 (1997) (</w:t>
      </w:r>
      <w:r w:rsidRPr="00225173">
        <w:rPr>
          <w:i/>
        </w:rPr>
        <w:t>Forfeiture Policy Statement</w:t>
      </w:r>
      <w:r w:rsidRPr="00225173">
        <w:t xml:space="preserve">), </w:t>
      </w:r>
      <w:r w:rsidRPr="00225173">
        <w:rPr>
          <w:i/>
        </w:rPr>
        <w:t>recons. denied</w:t>
      </w:r>
      <w:r w:rsidRPr="00225173">
        <w:t>, 15 FCC Rcd 303 (1999); 47 C.F.R. § 1.80.</w:t>
      </w:r>
    </w:p>
  </w:footnote>
  <w:footnote w:id="15">
    <w:p w:rsidR="00CC29A4" w:rsidRPr="00E11B60" w:rsidRDefault="00CC29A4" w:rsidP="00240998">
      <w:pPr>
        <w:pStyle w:val="FootnoteText"/>
        <w:jc w:val="left"/>
      </w:pPr>
      <w:r>
        <w:rPr>
          <w:rStyle w:val="FootnoteReference"/>
        </w:rPr>
        <w:footnoteRef/>
      </w:r>
      <w:r>
        <w:t xml:space="preserve"> 47 C.F.R. § 1.80(b)(8), Note (“The Commission and its staff retain the discretion to issue a higher or lower forfeiture than provided in the guidelines, to issue no forfeiture at all, or to apply alternative or additional sanctions as permitted by statute.”).</w:t>
      </w:r>
    </w:p>
  </w:footnote>
  <w:footnote w:id="16">
    <w:p w:rsidR="00EC0C6A" w:rsidRPr="00225173" w:rsidRDefault="00EC0C6A" w:rsidP="00240998">
      <w:pPr>
        <w:pStyle w:val="FootnoteText"/>
        <w:jc w:val="left"/>
      </w:pPr>
      <w:r w:rsidRPr="00225173">
        <w:rPr>
          <w:rStyle w:val="FootnoteReference"/>
        </w:rPr>
        <w:footnoteRef/>
      </w:r>
      <w:r w:rsidRPr="00225173">
        <w:t xml:space="preserve"> 47 U.S.C. § 503(b)(2)(E).</w:t>
      </w:r>
    </w:p>
  </w:footnote>
  <w:footnote w:id="17">
    <w:p w:rsidR="00EC0C6A" w:rsidRPr="00225173" w:rsidRDefault="00EC0C6A" w:rsidP="00F93CB6">
      <w:pPr>
        <w:pStyle w:val="FootnoteText"/>
        <w:jc w:val="left"/>
      </w:pPr>
      <w:r w:rsidRPr="00225173">
        <w:rPr>
          <w:rStyle w:val="FootnoteReference"/>
        </w:rPr>
        <w:footnoteRef/>
      </w:r>
      <w:r w:rsidRPr="00225173">
        <w:t xml:space="preserve"> </w:t>
      </w:r>
      <w:r w:rsidRPr="00225173">
        <w:rPr>
          <w:i/>
        </w:rPr>
        <w:t>See</w:t>
      </w:r>
      <w:r w:rsidRPr="00225173">
        <w:t xml:space="preserve"> </w:t>
      </w:r>
      <w:r w:rsidR="00CC29A4">
        <w:rPr>
          <w:i/>
        </w:rPr>
        <w:t xml:space="preserve">supra </w:t>
      </w:r>
      <w:r w:rsidR="00CC29A4">
        <w:t>note 2.</w:t>
      </w:r>
    </w:p>
  </w:footnote>
  <w:footnote w:id="18">
    <w:p w:rsidR="00240998" w:rsidRPr="00240998" w:rsidRDefault="00240998" w:rsidP="00240998">
      <w:pPr>
        <w:pStyle w:val="FootnoteText"/>
        <w:jc w:val="left"/>
      </w:pPr>
      <w:r>
        <w:rPr>
          <w:rStyle w:val="FootnoteReference"/>
        </w:rPr>
        <w:footnoteRef/>
      </w:r>
      <w:r>
        <w:t xml:space="preserve"> </w:t>
      </w:r>
      <w:r>
        <w:rPr>
          <w:i/>
        </w:rPr>
        <w:t>See, e.g.</w:t>
      </w:r>
      <w:r>
        <w:t>,</w:t>
      </w:r>
      <w:r>
        <w:rPr>
          <w:i/>
        </w:rPr>
        <w:t xml:space="preserve"> Jack Gerritsen</w:t>
      </w:r>
      <w:r>
        <w:t xml:space="preserve">, Notice of Apparent Liability for Forfeiture, File No. EB-03-LA-286 (Enf. Bur. Dec. 2, 2014), </w:t>
      </w:r>
      <w:r>
        <w:rPr>
          <w:i/>
        </w:rPr>
        <w:t>aff’d</w:t>
      </w:r>
      <w:r>
        <w:t>, Forfeiture Order, 20 FCC Rcd 19256 (Enf. Bur. 2005</w:t>
      </w:r>
      <w:r w:rsidR="00577134">
        <w:t xml:space="preserve">) (imposing $14,000 </w:t>
      </w:r>
      <w:r w:rsidR="00235D90">
        <w:t xml:space="preserve">upward adjustment to forfeiture </w:t>
      </w:r>
      <w:r>
        <w:t>for willful and malicious interference to licensed amateur radio stations</w:t>
      </w:r>
      <w:r w:rsidR="00577134">
        <w:t xml:space="preserve"> where individual was repeatedly warned </w:t>
      </w:r>
      <w:r w:rsidR="00235D90">
        <w:t xml:space="preserve">in writing </w:t>
      </w:r>
      <w:r w:rsidR="00577134">
        <w:t>that his actions violated the Rules</w:t>
      </w:r>
      <w:r>
        <w:t>).</w:t>
      </w:r>
    </w:p>
  </w:footnote>
  <w:footnote w:id="19">
    <w:p w:rsidR="00EC0C6A" w:rsidRPr="00225173" w:rsidRDefault="00EC0C6A" w:rsidP="00240998">
      <w:pPr>
        <w:pStyle w:val="FootnoteText"/>
        <w:jc w:val="left"/>
      </w:pPr>
      <w:r w:rsidRPr="00225173">
        <w:rPr>
          <w:rStyle w:val="FootnoteReference"/>
        </w:rPr>
        <w:footnoteRef/>
      </w:r>
      <w:r w:rsidRPr="00225173">
        <w:t xml:space="preserve"> 47 U.S.C. §</w:t>
      </w:r>
      <w:r w:rsidR="00FA793B">
        <w:t xml:space="preserve">§ </w:t>
      </w:r>
      <w:r w:rsidRPr="00225173">
        <w:t>333</w:t>
      </w:r>
      <w:r w:rsidR="00FA793B">
        <w:t>, 503(b)</w:t>
      </w:r>
      <w:r w:rsidRPr="00225173">
        <w:t>; 47 C.F.R. §§ 0.111, 0.204, 0.311, 0.314, 1.80, 97.101(d), 97.119(a).</w:t>
      </w:r>
    </w:p>
  </w:footnote>
  <w:footnote w:id="20">
    <w:p w:rsidR="00EC0C6A" w:rsidRPr="00225173" w:rsidRDefault="00EC0C6A" w:rsidP="00240998">
      <w:pPr>
        <w:pStyle w:val="FootnoteText"/>
        <w:jc w:val="left"/>
      </w:pPr>
      <w:r w:rsidRPr="00225173">
        <w:rPr>
          <w:rStyle w:val="FootnoteReference"/>
        </w:rPr>
        <w:footnoteRef/>
      </w:r>
      <w:r w:rsidRPr="00225173">
        <w:t xml:space="preserve"> </w:t>
      </w:r>
      <w:r w:rsidRPr="00225173">
        <w:rPr>
          <w:rFonts w:eastAsia="MS Mincho" w:cs="Arial"/>
        </w:rPr>
        <w:t>An FCC Form 159 and detailed instructions for completing the form may be obtained at http://www.fcc.gov/Forms/Form159/159.pdf.</w:t>
      </w:r>
    </w:p>
  </w:footnote>
  <w:footnote w:id="21">
    <w:p w:rsidR="00EC0C6A" w:rsidRPr="00225173" w:rsidRDefault="00EC0C6A" w:rsidP="00F93CB6">
      <w:pPr>
        <w:pStyle w:val="FootnoteText"/>
        <w:jc w:val="left"/>
      </w:pPr>
      <w:r w:rsidRPr="00225173">
        <w:rPr>
          <w:rStyle w:val="FootnoteReference"/>
        </w:rPr>
        <w:footnoteRef/>
      </w:r>
      <w:r w:rsidRPr="00225173">
        <w:t xml:space="preserve"> </w:t>
      </w:r>
      <w:r w:rsidRPr="00225173">
        <w:rPr>
          <w:i/>
        </w:rPr>
        <w:t>See</w:t>
      </w:r>
      <w:r w:rsidRPr="00225173">
        <w:t xml:space="preserve"> 47 C.F.R. § 1.1914.</w:t>
      </w:r>
    </w:p>
  </w:footnote>
  <w:footnote w:id="22">
    <w:p w:rsidR="00EC0C6A" w:rsidRPr="00225173" w:rsidRDefault="00EC0C6A" w:rsidP="00F93CB6">
      <w:pPr>
        <w:pStyle w:val="FootnoteText"/>
        <w:jc w:val="left"/>
      </w:pPr>
      <w:r w:rsidRPr="00225173">
        <w:rPr>
          <w:rStyle w:val="FootnoteReference"/>
        </w:rPr>
        <w:footnoteRef/>
      </w:r>
      <w:r w:rsidRPr="00225173">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D3" w:rsidRDefault="00505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6A" w:rsidRPr="00331410" w:rsidRDefault="00EC0C6A" w:rsidP="006975F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C747D2">
      <w:rPr>
        <w:b/>
        <w:sz w:val="22"/>
        <w:szCs w:val="22"/>
      </w:rPr>
      <w:t>DA 14-1030</w:t>
    </w:r>
  </w:p>
  <w:p w:rsidR="00EC0C6A" w:rsidRDefault="00A15A8D">
    <w:pPr>
      <w:pStyle w:val="Header"/>
      <w:tabs>
        <w:tab w:val="clear" w:pos="8640"/>
        <w:tab w:val="right" w:pos="9360"/>
      </w:tabs>
    </w:pPr>
    <w:r>
      <w:rPr>
        <w:noProof/>
      </w:rPr>
      <w:pict>
        <v:line id="_x0000_s2053" style="position:absolute;z-index:251658240" from="0,1.75pt" to="468pt,1.75pt" o:allowincell="f" strokeweight="1.5pt"/>
      </w:pict>
    </w:r>
  </w:p>
  <w:p w:rsidR="00EC0C6A" w:rsidRDefault="00EC0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6A" w:rsidRPr="00331410" w:rsidRDefault="00EC0C6A" w:rsidP="006975F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14-</w:t>
    </w:r>
    <w:r w:rsidR="00C747D2">
      <w:rPr>
        <w:b/>
        <w:sz w:val="22"/>
        <w:szCs w:val="22"/>
      </w:rPr>
      <w:t>1030</w:t>
    </w:r>
  </w:p>
  <w:p w:rsidR="00EC0C6A" w:rsidRDefault="00A15A8D">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61"/>
    <w:multiLevelType w:val="hybridMultilevel"/>
    <w:tmpl w:val="5E36A01A"/>
    <w:lvl w:ilvl="0" w:tplc="88B4E40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E4E796F"/>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432817C4"/>
    <w:multiLevelType w:val="singleLevel"/>
    <w:tmpl w:val="061A5C4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9">
    <w:nsid w:val="45AF067F"/>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B634E2D"/>
    <w:multiLevelType w:val="hybridMultilevel"/>
    <w:tmpl w:val="ABCE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82D7ECB"/>
    <w:multiLevelType w:val="hybridMultilevel"/>
    <w:tmpl w:val="EB826E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1">
    <w:nsid w:val="716E6185"/>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2"/>
  </w:num>
  <w:num w:numId="3">
    <w:abstractNumId w:val="5"/>
  </w:num>
  <w:num w:numId="4">
    <w:abstractNumId w:val="24"/>
  </w:num>
  <w:num w:numId="5">
    <w:abstractNumId w:val="6"/>
  </w:num>
  <w:num w:numId="6">
    <w:abstractNumId w:val="28"/>
  </w:num>
  <w:num w:numId="7">
    <w:abstractNumId w:val="20"/>
  </w:num>
  <w:num w:numId="8">
    <w:abstractNumId w:val="7"/>
  </w:num>
  <w:num w:numId="9">
    <w:abstractNumId w:val="27"/>
  </w:num>
  <w:num w:numId="10">
    <w:abstractNumId w:val="13"/>
  </w:num>
  <w:num w:numId="11">
    <w:abstractNumId w:val="11"/>
  </w:num>
  <w:num w:numId="12">
    <w:abstractNumId w:val="8"/>
  </w:num>
  <w:num w:numId="13">
    <w:abstractNumId w:val="15"/>
  </w:num>
  <w:num w:numId="14">
    <w:abstractNumId w:val="25"/>
  </w:num>
  <w:num w:numId="15">
    <w:abstractNumId w:val="3"/>
  </w:num>
  <w:num w:numId="16">
    <w:abstractNumId w:val="4"/>
  </w:num>
  <w:num w:numId="17">
    <w:abstractNumId w:val="9"/>
  </w:num>
  <w:num w:numId="18">
    <w:abstractNumId w:val="1"/>
  </w:num>
  <w:num w:numId="19">
    <w:abstractNumId w:val="10"/>
  </w:num>
  <w:num w:numId="20">
    <w:abstractNumId w:val="21"/>
  </w:num>
  <w:num w:numId="21">
    <w:abstractNumId w:val="23"/>
  </w:num>
  <w:num w:numId="22">
    <w:abstractNumId w:val="18"/>
  </w:num>
  <w:num w:numId="23">
    <w:abstractNumId w:val="12"/>
  </w:num>
  <w:num w:numId="24">
    <w:abstractNumId w:val="29"/>
  </w:num>
  <w:num w:numId="25">
    <w:abstractNumId w:val="14"/>
  </w:num>
  <w:num w:numId="26">
    <w:abstractNumId w:val="17"/>
  </w:num>
  <w:num w:numId="27">
    <w:abstractNumId w:val="2"/>
  </w:num>
  <w:num w:numId="28">
    <w:abstractNumId w:val="26"/>
  </w:num>
  <w:num w:numId="29">
    <w:abstractNumId w:val="22"/>
  </w:num>
  <w:num w:numId="30">
    <w:abstractNumId w:val="31"/>
  </w:num>
  <w:num w:numId="31">
    <w:abstractNumId w:val="19"/>
  </w:num>
  <w:num w:numId="32">
    <w:abstractNumId w:val="16"/>
  </w:num>
  <w:num w:numId="33">
    <w:abstractNumId w:val="0"/>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6836"/>
    <w:rsid w:val="00017CDA"/>
    <w:rsid w:val="00022679"/>
    <w:rsid w:val="00037295"/>
    <w:rsid w:val="00050854"/>
    <w:rsid w:val="00053E37"/>
    <w:rsid w:val="00066DCB"/>
    <w:rsid w:val="000702F1"/>
    <w:rsid w:val="00071484"/>
    <w:rsid w:val="000779CC"/>
    <w:rsid w:val="00077F92"/>
    <w:rsid w:val="000875B1"/>
    <w:rsid w:val="00087C2D"/>
    <w:rsid w:val="000A0EEE"/>
    <w:rsid w:val="000A170A"/>
    <w:rsid w:val="000A5F92"/>
    <w:rsid w:val="000A71AC"/>
    <w:rsid w:val="000B1688"/>
    <w:rsid w:val="000B3C45"/>
    <w:rsid w:val="000E0451"/>
    <w:rsid w:val="000E2560"/>
    <w:rsid w:val="00105973"/>
    <w:rsid w:val="0011114B"/>
    <w:rsid w:val="0011170C"/>
    <w:rsid w:val="00112E8E"/>
    <w:rsid w:val="00120233"/>
    <w:rsid w:val="001253C3"/>
    <w:rsid w:val="00125A4D"/>
    <w:rsid w:val="00145224"/>
    <w:rsid w:val="001526A2"/>
    <w:rsid w:val="00154417"/>
    <w:rsid w:val="00156CD9"/>
    <w:rsid w:val="001665F5"/>
    <w:rsid w:val="00174A12"/>
    <w:rsid w:val="00175E71"/>
    <w:rsid w:val="00190523"/>
    <w:rsid w:val="00195ECB"/>
    <w:rsid w:val="001C0B1F"/>
    <w:rsid w:val="001E246C"/>
    <w:rsid w:val="001E2A65"/>
    <w:rsid w:val="001F566B"/>
    <w:rsid w:val="001F7450"/>
    <w:rsid w:val="00211D85"/>
    <w:rsid w:val="00211F2D"/>
    <w:rsid w:val="002223FD"/>
    <w:rsid w:val="00225173"/>
    <w:rsid w:val="00235D90"/>
    <w:rsid w:val="00237F81"/>
    <w:rsid w:val="00240998"/>
    <w:rsid w:val="00240AEB"/>
    <w:rsid w:val="002511FB"/>
    <w:rsid w:val="00256422"/>
    <w:rsid w:val="00257A58"/>
    <w:rsid w:val="00260C08"/>
    <w:rsid w:val="00275D9B"/>
    <w:rsid w:val="00286F24"/>
    <w:rsid w:val="002A0F2A"/>
    <w:rsid w:val="002A732B"/>
    <w:rsid w:val="002C62DA"/>
    <w:rsid w:val="002E6323"/>
    <w:rsid w:val="002F1E38"/>
    <w:rsid w:val="002F7017"/>
    <w:rsid w:val="003003E1"/>
    <w:rsid w:val="00313D01"/>
    <w:rsid w:val="00321805"/>
    <w:rsid w:val="00323513"/>
    <w:rsid w:val="0033085D"/>
    <w:rsid w:val="00331410"/>
    <w:rsid w:val="0033797D"/>
    <w:rsid w:val="00337B75"/>
    <w:rsid w:val="003405A4"/>
    <w:rsid w:val="003422DF"/>
    <w:rsid w:val="00347CA1"/>
    <w:rsid w:val="00362432"/>
    <w:rsid w:val="00371336"/>
    <w:rsid w:val="003740F2"/>
    <w:rsid w:val="00377CA2"/>
    <w:rsid w:val="00390F1B"/>
    <w:rsid w:val="00392410"/>
    <w:rsid w:val="003A2112"/>
    <w:rsid w:val="003A68D5"/>
    <w:rsid w:val="003A7878"/>
    <w:rsid w:val="003B61EB"/>
    <w:rsid w:val="003E2AD5"/>
    <w:rsid w:val="003F0D55"/>
    <w:rsid w:val="003F3CFD"/>
    <w:rsid w:val="003F5B96"/>
    <w:rsid w:val="004110FC"/>
    <w:rsid w:val="0041443C"/>
    <w:rsid w:val="00415DE5"/>
    <w:rsid w:val="00425706"/>
    <w:rsid w:val="00447AAD"/>
    <w:rsid w:val="00484313"/>
    <w:rsid w:val="004930F5"/>
    <w:rsid w:val="004A2084"/>
    <w:rsid w:val="004C6D99"/>
    <w:rsid w:val="004D3A3E"/>
    <w:rsid w:val="004E00D3"/>
    <w:rsid w:val="00502239"/>
    <w:rsid w:val="005057D3"/>
    <w:rsid w:val="00510919"/>
    <w:rsid w:val="00512D71"/>
    <w:rsid w:val="00513F6C"/>
    <w:rsid w:val="00522967"/>
    <w:rsid w:val="00534B2F"/>
    <w:rsid w:val="00543E64"/>
    <w:rsid w:val="00562A69"/>
    <w:rsid w:val="00571009"/>
    <w:rsid w:val="00574A7A"/>
    <w:rsid w:val="00575A29"/>
    <w:rsid w:val="00577134"/>
    <w:rsid w:val="00597628"/>
    <w:rsid w:val="005A3F75"/>
    <w:rsid w:val="005B38E6"/>
    <w:rsid w:val="005B67D8"/>
    <w:rsid w:val="005D19E6"/>
    <w:rsid w:val="005D3AC8"/>
    <w:rsid w:val="005E587D"/>
    <w:rsid w:val="005F002F"/>
    <w:rsid w:val="005F2E13"/>
    <w:rsid w:val="005F46E6"/>
    <w:rsid w:val="005F483B"/>
    <w:rsid w:val="005F67D7"/>
    <w:rsid w:val="005F750B"/>
    <w:rsid w:val="00607D4F"/>
    <w:rsid w:val="00613F65"/>
    <w:rsid w:val="006172A3"/>
    <w:rsid w:val="00624E7D"/>
    <w:rsid w:val="006336DF"/>
    <w:rsid w:val="00647CC5"/>
    <w:rsid w:val="00650A4A"/>
    <w:rsid w:val="00651DE2"/>
    <w:rsid w:val="00662C5C"/>
    <w:rsid w:val="006818C9"/>
    <w:rsid w:val="006834D3"/>
    <w:rsid w:val="00683F6F"/>
    <w:rsid w:val="006868B5"/>
    <w:rsid w:val="006975F9"/>
    <w:rsid w:val="006B2CBC"/>
    <w:rsid w:val="006B504D"/>
    <w:rsid w:val="006C72D8"/>
    <w:rsid w:val="00702838"/>
    <w:rsid w:val="00716561"/>
    <w:rsid w:val="00733E4A"/>
    <w:rsid w:val="00735D4D"/>
    <w:rsid w:val="00744632"/>
    <w:rsid w:val="00746742"/>
    <w:rsid w:val="00755E36"/>
    <w:rsid w:val="0076083C"/>
    <w:rsid w:val="00777E77"/>
    <w:rsid w:val="00780C18"/>
    <w:rsid w:val="00787C4B"/>
    <w:rsid w:val="007907B0"/>
    <w:rsid w:val="0079300F"/>
    <w:rsid w:val="00794C59"/>
    <w:rsid w:val="007E1368"/>
    <w:rsid w:val="007E2E05"/>
    <w:rsid w:val="007E5CCE"/>
    <w:rsid w:val="0080198A"/>
    <w:rsid w:val="008024F6"/>
    <w:rsid w:val="00832D6C"/>
    <w:rsid w:val="00840A6A"/>
    <w:rsid w:val="00852A75"/>
    <w:rsid w:val="00856437"/>
    <w:rsid w:val="00857E84"/>
    <w:rsid w:val="00861990"/>
    <w:rsid w:val="00875DB2"/>
    <w:rsid w:val="00884BDA"/>
    <w:rsid w:val="00887660"/>
    <w:rsid w:val="00890911"/>
    <w:rsid w:val="008957F6"/>
    <w:rsid w:val="008B58B7"/>
    <w:rsid w:val="008C26F7"/>
    <w:rsid w:val="008C32D3"/>
    <w:rsid w:val="008C44FD"/>
    <w:rsid w:val="008C4978"/>
    <w:rsid w:val="008C4BD5"/>
    <w:rsid w:val="008D235A"/>
    <w:rsid w:val="008F0580"/>
    <w:rsid w:val="0091686F"/>
    <w:rsid w:val="00920C19"/>
    <w:rsid w:val="00924BC3"/>
    <w:rsid w:val="00933895"/>
    <w:rsid w:val="009423ED"/>
    <w:rsid w:val="0095119D"/>
    <w:rsid w:val="00957592"/>
    <w:rsid w:val="009578B1"/>
    <w:rsid w:val="00967758"/>
    <w:rsid w:val="009711A7"/>
    <w:rsid w:val="009712F4"/>
    <w:rsid w:val="00972105"/>
    <w:rsid w:val="00980DFC"/>
    <w:rsid w:val="00983CCD"/>
    <w:rsid w:val="00986009"/>
    <w:rsid w:val="00990FB6"/>
    <w:rsid w:val="009D06DE"/>
    <w:rsid w:val="009D1F23"/>
    <w:rsid w:val="009D7325"/>
    <w:rsid w:val="009D75AF"/>
    <w:rsid w:val="009E0D1C"/>
    <w:rsid w:val="009E4540"/>
    <w:rsid w:val="009E7749"/>
    <w:rsid w:val="009F6C24"/>
    <w:rsid w:val="00A10DA6"/>
    <w:rsid w:val="00A12D37"/>
    <w:rsid w:val="00A13424"/>
    <w:rsid w:val="00A15A8D"/>
    <w:rsid w:val="00A16AF9"/>
    <w:rsid w:val="00A37420"/>
    <w:rsid w:val="00A410C9"/>
    <w:rsid w:val="00A546FC"/>
    <w:rsid w:val="00A66F85"/>
    <w:rsid w:val="00A76BC5"/>
    <w:rsid w:val="00A83A8B"/>
    <w:rsid w:val="00AA497C"/>
    <w:rsid w:val="00AB3F15"/>
    <w:rsid w:val="00AE30FC"/>
    <w:rsid w:val="00AE3A0F"/>
    <w:rsid w:val="00B04DF4"/>
    <w:rsid w:val="00B14ECD"/>
    <w:rsid w:val="00B25C02"/>
    <w:rsid w:val="00B3377F"/>
    <w:rsid w:val="00B711FC"/>
    <w:rsid w:val="00B90EB1"/>
    <w:rsid w:val="00B93F40"/>
    <w:rsid w:val="00B943BA"/>
    <w:rsid w:val="00BA6DFF"/>
    <w:rsid w:val="00BB34F3"/>
    <w:rsid w:val="00BB4E8D"/>
    <w:rsid w:val="00BB5A17"/>
    <w:rsid w:val="00BD24E7"/>
    <w:rsid w:val="00BE6E2F"/>
    <w:rsid w:val="00BF1922"/>
    <w:rsid w:val="00BF4DA8"/>
    <w:rsid w:val="00C009F7"/>
    <w:rsid w:val="00C17AF7"/>
    <w:rsid w:val="00C24320"/>
    <w:rsid w:val="00C24414"/>
    <w:rsid w:val="00C46A39"/>
    <w:rsid w:val="00C55AF9"/>
    <w:rsid w:val="00C5634A"/>
    <w:rsid w:val="00C5743D"/>
    <w:rsid w:val="00C600C5"/>
    <w:rsid w:val="00C747D2"/>
    <w:rsid w:val="00C77289"/>
    <w:rsid w:val="00C8210C"/>
    <w:rsid w:val="00C91804"/>
    <w:rsid w:val="00C938B9"/>
    <w:rsid w:val="00CA7544"/>
    <w:rsid w:val="00CB5D98"/>
    <w:rsid w:val="00CC29A4"/>
    <w:rsid w:val="00CC2A5F"/>
    <w:rsid w:val="00CD5AA2"/>
    <w:rsid w:val="00CE1311"/>
    <w:rsid w:val="00CE2E71"/>
    <w:rsid w:val="00CE7212"/>
    <w:rsid w:val="00CF350E"/>
    <w:rsid w:val="00CF74B6"/>
    <w:rsid w:val="00D02F61"/>
    <w:rsid w:val="00D13FA6"/>
    <w:rsid w:val="00D15A5F"/>
    <w:rsid w:val="00D24820"/>
    <w:rsid w:val="00D26EB8"/>
    <w:rsid w:val="00D435AF"/>
    <w:rsid w:val="00D5087E"/>
    <w:rsid w:val="00D52690"/>
    <w:rsid w:val="00D57AE2"/>
    <w:rsid w:val="00D7437C"/>
    <w:rsid w:val="00D74D55"/>
    <w:rsid w:val="00D87F3D"/>
    <w:rsid w:val="00D97781"/>
    <w:rsid w:val="00DB12F9"/>
    <w:rsid w:val="00DC7D2B"/>
    <w:rsid w:val="00DD51F4"/>
    <w:rsid w:val="00DE20D1"/>
    <w:rsid w:val="00DE4A65"/>
    <w:rsid w:val="00DF64C1"/>
    <w:rsid w:val="00E13519"/>
    <w:rsid w:val="00E16103"/>
    <w:rsid w:val="00E458B2"/>
    <w:rsid w:val="00E51FBD"/>
    <w:rsid w:val="00E52C78"/>
    <w:rsid w:val="00E73183"/>
    <w:rsid w:val="00E752ED"/>
    <w:rsid w:val="00E847E3"/>
    <w:rsid w:val="00E92EAB"/>
    <w:rsid w:val="00EA1E3A"/>
    <w:rsid w:val="00EA4240"/>
    <w:rsid w:val="00EB0E5D"/>
    <w:rsid w:val="00EB57F9"/>
    <w:rsid w:val="00EB63ED"/>
    <w:rsid w:val="00EC0A33"/>
    <w:rsid w:val="00EC0C6A"/>
    <w:rsid w:val="00EC1415"/>
    <w:rsid w:val="00EE7962"/>
    <w:rsid w:val="00F23906"/>
    <w:rsid w:val="00F25F9A"/>
    <w:rsid w:val="00F265AC"/>
    <w:rsid w:val="00F30E61"/>
    <w:rsid w:val="00F4123C"/>
    <w:rsid w:val="00F46870"/>
    <w:rsid w:val="00F6189B"/>
    <w:rsid w:val="00F634DD"/>
    <w:rsid w:val="00F71B85"/>
    <w:rsid w:val="00F82954"/>
    <w:rsid w:val="00F84613"/>
    <w:rsid w:val="00F85BBC"/>
    <w:rsid w:val="00F93CB6"/>
    <w:rsid w:val="00FA793B"/>
    <w:rsid w:val="00FB30D7"/>
    <w:rsid w:val="00FB4F88"/>
    <w:rsid w:val="00FC6B38"/>
    <w:rsid w:val="00FD4A67"/>
    <w:rsid w:val="00FD4DF3"/>
    <w:rsid w:val="00FE0C77"/>
    <w:rsid w:val="00FE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uiPriority w:val="99"/>
    <w:rsid w:val="00FD4DF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uiPriority w:val="99"/>
    <w:rsid w:val="00FD4DF3"/>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053E37"/>
    <w:pPr>
      <w:widowControl/>
      <w:autoSpaceDE/>
      <w:autoSpaceDN/>
      <w:adjustRightInd/>
      <w:ind w:left="720"/>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576">
      <w:bodyDiv w:val="1"/>
      <w:marLeft w:val="0"/>
      <w:marRight w:val="0"/>
      <w:marTop w:val="0"/>
      <w:marBottom w:val="0"/>
      <w:divBdr>
        <w:top w:val="none" w:sz="0" w:space="0" w:color="auto"/>
        <w:left w:val="none" w:sz="0" w:space="0" w:color="auto"/>
        <w:bottom w:val="none" w:sz="0" w:space="0" w:color="auto"/>
        <w:right w:val="none" w:sz="0" w:space="0" w:color="auto"/>
      </w:divBdr>
    </w:div>
    <w:div w:id="31004695">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1857</Words>
  <Characters>10451</Characters>
  <Application>Microsoft Office Word</Application>
  <DocSecurity>0</DocSecurity>
  <Lines>172</Lines>
  <Paragraphs>51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12367</CharactersWithSpaces>
  <SharedDoc>false</SharedDoc>
  <HyperlinkBase> </HyperlinkBase>
  <HLinks>
    <vt:vector size="12" baseType="variant">
      <vt:variant>
        <vt:i4>65662</vt:i4>
      </vt:variant>
      <vt:variant>
        <vt:i4>3</vt:i4>
      </vt:variant>
      <vt:variant>
        <vt:i4>0</vt:i4>
      </vt:variant>
      <vt:variant>
        <vt:i4>5</vt:i4>
      </vt:variant>
      <vt:variant>
        <vt:lpwstr>mailto:NER-Response@fcc.gov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2014-07-22T12:36:00Z</cp:lastPrinted>
  <dcterms:created xsi:type="dcterms:W3CDTF">2014-07-22T13:38:00Z</dcterms:created>
  <dcterms:modified xsi:type="dcterms:W3CDTF">2014-07-22T13:38:00Z</dcterms:modified>
  <cp:category> </cp:category>
  <cp:contentStatus> </cp:contentStatus>
</cp:coreProperties>
</file>