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BC" w:rsidRDefault="004658BC">
      <w:pPr>
        <w:pStyle w:val="Header"/>
        <w:tabs>
          <w:tab w:val="clear" w:pos="4320"/>
          <w:tab w:val="clear" w:pos="8640"/>
        </w:tabs>
        <w:sectPr w:rsidR="004658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1440" w:left="720" w:header="720" w:footer="1440" w:gutter="0"/>
          <w:cols w:space="720"/>
          <w:titlePg/>
        </w:sectPr>
      </w:pPr>
      <w:bookmarkStart w:id="1" w:name="_GoBack"/>
      <w:bookmarkEnd w:id="1"/>
      <w:r>
        <w:t xml:space="preserve"> </w:t>
      </w:r>
    </w:p>
    <w:p w:rsidR="004658BC" w:rsidRPr="00C071B2" w:rsidRDefault="004658BC">
      <w:pPr>
        <w:tabs>
          <w:tab w:val="right" w:pos="9360"/>
        </w:tabs>
        <w:suppressAutoHyphens/>
        <w:spacing w:line="227" w:lineRule="auto"/>
        <w:jc w:val="right"/>
        <w:rPr>
          <w:rFonts w:ascii="Times" w:hAnsi="Times"/>
          <w:b/>
          <w:spacing w:val="-2"/>
          <w:sz w:val="22"/>
          <w:szCs w:val="22"/>
        </w:rPr>
      </w:pPr>
      <w:r>
        <w:rPr>
          <w:rFonts w:ascii="Times" w:hAnsi="Times"/>
          <w:b/>
          <w:spacing w:val="-2"/>
          <w:sz w:val="22"/>
        </w:rPr>
        <w:lastRenderedPageBreak/>
        <w:tab/>
      </w:r>
      <w:r w:rsidRPr="00C071B2">
        <w:rPr>
          <w:rFonts w:ascii="Times" w:hAnsi="Times"/>
          <w:b/>
          <w:spacing w:val="-2"/>
          <w:sz w:val="22"/>
          <w:szCs w:val="22"/>
        </w:rPr>
        <w:t xml:space="preserve">DA </w:t>
      </w:r>
      <w:r w:rsidR="00654F14" w:rsidRPr="00C071B2">
        <w:rPr>
          <w:rFonts w:ascii="Times" w:hAnsi="Times"/>
          <w:b/>
          <w:spacing w:val="-2"/>
          <w:sz w:val="22"/>
          <w:szCs w:val="22"/>
        </w:rPr>
        <w:t>14-</w:t>
      </w:r>
      <w:r w:rsidR="00811082">
        <w:rPr>
          <w:rFonts w:ascii="Times" w:hAnsi="Times"/>
          <w:b/>
          <w:spacing w:val="-2"/>
          <w:sz w:val="22"/>
          <w:szCs w:val="22"/>
        </w:rPr>
        <w:t>1043</w:t>
      </w:r>
    </w:p>
    <w:p w:rsidR="004658BC" w:rsidRPr="00C071B2" w:rsidRDefault="004658BC">
      <w:pPr>
        <w:tabs>
          <w:tab w:val="right" w:pos="9360"/>
        </w:tabs>
        <w:suppressAutoHyphens/>
        <w:spacing w:line="227" w:lineRule="auto"/>
        <w:rPr>
          <w:rFonts w:ascii="Times" w:hAnsi="Times"/>
          <w:spacing w:val="-2"/>
          <w:sz w:val="22"/>
          <w:szCs w:val="22"/>
        </w:rPr>
      </w:pPr>
      <w:r w:rsidRPr="00C071B2">
        <w:rPr>
          <w:rFonts w:ascii="Times" w:hAnsi="Times"/>
          <w:b/>
          <w:spacing w:val="-2"/>
          <w:sz w:val="22"/>
          <w:szCs w:val="22"/>
        </w:rPr>
        <w:tab/>
        <w:t xml:space="preserve">Released:  </w:t>
      </w:r>
      <w:r w:rsidR="00C071B2" w:rsidRPr="00C071B2">
        <w:rPr>
          <w:rFonts w:ascii="Times" w:hAnsi="Times"/>
          <w:b/>
          <w:spacing w:val="-2"/>
          <w:sz w:val="22"/>
          <w:szCs w:val="22"/>
        </w:rPr>
        <w:t>July</w:t>
      </w:r>
      <w:r w:rsidR="0001067F">
        <w:rPr>
          <w:rFonts w:ascii="Times" w:hAnsi="Times"/>
          <w:b/>
          <w:spacing w:val="-2"/>
          <w:sz w:val="22"/>
          <w:szCs w:val="22"/>
        </w:rPr>
        <w:t xml:space="preserve"> 23</w:t>
      </w:r>
      <w:r w:rsidRPr="00C071B2">
        <w:rPr>
          <w:rFonts w:ascii="Times" w:hAnsi="Times"/>
          <w:b/>
          <w:spacing w:val="-2"/>
          <w:sz w:val="22"/>
          <w:szCs w:val="22"/>
        </w:rPr>
        <w:t>, 201</w:t>
      </w:r>
      <w:r w:rsidR="00D37B7E" w:rsidRPr="00C071B2">
        <w:rPr>
          <w:rFonts w:ascii="Times" w:hAnsi="Times"/>
          <w:b/>
          <w:spacing w:val="-2"/>
          <w:sz w:val="22"/>
          <w:szCs w:val="22"/>
        </w:rPr>
        <w:t>4</w:t>
      </w:r>
    </w:p>
    <w:p w:rsidR="004658BC" w:rsidRPr="00C071B2" w:rsidRDefault="004658BC">
      <w:pPr>
        <w:tabs>
          <w:tab w:val="left" w:pos="-720"/>
        </w:tabs>
        <w:suppressAutoHyphens/>
        <w:spacing w:line="227" w:lineRule="auto"/>
        <w:jc w:val="both"/>
        <w:rPr>
          <w:rFonts w:ascii="Times" w:hAnsi="Times"/>
          <w:spacing w:val="-2"/>
          <w:sz w:val="22"/>
          <w:szCs w:val="22"/>
        </w:rPr>
      </w:pPr>
    </w:p>
    <w:p w:rsidR="00C071B2" w:rsidRPr="00C071B2" w:rsidRDefault="00D3752A" w:rsidP="004632D2">
      <w:pPr>
        <w:spacing w:after="120"/>
        <w:jc w:val="center"/>
        <w:rPr>
          <w:b/>
          <w:sz w:val="22"/>
          <w:szCs w:val="22"/>
        </w:rPr>
      </w:pPr>
      <w:r w:rsidRPr="00C071B2">
        <w:rPr>
          <w:b/>
          <w:sz w:val="22"/>
          <w:szCs w:val="22"/>
        </w:rPr>
        <w:t>WIRELESS TE</w:t>
      </w:r>
      <w:r w:rsidR="004632D2">
        <w:rPr>
          <w:b/>
          <w:sz w:val="22"/>
          <w:szCs w:val="22"/>
        </w:rPr>
        <w:t xml:space="preserve">LECOMMUNICATIONS BUREAU EXTENDS </w:t>
      </w:r>
      <w:r w:rsidR="001F76A0">
        <w:rPr>
          <w:b/>
          <w:sz w:val="22"/>
          <w:szCs w:val="22"/>
        </w:rPr>
        <w:t xml:space="preserve">REPLY </w:t>
      </w:r>
      <w:r w:rsidR="004632D2">
        <w:rPr>
          <w:b/>
          <w:sz w:val="22"/>
          <w:szCs w:val="22"/>
        </w:rPr>
        <w:t>COMMENT</w:t>
      </w:r>
      <w:r w:rsidRPr="00C071B2">
        <w:rPr>
          <w:b/>
          <w:sz w:val="22"/>
          <w:szCs w:val="22"/>
        </w:rPr>
        <w:t xml:space="preserve"> </w:t>
      </w:r>
      <w:r w:rsidR="004632D2">
        <w:rPr>
          <w:b/>
          <w:sz w:val="22"/>
          <w:szCs w:val="22"/>
        </w:rPr>
        <w:t xml:space="preserve">DEADLINE </w:t>
      </w:r>
      <w:r w:rsidRPr="00C071B2">
        <w:rPr>
          <w:b/>
          <w:sz w:val="22"/>
          <w:szCs w:val="22"/>
        </w:rPr>
        <w:t>ON</w:t>
      </w:r>
      <w:r w:rsidRPr="00C071B2">
        <w:rPr>
          <w:sz w:val="22"/>
          <w:szCs w:val="22"/>
        </w:rPr>
        <w:t xml:space="preserve"> </w:t>
      </w:r>
      <w:r w:rsidR="00C071B2" w:rsidRPr="00C071B2">
        <w:rPr>
          <w:b/>
          <w:sz w:val="22"/>
          <w:szCs w:val="22"/>
        </w:rPr>
        <w:t xml:space="preserve">PETITION FOR EXPEDITED DECLARATORY RULING FILED BY T-MOBILE USA, INC. REGARDING </w:t>
      </w:r>
      <w:r w:rsidR="00C071B2" w:rsidRPr="00C071B2">
        <w:rPr>
          <w:b/>
          <w:caps/>
          <w:sz w:val="22"/>
          <w:szCs w:val="22"/>
        </w:rPr>
        <w:t>Data Roaming OBLIGATIONS</w:t>
      </w:r>
    </w:p>
    <w:p w:rsidR="004658BC" w:rsidRPr="00C071B2" w:rsidRDefault="004658BC">
      <w:pPr>
        <w:pStyle w:val="BodyText"/>
        <w:rPr>
          <w:szCs w:val="22"/>
        </w:rPr>
      </w:pPr>
    </w:p>
    <w:p w:rsidR="004658BC" w:rsidRPr="00C071B2" w:rsidRDefault="004658BC">
      <w:pPr>
        <w:pStyle w:val="BodyText"/>
        <w:shd w:val="clear" w:color="auto" w:fill="FFFFFF"/>
        <w:rPr>
          <w:szCs w:val="22"/>
        </w:rPr>
      </w:pPr>
      <w:r w:rsidRPr="00C071B2">
        <w:rPr>
          <w:szCs w:val="22"/>
        </w:rPr>
        <w:t xml:space="preserve">WT Docket No. </w:t>
      </w:r>
      <w:r w:rsidR="00C071B2">
        <w:rPr>
          <w:szCs w:val="22"/>
        </w:rPr>
        <w:t>05-265</w:t>
      </w:r>
    </w:p>
    <w:p w:rsidR="004658BC" w:rsidRPr="00C071B2" w:rsidRDefault="004658BC">
      <w:pPr>
        <w:pStyle w:val="BodyText"/>
        <w:rPr>
          <w:szCs w:val="22"/>
        </w:rPr>
      </w:pPr>
    </w:p>
    <w:p w:rsidR="004658BC" w:rsidRPr="00C071B2" w:rsidRDefault="004658BC">
      <w:pPr>
        <w:pStyle w:val="Heading2"/>
        <w:numPr>
          <w:ilvl w:val="0"/>
          <w:numId w:val="0"/>
        </w:numPr>
        <w:jc w:val="left"/>
        <w:rPr>
          <w:szCs w:val="22"/>
        </w:rPr>
      </w:pPr>
      <w:r w:rsidRPr="00C071B2">
        <w:rPr>
          <w:szCs w:val="22"/>
        </w:rPr>
        <w:t xml:space="preserve">Reply Comment Date:  </w:t>
      </w:r>
      <w:r w:rsidR="00C071B2" w:rsidRPr="00C071B2">
        <w:rPr>
          <w:szCs w:val="22"/>
        </w:rPr>
        <w:t xml:space="preserve">August </w:t>
      </w:r>
      <w:r w:rsidR="00E92F12">
        <w:rPr>
          <w:szCs w:val="22"/>
        </w:rPr>
        <w:t>20</w:t>
      </w:r>
      <w:r w:rsidR="00D37B7E" w:rsidRPr="00C071B2">
        <w:rPr>
          <w:szCs w:val="22"/>
        </w:rPr>
        <w:t>, 2014</w:t>
      </w:r>
    </w:p>
    <w:p w:rsidR="004658BC" w:rsidRPr="00C071B2" w:rsidRDefault="004658BC" w:rsidP="00D37B7E">
      <w:pPr>
        <w:ind w:firstLine="720"/>
        <w:rPr>
          <w:sz w:val="22"/>
          <w:szCs w:val="22"/>
        </w:rPr>
      </w:pPr>
      <w:r w:rsidRPr="00C071B2">
        <w:rPr>
          <w:sz w:val="22"/>
          <w:szCs w:val="22"/>
        </w:rPr>
        <w:t xml:space="preserve">By this </w:t>
      </w:r>
      <w:r w:rsidRPr="00D82146">
        <w:rPr>
          <w:sz w:val="22"/>
          <w:szCs w:val="22"/>
        </w:rPr>
        <w:t>Public Notice</w:t>
      </w:r>
      <w:r w:rsidRPr="00C071B2">
        <w:rPr>
          <w:sz w:val="22"/>
          <w:szCs w:val="22"/>
        </w:rPr>
        <w:t>, we extend the deadline for filing reply comments</w:t>
      </w:r>
      <w:r w:rsidR="00D37B7E" w:rsidRPr="00C071B2">
        <w:rPr>
          <w:sz w:val="22"/>
          <w:szCs w:val="22"/>
        </w:rPr>
        <w:t xml:space="preserve"> in the above-captioned proceeding</w:t>
      </w:r>
      <w:r w:rsidR="003F46A8" w:rsidRPr="00C071B2">
        <w:rPr>
          <w:sz w:val="22"/>
          <w:szCs w:val="22"/>
        </w:rPr>
        <w:t xml:space="preserve"> to allow parties </w:t>
      </w:r>
      <w:r w:rsidR="00C071B2">
        <w:rPr>
          <w:sz w:val="22"/>
          <w:szCs w:val="22"/>
        </w:rPr>
        <w:t xml:space="preserve">additional time </w:t>
      </w:r>
      <w:r w:rsidR="003F46A8" w:rsidRPr="00C071B2">
        <w:rPr>
          <w:sz w:val="22"/>
          <w:szCs w:val="22"/>
        </w:rPr>
        <w:t>to more thoroughly address the issues raised in the record</w:t>
      </w:r>
      <w:r w:rsidR="00D37B7E" w:rsidRPr="00C071B2">
        <w:rPr>
          <w:sz w:val="22"/>
          <w:szCs w:val="22"/>
        </w:rPr>
        <w:t>.</w:t>
      </w:r>
      <w:r w:rsidRPr="00C071B2">
        <w:rPr>
          <w:rStyle w:val="FootnoteReference"/>
          <w:sz w:val="22"/>
          <w:szCs w:val="22"/>
        </w:rPr>
        <w:footnoteReference w:id="1"/>
      </w:r>
      <w:r w:rsidR="00493744" w:rsidRPr="00C071B2">
        <w:rPr>
          <w:sz w:val="22"/>
          <w:szCs w:val="22"/>
        </w:rPr>
        <w:t xml:space="preserve">  Interested parties </w:t>
      </w:r>
      <w:r w:rsidRPr="00C071B2">
        <w:rPr>
          <w:sz w:val="22"/>
          <w:szCs w:val="22"/>
        </w:rPr>
        <w:t xml:space="preserve">now </w:t>
      </w:r>
      <w:r w:rsidR="00493744" w:rsidRPr="00C071B2">
        <w:rPr>
          <w:sz w:val="22"/>
          <w:szCs w:val="22"/>
        </w:rPr>
        <w:t xml:space="preserve">will </w:t>
      </w:r>
      <w:r w:rsidRPr="00C071B2">
        <w:rPr>
          <w:sz w:val="22"/>
          <w:szCs w:val="22"/>
        </w:rPr>
        <w:t xml:space="preserve">have until </w:t>
      </w:r>
      <w:r w:rsidR="00C071B2">
        <w:rPr>
          <w:sz w:val="22"/>
          <w:szCs w:val="22"/>
        </w:rPr>
        <w:t xml:space="preserve">August </w:t>
      </w:r>
      <w:r w:rsidR="00E92F12">
        <w:rPr>
          <w:sz w:val="22"/>
          <w:szCs w:val="22"/>
        </w:rPr>
        <w:t>20</w:t>
      </w:r>
      <w:r w:rsidR="00D37B7E" w:rsidRPr="00C071B2">
        <w:rPr>
          <w:sz w:val="22"/>
          <w:szCs w:val="22"/>
        </w:rPr>
        <w:t xml:space="preserve">, 2014, </w:t>
      </w:r>
      <w:r w:rsidRPr="00C071B2">
        <w:rPr>
          <w:sz w:val="22"/>
          <w:szCs w:val="22"/>
        </w:rPr>
        <w:t>to file reply comments</w:t>
      </w:r>
      <w:r w:rsidR="003F46A8" w:rsidRPr="00C071B2">
        <w:rPr>
          <w:sz w:val="22"/>
          <w:szCs w:val="22"/>
        </w:rPr>
        <w:t>.</w:t>
      </w:r>
      <w:r w:rsidRPr="00C071B2">
        <w:rPr>
          <w:rStyle w:val="FootnoteReference"/>
          <w:sz w:val="22"/>
          <w:szCs w:val="22"/>
        </w:rPr>
        <w:footnoteReference w:id="2"/>
      </w:r>
    </w:p>
    <w:p w:rsidR="004658BC" w:rsidRPr="00C071B2" w:rsidRDefault="004658BC">
      <w:pPr>
        <w:ind w:firstLine="720"/>
        <w:rPr>
          <w:sz w:val="22"/>
          <w:szCs w:val="22"/>
        </w:rPr>
      </w:pPr>
    </w:p>
    <w:p w:rsidR="0021067B" w:rsidRDefault="004658BC" w:rsidP="007140D7">
      <w:pPr>
        <w:ind w:firstLine="720"/>
        <w:rPr>
          <w:sz w:val="22"/>
          <w:szCs w:val="22"/>
        </w:rPr>
      </w:pPr>
      <w:r w:rsidRPr="00C071B2">
        <w:rPr>
          <w:sz w:val="22"/>
          <w:szCs w:val="22"/>
        </w:rPr>
        <w:t xml:space="preserve">On </w:t>
      </w:r>
      <w:r w:rsidR="0048410F">
        <w:rPr>
          <w:sz w:val="22"/>
          <w:szCs w:val="22"/>
        </w:rPr>
        <w:t xml:space="preserve">July 17, </w:t>
      </w:r>
      <w:r w:rsidRPr="00C071B2">
        <w:rPr>
          <w:sz w:val="22"/>
          <w:szCs w:val="22"/>
        </w:rPr>
        <w:t>201</w:t>
      </w:r>
      <w:r w:rsidR="001D21E4" w:rsidRPr="00C071B2">
        <w:rPr>
          <w:sz w:val="22"/>
          <w:szCs w:val="22"/>
        </w:rPr>
        <w:t>4</w:t>
      </w:r>
      <w:r w:rsidRPr="00C071B2">
        <w:rPr>
          <w:sz w:val="22"/>
          <w:szCs w:val="22"/>
        </w:rPr>
        <w:t xml:space="preserve">, </w:t>
      </w:r>
      <w:r w:rsidR="0048410F">
        <w:rPr>
          <w:sz w:val="22"/>
          <w:szCs w:val="22"/>
        </w:rPr>
        <w:t>the Rural Wireless Association</w:t>
      </w:r>
      <w:r w:rsidR="002D6E7A">
        <w:rPr>
          <w:sz w:val="22"/>
          <w:szCs w:val="22"/>
        </w:rPr>
        <w:t>, N</w:t>
      </w:r>
      <w:r w:rsidR="00E92F12">
        <w:rPr>
          <w:sz w:val="22"/>
          <w:szCs w:val="22"/>
        </w:rPr>
        <w:t>TC</w:t>
      </w:r>
      <w:r w:rsidR="002D6E7A">
        <w:rPr>
          <w:sz w:val="22"/>
          <w:szCs w:val="22"/>
        </w:rPr>
        <w:t>A</w:t>
      </w:r>
      <w:r w:rsidR="0048410F">
        <w:rPr>
          <w:sz w:val="22"/>
          <w:szCs w:val="22"/>
        </w:rPr>
        <w:t xml:space="preserve">-The Rural Broadband </w:t>
      </w:r>
      <w:r w:rsidR="002D6E7A">
        <w:rPr>
          <w:sz w:val="22"/>
          <w:szCs w:val="22"/>
        </w:rPr>
        <w:t>Association,</w:t>
      </w:r>
      <w:r w:rsidR="0048410F">
        <w:rPr>
          <w:sz w:val="22"/>
          <w:szCs w:val="22"/>
        </w:rPr>
        <w:t xml:space="preserve"> and the Blooston Rural Carriers (</w:t>
      </w:r>
      <w:r w:rsidR="0063581B">
        <w:rPr>
          <w:sz w:val="22"/>
          <w:szCs w:val="22"/>
        </w:rPr>
        <w:t>collectively “</w:t>
      </w:r>
      <w:r w:rsidR="00FD0FD6">
        <w:rPr>
          <w:sz w:val="22"/>
          <w:szCs w:val="22"/>
        </w:rPr>
        <w:t>p</w:t>
      </w:r>
      <w:r w:rsidR="00F24199">
        <w:rPr>
          <w:sz w:val="22"/>
          <w:szCs w:val="22"/>
        </w:rPr>
        <w:t>etitioners</w:t>
      </w:r>
      <w:r w:rsidR="0048410F">
        <w:rPr>
          <w:sz w:val="22"/>
          <w:szCs w:val="22"/>
        </w:rPr>
        <w:t>”)</w:t>
      </w:r>
      <w:r w:rsidR="00645FB0" w:rsidRPr="00C071B2">
        <w:rPr>
          <w:sz w:val="22"/>
          <w:szCs w:val="22"/>
        </w:rPr>
        <w:t xml:space="preserve"> jointly </w:t>
      </w:r>
      <w:r w:rsidRPr="00C071B2">
        <w:rPr>
          <w:sz w:val="22"/>
          <w:szCs w:val="22"/>
        </w:rPr>
        <w:t>filed</w:t>
      </w:r>
      <w:r w:rsidR="00645FB0" w:rsidRPr="00C071B2">
        <w:rPr>
          <w:sz w:val="22"/>
          <w:szCs w:val="22"/>
        </w:rPr>
        <w:t xml:space="preserve"> </w:t>
      </w:r>
      <w:r w:rsidR="0048410F">
        <w:rPr>
          <w:sz w:val="22"/>
          <w:szCs w:val="22"/>
        </w:rPr>
        <w:t xml:space="preserve">a </w:t>
      </w:r>
      <w:r w:rsidR="00645FB0" w:rsidRPr="00C071B2">
        <w:rPr>
          <w:sz w:val="22"/>
          <w:szCs w:val="22"/>
        </w:rPr>
        <w:t xml:space="preserve">request to extend the reply comment deadline in </w:t>
      </w:r>
      <w:r w:rsidR="0048410F">
        <w:rPr>
          <w:sz w:val="22"/>
          <w:szCs w:val="22"/>
        </w:rPr>
        <w:t xml:space="preserve">the above-captioned proceeding from August 11 until August </w:t>
      </w:r>
      <w:r w:rsidR="00FD0FD6">
        <w:rPr>
          <w:sz w:val="22"/>
          <w:szCs w:val="22"/>
        </w:rPr>
        <w:t>25</w:t>
      </w:r>
      <w:r w:rsidR="0048410F">
        <w:rPr>
          <w:sz w:val="22"/>
          <w:szCs w:val="22"/>
        </w:rPr>
        <w:t>, 2014</w:t>
      </w:r>
      <w:r w:rsidRPr="00C071B2">
        <w:rPr>
          <w:sz w:val="22"/>
          <w:szCs w:val="22"/>
        </w:rPr>
        <w:t>.</w:t>
      </w:r>
      <w:r w:rsidRPr="00C071B2">
        <w:rPr>
          <w:rStyle w:val="FootnoteReference"/>
          <w:sz w:val="22"/>
          <w:szCs w:val="22"/>
        </w:rPr>
        <w:footnoteReference w:id="3"/>
      </w:r>
      <w:r w:rsidRPr="00C071B2">
        <w:rPr>
          <w:sz w:val="22"/>
          <w:szCs w:val="22"/>
        </w:rPr>
        <w:t xml:space="preserve">  </w:t>
      </w:r>
      <w:r w:rsidR="002D6E7A">
        <w:rPr>
          <w:sz w:val="22"/>
          <w:szCs w:val="22"/>
        </w:rPr>
        <w:t>P</w:t>
      </w:r>
      <w:r w:rsidR="0048410F" w:rsidRPr="0048410F">
        <w:rPr>
          <w:sz w:val="22"/>
          <w:szCs w:val="22"/>
        </w:rPr>
        <w:t xml:space="preserve">etitioners state they represent a significant number of rural mobile wireless carriers that have been </w:t>
      </w:r>
      <w:r w:rsidR="00D82146">
        <w:rPr>
          <w:sz w:val="22"/>
          <w:szCs w:val="22"/>
        </w:rPr>
        <w:t>affected</w:t>
      </w:r>
      <w:r w:rsidR="0048410F" w:rsidRPr="0048410F">
        <w:rPr>
          <w:sz w:val="22"/>
          <w:szCs w:val="22"/>
        </w:rPr>
        <w:t xml:space="preserve"> by the issues addressed in T-Mobile's petition.</w:t>
      </w:r>
      <w:r w:rsidR="0048410F">
        <w:rPr>
          <w:rStyle w:val="FootnoteReference"/>
          <w:sz w:val="22"/>
          <w:szCs w:val="22"/>
        </w:rPr>
        <w:footnoteReference w:id="4"/>
      </w:r>
      <w:r w:rsidR="0048410F" w:rsidRPr="0048410F">
        <w:rPr>
          <w:sz w:val="22"/>
          <w:szCs w:val="22"/>
        </w:rPr>
        <w:t xml:space="preserve">  </w:t>
      </w:r>
      <w:r w:rsidR="002D6E7A">
        <w:rPr>
          <w:sz w:val="22"/>
          <w:szCs w:val="22"/>
        </w:rPr>
        <w:t>Petitioners</w:t>
      </w:r>
      <w:r w:rsidR="0048410F" w:rsidRPr="0048410F">
        <w:rPr>
          <w:sz w:val="22"/>
          <w:szCs w:val="22"/>
        </w:rPr>
        <w:t xml:space="preserve"> ask the Commission to extend the deadline for reply comments from August 11 to August 25 (</w:t>
      </w:r>
      <w:r w:rsidR="0063581B">
        <w:rPr>
          <w:sz w:val="22"/>
          <w:szCs w:val="22"/>
        </w:rPr>
        <w:t>a period of 14 days</w:t>
      </w:r>
      <w:r w:rsidR="0048410F" w:rsidRPr="0048410F">
        <w:rPr>
          <w:sz w:val="22"/>
          <w:szCs w:val="22"/>
        </w:rPr>
        <w:t>)</w:t>
      </w:r>
      <w:r w:rsidR="004F107C">
        <w:rPr>
          <w:sz w:val="22"/>
          <w:szCs w:val="22"/>
        </w:rPr>
        <w:t>.</w:t>
      </w:r>
      <w:r w:rsidR="0048410F" w:rsidRPr="0048410F">
        <w:rPr>
          <w:sz w:val="22"/>
          <w:szCs w:val="22"/>
        </w:rPr>
        <w:t xml:space="preserve">  </w:t>
      </w:r>
      <w:r w:rsidR="00E92F12">
        <w:rPr>
          <w:sz w:val="22"/>
          <w:szCs w:val="22"/>
        </w:rPr>
        <w:t xml:space="preserve">In support of their request, petitioners note that </w:t>
      </w:r>
      <w:r w:rsidR="0048410F" w:rsidRPr="0048410F">
        <w:rPr>
          <w:sz w:val="22"/>
          <w:szCs w:val="22"/>
        </w:rPr>
        <w:t>the reply comment deadline falls during NTCA's regional conference and just prior to RWA's Rural Communications Show</w:t>
      </w:r>
      <w:r w:rsidR="00E92F12">
        <w:rPr>
          <w:sz w:val="22"/>
          <w:szCs w:val="22"/>
        </w:rPr>
        <w:t xml:space="preserve">.  They state that the requested </w:t>
      </w:r>
      <w:r w:rsidR="0048410F" w:rsidRPr="0048410F">
        <w:rPr>
          <w:sz w:val="22"/>
          <w:szCs w:val="22"/>
        </w:rPr>
        <w:t xml:space="preserve">extension </w:t>
      </w:r>
      <w:r w:rsidR="00E92F12">
        <w:rPr>
          <w:sz w:val="22"/>
          <w:szCs w:val="22"/>
        </w:rPr>
        <w:t>w</w:t>
      </w:r>
      <w:r w:rsidR="0048410F" w:rsidRPr="0048410F">
        <w:rPr>
          <w:sz w:val="22"/>
          <w:szCs w:val="22"/>
        </w:rPr>
        <w:t>ill allow them to meet and discuss the issues in-person at the two conferences and, as a result, file reply comments that are better informed and more thorough.</w:t>
      </w:r>
      <w:r w:rsidR="0063581B">
        <w:rPr>
          <w:rStyle w:val="FootnoteReference"/>
          <w:sz w:val="22"/>
          <w:szCs w:val="22"/>
        </w:rPr>
        <w:footnoteReference w:id="5"/>
      </w:r>
      <w:r w:rsidR="004F107C">
        <w:rPr>
          <w:sz w:val="22"/>
          <w:szCs w:val="22"/>
        </w:rPr>
        <w:t xml:space="preserve">  They also </w:t>
      </w:r>
      <w:r w:rsidR="004F107C" w:rsidRPr="0048410F">
        <w:rPr>
          <w:sz w:val="22"/>
          <w:szCs w:val="22"/>
        </w:rPr>
        <w:t xml:space="preserve">note </w:t>
      </w:r>
      <w:r w:rsidR="004F107C">
        <w:rPr>
          <w:sz w:val="22"/>
          <w:szCs w:val="22"/>
        </w:rPr>
        <w:t xml:space="preserve">that </w:t>
      </w:r>
      <w:r w:rsidR="004F107C" w:rsidRPr="0048410F">
        <w:rPr>
          <w:sz w:val="22"/>
          <w:szCs w:val="22"/>
        </w:rPr>
        <w:t>T-Mobile has consented to the extension.</w:t>
      </w:r>
      <w:r w:rsidR="004F107C">
        <w:rPr>
          <w:rStyle w:val="FootnoteReference"/>
          <w:sz w:val="22"/>
          <w:szCs w:val="22"/>
        </w:rPr>
        <w:footnoteReference w:id="6"/>
      </w:r>
      <w:r w:rsidR="0048410F" w:rsidRPr="0048410F">
        <w:rPr>
          <w:sz w:val="22"/>
          <w:szCs w:val="22"/>
        </w:rPr>
        <w:t xml:space="preserve"> </w:t>
      </w:r>
      <w:r w:rsidR="0063581B">
        <w:rPr>
          <w:sz w:val="22"/>
          <w:szCs w:val="22"/>
        </w:rPr>
        <w:t xml:space="preserve"> </w:t>
      </w:r>
    </w:p>
    <w:p w:rsidR="002D6E7A" w:rsidRPr="00C071B2" w:rsidRDefault="002D6E7A" w:rsidP="007140D7">
      <w:pPr>
        <w:ind w:firstLine="720"/>
        <w:rPr>
          <w:sz w:val="22"/>
          <w:szCs w:val="22"/>
        </w:rPr>
      </w:pPr>
    </w:p>
    <w:p w:rsidR="004658BC" w:rsidRPr="00C071B2" w:rsidRDefault="004658BC">
      <w:pPr>
        <w:ind w:firstLine="720"/>
        <w:rPr>
          <w:sz w:val="22"/>
          <w:szCs w:val="22"/>
        </w:rPr>
      </w:pPr>
      <w:r w:rsidRPr="00C071B2">
        <w:rPr>
          <w:sz w:val="22"/>
          <w:szCs w:val="22"/>
        </w:rPr>
        <w:lastRenderedPageBreak/>
        <w:t>It is the general policy of the Commission that extensions of time shall not be routinely granted.</w:t>
      </w:r>
      <w:r w:rsidRPr="00C071B2">
        <w:rPr>
          <w:rStyle w:val="FootnoteReference"/>
          <w:sz w:val="22"/>
          <w:szCs w:val="22"/>
        </w:rPr>
        <w:footnoteReference w:id="7"/>
      </w:r>
      <w:r w:rsidR="0095528B">
        <w:rPr>
          <w:sz w:val="22"/>
          <w:szCs w:val="22"/>
        </w:rPr>
        <w:t xml:space="preserve">  Under the circumstances presented, however, we find </w:t>
      </w:r>
      <w:r w:rsidR="001F76A0">
        <w:rPr>
          <w:sz w:val="22"/>
          <w:szCs w:val="22"/>
        </w:rPr>
        <w:t>that there is good cause to</w:t>
      </w:r>
      <w:r w:rsidR="0096009C" w:rsidRPr="00C071B2">
        <w:rPr>
          <w:sz w:val="22"/>
          <w:szCs w:val="22"/>
        </w:rPr>
        <w:t xml:space="preserve"> </w:t>
      </w:r>
      <w:r w:rsidR="00FD0FD6">
        <w:rPr>
          <w:sz w:val="22"/>
          <w:szCs w:val="22"/>
        </w:rPr>
        <w:t>gra</w:t>
      </w:r>
      <w:r w:rsidR="0001067F">
        <w:rPr>
          <w:sz w:val="22"/>
          <w:szCs w:val="22"/>
        </w:rPr>
        <w:t xml:space="preserve">nt a short extension of time.  </w:t>
      </w:r>
      <w:r w:rsidR="00FD0FD6">
        <w:rPr>
          <w:sz w:val="22"/>
          <w:szCs w:val="22"/>
        </w:rPr>
        <w:t xml:space="preserve">Specifically, we extend the deadline for filing reply comments until </w:t>
      </w:r>
      <w:r w:rsidR="00E92F12">
        <w:rPr>
          <w:sz w:val="22"/>
          <w:szCs w:val="22"/>
        </w:rPr>
        <w:t>August 20, 2014</w:t>
      </w:r>
      <w:r w:rsidR="00FD0FD6">
        <w:rPr>
          <w:sz w:val="22"/>
          <w:szCs w:val="22"/>
        </w:rPr>
        <w:t xml:space="preserve">, and find that this extension </w:t>
      </w:r>
      <w:r w:rsidR="004922D7" w:rsidRPr="004922D7">
        <w:rPr>
          <w:sz w:val="22"/>
          <w:szCs w:val="22"/>
        </w:rPr>
        <w:t xml:space="preserve">is warranted to enable interested parties sufficient opportunity to review and respond to the issues raised by </w:t>
      </w:r>
      <w:r w:rsidR="00797BC2">
        <w:rPr>
          <w:sz w:val="22"/>
          <w:szCs w:val="22"/>
        </w:rPr>
        <w:t>T-Mobile’s petition</w:t>
      </w:r>
      <w:r w:rsidR="00FD0FD6">
        <w:rPr>
          <w:sz w:val="22"/>
          <w:szCs w:val="22"/>
        </w:rPr>
        <w:t xml:space="preserve"> and the comments filed thereto</w:t>
      </w:r>
      <w:r w:rsidR="00797BC2">
        <w:rPr>
          <w:sz w:val="22"/>
          <w:szCs w:val="22"/>
        </w:rPr>
        <w:t xml:space="preserve">.  </w:t>
      </w:r>
      <w:r w:rsidR="004E4923" w:rsidRPr="004E4923">
        <w:rPr>
          <w:sz w:val="22"/>
          <w:szCs w:val="22"/>
        </w:rPr>
        <w:t>We decline to exte</w:t>
      </w:r>
      <w:r w:rsidR="004E4923">
        <w:rPr>
          <w:sz w:val="22"/>
          <w:szCs w:val="22"/>
        </w:rPr>
        <w:t xml:space="preserve">nd the </w:t>
      </w:r>
      <w:r w:rsidR="00393FF4">
        <w:rPr>
          <w:sz w:val="22"/>
          <w:szCs w:val="22"/>
        </w:rPr>
        <w:t xml:space="preserve">deadline </w:t>
      </w:r>
      <w:r w:rsidR="0001067F">
        <w:rPr>
          <w:sz w:val="22"/>
          <w:szCs w:val="22"/>
        </w:rPr>
        <w:t>until August 25, 2014</w:t>
      </w:r>
      <w:r w:rsidR="00797BC2">
        <w:rPr>
          <w:sz w:val="22"/>
          <w:szCs w:val="22"/>
        </w:rPr>
        <w:t xml:space="preserve">, </w:t>
      </w:r>
      <w:r w:rsidR="004E4923">
        <w:rPr>
          <w:sz w:val="22"/>
          <w:szCs w:val="22"/>
        </w:rPr>
        <w:t>as requested</w:t>
      </w:r>
      <w:r w:rsidR="001B0DDF">
        <w:rPr>
          <w:sz w:val="22"/>
          <w:szCs w:val="22"/>
        </w:rPr>
        <w:t xml:space="preserve"> by petitioners</w:t>
      </w:r>
      <w:r w:rsidR="004E4923">
        <w:rPr>
          <w:sz w:val="22"/>
          <w:szCs w:val="22"/>
        </w:rPr>
        <w:t xml:space="preserve">.  The new deadline of August 20, 2014 is one week after the end of the second conference cited </w:t>
      </w:r>
      <w:r w:rsidR="001B0DDF">
        <w:rPr>
          <w:sz w:val="22"/>
          <w:szCs w:val="22"/>
        </w:rPr>
        <w:t xml:space="preserve">in the Joint Petition and should give petitioners </w:t>
      </w:r>
      <w:r w:rsidR="004E4923">
        <w:rPr>
          <w:sz w:val="22"/>
          <w:szCs w:val="22"/>
        </w:rPr>
        <w:t>sufficient time to thoroughly address the issues raised in the record.</w:t>
      </w:r>
      <w:r w:rsidR="0001067F">
        <w:rPr>
          <w:rStyle w:val="FootnoteReference"/>
          <w:sz w:val="22"/>
          <w:szCs w:val="22"/>
        </w:rPr>
        <w:footnoteReference w:id="8"/>
      </w:r>
      <w:r w:rsidR="004E4923">
        <w:rPr>
          <w:sz w:val="22"/>
          <w:szCs w:val="22"/>
        </w:rPr>
        <w:t xml:space="preserve">  </w:t>
      </w:r>
      <w:r w:rsidRPr="00C071B2">
        <w:rPr>
          <w:sz w:val="22"/>
          <w:szCs w:val="22"/>
        </w:rPr>
        <w:t>Accordingly,</w:t>
      </w:r>
      <w:r w:rsidR="0021067B" w:rsidRPr="00C071B2">
        <w:rPr>
          <w:sz w:val="22"/>
          <w:szCs w:val="22"/>
        </w:rPr>
        <w:t xml:space="preserve"> pursuant to</w:t>
      </w:r>
      <w:r w:rsidRPr="00C071B2">
        <w:rPr>
          <w:sz w:val="22"/>
          <w:szCs w:val="22"/>
        </w:rPr>
        <w:t xml:space="preserve"> </w:t>
      </w:r>
      <w:r w:rsidR="00E81537" w:rsidRPr="00C071B2">
        <w:rPr>
          <w:sz w:val="22"/>
          <w:szCs w:val="22"/>
        </w:rPr>
        <w:t>Section 4(i) of the Communications Act of 1934, as amended,</w:t>
      </w:r>
      <w:r w:rsidR="00E81537" w:rsidRPr="00C071B2">
        <w:rPr>
          <w:rStyle w:val="FootnoteReference"/>
          <w:sz w:val="22"/>
          <w:szCs w:val="22"/>
        </w:rPr>
        <w:footnoteReference w:id="9"/>
      </w:r>
      <w:r w:rsidR="00E81537" w:rsidRPr="00C071B2">
        <w:rPr>
          <w:sz w:val="22"/>
          <w:szCs w:val="22"/>
        </w:rPr>
        <w:t xml:space="preserve"> and Section 1.46 of the Commission's rules,</w:t>
      </w:r>
      <w:r w:rsidR="00E81537" w:rsidRPr="00C071B2">
        <w:rPr>
          <w:rStyle w:val="FootnoteReference"/>
          <w:sz w:val="22"/>
          <w:szCs w:val="22"/>
        </w:rPr>
        <w:footnoteReference w:id="10"/>
      </w:r>
      <w:r w:rsidR="00E81537" w:rsidRPr="00C071B2">
        <w:rPr>
          <w:sz w:val="22"/>
          <w:szCs w:val="22"/>
        </w:rPr>
        <w:t xml:space="preserve"> </w:t>
      </w:r>
      <w:r w:rsidRPr="00C071B2">
        <w:rPr>
          <w:sz w:val="22"/>
          <w:szCs w:val="22"/>
        </w:rPr>
        <w:t xml:space="preserve">we extend the deadline for filing reply comments until </w:t>
      </w:r>
      <w:r w:rsidR="002D6E7A">
        <w:rPr>
          <w:sz w:val="22"/>
          <w:szCs w:val="22"/>
        </w:rPr>
        <w:t>August</w:t>
      </w:r>
      <w:r w:rsidR="001B0DDF">
        <w:rPr>
          <w:sz w:val="22"/>
          <w:szCs w:val="22"/>
        </w:rPr>
        <w:t xml:space="preserve"> 20, </w:t>
      </w:r>
      <w:r w:rsidR="0096009C" w:rsidRPr="00C071B2">
        <w:rPr>
          <w:sz w:val="22"/>
          <w:szCs w:val="22"/>
        </w:rPr>
        <w:t>2014</w:t>
      </w:r>
      <w:r w:rsidRPr="00C071B2">
        <w:rPr>
          <w:sz w:val="22"/>
          <w:szCs w:val="22"/>
        </w:rPr>
        <w:t>.</w:t>
      </w:r>
    </w:p>
    <w:p w:rsidR="004658BC" w:rsidRPr="00C071B2" w:rsidRDefault="004658BC">
      <w:pPr>
        <w:ind w:firstLine="720"/>
        <w:rPr>
          <w:sz w:val="22"/>
          <w:szCs w:val="22"/>
        </w:rPr>
      </w:pPr>
    </w:p>
    <w:p w:rsidR="004658BC" w:rsidRPr="00C071B2" w:rsidRDefault="004658BC">
      <w:pPr>
        <w:ind w:firstLine="720"/>
        <w:rPr>
          <w:sz w:val="22"/>
          <w:szCs w:val="22"/>
        </w:rPr>
      </w:pPr>
      <w:r w:rsidRPr="00C071B2">
        <w:rPr>
          <w:sz w:val="22"/>
          <w:szCs w:val="22"/>
        </w:rPr>
        <w:t xml:space="preserve">For further information, please contact </w:t>
      </w:r>
      <w:r w:rsidR="00C071B2">
        <w:rPr>
          <w:sz w:val="22"/>
          <w:szCs w:val="22"/>
        </w:rPr>
        <w:t>Brenda Boykin</w:t>
      </w:r>
      <w:r w:rsidRPr="00C071B2">
        <w:rPr>
          <w:sz w:val="22"/>
          <w:szCs w:val="22"/>
        </w:rPr>
        <w:t xml:space="preserve"> of the Wireless Telecommunications Bureau, </w:t>
      </w:r>
      <w:r w:rsidR="004632D2">
        <w:rPr>
          <w:sz w:val="22"/>
          <w:szCs w:val="22"/>
        </w:rPr>
        <w:t xml:space="preserve">Spectrum </w:t>
      </w:r>
      <w:r w:rsidR="001B0DDF">
        <w:rPr>
          <w:sz w:val="22"/>
          <w:szCs w:val="22"/>
        </w:rPr>
        <w:t>and</w:t>
      </w:r>
      <w:r w:rsidR="004632D2">
        <w:rPr>
          <w:sz w:val="22"/>
          <w:szCs w:val="22"/>
        </w:rPr>
        <w:t xml:space="preserve"> Competition Policy </w:t>
      </w:r>
      <w:r w:rsidRPr="00C071B2">
        <w:rPr>
          <w:sz w:val="22"/>
          <w:szCs w:val="22"/>
        </w:rPr>
        <w:t>Division, at (202) 418-</w:t>
      </w:r>
      <w:r w:rsidR="00C071B2">
        <w:rPr>
          <w:sz w:val="22"/>
          <w:szCs w:val="22"/>
        </w:rPr>
        <w:t>2</w:t>
      </w:r>
      <w:r w:rsidR="0021067B" w:rsidRPr="00C071B2">
        <w:rPr>
          <w:sz w:val="22"/>
          <w:szCs w:val="22"/>
        </w:rPr>
        <w:t>0</w:t>
      </w:r>
      <w:r w:rsidR="00C071B2">
        <w:rPr>
          <w:sz w:val="22"/>
          <w:szCs w:val="22"/>
        </w:rPr>
        <w:t>62</w:t>
      </w:r>
      <w:r w:rsidRPr="00C071B2">
        <w:rPr>
          <w:sz w:val="22"/>
          <w:szCs w:val="22"/>
        </w:rPr>
        <w:t xml:space="preserve"> </w:t>
      </w:r>
      <w:r w:rsidR="00C071B2">
        <w:rPr>
          <w:sz w:val="22"/>
          <w:szCs w:val="22"/>
        </w:rPr>
        <w:t>or Brenda.Boykin</w:t>
      </w:r>
      <w:r w:rsidRPr="00C071B2">
        <w:rPr>
          <w:sz w:val="22"/>
          <w:szCs w:val="22"/>
        </w:rPr>
        <w:t xml:space="preserve">@fcc.gov. </w:t>
      </w:r>
    </w:p>
    <w:p w:rsidR="004658BC" w:rsidRPr="00C071B2" w:rsidRDefault="004658BC">
      <w:pPr>
        <w:ind w:firstLine="720"/>
        <w:rPr>
          <w:sz w:val="22"/>
          <w:szCs w:val="22"/>
        </w:rPr>
      </w:pPr>
    </w:p>
    <w:p w:rsidR="004658BC" w:rsidRPr="00C071B2" w:rsidRDefault="004658BC">
      <w:pPr>
        <w:ind w:firstLine="720"/>
        <w:rPr>
          <w:sz w:val="22"/>
          <w:szCs w:val="22"/>
        </w:rPr>
      </w:pPr>
      <w:r w:rsidRPr="00C071B2">
        <w:rPr>
          <w:sz w:val="22"/>
          <w:szCs w:val="22"/>
        </w:rPr>
        <w:t xml:space="preserve">Action by the </w:t>
      </w:r>
      <w:r w:rsidR="004824B3">
        <w:rPr>
          <w:sz w:val="22"/>
          <w:szCs w:val="22"/>
        </w:rPr>
        <w:t xml:space="preserve">Associate </w:t>
      </w:r>
      <w:r w:rsidRPr="00C071B2">
        <w:rPr>
          <w:sz w:val="22"/>
          <w:szCs w:val="22"/>
        </w:rPr>
        <w:t xml:space="preserve">Chief, </w:t>
      </w:r>
      <w:r w:rsidR="00C071B2">
        <w:rPr>
          <w:sz w:val="22"/>
          <w:szCs w:val="22"/>
        </w:rPr>
        <w:t>Spectrum and Competition Policy</w:t>
      </w:r>
      <w:r w:rsidRPr="00C071B2">
        <w:rPr>
          <w:sz w:val="22"/>
          <w:szCs w:val="22"/>
        </w:rPr>
        <w:t xml:space="preserve"> Division, Wireless Telecommunications</w:t>
      </w:r>
      <w:r w:rsidR="001B0DDF">
        <w:rPr>
          <w:sz w:val="22"/>
          <w:szCs w:val="22"/>
        </w:rPr>
        <w:t xml:space="preserve"> </w:t>
      </w:r>
      <w:r w:rsidRPr="00C071B2">
        <w:rPr>
          <w:sz w:val="22"/>
          <w:szCs w:val="22"/>
        </w:rPr>
        <w:t xml:space="preserve">Bureau.  </w:t>
      </w:r>
    </w:p>
    <w:p w:rsidR="004658BC" w:rsidRPr="00C071B2" w:rsidRDefault="004658BC">
      <w:pPr>
        <w:pStyle w:val="BodyText2"/>
        <w:spacing w:line="228" w:lineRule="auto"/>
        <w:ind w:firstLine="720"/>
        <w:jc w:val="left"/>
        <w:rPr>
          <w:szCs w:val="22"/>
        </w:rPr>
      </w:pPr>
    </w:p>
    <w:p w:rsidR="004658BC" w:rsidRPr="00C071B2" w:rsidRDefault="004658BC">
      <w:pPr>
        <w:pStyle w:val="BodyText2"/>
        <w:spacing w:line="228" w:lineRule="auto"/>
        <w:jc w:val="center"/>
        <w:rPr>
          <w:szCs w:val="22"/>
        </w:rPr>
      </w:pPr>
      <w:r w:rsidRPr="00C071B2">
        <w:rPr>
          <w:szCs w:val="22"/>
        </w:rPr>
        <w:t>- FCC -</w:t>
      </w:r>
    </w:p>
    <w:p w:rsidR="004658BC" w:rsidRPr="00C071B2" w:rsidRDefault="004658BC" w:rsidP="0001067F">
      <w:pPr>
        <w:pStyle w:val="BodyText2"/>
        <w:tabs>
          <w:tab w:val="clear" w:pos="9360"/>
        </w:tabs>
        <w:spacing w:line="228" w:lineRule="auto"/>
        <w:jc w:val="left"/>
        <w:rPr>
          <w:szCs w:val="22"/>
        </w:rPr>
      </w:pPr>
    </w:p>
    <w:sectPr w:rsidR="004658BC" w:rsidRPr="00C071B2">
      <w:type w:val="continuous"/>
      <w:pgSz w:w="12240" w:h="15840" w:code="1"/>
      <w:pgMar w:top="1368" w:right="1440" w:bottom="1368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82" w:rsidRDefault="00560382">
      <w:r>
        <w:separator/>
      </w:r>
    </w:p>
  </w:endnote>
  <w:endnote w:type="continuationSeparator" w:id="0">
    <w:p w:rsidR="00560382" w:rsidRDefault="0056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7A" w:rsidRDefault="002D6E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6E7A" w:rsidRDefault="002D6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7A" w:rsidRDefault="002D6E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503">
      <w:rPr>
        <w:rStyle w:val="PageNumber"/>
        <w:noProof/>
      </w:rPr>
      <w:t>2</w:t>
    </w:r>
    <w:r>
      <w:rPr>
        <w:rStyle w:val="PageNumber"/>
      </w:rPr>
      <w:fldChar w:fldCharType="end"/>
    </w:r>
  </w:p>
  <w:p w:rsidR="002D6E7A" w:rsidRDefault="002D6E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3D" w:rsidRDefault="00516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82" w:rsidRDefault="00560382">
      <w:r>
        <w:separator/>
      </w:r>
    </w:p>
  </w:footnote>
  <w:footnote w:type="continuationSeparator" w:id="0">
    <w:p w:rsidR="00560382" w:rsidRDefault="00560382">
      <w:r>
        <w:continuationSeparator/>
      </w:r>
    </w:p>
  </w:footnote>
  <w:footnote w:id="1">
    <w:p w:rsidR="002D6E7A" w:rsidRPr="0063581B" w:rsidRDefault="002D6E7A" w:rsidP="0001067F">
      <w:pPr>
        <w:pStyle w:val="FootnoteText"/>
        <w:rPr>
          <w:sz w:val="20"/>
        </w:rPr>
      </w:pPr>
      <w:r w:rsidRPr="0063581B">
        <w:rPr>
          <w:rStyle w:val="FootnoteReference"/>
          <w:sz w:val="20"/>
        </w:rPr>
        <w:footnoteRef/>
      </w:r>
      <w:r w:rsidR="0001067F">
        <w:rPr>
          <w:sz w:val="20"/>
        </w:rPr>
        <w:t xml:space="preserve"> </w:t>
      </w:r>
      <w:r w:rsidRPr="0063581B">
        <w:rPr>
          <w:sz w:val="20"/>
        </w:rPr>
        <w:t xml:space="preserve">Wireless </w:t>
      </w:r>
      <w:r w:rsidR="00D82146" w:rsidRPr="0063581B">
        <w:rPr>
          <w:sz w:val="20"/>
        </w:rPr>
        <w:t xml:space="preserve">Telecommunications </w:t>
      </w:r>
      <w:r w:rsidRPr="0063581B">
        <w:rPr>
          <w:sz w:val="20"/>
        </w:rPr>
        <w:t xml:space="preserve">Bureau Seeks Comment on Petition for Expedited Declaratory Ruling by T-Mobile USA, Inc. Regarding Data Roaming Obligations, WT Docket No. 05-265, </w:t>
      </w:r>
      <w:r w:rsidRPr="0063581B">
        <w:rPr>
          <w:i/>
          <w:sz w:val="20"/>
        </w:rPr>
        <w:t xml:space="preserve">Public Notice, </w:t>
      </w:r>
      <w:r w:rsidRPr="0063581B">
        <w:rPr>
          <w:sz w:val="20"/>
        </w:rPr>
        <w:t>DA 14-798 (rel. June 10, 2014)(“</w:t>
      </w:r>
      <w:r w:rsidRPr="0063581B">
        <w:rPr>
          <w:i/>
          <w:sz w:val="20"/>
        </w:rPr>
        <w:t>Public</w:t>
      </w:r>
      <w:r w:rsidRPr="0063581B">
        <w:rPr>
          <w:sz w:val="20"/>
        </w:rPr>
        <w:t xml:space="preserve"> </w:t>
      </w:r>
      <w:r w:rsidRPr="0063581B">
        <w:rPr>
          <w:i/>
          <w:sz w:val="20"/>
        </w:rPr>
        <w:t>Notice</w:t>
      </w:r>
      <w:r w:rsidRPr="0063581B">
        <w:rPr>
          <w:sz w:val="20"/>
        </w:rPr>
        <w:t xml:space="preserve">”).  </w:t>
      </w:r>
    </w:p>
  </w:footnote>
  <w:footnote w:id="2">
    <w:p w:rsidR="002D6E7A" w:rsidRPr="0063581B" w:rsidRDefault="002D6E7A" w:rsidP="0001067F">
      <w:pPr>
        <w:pStyle w:val="FootnoteText"/>
        <w:rPr>
          <w:sz w:val="20"/>
        </w:rPr>
      </w:pPr>
      <w:r w:rsidRPr="0063581B">
        <w:rPr>
          <w:rStyle w:val="FootnoteReference"/>
          <w:sz w:val="20"/>
        </w:rPr>
        <w:footnoteRef/>
      </w:r>
      <w:r w:rsidRPr="0063581B">
        <w:rPr>
          <w:sz w:val="20"/>
        </w:rPr>
        <w:t xml:space="preserve"> The reply comment filing deadline established in the </w:t>
      </w:r>
      <w:r w:rsidRPr="0063581B">
        <w:rPr>
          <w:i/>
          <w:sz w:val="20"/>
        </w:rPr>
        <w:t xml:space="preserve">Public Notice </w:t>
      </w:r>
      <w:r w:rsidRPr="0063581B">
        <w:rPr>
          <w:sz w:val="20"/>
        </w:rPr>
        <w:t>was August 11, 2014.</w:t>
      </w:r>
    </w:p>
  </w:footnote>
  <w:footnote w:id="3">
    <w:p w:rsidR="002D6E7A" w:rsidRPr="0063581B" w:rsidRDefault="002D6E7A" w:rsidP="0001067F">
      <w:pPr>
        <w:pStyle w:val="FootnoteText"/>
        <w:rPr>
          <w:sz w:val="20"/>
        </w:rPr>
      </w:pPr>
      <w:r w:rsidRPr="0063581B">
        <w:rPr>
          <w:rStyle w:val="FootnoteReference"/>
          <w:sz w:val="20"/>
        </w:rPr>
        <w:footnoteRef/>
      </w:r>
      <w:r w:rsidR="004824B3">
        <w:rPr>
          <w:sz w:val="20"/>
        </w:rPr>
        <w:t xml:space="preserve"> </w:t>
      </w:r>
      <w:r w:rsidRPr="0063581B">
        <w:rPr>
          <w:sz w:val="20"/>
        </w:rPr>
        <w:t>The Rural Wireless Association, N</w:t>
      </w:r>
      <w:r w:rsidR="008D2C51">
        <w:rPr>
          <w:sz w:val="20"/>
        </w:rPr>
        <w:t>T</w:t>
      </w:r>
      <w:r w:rsidRPr="0063581B">
        <w:rPr>
          <w:sz w:val="20"/>
        </w:rPr>
        <w:t>CA-The Rural Broadband Association, and the Blooston Rural Carriers , Petition for Extension of Time to File Reply Comments, WT Docket No. 05-265 (filed July 17, 2014) (“Joint Petition”).</w:t>
      </w:r>
    </w:p>
  </w:footnote>
  <w:footnote w:id="4">
    <w:p w:rsidR="002D6E7A" w:rsidRPr="0063581B" w:rsidRDefault="002D6E7A">
      <w:pPr>
        <w:pStyle w:val="FootnoteText"/>
        <w:rPr>
          <w:sz w:val="20"/>
        </w:rPr>
      </w:pPr>
      <w:r w:rsidRPr="0063581B">
        <w:rPr>
          <w:rStyle w:val="FootnoteReference"/>
          <w:sz w:val="20"/>
        </w:rPr>
        <w:footnoteRef/>
      </w:r>
      <w:r w:rsidRPr="0063581B">
        <w:rPr>
          <w:sz w:val="20"/>
        </w:rPr>
        <w:t xml:space="preserve"> </w:t>
      </w:r>
      <w:r w:rsidRPr="0063581B">
        <w:rPr>
          <w:i/>
          <w:sz w:val="20"/>
        </w:rPr>
        <w:t xml:space="preserve">See </w:t>
      </w:r>
      <w:r w:rsidRPr="0063581B">
        <w:rPr>
          <w:sz w:val="20"/>
        </w:rPr>
        <w:t>Joint Petition at 1.</w:t>
      </w:r>
    </w:p>
  </w:footnote>
  <w:footnote w:id="5">
    <w:p w:rsidR="002D6E7A" w:rsidRPr="0063581B" w:rsidRDefault="002D6E7A">
      <w:pPr>
        <w:pStyle w:val="FootnoteText"/>
        <w:rPr>
          <w:sz w:val="20"/>
        </w:rPr>
      </w:pPr>
      <w:r w:rsidRPr="0063581B">
        <w:rPr>
          <w:rStyle w:val="FootnoteReference"/>
          <w:sz w:val="20"/>
        </w:rPr>
        <w:footnoteRef/>
      </w:r>
      <w:r w:rsidRPr="0063581B">
        <w:rPr>
          <w:sz w:val="20"/>
        </w:rPr>
        <w:t xml:space="preserve"> </w:t>
      </w:r>
      <w:r w:rsidRPr="0063581B">
        <w:rPr>
          <w:i/>
          <w:sz w:val="20"/>
        </w:rPr>
        <w:t xml:space="preserve">See </w:t>
      </w:r>
      <w:r w:rsidRPr="0063581B">
        <w:rPr>
          <w:sz w:val="20"/>
        </w:rPr>
        <w:t>Joint Petition at 2-3.</w:t>
      </w:r>
    </w:p>
  </w:footnote>
  <w:footnote w:id="6">
    <w:p w:rsidR="004F107C" w:rsidRPr="0063581B" w:rsidRDefault="004F107C" w:rsidP="004F107C">
      <w:pPr>
        <w:pStyle w:val="FootnoteText"/>
        <w:rPr>
          <w:sz w:val="20"/>
        </w:rPr>
      </w:pPr>
      <w:r w:rsidRPr="0063581B">
        <w:rPr>
          <w:rStyle w:val="FootnoteReference"/>
          <w:sz w:val="20"/>
        </w:rPr>
        <w:footnoteRef/>
      </w:r>
      <w:r w:rsidRPr="0063581B">
        <w:rPr>
          <w:sz w:val="20"/>
        </w:rPr>
        <w:t xml:space="preserve"> </w:t>
      </w:r>
      <w:r w:rsidRPr="0063581B">
        <w:rPr>
          <w:i/>
          <w:sz w:val="20"/>
        </w:rPr>
        <w:t xml:space="preserve">See </w:t>
      </w:r>
      <w:r w:rsidRPr="0063581B">
        <w:rPr>
          <w:sz w:val="20"/>
        </w:rPr>
        <w:t>Joint Petition at 1-2.</w:t>
      </w:r>
    </w:p>
  </w:footnote>
  <w:footnote w:id="7">
    <w:p w:rsidR="002D6E7A" w:rsidRPr="00E81537" w:rsidRDefault="002D6E7A" w:rsidP="0001067F">
      <w:pPr>
        <w:pStyle w:val="FootnoteText"/>
        <w:rPr>
          <w:sz w:val="20"/>
        </w:rPr>
      </w:pPr>
      <w:r w:rsidRPr="00E81537">
        <w:rPr>
          <w:rStyle w:val="FootnoteReference"/>
          <w:sz w:val="20"/>
        </w:rPr>
        <w:footnoteRef/>
      </w:r>
      <w:r w:rsidRPr="00E81537">
        <w:rPr>
          <w:sz w:val="20"/>
        </w:rPr>
        <w:t xml:space="preserve"> 47 C.F.R. § 1.46(a).</w:t>
      </w:r>
    </w:p>
  </w:footnote>
  <w:footnote w:id="8">
    <w:p w:rsidR="0001067F" w:rsidRDefault="000106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3386E" w:rsidRPr="0063581B">
        <w:rPr>
          <w:i/>
          <w:sz w:val="20"/>
        </w:rPr>
        <w:t xml:space="preserve">See </w:t>
      </w:r>
      <w:r w:rsidR="004824B3">
        <w:rPr>
          <w:sz w:val="20"/>
        </w:rPr>
        <w:t>Joint Petition at 2</w:t>
      </w:r>
      <w:r w:rsidR="00A3386E" w:rsidRPr="0063581B">
        <w:rPr>
          <w:sz w:val="20"/>
        </w:rPr>
        <w:t>.</w:t>
      </w:r>
    </w:p>
  </w:footnote>
  <w:footnote w:id="9">
    <w:p w:rsidR="002D6E7A" w:rsidRPr="00E81537" w:rsidRDefault="002D6E7A" w:rsidP="0001067F">
      <w:pPr>
        <w:pStyle w:val="FootnoteText"/>
        <w:rPr>
          <w:sz w:val="20"/>
        </w:rPr>
      </w:pPr>
      <w:r w:rsidRPr="00E81537">
        <w:rPr>
          <w:rStyle w:val="FootnoteReference"/>
          <w:sz w:val="20"/>
        </w:rPr>
        <w:footnoteRef/>
      </w:r>
      <w:r w:rsidRPr="00E81537">
        <w:rPr>
          <w:sz w:val="20"/>
        </w:rPr>
        <w:t xml:space="preserve"> 47 U.S.C. § 154(i).</w:t>
      </w:r>
    </w:p>
  </w:footnote>
  <w:footnote w:id="10">
    <w:p w:rsidR="002D6E7A" w:rsidRPr="00E81537" w:rsidRDefault="002D6E7A" w:rsidP="0001067F">
      <w:pPr>
        <w:pStyle w:val="FootnoteText"/>
        <w:rPr>
          <w:sz w:val="20"/>
        </w:rPr>
      </w:pPr>
      <w:r w:rsidRPr="00E81537">
        <w:rPr>
          <w:rStyle w:val="FootnoteReference"/>
          <w:sz w:val="20"/>
        </w:rPr>
        <w:footnoteRef/>
      </w:r>
      <w:r w:rsidRPr="00E81537">
        <w:rPr>
          <w:sz w:val="20"/>
        </w:rPr>
        <w:t xml:space="preserve"> 47 C.F.R. § 1.46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3D" w:rsidRDefault="00516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3D" w:rsidRDefault="005166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7A" w:rsidRDefault="002D6E7A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E7A" w:rsidRDefault="002D6E7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2D6E7A" w:rsidRDefault="002D6E7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2D6E7A" w:rsidRDefault="002D6E7A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Ega&#10;V7mEAgAADw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:rsidR="002D6E7A" w:rsidRDefault="002D6E7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2D6E7A" w:rsidRDefault="002D6E7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2D6E7A" w:rsidRDefault="002D6E7A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kern w:val="28"/>
        <w:sz w:val="96"/>
      </w:rPr>
      <w:t>PUBLIC NOTICE</w:t>
    </w:r>
  </w:p>
  <w:p w:rsidR="002D6E7A" w:rsidRDefault="002D6E7A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zF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e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Kv17M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E7A" w:rsidRDefault="002D6E7A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2D6E7A" w:rsidRDefault="002D6E7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2D6E7A" w:rsidRDefault="002D6E7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2D6E7A" w:rsidRDefault="002D6E7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T/ga&#10;2Y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2D6E7A" w:rsidRDefault="002D6E7A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2D6E7A" w:rsidRDefault="002D6E7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2D6E7A" w:rsidRDefault="002D6E7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2D6E7A" w:rsidRDefault="002D6E7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D6E7A" w:rsidRDefault="002D6E7A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D5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370266C"/>
    <w:multiLevelType w:val="hybridMultilevel"/>
    <w:tmpl w:val="930A4E2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17"/>
    <w:rsid w:val="0001067F"/>
    <w:rsid w:val="00026D03"/>
    <w:rsid w:val="00027D69"/>
    <w:rsid w:val="00030B81"/>
    <w:rsid w:val="0006219A"/>
    <w:rsid w:val="00082F0C"/>
    <w:rsid w:val="000C30F2"/>
    <w:rsid w:val="00144B79"/>
    <w:rsid w:val="0017497C"/>
    <w:rsid w:val="00176722"/>
    <w:rsid w:val="00193701"/>
    <w:rsid w:val="001B0DDF"/>
    <w:rsid w:val="001C324B"/>
    <w:rsid w:val="001D1453"/>
    <w:rsid w:val="001D21E4"/>
    <w:rsid w:val="001F76A0"/>
    <w:rsid w:val="0021067B"/>
    <w:rsid w:val="002620EF"/>
    <w:rsid w:val="00276871"/>
    <w:rsid w:val="002D6E7A"/>
    <w:rsid w:val="00313729"/>
    <w:rsid w:val="0031378B"/>
    <w:rsid w:val="00323349"/>
    <w:rsid w:val="00393F82"/>
    <w:rsid w:val="00393FF4"/>
    <w:rsid w:val="003F46A8"/>
    <w:rsid w:val="00425CA6"/>
    <w:rsid w:val="004632D2"/>
    <w:rsid w:val="004658BC"/>
    <w:rsid w:val="004824B3"/>
    <w:rsid w:val="0048410F"/>
    <w:rsid w:val="004922D7"/>
    <w:rsid w:val="00493744"/>
    <w:rsid w:val="004E4923"/>
    <w:rsid w:val="004F107C"/>
    <w:rsid w:val="0051663D"/>
    <w:rsid w:val="00525738"/>
    <w:rsid w:val="0054735F"/>
    <w:rsid w:val="00560382"/>
    <w:rsid w:val="00587503"/>
    <w:rsid w:val="00593B6C"/>
    <w:rsid w:val="005C3ECA"/>
    <w:rsid w:val="005C6A09"/>
    <w:rsid w:val="005F2CAE"/>
    <w:rsid w:val="005F7BEC"/>
    <w:rsid w:val="0063581B"/>
    <w:rsid w:val="00640A3C"/>
    <w:rsid w:val="00645FB0"/>
    <w:rsid w:val="00654F14"/>
    <w:rsid w:val="00663754"/>
    <w:rsid w:val="006F6E21"/>
    <w:rsid w:val="007140D7"/>
    <w:rsid w:val="007213C5"/>
    <w:rsid w:val="0072457F"/>
    <w:rsid w:val="00797BC2"/>
    <w:rsid w:val="007C00A5"/>
    <w:rsid w:val="007C03C2"/>
    <w:rsid w:val="007E065F"/>
    <w:rsid w:val="00811082"/>
    <w:rsid w:val="00822AE8"/>
    <w:rsid w:val="00877AFB"/>
    <w:rsid w:val="00896AA5"/>
    <w:rsid w:val="008C51A4"/>
    <w:rsid w:val="008D2C51"/>
    <w:rsid w:val="008F15F2"/>
    <w:rsid w:val="00935629"/>
    <w:rsid w:val="00953B3B"/>
    <w:rsid w:val="0095528B"/>
    <w:rsid w:val="00955656"/>
    <w:rsid w:val="0096009C"/>
    <w:rsid w:val="009E7850"/>
    <w:rsid w:val="00A3386E"/>
    <w:rsid w:val="00A63BEC"/>
    <w:rsid w:val="00A8413D"/>
    <w:rsid w:val="00AC7D0D"/>
    <w:rsid w:val="00B078BF"/>
    <w:rsid w:val="00B21235"/>
    <w:rsid w:val="00B41417"/>
    <w:rsid w:val="00B9635F"/>
    <w:rsid w:val="00C071B2"/>
    <w:rsid w:val="00C70222"/>
    <w:rsid w:val="00C71635"/>
    <w:rsid w:val="00CA27F7"/>
    <w:rsid w:val="00D3752A"/>
    <w:rsid w:val="00D37B7E"/>
    <w:rsid w:val="00D5425B"/>
    <w:rsid w:val="00D82146"/>
    <w:rsid w:val="00D84E1E"/>
    <w:rsid w:val="00D95086"/>
    <w:rsid w:val="00DE3FA9"/>
    <w:rsid w:val="00E07CC2"/>
    <w:rsid w:val="00E5386E"/>
    <w:rsid w:val="00E81537"/>
    <w:rsid w:val="00E8713C"/>
    <w:rsid w:val="00E92F12"/>
    <w:rsid w:val="00EB0118"/>
    <w:rsid w:val="00F01ED4"/>
    <w:rsid w:val="00F1494E"/>
    <w:rsid w:val="00F24199"/>
    <w:rsid w:val="00F85447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link w:val="BlockTextChar"/>
    <w:pPr>
      <w:widowControl w:val="0"/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center" w:pos="4680"/>
      </w:tabs>
      <w:suppressAutoHyphens/>
      <w:spacing w:line="227" w:lineRule="auto"/>
      <w:jc w:val="center"/>
    </w:pPr>
    <w:rPr>
      <w:rFonts w:ascii="Times" w:hAnsi="Times"/>
      <w:b/>
      <w:snapToGrid w:val="0"/>
      <w:spacing w:val="-2"/>
      <w:sz w:val="22"/>
    </w:rPr>
  </w:style>
  <w:style w:type="paragraph" w:styleId="BodyText2">
    <w:name w:val="Body Text 2"/>
    <w:basedOn w:val="Normal"/>
    <w:pPr>
      <w:widowControl w:val="0"/>
      <w:tabs>
        <w:tab w:val="right" w:pos="9360"/>
      </w:tabs>
      <w:suppressAutoHyphens/>
      <w:spacing w:line="227" w:lineRule="auto"/>
      <w:jc w:val="both"/>
    </w:pPr>
    <w:rPr>
      <w:snapToGrid w:val="0"/>
      <w:spacing w:val="-2"/>
      <w:sz w:val="22"/>
    </w:rPr>
  </w:style>
  <w:style w:type="character" w:customStyle="1" w:styleId="StyleTimesNewRoman11ptCharCharChar">
    <w:name w:val="Style Times New Roman 11 pt Char Char Char"/>
    <w:rPr>
      <w:rFonts w:ascii="Times New Roman" w:hAnsi="Times New Roman"/>
      <w:noProof w:val="0"/>
      <w:snapToGrid w:val="0"/>
      <w:sz w:val="22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2">
    <w:name w:val="index 2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1440" w:right="720" w:hanging="720"/>
      <w:jc w:val="both"/>
    </w:pPr>
    <w:rPr>
      <w:snapToGrid w:val="0"/>
      <w:kern w:val="28"/>
      <w:sz w:val="22"/>
    </w:rPr>
  </w:style>
  <w:style w:type="character" w:customStyle="1" w:styleId="BlockTextChar">
    <w:name w:val="Block Text Char"/>
    <w:link w:val="BlockText"/>
    <w:rPr>
      <w:sz w:val="22"/>
      <w:lang w:val="en-US" w:eastAsia="en-US" w:bidi="ar-S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96009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6009C"/>
    <w:rPr>
      <w:szCs w:val="24"/>
    </w:rPr>
  </w:style>
  <w:style w:type="character" w:customStyle="1" w:styleId="CommentTextChar">
    <w:name w:val="Comment Text Char"/>
    <w:link w:val="CommentText"/>
    <w:rsid w:val="009600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6009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6009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link w:val="BlockTextChar"/>
    <w:pPr>
      <w:widowControl w:val="0"/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center" w:pos="4680"/>
      </w:tabs>
      <w:suppressAutoHyphens/>
      <w:spacing w:line="227" w:lineRule="auto"/>
      <w:jc w:val="center"/>
    </w:pPr>
    <w:rPr>
      <w:rFonts w:ascii="Times" w:hAnsi="Times"/>
      <w:b/>
      <w:snapToGrid w:val="0"/>
      <w:spacing w:val="-2"/>
      <w:sz w:val="22"/>
    </w:rPr>
  </w:style>
  <w:style w:type="paragraph" w:styleId="BodyText2">
    <w:name w:val="Body Text 2"/>
    <w:basedOn w:val="Normal"/>
    <w:pPr>
      <w:widowControl w:val="0"/>
      <w:tabs>
        <w:tab w:val="right" w:pos="9360"/>
      </w:tabs>
      <w:suppressAutoHyphens/>
      <w:spacing w:line="227" w:lineRule="auto"/>
      <w:jc w:val="both"/>
    </w:pPr>
    <w:rPr>
      <w:snapToGrid w:val="0"/>
      <w:spacing w:val="-2"/>
      <w:sz w:val="22"/>
    </w:rPr>
  </w:style>
  <w:style w:type="character" w:customStyle="1" w:styleId="StyleTimesNewRoman11ptCharCharChar">
    <w:name w:val="Style Times New Roman 11 pt Char Char Char"/>
    <w:rPr>
      <w:rFonts w:ascii="Times New Roman" w:hAnsi="Times New Roman"/>
      <w:noProof w:val="0"/>
      <w:snapToGrid w:val="0"/>
      <w:sz w:val="22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2">
    <w:name w:val="index 2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1440" w:right="720" w:hanging="720"/>
      <w:jc w:val="both"/>
    </w:pPr>
    <w:rPr>
      <w:snapToGrid w:val="0"/>
      <w:kern w:val="28"/>
      <w:sz w:val="22"/>
    </w:rPr>
  </w:style>
  <w:style w:type="character" w:customStyle="1" w:styleId="BlockTextChar">
    <w:name w:val="Block Text Char"/>
    <w:link w:val="BlockText"/>
    <w:rPr>
      <w:sz w:val="22"/>
      <w:lang w:val="en-US" w:eastAsia="en-US" w:bidi="ar-S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96009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6009C"/>
    <w:rPr>
      <w:szCs w:val="24"/>
    </w:rPr>
  </w:style>
  <w:style w:type="character" w:customStyle="1" w:styleId="CommentTextChar">
    <w:name w:val="Comment Text Char"/>
    <w:link w:val="CommentText"/>
    <w:rsid w:val="009600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6009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6009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2409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2853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2010-01-05T16:13:00Z</cp:lastPrinted>
  <dcterms:created xsi:type="dcterms:W3CDTF">2014-07-23T17:42:00Z</dcterms:created>
  <dcterms:modified xsi:type="dcterms:W3CDTF">2014-07-23T17:42:00Z</dcterms:modified>
  <cp:category> </cp:category>
  <cp:contentStatus> </cp:contentStatus>
</cp:coreProperties>
</file>