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60" w:rsidRPr="00150FBA" w:rsidRDefault="00211460" w:rsidP="00211460">
      <w:pPr>
        <w:jc w:val="center"/>
        <w:rPr>
          <w:b/>
          <w:szCs w:val="22"/>
        </w:rPr>
      </w:pPr>
      <w:bookmarkStart w:id="0" w:name="_GoBack"/>
      <w:bookmarkEnd w:id="0"/>
      <w:r w:rsidRPr="00150FBA">
        <w:rPr>
          <w:b/>
          <w:szCs w:val="22"/>
        </w:rPr>
        <w:t>Before the</w:t>
      </w:r>
    </w:p>
    <w:p w:rsidR="00211460" w:rsidRPr="00150FBA" w:rsidRDefault="00211460" w:rsidP="00211460">
      <w:pPr>
        <w:jc w:val="center"/>
        <w:rPr>
          <w:b/>
          <w:szCs w:val="22"/>
        </w:rPr>
      </w:pPr>
      <w:r w:rsidRPr="00150FBA">
        <w:rPr>
          <w:b/>
          <w:szCs w:val="22"/>
        </w:rPr>
        <w:t>Federal Communications Commission</w:t>
      </w:r>
    </w:p>
    <w:p w:rsidR="00211460" w:rsidRPr="00150FBA" w:rsidRDefault="00211460" w:rsidP="00211460">
      <w:pPr>
        <w:jc w:val="center"/>
        <w:rPr>
          <w:szCs w:val="22"/>
        </w:rPr>
      </w:pPr>
      <w:r w:rsidRPr="00150FBA">
        <w:rPr>
          <w:b/>
          <w:szCs w:val="22"/>
        </w:rPr>
        <w:t>Washington, D.C.  20554</w:t>
      </w:r>
    </w:p>
    <w:p w:rsidR="00E94291" w:rsidRPr="00150FBA" w:rsidRDefault="00E94291" w:rsidP="00211460">
      <w:pPr>
        <w:rPr>
          <w:szCs w:val="22"/>
        </w:rPr>
      </w:pPr>
    </w:p>
    <w:tbl>
      <w:tblPr>
        <w:tblW w:w="9648" w:type="dxa"/>
        <w:tblLayout w:type="fixed"/>
        <w:tblLook w:val="0000" w:firstRow="0" w:lastRow="0" w:firstColumn="0" w:lastColumn="0" w:noHBand="0" w:noVBand="0"/>
      </w:tblPr>
      <w:tblGrid>
        <w:gridCol w:w="4698"/>
        <w:gridCol w:w="720"/>
        <w:gridCol w:w="4230"/>
      </w:tblGrid>
      <w:tr w:rsidR="00974482" w:rsidRPr="00150FBA">
        <w:tc>
          <w:tcPr>
            <w:tcW w:w="4698" w:type="dxa"/>
          </w:tcPr>
          <w:p w:rsidR="00974482" w:rsidRPr="00150FBA" w:rsidRDefault="00974482" w:rsidP="00FA2FEC">
            <w:pPr>
              <w:ind w:right="-18"/>
              <w:rPr>
                <w:szCs w:val="22"/>
              </w:rPr>
            </w:pPr>
            <w:r w:rsidRPr="00150FBA">
              <w:rPr>
                <w:szCs w:val="22"/>
              </w:rPr>
              <w:t xml:space="preserve">In </w:t>
            </w:r>
            <w:r w:rsidR="00C44110">
              <w:rPr>
                <w:szCs w:val="22"/>
              </w:rPr>
              <w:t>th</w:t>
            </w:r>
            <w:r w:rsidRPr="00150FBA">
              <w:rPr>
                <w:szCs w:val="22"/>
              </w:rPr>
              <w:t>e</w:t>
            </w:r>
            <w:r w:rsidR="00C44110">
              <w:rPr>
                <w:szCs w:val="22"/>
              </w:rPr>
              <w:t xml:space="preserve"> Matter of</w:t>
            </w:r>
            <w:r w:rsidRPr="00150FBA">
              <w:rPr>
                <w:szCs w:val="22"/>
              </w:rPr>
              <w:t xml:space="preserve">  </w:t>
            </w:r>
          </w:p>
          <w:p w:rsidR="00974482" w:rsidRPr="00150FBA" w:rsidRDefault="00974482" w:rsidP="00FA2FEC">
            <w:pPr>
              <w:ind w:right="-18"/>
              <w:rPr>
                <w:szCs w:val="22"/>
              </w:rPr>
            </w:pPr>
          </w:p>
          <w:p w:rsidR="00974482" w:rsidRDefault="00641F6D" w:rsidP="00FA2FEC">
            <w:pPr>
              <w:ind w:right="-18"/>
              <w:rPr>
                <w:szCs w:val="22"/>
              </w:rPr>
            </w:pPr>
            <w:r>
              <w:rPr>
                <w:szCs w:val="22"/>
              </w:rPr>
              <w:t>Able Radio Corporation</w:t>
            </w:r>
          </w:p>
          <w:p w:rsidR="00641F6D" w:rsidRDefault="00641F6D" w:rsidP="00FA2FEC">
            <w:pPr>
              <w:ind w:right="-18"/>
              <w:rPr>
                <w:szCs w:val="22"/>
              </w:rPr>
            </w:pPr>
          </w:p>
          <w:p w:rsidR="00641F6D" w:rsidRDefault="00641F6D" w:rsidP="00FA2FEC">
            <w:pPr>
              <w:ind w:right="-18"/>
              <w:rPr>
                <w:szCs w:val="22"/>
              </w:rPr>
            </w:pPr>
            <w:r>
              <w:rPr>
                <w:szCs w:val="22"/>
              </w:rPr>
              <w:t>Application for a Construction Permit</w:t>
            </w:r>
          </w:p>
          <w:p w:rsidR="00641F6D" w:rsidRPr="00641F6D" w:rsidRDefault="00641F6D" w:rsidP="00FA2FEC">
            <w:pPr>
              <w:ind w:right="-18"/>
              <w:rPr>
                <w:szCs w:val="22"/>
              </w:rPr>
            </w:pPr>
            <w:r>
              <w:rPr>
                <w:szCs w:val="22"/>
              </w:rPr>
              <w:t>For a New FM Broadcast Station</w:t>
            </w:r>
            <w:r w:rsidR="004140A5">
              <w:rPr>
                <w:szCs w:val="22"/>
              </w:rPr>
              <w:t xml:space="preserve"> at Aguila, Arizona</w:t>
            </w:r>
          </w:p>
          <w:p w:rsidR="00974482" w:rsidRPr="00150FBA" w:rsidRDefault="00974482" w:rsidP="00FA2FEC">
            <w:pPr>
              <w:ind w:right="-18"/>
              <w:rPr>
                <w:b/>
                <w:szCs w:val="22"/>
              </w:rPr>
            </w:pPr>
            <w:r w:rsidRPr="00150FBA">
              <w:rPr>
                <w:szCs w:val="22"/>
              </w:rPr>
              <w:t xml:space="preserve">                                            </w:t>
            </w:r>
          </w:p>
        </w:tc>
        <w:tc>
          <w:tcPr>
            <w:tcW w:w="720" w:type="dxa"/>
          </w:tcPr>
          <w:p w:rsidR="00974482" w:rsidRPr="00150FBA" w:rsidRDefault="00974482" w:rsidP="00FA2FEC">
            <w:pPr>
              <w:rPr>
                <w:b/>
                <w:szCs w:val="22"/>
              </w:rPr>
            </w:pPr>
            <w:r w:rsidRPr="00150FBA">
              <w:rPr>
                <w:b/>
                <w:szCs w:val="22"/>
              </w:rPr>
              <w:t>)</w:t>
            </w:r>
          </w:p>
          <w:p w:rsidR="00974482" w:rsidRPr="00150FBA" w:rsidRDefault="00974482" w:rsidP="00FA2FEC">
            <w:pPr>
              <w:rPr>
                <w:b/>
                <w:szCs w:val="22"/>
              </w:rPr>
            </w:pPr>
            <w:r w:rsidRPr="00150FBA">
              <w:rPr>
                <w:b/>
                <w:szCs w:val="22"/>
              </w:rPr>
              <w:t>)</w:t>
            </w:r>
          </w:p>
          <w:p w:rsidR="00974482" w:rsidRPr="00150FBA" w:rsidRDefault="00974482" w:rsidP="00FA2FEC">
            <w:pPr>
              <w:rPr>
                <w:b/>
                <w:szCs w:val="22"/>
              </w:rPr>
            </w:pPr>
            <w:r w:rsidRPr="00150FBA">
              <w:rPr>
                <w:b/>
                <w:szCs w:val="22"/>
              </w:rPr>
              <w:t>)</w:t>
            </w:r>
          </w:p>
          <w:p w:rsidR="00974482" w:rsidRPr="00150FBA" w:rsidRDefault="00974482" w:rsidP="00FA2FEC">
            <w:pPr>
              <w:rPr>
                <w:b/>
                <w:szCs w:val="22"/>
              </w:rPr>
            </w:pPr>
            <w:r w:rsidRPr="00150FBA">
              <w:rPr>
                <w:b/>
                <w:szCs w:val="22"/>
              </w:rPr>
              <w:t>)</w:t>
            </w:r>
          </w:p>
          <w:p w:rsidR="00974482" w:rsidRPr="00150FBA" w:rsidRDefault="00974482" w:rsidP="00FA2FEC">
            <w:pPr>
              <w:rPr>
                <w:b/>
                <w:szCs w:val="22"/>
              </w:rPr>
            </w:pPr>
            <w:r w:rsidRPr="00150FBA">
              <w:rPr>
                <w:b/>
                <w:szCs w:val="22"/>
              </w:rPr>
              <w:t>)</w:t>
            </w:r>
          </w:p>
          <w:p w:rsidR="00974482" w:rsidRPr="00150FBA" w:rsidRDefault="00974482" w:rsidP="00FA2FEC">
            <w:pPr>
              <w:rPr>
                <w:b/>
                <w:szCs w:val="22"/>
              </w:rPr>
            </w:pPr>
            <w:r w:rsidRPr="00150FBA">
              <w:rPr>
                <w:b/>
                <w:szCs w:val="22"/>
              </w:rPr>
              <w:t>)</w:t>
            </w:r>
          </w:p>
          <w:p w:rsidR="00974482" w:rsidRPr="00150FBA" w:rsidRDefault="00974482" w:rsidP="00FA2FEC">
            <w:pPr>
              <w:rPr>
                <w:b/>
                <w:szCs w:val="22"/>
              </w:rPr>
            </w:pPr>
            <w:r w:rsidRPr="00150FBA">
              <w:rPr>
                <w:b/>
                <w:szCs w:val="22"/>
              </w:rPr>
              <w:t>)</w:t>
            </w:r>
          </w:p>
        </w:tc>
        <w:tc>
          <w:tcPr>
            <w:tcW w:w="4230" w:type="dxa"/>
          </w:tcPr>
          <w:p w:rsidR="00974482" w:rsidRPr="00150FBA" w:rsidRDefault="00974482" w:rsidP="00FA2FEC">
            <w:pPr>
              <w:rPr>
                <w:szCs w:val="22"/>
              </w:rPr>
            </w:pPr>
          </w:p>
          <w:p w:rsidR="00974482" w:rsidRPr="00150FBA" w:rsidRDefault="00974482" w:rsidP="00FA2FEC">
            <w:pPr>
              <w:rPr>
                <w:szCs w:val="22"/>
              </w:rPr>
            </w:pPr>
          </w:p>
          <w:p w:rsidR="00974482" w:rsidRPr="00150FBA" w:rsidRDefault="00974482" w:rsidP="00FA2FEC">
            <w:pPr>
              <w:rPr>
                <w:szCs w:val="22"/>
              </w:rPr>
            </w:pPr>
          </w:p>
          <w:p w:rsidR="00974482" w:rsidRPr="00150FBA" w:rsidRDefault="00974482" w:rsidP="00FA2FEC">
            <w:pPr>
              <w:rPr>
                <w:szCs w:val="22"/>
              </w:rPr>
            </w:pPr>
          </w:p>
          <w:p w:rsidR="004140A5" w:rsidRPr="00150FBA" w:rsidRDefault="004140A5" w:rsidP="004140A5">
            <w:pPr>
              <w:rPr>
                <w:szCs w:val="22"/>
              </w:rPr>
            </w:pPr>
            <w:r w:rsidRPr="00150FBA">
              <w:rPr>
                <w:szCs w:val="22"/>
              </w:rPr>
              <w:t xml:space="preserve">File No. </w:t>
            </w:r>
            <w:r w:rsidRPr="00AB2909">
              <w:t>BNPH-20070403ACO</w:t>
            </w:r>
          </w:p>
          <w:p w:rsidR="004140A5" w:rsidRPr="00150FBA" w:rsidRDefault="004140A5" w:rsidP="004140A5">
            <w:pPr>
              <w:rPr>
                <w:szCs w:val="22"/>
              </w:rPr>
            </w:pPr>
            <w:r w:rsidRPr="00150FBA">
              <w:rPr>
                <w:szCs w:val="22"/>
              </w:rPr>
              <w:t xml:space="preserve">Facility I.D. No. </w:t>
            </w:r>
            <w:r w:rsidRPr="00AB2909">
              <w:t>170953</w:t>
            </w:r>
            <w:r w:rsidRPr="00150FBA">
              <w:rPr>
                <w:szCs w:val="22"/>
              </w:rPr>
              <w:t xml:space="preserve">                            </w:t>
            </w:r>
          </w:p>
          <w:p w:rsidR="00974482" w:rsidRPr="00150FBA" w:rsidRDefault="00974482" w:rsidP="00FA2FEC">
            <w:pPr>
              <w:rPr>
                <w:szCs w:val="22"/>
              </w:rPr>
            </w:pPr>
          </w:p>
        </w:tc>
      </w:tr>
    </w:tbl>
    <w:p w:rsidR="00211460" w:rsidRDefault="00DC7617" w:rsidP="0042098B">
      <w:pPr>
        <w:jc w:val="center"/>
        <w:rPr>
          <w:szCs w:val="22"/>
        </w:rPr>
      </w:pPr>
      <w:r>
        <w:rPr>
          <w:b/>
          <w:szCs w:val="22"/>
        </w:rPr>
        <w:t>ORDER ON RECONSIDERATION</w:t>
      </w:r>
    </w:p>
    <w:p w:rsidR="00227107" w:rsidRPr="00150FBA" w:rsidRDefault="00227107" w:rsidP="0042098B">
      <w:pPr>
        <w:rPr>
          <w:szCs w:val="22"/>
        </w:rPr>
      </w:pPr>
    </w:p>
    <w:p w:rsidR="00211460" w:rsidRPr="0042098B" w:rsidRDefault="00C44110" w:rsidP="0042098B">
      <w:pPr>
        <w:pStyle w:val="Header"/>
        <w:tabs>
          <w:tab w:val="clear" w:pos="4320"/>
          <w:tab w:val="clear" w:pos="8640"/>
          <w:tab w:val="right" w:pos="9360"/>
        </w:tabs>
        <w:rPr>
          <w:b/>
          <w:szCs w:val="22"/>
        </w:rPr>
      </w:pPr>
      <w:r w:rsidRPr="0042098B">
        <w:rPr>
          <w:b/>
          <w:szCs w:val="22"/>
        </w:rPr>
        <w:t xml:space="preserve">Adopted:  </w:t>
      </w:r>
      <w:r w:rsidR="00EF4631">
        <w:rPr>
          <w:b/>
          <w:szCs w:val="22"/>
        </w:rPr>
        <w:t>July 24, 2014</w:t>
      </w:r>
      <w:r w:rsidRPr="0042098B">
        <w:rPr>
          <w:b/>
          <w:szCs w:val="22"/>
        </w:rPr>
        <w:tab/>
        <w:t xml:space="preserve">Released:  </w:t>
      </w:r>
      <w:r w:rsidR="00EF4631">
        <w:rPr>
          <w:b/>
          <w:szCs w:val="22"/>
        </w:rPr>
        <w:t>July 24, 2014</w:t>
      </w:r>
    </w:p>
    <w:p w:rsidR="00C44110" w:rsidRPr="00150FBA" w:rsidRDefault="00C44110" w:rsidP="0042098B">
      <w:pPr>
        <w:pStyle w:val="Header"/>
        <w:tabs>
          <w:tab w:val="clear" w:pos="4320"/>
          <w:tab w:val="clear" w:pos="8640"/>
        </w:tabs>
        <w:rPr>
          <w:szCs w:val="22"/>
        </w:rPr>
      </w:pPr>
    </w:p>
    <w:p w:rsidR="00DC7617" w:rsidRDefault="00211460" w:rsidP="00DC7617">
      <w:pPr>
        <w:tabs>
          <w:tab w:val="left" w:pos="1980"/>
          <w:tab w:val="left" w:pos="4680"/>
        </w:tabs>
        <w:rPr>
          <w:szCs w:val="22"/>
        </w:rPr>
      </w:pPr>
      <w:r w:rsidRPr="00150FBA">
        <w:rPr>
          <w:szCs w:val="22"/>
        </w:rPr>
        <w:t xml:space="preserve">By the </w:t>
      </w:r>
      <w:r w:rsidR="00DC7617">
        <w:rPr>
          <w:szCs w:val="22"/>
        </w:rPr>
        <w:t>Chief, Media Bureau</w:t>
      </w:r>
      <w:r w:rsidRPr="00150FBA">
        <w:rPr>
          <w:szCs w:val="22"/>
        </w:rPr>
        <w:t>:</w:t>
      </w:r>
      <w:r w:rsidRPr="00150FBA">
        <w:rPr>
          <w:szCs w:val="22"/>
        </w:rPr>
        <w:tab/>
        <w:t xml:space="preserve"> </w:t>
      </w:r>
    </w:p>
    <w:p w:rsidR="00DC7617" w:rsidRDefault="00DC7617" w:rsidP="00DC7617">
      <w:pPr>
        <w:tabs>
          <w:tab w:val="left" w:pos="1980"/>
          <w:tab w:val="left" w:pos="4680"/>
        </w:tabs>
        <w:rPr>
          <w:szCs w:val="22"/>
        </w:rPr>
      </w:pPr>
    </w:p>
    <w:p w:rsidR="00DC7617" w:rsidRDefault="00DC7617" w:rsidP="00FC0684">
      <w:pPr>
        <w:pStyle w:val="Heading1"/>
      </w:pPr>
      <w:r w:rsidRPr="00DC7617">
        <w:t xml:space="preserve">INTRODUCTION </w:t>
      </w:r>
    </w:p>
    <w:p w:rsidR="000E78B0" w:rsidRPr="00B606CC" w:rsidRDefault="000E1464" w:rsidP="00467FFD">
      <w:pPr>
        <w:pStyle w:val="ParaNum"/>
        <w:jc w:val="left"/>
      </w:pPr>
      <w:r>
        <w:t xml:space="preserve">We have before us </w:t>
      </w:r>
      <w:r w:rsidR="000E78B0" w:rsidRPr="00B606CC">
        <w:t>a Petition for Reconsideration (“Petition”) filed on behalf of Entravision Holdings, LLC (“Entravision”) on May 21, 2014</w:t>
      </w:r>
      <w:r w:rsidR="004140A5">
        <w:t>.</w:t>
      </w:r>
      <w:r w:rsidR="000E78B0" w:rsidRPr="00B606CC">
        <w:t xml:space="preserve"> </w:t>
      </w:r>
      <w:r w:rsidR="00762538">
        <w:t xml:space="preserve"> </w:t>
      </w:r>
      <w:r w:rsidR="000E78B0" w:rsidRPr="00B606CC">
        <w:t xml:space="preserve">Entravision seeks </w:t>
      </w:r>
      <w:r w:rsidR="00304E88">
        <w:t>reconsideration</w:t>
      </w:r>
      <w:r w:rsidR="000E78B0" w:rsidRPr="00B606CC">
        <w:t xml:space="preserve"> of the </w:t>
      </w:r>
      <w:r w:rsidR="000E78B0" w:rsidRPr="003A37F9">
        <w:rPr>
          <w:i/>
        </w:rPr>
        <w:t>Memorandum Opinion and Order</w:t>
      </w:r>
      <w:r w:rsidR="000E78B0" w:rsidRPr="00B606CC">
        <w:t xml:space="preserve"> (“</w:t>
      </w:r>
      <w:r w:rsidR="000E78B0" w:rsidRPr="003A37F9">
        <w:rPr>
          <w:i/>
        </w:rPr>
        <w:t>MO&amp;O</w:t>
      </w:r>
      <w:r w:rsidR="000E78B0" w:rsidRPr="00B606CC">
        <w:t>”)</w:t>
      </w:r>
      <w:r w:rsidR="00762538">
        <w:rPr>
          <w:rStyle w:val="FootnoteReference"/>
        </w:rPr>
        <w:footnoteReference w:id="2"/>
      </w:r>
      <w:r w:rsidR="000E78B0" w:rsidRPr="00B606CC">
        <w:t xml:space="preserve"> denying </w:t>
      </w:r>
      <w:r w:rsidR="000E78B0">
        <w:t>its</w:t>
      </w:r>
      <w:r w:rsidR="000E78B0" w:rsidRPr="00B606CC">
        <w:t xml:space="preserve"> Application for Review</w:t>
      </w:r>
      <w:r w:rsidR="00A14322">
        <w:t xml:space="preserve"> (“AFR”)</w:t>
      </w:r>
      <w:r w:rsidR="00762538">
        <w:t xml:space="preserve"> and affirming the grant of the captioned application of Able Radio Corporation (“Able”)</w:t>
      </w:r>
      <w:r w:rsidR="00762538">
        <w:rPr>
          <w:rStyle w:val="FootnoteReference"/>
        </w:rPr>
        <w:footnoteReference w:id="3"/>
      </w:r>
      <w:r w:rsidR="00762538">
        <w:t xml:space="preserve"> for a new FM Station at Aguila, Arizona</w:t>
      </w:r>
      <w:r w:rsidR="00C07F03">
        <w:t xml:space="preserve"> (“Application”)</w:t>
      </w:r>
      <w:r w:rsidR="00A14322">
        <w:t>.</w:t>
      </w:r>
      <w:r w:rsidR="00762538">
        <w:rPr>
          <w:rStyle w:val="FootnoteReference"/>
        </w:rPr>
        <w:footnoteReference w:id="4"/>
      </w:r>
      <w:r w:rsidR="000E78B0">
        <w:t xml:space="preserve"> </w:t>
      </w:r>
      <w:r w:rsidR="004140A5">
        <w:t xml:space="preserve"> </w:t>
      </w:r>
      <w:r w:rsidR="000E78B0" w:rsidRPr="00706823">
        <w:t>For the reasons discussed below, we dismiss the Petit</w:t>
      </w:r>
      <w:r w:rsidR="00407CD1">
        <w:t>ion pursuant to Sections 1.106(p) and 1.106(b</w:t>
      </w:r>
      <w:r w:rsidR="000E78B0" w:rsidRPr="00706823">
        <w:t>)</w:t>
      </w:r>
      <w:r w:rsidR="003062F5">
        <w:t>(3)</w:t>
      </w:r>
      <w:r w:rsidR="000E78B0" w:rsidRPr="00706823">
        <w:t xml:space="preserve"> of the Commission’s </w:t>
      </w:r>
      <w:r w:rsidR="00762538">
        <w:t>R</w:t>
      </w:r>
      <w:r w:rsidR="00762538" w:rsidRPr="00706823">
        <w:t xml:space="preserve">ules </w:t>
      </w:r>
      <w:r w:rsidR="000E78B0" w:rsidRPr="00706823">
        <w:t>(“Rules”).</w:t>
      </w:r>
      <w:r w:rsidR="000E78B0" w:rsidRPr="00706823">
        <w:rPr>
          <w:vertAlign w:val="superscript"/>
        </w:rPr>
        <w:footnoteReference w:id="5"/>
      </w:r>
    </w:p>
    <w:p w:rsidR="00DC7617" w:rsidRDefault="00DC7617" w:rsidP="008D32A4">
      <w:pPr>
        <w:pStyle w:val="Heading1"/>
        <w:jc w:val="left"/>
      </w:pPr>
      <w:r w:rsidRPr="00DC7617">
        <w:t>BACKGROUND</w:t>
      </w:r>
    </w:p>
    <w:p w:rsidR="005E12A3" w:rsidRDefault="000E78B0" w:rsidP="00615D30">
      <w:pPr>
        <w:pStyle w:val="ParaNum"/>
        <w:jc w:val="left"/>
      </w:pPr>
      <w:r w:rsidRPr="00104006">
        <w:rPr>
          <w:szCs w:val="22"/>
        </w:rPr>
        <w:t>In FM Auction 70, Able was the winning bidder for a new commercial FM station</w:t>
      </w:r>
      <w:r w:rsidR="005A7FFA" w:rsidRPr="00104006">
        <w:rPr>
          <w:szCs w:val="22"/>
        </w:rPr>
        <w:t xml:space="preserve"> </w:t>
      </w:r>
      <w:r w:rsidR="00E1322E">
        <w:rPr>
          <w:szCs w:val="22"/>
        </w:rPr>
        <w:t>at</w:t>
      </w:r>
      <w:r w:rsidR="00E1322E" w:rsidRPr="00104006">
        <w:rPr>
          <w:szCs w:val="22"/>
        </w:rPr>
        <w:t xml:space="preserve"> </w:t>
      </w:r>
      <w:r w:rsidR="005A7FFA" w:rsidRPr="00104006">
        <w:rPr>
          <w:szCs w:val="22"/>
        </w:rPr>
        <w:t>Aguila, Arizona</w:t>
      </w:r>
      <w:r w:rsidRPr="00104006">
        <w:rPr>
          <w:szCs w:val="22"/>
        </w:rPr>
        <w:t xml:space="preserve">. </w:t>
      </w:r>
      <w:r w:rsidR="004140A5" w:rsidRPr="00104006">
        <w:rPr>
          <w:szCs w:val="22"/>
        </w:rPr>
        <w:t xml:space="preserve"> </w:t>
      </w:r>
      <w:r w:rsidRPr="00104006">
        <w:rPr>
          <w:szCs w:val="22"/>
        </w:rPr>
        <w:t>Able then timely filed its FCC Form 301 and submitted several amendments, including an</w:t>
      </w:r>
      <w:r w:rsidR="00DF314B" w:rsidRPr="00104006">
        <w:rPr>
          <w:szCs w:val="22"/>
        </w:rPr>
        <w:t xml:space="preserve"> amendment to its A</w:t>
      </w:r>
      <w:r w:rsidRPr="00104006">
        <w:rPr>
          <w:szCs w:val="22"/>
        </w:rPr>
        <w:t>pplication in May 2008 specifying a new transmitter location</w:t>
      </w:r>
      <w:r w:rsidR="005A7FFA" w:rsidRPr="00104006">
        <w:rPr>
          <w:szCs w:val="22"/>
        </w:rPr>
        <w:t xml:space="preserve"> in </w:t>
      </w:r>
      <w:r w:rsidR="00FC797F" w:rsidRPr="00104006">
        <w:rPr>
          <w:szCs w:val="22"/>
        </w:rPr>
        <w:t>Tonopah, Arizona</w:t>
      </w:r>
      <w:r w:rsidR="00D25163" w:rsidRPr="00104006">
        <w:rPr>
          <w:szCs w:val="22"/>
        </w:rPr>
        <w:t xml:space="preserve"> (“May 2008 </w:t>
      </w:r>
      <w:r w:rsidR="00EC2F92">
        <w:rPr>
          <w:szCs w:val="22"/>
        </w:rPr>
        <w:t>S</w:t>
      </w:r>
      <w:r w:rsidR="00D25163" w:rsidRPr="00104006">
        <w:rPr>
          <w:szCs w:val="22"/>
        </w:rPr>
        <w:t>ite”)</w:t>
      </w:r>
      <w:r w:rsidRPr="00104006">
        <w:rPr>
          <w:szCs w:val="22"/>
        </w:rPr>
        <w:t xml:space="preserve">. </w:t>
      </w:r>
      <w:r w:rsidR="004140A5" w:rsidRPr="00104006">
        <w:rPr>
          <w:szCs w:val="22"/>
        </w:rPr>
        <w:t xml:space="preserve"> </w:t>
      </w:r>
      <w:r w:rsidR="00EC2F92">
        <w:rPr>
          <w:szCs w:val="22"/>
        </w:rPr>
        <w:t xml:space="preserve">Entravision has unsuccessfully contested the Application </w:t>
      </w:r>
      <w:r w:rsidR="00242C89">
        <w:rPr>
          <w:szCs w:val="22"/>
        </w:rPr>
        <w:t>as initially considered by the staff</w:t>
      </w:r>
      <w:r w:rsidR="00F87513">
        <w:rPr>
          <w:szCs w:val="22"/>
        </w:rPr>
        <w:t>,</w:t>
      </w:r>
      <w:r w:rsidR="00F87513">
        <w:rPr>
          <w:rStyle w:val="FootnoteReference"/>
          <w:szCs w:val="22"/>
        </w:rPr>
        <w:footnoteReference w:id="6"/>
      </w:r>
      <w:r w:rsidR="00EC2F92">
        <w:rPr>
          <w:szCs w:val="22"/>
        </w:rPr>
        <w:t xml:space="preserve"> on reconsideration</w:t>
      </w:r>
      <w:r w:rsidR="00F87513">
        <w:rPr>
          <w:szCs w:val="22"/>
        </w:rPr>
        <w:t>,</w:t>
      </w:r>
      <w:r w:rsidR="00F87513">
        <w:rPr>
          <w:rStyle w:val="FootnoteReference"/>
          <w:szCs w:val="22"/>
        </w:rPr>
        <w:footnoteReference w:id="7"/>
      </w:r>
      <w:r w:rsidR="00EC2F92">
        <w:rPr>
          <w:szCs w:val="22"/>
        </w:rPr>
        <w:t xml:space="preserve"> and on review to the Commission.</w:t>
      </w:r>
      <w:r w:rsidR="00F87513">
        <w:rPr>
          <w:rStyle w:val="FootnoteReference"/>
          <w:szCs w:val="22"/>
        </w:rPr>
        <w:footnoteReference w:id="8"/>
      </w:r>
      <w:r w:rsidR="00EC2F92">
        <w:rPr>
          <w:szCs w:val="22"/>
        </w:rPr>
        <w:t xml:space="preserve">  The gravamen of Entravision’s argument </w:t>
      </w:r>
      <w:r w:rsidR="00F2001E">
        <w:rPr>
          <w:szCs w:val="22"/>
        </w:rPr>
        <w:t>has been</w:t>
      </w:r>
      <w:r w:rsidR="00EC2F92">
        <w:rPr>
          <w:szCs w:val="22"/>
        </w:rPr>
        <w:t xml:space="preserve"> that Able lacked reasonable assurance of the May </w:t>
      </w:r>
      <w:r w:rsidR="00615D30">
        <w:rPr>
          <w:szCs w:val="22"/>
        </w:rPr>
        <w:t>200</w:t>
      </w:r>
      <w:r w:rsidR="00EC2F92">
        <w:rPr>
          <w:szCs w:val="22"/>
        </w:rPr>
        <w:t xml:space="preserve">8 Site and </w:t>
      </w:r>
      <w:r w:rsidR="00F2001E">
        <w:rPr>
          <w:szCs w:val="22"/>
        </w:rPr>
        <w:t xml:space="preserve">thus </w:t>
      </w:r>
      <w:r w:rsidR="00EC2F92">
        <w:rPr>
          <w:szCs w:val="22"/>
        </w:rPr>
        <w:t xml:space="preserve">the Commission should dismiss or deny the Application.  </w:t>
      </w:r>
      <w:r w:rsidR="005E12A3">
        <w:t xml:space="preserve">On April 23, 2014, the Commission denied </w:t>
      </w:r>
      <w:r w:rsidR="00EC2F92">
        <w:t>review</w:t>
      </w:r>
      <w:r w:rsidR="005E12A3">
        <w:t>,</w:t>
      </w:r>
      <w:r w:rsidR="008B7EC2">
        <w:rPr>
          <w:rStyle w:val="FootnoteReference"/>
        </w:rPr>
        <w:footnoteReference w:id="9"/>
      </w:r>
      <w:r w:rsidR="005E12A3">
        <w:t xml:space="preserve"> stating </w:t>
      </w:r>
      <w:r w:rsidR="00457332">
        <w:t xml:space="preserve">that </w:t>
      </w:r>
      <w:r w:rsidR="000D3B83">
        <w:lastRenderedPageBreak/>
        <w:t>th</w:t>
      </w:r>
      <w:r w:rsidR="00D767D6">
        <w:t>is case did not involve a dispute about the availability of the site specified in Able’s original FCC Form 301, but center</w:t>
      </w:r>
      <w:r w:rsidR="0076001B">
        <w:t>ed</w:t>
      </w:r>
      <w:r w:rsidR="00D767D6">
        <w:t xml:space="preserve"> on the availability of a different site identified in a post-auction amendment.</w:t>
      </w:r>
      <w:r w:rsidR="009F5808">
        <w:rPr>
          <w:rStyle w:val="FootnoteReference"/>
        </w:rPr>
        <w:footnoteReference w:id="10"/>
      </w:r>
      <w:r w:rsidR="00D767D6">
        <w:t xml:space="preserve"> </w:t>
      </w:r>
      <w:r w:rsidR="000D3B83">
        <w:t xml:space="preserve"> </w:t>
      </w:r>
      <w:r w:rsidR="00D767D6">
        <w:t xml:space="preserve">The Commission held that the Bureau did not need to reach the issue of reasonable assurance for the May 2008 </w:t>
      </w:r>
      <w:r w:rsidR="00EC2F92">
        <w:t>S</w:t>
      </w:r>
      <w:r w:rsidR="00D767D6">
        <w:t xml:space="preserve">ite because Able subsequently filed another amendment to specify a new site for which it did have reasonable assurance and the </w:t>
      </w:r>
      <w:r w:rsidR="000D3B83" w:rsidRPr="00E7792D">
        <w:t xml:space="preserve">Commission </w:t>
      </w:r>
      <w:r w:rsidR="000D3B83">
        <w:t>permits such amendments in the auction context, thus “</w:t>
      </w:r>
      <w:r w:rsidR="000D3B83" w:rsidRPr="00E7792D">
        <w:t>expressly and deliberately</w:t>
      </w:r>
      <w:r w:rsidR="000D3B83">
        <w:t>”</w:t>
      </w:r>
      <w:r w:rsidR="000D3B83" w:rsidRPr="00E7792D">
        <w:t xml:space="preserve"> treat</w:t>
      </w:r>
      <w:r w:rsidR="000D3B83">
        <w:t>ing</w:t>
      </w:r>
      <w:r w:rsidR="000D3B83" w:rsidRPr="00E7792D">
        <w:t xml:space="preserve"> auction winner</w:t>
      </w:r>
      <w:r w:rsidR="000D3B83">
        <w:t>s</w:t>
      </w:r>
      <w:r w:rsidR="000D3B83" w:rsidRPr="00E7792D">
        <w:t xml:space="preserve"> dissimilarly to other non-auction applicants because “the competitive bidding process itself [lessens] the incentive fo</w:t>
      </w:r>
      <w:r w:rsidR="00E20B6F">
        <w:t>r insincere application filings</w:t>
      </w:r>
      <w:r w:rsidR="0076001B">
        <w:t>.</w:t>
      </w:r>
      <w:r w:rsidR="000D3B83" w:rsidRPr="00E7792D">
        <w:t>”</w:t>
      </w:r>
      <w:r w:rsidR="000D3B83" w:rsidRPr="00E7792D">
        <w:rPr>
          <w:rStyle w:val="FootnoteReference"/>
        </w:rPr>
        <w:footnoteReference w:id="11"/>
      </w:r>
      <w:r w:rsidR="000D3B83" w:rsidRPr="00E7792D">
        <w:t xml:space="preserve"> </w:t>
      </w:r>
      <w:r w:rsidR="0076001B">
        <w:t xml:space="preserve"> </w:t>
      </w:r>
      <w:r w:rsidR="008953FB">
        <w:t xml:space="preserve">The Commission </w:t>
      </w:r>
      <w:r w:rsidR="00F06232">
        <w:t xml:space="preserve">also affirmed the Bureau’s finding that Able had </w:t>
      </w:r>
      <w:r w:rsidR="00851283">
        <w:t>adequately</w:t>
      </w:r>
      <w:r w:rsidR="00F06232">
        <w:t xml:space="preserve"> </w:t>
      </w:r>
      <w:r w:rsidR="00D767D6">
        <w:t>prosecuted</w:t>
      </w:r>
      <w:r w:rsidR="00F06232">
        <w:t xml:space="preserve"> </w:t>
      </w:r>
      <w:r w:rsidR="003B7CFF">
        <w:t xml:space="preserve">its </w:t>
      </w:r>
      <w:r w:rsidR="00F06232">
        <w:t>Application by filing amendments and responding to staff inquiries and requests for information</w:t>
      </w:r>
      <w:r w:rsidR="00D767D6">
        <w:t xml:space="preserve">, as “where an applicant is incentivized to build promptly in order to recoup upfront auction expenses, the concern with spectrum </w:t>
      </w:r>
      <w:r w:rsidR="00851283">
        <w:t>speculation</w:t>
      </w:r>
      <w:r w:rsidR="00D767D6">
        <w:t xml:space="preserve"> is ‘minimal.’”</w:t>
      </w:r>
      <w:r w:rsidR="00CA6AA3">
        <w:rPr>
          <w:rStyle w:val="FootnoteReference"/>
        </w:rPr>
        <w:footnoteReference w:id="12"/>
      </w:r>
    </w:p>
    <w:p w:rsidR="000E78B0" w:rsidRDefault="0073594A" w:rsidP="005E12A3">
      <w:pPr>
        <w:pStyle w:val="ParaNum"/>
        <w:jc w:val="left"/>
      </w:pPr>
      <w:r>
        <w:t xml:space="preserve">In its Petition, Entravision </w:t>
      </w:r>
      <w:r w:rsidR="00533162">
        <w:t xml:space="preserve">accuses the </w:t>
      </w:r>
      <w:r w:rsidR="00A87DB7">
        <w:t xml:space="preserve">Commission of “resort[ing] to </w:t>
      </w:r>
      <w:r w:rsidR="00533162">
        <w:t>a variety of theories”</w:t>
      </w:r>
      <w:r w:rsidR="00C94B9A">
        <w:rPr>
          <w:rStyle w:val="FootnoteReference"/>
        </w:rPr>
        <w:footnoteReference w:id="13"/>
      </w:r>
      <w:r w:rsidR="00533162">
        <w:t xml:space="preserve"> in an effort to grant Able’s </w:t>
      </w:r>
      <w:r w:rsidR="009D1ED3">
        <w:t>A</w:t>
      </w:r>
      <w:r w:rsidR="00533162">
        <w:t xml:space="preserve">pplication, and it </w:t>
      </w:r>
      <w:r w:rsidR="00F42E1A">
        <w:t>again reiterates the arguments</w:t>
      </w:r>
      <w:r w:rsidR="000E78B0">
        <w:t xml:space="preserve"> that</w:t>
      </w:r>
      <w:r w:rsidR="00B54BDA">
        <w:t>:</w:t>
      </w:r>
      <w:r w:rsidR="000E78B0">
        <w:t xml:space="preserve"> (1) Able </w:t>
      </w:r>
      <w:r w:rsidR="00500724">
        <w:t>failed</w:t>
      </w:r>
      <w:r w:rsidR="006F70CA">
        <w:t xml:space="preserve"> to obtain reasonable assurance</w:t>
      </w:r>
      <w:r w:rsidR="000E78B0">
        <w:t xml:space="preserve"> for </w:t>
      </w:r>
      <w:r w:rsidR="00D56F10">
        <w:t>its</w:t>
      </w:r>
      <w:r w:rsidR="000E78B0">
        <w:t xml:space="preserve"> May 2008</w:t>
      </w:r>
      <w:r w:rsidR="00D56F10">
        <w:t xml:space="preserve"> </w:t>
      </w:r>
      <w:r w:rsidR="00EC2F92">
        <w:t>S</w:t>
      </w:r>
      <w:r w:rsidR="00D56F10">
        <w:t>ite</w:t>
      </w:r>
      <w:r w:rsidR="000C3454">
        <w:rPr>
          <w:rStyle w:val="FootnoteReference"/>
        </w:rPr>
        <w:footnoteReference w:id="14"/>
      </w:r>
      <w:r w:rsidR="000E78B0">
        <w:t xml:space="preserve"> and (2) Able did not adequately prosecute its application,</w:t>
      </w:r>
      <w:r w:rsidR="000C3454">
        <w:rPr>
          <w:rStyle w:val="FootnoteReference"/>
        </w:rPr>
        <w:footnoteReference w:id="15"/>
      </w:r>
      <w:r w:rsidR="000E78B0">
        <w:t xml:space="preserve"> both necessitating </w:t>
      </w:r>
      <w:r w:rsidR="00D767D6">
        <w:t>the denial of Able’s Application</w:t>
      </w:r>
      <w:r w:rsidR="000E78B0">
        <w:t>.</w:t>
      </w:r>
      <w:r w:rsidR="000E78B0">
        <w:rPr>
          <w:rStyle w:val="FootnoteReference"/>
          <w:szCs w:val="22"/>
        </w:rPr>
        <w:footnoteReference w:id="16"/>
      </w:r>
      <w:r w:rsidR="008B6DEC">
        <w:t xml:space="preserve"> </w:t>
      </w:r>
      <w:r>
        <w:t xml:space="preserve"> Entravision</w:t>
      </w:r>
      <w:r w:rsidR="00E27ED4">
        <w:t xml:space="preserve"> argues that the Commission’s “simplistic logic” that applicants are of two classes – auction applicants and non-auction applicants – is “truly unacceptable and at odds with the facts</w:t>
      </w:r>
      <w:r w:rsidR="00307B97">
        <w:t>.</w:t>
      </w:r>
      <w:r w:rsidR="00E27ED4">
        <w:t>”</w:t>
      </w:r>
      <w:r w:rsidR="000E78B0">
        <w:rPr>
          <w:rStyle w:val="FootnoteReference"/>
          <w:szCs w:val="22"/>
        </w:rPr>
        <w:footnoteReference w:id="17"/>
      </w:r>
    </w:p>
    <w:p w:rsidR="0084508E" w:rsidRDefault="00C063F5" w:rsidP="005E12A3">
      <w:pPr>
        <w:pStyle w:val="ParaNum"/>
        <w:jc w:val="left"/>
      </w:pPr>
      <w:r>
        <w:t>In Opposition, Able argues that Entravision has not offered the Commission a “valid basis” on which to grant it</w:t>
      </w:r>
      <w:r w:rsidR="002C58F4">
        <w:t>s</w:t>
      </w:r>
      <w:r>
        <w:t xml:space="preserve"> Petition.</w:t>
      </w:r>
      <w:r>
        <w:rPr>
          <w:rStyle w:val="FootnoteReference"/>
        </w:rPr>
        <w:footnoteReference w:id="18"/>
      </w:r>
      <w:r w:rsidR="003A6E7A">
        <w:t xml:space="preserve">  </w:t>
      </w:r>
      <w:r w:rsidR="00D501A1">
        <w:t>Able</w:t>
      </w:r>
      <w:r w:rsidR="003A6E7A">
        <w:t xml:space="preserve"> contends that Entravision has not even acknowledged the standard by which the Commissi</w:t>
      </w:r>
      <w:r w:rsidR="00307B97">
        <w:t>on judges a petition for r</w:t>
      </w:r>
      <w:r w:rsidR="003A6E7A">
        <w:t>econsideration of th</w:t>
      </w:r>
      <w:r w:rsidR="00307B97">
        <w:t>e denial of an application for r</w:t>
      </w:r>
      <w:r w:rsidR="003A6E7A">
        <w:t>eview</w:t>
      </w:r>
      <w:r w:rsidR="004A1EC7">
        <w:t>.</w:t>
      </w:r>
      <w:r w:rsidR="004A1EC7">
        <w:rPr>
          <w:rStyle w:val="FootnoteReference"/>
        </w:rPr>
        <w:footnoteReference w:id="19"/>
      </w:r>
      <w:r w:rsidR="00457332">
        <w:t xml:space="preserve"> </w:t>
      </w:r>
      <w:r w:rsidR="002A6015">
        <w:t xml:space="preserve"> Able argues that Entravision in its Petition has presented the same arguments supported by the same </w:t>
      </w:r>
      <w:r w:rsidR="00B32DB8">
        <w:t xml:space="preserve">facts </w:t>
      </w:r>
      <w:r w:rsidR="002A6015">
        <w:t xml:space="preserve">that it presented </w:t>
      </w:r>
      <w:r w:rsidR="00EC2F92">
        <w:t>the Commission</w:t>
      </w:r>
      <w:r w:rsidR="002A6015">
        <w:t>;</w:t>
      </w:r>
      <w:r w:rsidR="002A6015">
        <w:rPr>
          <w:rStyle w:val="FootnoteReference"/>
        </w:rPr>
        <w:footnoteReference w:id="20"/>
      </w:r>
      <w:r w:rsidR="002A6015">
        <w:t xml:space="preserve"> therefore, the Commission should dismiss the Petition.</w:t>
      </w:r>
      <w:r w:rsidR="002A6015">
        <w:rPr>
          <w:rStyle w:val="FootnoteReference"/>
        </w:rPr>
        <w:footnoteReference w:id="21"/>
      </w:r>
      <w:r w:rsidR="003342E1">
        <w:t xml:space="preserve"> </w:t>
      </w:r>
      <w:r w:rsidR="00A70FEA">
        <w:t xml:space="preserve"> </w:t>
      </w:r>
      <w:r w:rsidR="00A87DB7">
        <w:t>Able</w:t>
      </w:r>
      <w:r w:rsidR="00A70FEA">
        <w:t xml:space="preserve"> further argues that e</w:t>
      </w:r>
      <w:r w:rsidR="00D66944">
        <w:t>ven if the Commission were to consider</w:t>
      </w:r>
      <w:r w:rsidR="00A70FEA">
        <w:t xml:space="preserve"> Entravision’s arguments</w:t>
      </w:r>
      <w:r w:rsidR="00D66944">
        <w:t xml:space="preserve"> </w:t>
      </w:r>
      <w:r w:rsidR="004E4E4B">
        <w:t>in the Petition</w:t>
      </w:r>
      <w:r w:rsidR="00A70FEA">
        <w:t xml:space="preserve">, </w:t>
      </w:r>
      <w:r w:rsidR="00F03D0B">
        <w:t>Entravision has failed to show that the Commission has erred.</w:t>
      </w:r>
      <w:r w:rsidR="00F03D0B">
        <w:rPr>
          <w:rStyle w:val="FootnoteReference"/>
        </w:rPr>
        <w:footnoteReference w:id="22"/>
      </w:r>
    </w:p>
    <w:p w:rsidR="00A40711" w:rsidRDefault="00A40711" w:rsidP="008D32A4">
      <w:pPr>
        <w:pStyle w:val="Heading1"/>
        <w:jc w:val="left"/>
      </w:pPr>
      <w:r>
        <w:lastRenderedPageBreak/>
        <w:t>DISCUSSION</w:t>
      </w:r>
    </w:p>
    <w:p w:rsidR="00171B25" w:rsidRDefault="00CC71AD" w:rsidP="00C0112F">
      <w:pPr>
        <w:pStyle w:val="ParaNum"/>
        <w:widowControl/>
        <w:jc w:val="left"/>
      </w:pPr>
      <w:r>
        <w:t xml:space="preserve">We dismiss </w:t>
      </w:r>
      <w:r w:rsidR="00863767">
        <w:t xml:space="preserve">Entravision’s </w:t>
      </w:r>
      <w:r>
        <w:t xml:space="preserve">Petition under delegated authority </w:t>
      </w:r>
      <w:r w:rsidR="00EC2F92">
        <w:t xml:space="preserve">pursuant to </w:t>
      </w:r>
      <w:r>
        <w:t>Section</w:t>
      </w:r>
      <w:r w:rsidR="00C30D26">
        <w:t xml:space="preserve">s 1.106(b)(3) and </w:t>
      </w:r>
      <w:r>
        <w:t>1.106(p)</w:t>
      </w:r>
      <w:r w:rsidR="00C42AB6">
        <w:t xml:space="preserve"> of the Rules</w:t>
      </w:r>
      <w:r>
        <w:t>.</w:t>
      </w:r>
      <w:r w:rsidR="00C30D26">
        <w:rPr>
          <w:rStyle w:val="FootnoteReference"/>
        </w:rPr>
        <w:footnoteReference w:id="23"/>
      </w:r>
      <w:r w:rsidR="00773FD3">
        <w:t xml:space="preserve">  Under </w:t>
      </w:r>
      <w:r w:rsidR="00C30D26">
        <w:t xml:space="preserve">Section </w:t>
      </w:r>
      <w:r w:rsidR="00773FD3">
        <w:t xml:space="preserve">1.106(p), </w:t>
      </w:r>
      <w:r w:rsidR="00C30D26">
        <w:t xml:space="preserve">staff </w:t>
      </w:r>
      <w:r w:rsidR="00C42AB6">
        <w:t xml:space="preserve">may dismiss a </w:t>
      </w:r>
      <w:r w:rsidR="00C30D26">
        <w:t>p</w:t>
      </w:r>
      <w:r w:rsidR="00C42AB6">
        <w:t xml:space="preserve">etition for </w:t>
      </w:r>
      <w:r w:rsidR="00EB2A2F">
        <w:t>r</w:t>
      </w:r>
      <w:r w:rsidR="00C42AB6">
        <w:t xml:space="preserve">econsideration </w:t>
      </w:r>
      <w:r w:rsidR="00C30D26">
        <w:t xml:space="preserve">of a Commission action </w:t>
      </w:r>
      <w:r w:rsidR="00C42AB6">
        <w:t>that “plainly [does] not warrant reconsideration”</w:t>
      </w:r>
      <w:r w:rsidR="002C48FE">
        <w:rPr>
          <w:rStyle w:val="FootnoteReference"/>
        </w:rPr>
        <w:footnoteReference w:id="24"/>
      </w:r>
      <w:r w:rsidR="00C42AB6">
        <w:t xml:space="preserve"> if the </w:t>
      </w:r>
      <w:r w:rsidR="00C30D26">
        <w:t>p</w:t>
      </w:r>
      <w:r w:rsidR="00C42AB6">
        <w:t>etition is used to merely repeat arguments that have been “fully considered and rejected by the Commission within the same proceeding</w:t>
      </w:r>
      <w:r w:rsidR="00C30D26">
        <w:t>.</w:t>
      </w:r>
      <w:r w:rsidR="002C48FE">
        <w:t>”</w:t>
      </w:r>
      <w:r w:rsidR="002C48FE">
        <w:rPr>
          <w:rStyle w:val="FootnoteReference"/>
        </w:rPr>
        <w:footnoteReference w:id="25"/>
      </w:r>
      <w:r w:rsidR="007170ED">
        <w:t xml:space="preserve"> </w:t>
      </w:r>
      <w:r w:rsidR="005E17D1">
        <w:t xml:space="preserve"> </w:t>
      </w:r>
      <w:r w:rsidR="00C30D26">
        <w:t xml:space="preserve">Similarly, the staff may dismiss a petition for reconsideration of an order denying an application for review that </w:t>
      </w:r>
      <w:r w:rsidR="00A224E2">
        <w:t>“</w:t>
      </w:r>
      <w:r w:rsidR="002C48FE">
        <w:t>fails to rely on new facts or changed circumstances</w:t>
      </w:r>
      <w:r w:rsidR="00C30D26">
        <w:t>.</w:t>
      </w:r>
      <w:r w:rsidR="00A224E2">
        <w:t>”</w:t>
      </w:r>
      <w:r w:rsidR="00A224E2" w:rsidRPr="008F4308">
        <w:rPr>
          <w:rStyle w:val="FootnoteReference"/>
        </w:rPr>
        <w:footnoteReference w:id="26"/>
      </w:r>
      <w:r w:rsidR="00A224E2">
        <w:t xml:space="preserve"> </w:t>
      </w:r>
    </w:p>
    <w:p w:rsidR="00ED0866" w:rsidRPr="009F762E" w:rsidRDefault="000232CB" w:rsidP="0074481A">
      <w:pPr>
        <w:pStyle w:val="ParaNum"/>
        <w:jc w:val="left"/>
      </w:pPr>
      <w:r>
        <w:t xml:space="preserve">As detailed above, </w:t>
      </w:r>
      <w:r w:rsidR="0025058E" w:rsidRPr="001608B1">
        <w:t xml:space="preserve">Entravision </w:t>
      </w:r>
      <w:r w:rsidR="00EB2A2F">
        <w:t xml:space="preserve">accuses the Commission of </w:t>
      </w:r>
      <w:r w:rsidR="007A408D">
        <w:t xml:space="preserve">offering different arguments </w:t>
      </w:r>
      <w:r w:rsidR="00EB2A2F">
        <w:t xml:space="preserve">in </w:t>
      </w:r>
      <w:r w:rsidR="007A408D">
        <w:t xml:space="preserve">support of the grant of </w:t>
      </w:r>
      <w:r w:rsidR="00EB2A2F">
        <w:t xml:space="preserve">Able’s </w:t>
      </w:r>
      <w:r w:rsidR="007A408D">
        <w:t xml:space="preserve">“failed” </w:t>
      </w:r>
      <w:r w:rsidR="00EB2A2F">
        <w:t>Application</w:t>
      </w:r>
      <w:r w:rsidR="001D1544">
        <w:t>.</w:t>
      </w:r>
      <w:r w:rsidR="002E1178">
        <w:rPr>
          <w:rStyle w:val="FootnoteReference"/>
        </w:rPr>
        <w:footnoteReference w:id="27"/>
      </w:r>
      <w:r w:rsidR="001D1544">
        <w:t xml:space="preserve">  H</w:t>
      </w:r>
      <w:r w:rsidR="00EB2A2F">
        <w:t xml:space="preserve">owever, </w:t>
      </w:r>
      <w:r w:rsidR="005573FD">
        <w:t xml:space="preserve">Entravision </w:t>
      </w:r>
      <w:r w:rsidR="0025058E" w:rsidRPr="00EB2A2F">
        <w:t>uses</w:t>
      </w:r>
      <w:r w:rsidR="0025058E" w:rsidRPr="001608B1">
        <w:t xml:space="preserve"> </w:t>
      </w:r>
      <w:r w:rsidR="00F6127B">
        <w:t>its</w:t>
      </w:r>
      <w:r w:rsidR="00F6127B" w:rsidRPr="001608B1">
        <w:t xml:space="preserve"> </w:t>
      </w:r>
      <w:r w:rsidR="0025058E" w:rsidRPr="001608B1">
        <w:t>Petition merely to re-assert t</w:t>
      </w:r>
      <w:r w:rsidR="000439D5">
        <w:t xml:space="preserve">he arguments it made </w:t>
      </w:r>
      <w:r w:rsidR="00EC2F92">
        <w:t xml:space="preserve">repeatedly to the staff and the Commission.  It presents </w:t>
      </w:r>
      <w:r w:rsidR="00ED0866">
        <w:rPr>
          <w:szCs w:val="22"/>
        </w:rPr>
        <w:t xml:space="preserve">no new arguments </w:t>
      </w:r>
      <w:r w:rsidR="004D77FA">
        <w:rPr>
          <w:szCs w:val="22"/>
        </w:rPr>
        <w:t>and</w:t>
      </w:r>
      <w:r w:rsidR="00ED0866">
        <w:rPr>
          <w:szCs w:val="22"/>
        </w:rPr>
        <w:t xml:space="preserve"> cit</w:t>
      </w:r>
      <w:r w:rsidR="00EC2F92">
        <w:rPr>
          <w:szCs w:val="22"/>
        </w:rPr>
        <w:t xml:space="preserve">es </w:t>
      </w:r>
      <w:r w:rsidR="00ED0866" w:rsidRPr="00407855">
        <w:rPr>
          <w:szCs w:val="22"/>
        </w:rPr>
        <w:t>to</w:t>
      </w:r>
      <w:r w:rsidR="004D77FA">
        <w:rPr>
          <w:szCs w:val="22"/>
        </w:rPr>
        <w:t xml:space="preserve"> no new</w:t>
      </w:r>
      <w:r w:rsidR="00ED0866" w:rsidRPr="00407855">
        <w:rPr>
          <w:szCs w:val="22"/>
        </w:rPr>
        <w:t xml:space="preserve"> facts or events that </w:t>
      </w:r>
      <w:r w:rsidR="00ED0866">
        <w:rPr>
          <w:szCs w:val="22"/>
        </w:rPr>
        <w:t xml:space="preserve">have </w:t>
      </w:r>
      <w:r w:rsidR="00ED0866" w:rsidRPr="00407855">
        <w:rPr>
          <w:szCs w:val="22"/>
        </w:rPr>
        <w:t>occurred or circumstances that have changed since its last opportunity to present such matters, or that were unknown to it and could not have been learned through the</w:t>
      </w:r>
      <w:r w:rsidR="00ED0866">
        <w:rPr>
          <w:szCs w:val="22"/>
        </w:rPr>
        <w:t xml:space="preserve"> exercise of ordinary diligence.</w:t>
      </w:r>
      <w:r w:rsidR="00ED0866">
        <w:rPr>
          <w:rStyle w:val="FootnoteReference"/>
          <w:szCs w:val="22"/>
        </w:rPr>
        <w:footnoteReference w:id="28"/>
      </w:r>
      <w:r w:rsidR="00ED0866">
        <w:rPr>
          <w:szCs w:val="22"/>
        </w:rPr>
        <w:t xml:space="preserve">  </w:t>
      </w:r>
      <w:r w:rsidR="00ED0866">
        <w:t>T</w:t>
      </w:r>
      <w:r w:rsidR="00ED0866" w:rsidRPr="00407855">
        <w:t xml:space="preserve">he Petition is </w:t>
      </w:r>
      <w:r w:rsidR="00ED0866">
        <w:t xml:space="preserve">thus </w:t>
      </w:r>
      <w:r w:rsidR="00ED0866" w:rsidRPr="00407855">
        <w:t xml:space="preserve">subject to dismissal </w:t>
      </w:r>
      <w:r w:rsidR="00C30D26">
        <w:t xml:space="preserve">by the staff pursuant to </w:t>
      </w:r>
      <w:r w:rsidR="00ED0866" w:rsidRPr="00407855">
        <w:t>delegated a</w:t>
      </w:r>
      <w:r w:rsidR="00ED0866">
        <w:t>uthority.</w:t>
      </w:r>
      <w:r w:rsidR="00ED0866">
        <w:rPr>
          <w:rStyle w:val="FootnoteReference"/>
        </w:rPr>
        <w:footnoteReference w:id="29"/>
      </w:r>
    </w:p>
    <w:p w:rsidR="00DC7617" w:rsidRDefault="00DC7617" w:rsidP="00FC0684">
      <w:pPr>
        <w:pStyle w:val="Heading1"/>
      </w:pPr>
      <w:r>
        <w:t>ORDERING CLAUSE</w:t>
      </w:r>
    </w:p>
    <w:p w:rsidR="000E78B0" w:rsidRDefault="00A7270A" w:rsidP="009F762E">
      <w:pPr>
        <w:pStyle w:val="ParaNum"/>
      </w:pPr>
      <w:r w:rsidRPr="00EE0DA5">
        <w:rPr>
          <w:szCs w:val="22"/>
        </w:rPr>
        <w:t>Accordingly</w:t>
      </w:r>
      <w:r>
        <w:rPr>
          <w:szCs w:val="22"/>
        </w:rPr>
        <w:t>,</w:t>
      </w:r>
      <w:r>
        <w:t xml:space="preserve"> IT IS ORDERED, pursuant to authority contained in </w:t>
      </w:r>
      <w:r w:rsidR="006F3DE4">
        <w:t>Section 1.106(p) and 1.106(b</w:t>
      </w:r>
      <w:r w:rsidR="00BC6769">
        <w:t>)</w:t>
      </w:r>
      <w:r w:rsidR="00CB3B89">
        <w:t>(3)</w:t>
      </w:r>
      <w:r w:rsidR="00C64BA4">
        <w:rPr>
          <w:rStyle w:val="FootnoteReference"/>
        </w:rPr>
        <w:footnoteReference w:id="30"/>
      </w:r>
      <w:r w:rsidR="00BC6769">
        <w:t xml:space="preserve"> </w:t>
      </w:r>
      <w:r>
        <w:t xml:space="preserve">of the Rules, that the Petition for Reconsideration filed by </w:t>
      </w:r>
      <w:r w:rsidRPr="00B606CC">
        <w:t>Entravision Holdings, LLC</w:t>
      </w:r>
      <w:r w:rsidR="00C64BA4">
        <w:t>,</w:t>
      </w:r>
      <w:r w:rsidR="009F762E">
        <w:t xml:space="preserve"> on May 21, 2014, IS DISMISSED.</w:t>
      </w:r>
    </w:p>
    <w:p w:rsidR="00CF76A5" w:rsidRPr="006358C3" w:rsidRDefault="005660EA" w:rsidP="00CF76A5">
      <w:r w:rsidRPr="006358C3">
        <w:tab/>
      </w:r>
      <w:r w:rsidRPr="006358C3">
        <w:tab/>
      </w:r>
      <w:r w:rsidRPr="006358C3">
        <w:tab/>
      </w:r>
      <w:r w:rsidRPr="006358C3">
        <w:tab/>
      </w:r>
      <w:r w:rsidRPr="006358C3">
        <w:tab/>
      </w:r>
      <w:r w:rsidRPr="006358C3">
        <w:tab/>
      </w:r>
      <w:r w:rsidR="00CF76A5" w:rsidRPr="006358C3">
        <w:t>FEDERAL COMMUNICATIONS COMMISSION</w:t>
      </w:r>
    </w:p>
    <w:p w:rsidR="00CF76A5" w:rsidRDefault="00CF76A5" w:rsidP="00CF76A5"/>
    <w:p w:rsidR="00E94291" w:rsidRPr="006358C3" w:rsidRDefault="00E94291" w:rsidP="00CF76A5"/>
    <w:p w:rsidR="00CF76A5" w:rsidRPr="006358C3" w:rsidRDefault="00C44110" w:rsidP="0042098B">
      <w:r>
        <w:t xml:space="preserve"> </w:t>
      </w:r>
      <w:r>
        <w:tab/>
      </w:r>
      <w:r>
        <w:tab/>
      </w:r>
      <w:r>
        <w:tab/>
      </w:r>
      <w:r>
        <w:tab/>
      </w:r>
      <w:r>
        <w:tab/>
      </w:r>
      <w:r>
        <w:tab/>
      </w:r>
      <w:r w:rsidR="007A714A">
        <w:t>William T. Lake</w:t>
      </w:r>
    </w:p>
    <w:p w:rsidR="00750291" w:rsidRPr="006358C3" w:rsidRDefault="00227107" w:rsidP="00211460">
      <w:r>
        <w:t xml:space="preserve"> </w:t>
      </w:r>
      <w:r>
        <w:tab/>
      </w:r>
      <w:r>
        <w:tab/>
      </w:r>
      <w:r>
        <w:tab/>
      </w:r>
      <w:r>
        <w:tab/>
      </w:r>
      <w:r>
        <w:tab/>
      </w:r>
      <w:r>
        <w:tab/>
      </w:r>
      <w:r w:rsidR="007A714A">
        <w:t>Chief, Media Bureau</w:t>
      </w:r>
    </w:p>
    <w:sectPr w:rsidR="00750291" w:rsidRPr="006358C3" w:rsidSect="007D01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ED" w:rsidRDefault="003C15ED">
      <w:r>
        <w:separator/>
      </w:r>
    </w:p>
  </w:endnote>
  <w:endnote w:type="continuationSeparator" w:id="0">
    <w:p w:rsidR="003C15ED" w:rsidRDefault="003C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A7" w:rsidRDefault="00D97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89" w:rsidRDefault="00281989" w:rsidP="0042098B">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B3053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89" w:rsidRDefault="00281989" w:rsidP="0042098B">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ED" w:rsidRDefault="003C15ED">
      <w:pPr>
        <w:rPr>
          <w:sz w:val="20"/>
        </w:rPr>
      </w:pPr>
      <w:r>
        <w:rPr>
          <w:sz w:val="20"/>
        </w:rPr>
        <w:separator/>
      </w:r>
    </w:p>
  </w:footnote>
  <w:footnote w:type="continuationSeparator" w:id="0">
    <w:p w:rsidR="003C15ED" w:rsidRDefault="003C15ED">
      <w:r>
        <w:continuationSeparator/>
      </w:r>
    </w:p>
    <w:p w:rsidR="003C15ED" w:rsidRPr="00E41545" w:rsidRDefault="003C15ED">
      <w:pPr>
        <w:rPr>
          <w:sz w:val="20"/>
        </w:rPr>
      </w:pPr>
      <w:r w:rsidRPr="00E41545">
        <w:rPr>
          <w:sz w:val="20"/>
        </w:rPr>
        <w:t>(Continued f</w:t>
      </w:r>
      <w:r>
        <w:rPr>
          <w:sz w:val="20"/>
        </w:rPr>
        <w:t>ro</w:t>
      </w:r>
      <w:r w:rsidRPr="00E41545">
        <w:rPr>
          <w:sz w:val="20"/>
        </w:rPr>
        <w:t>m previous page)</w:t>
      </w:r>
    </w:p>
  </w:footnote>
  <w:footnote w:type="continuationNotice" w:id="1">
    <w:p w:rsidR="003C15ED" w:rsidRDefault="003C15ED">
      <w:pPr>
        <w:jc w:val="right"/>
        <w:rPr>
          <w:sz w:val="20"/>
        </w:rPr>
      </w:pPr>
      <w:r>
        <w:rPr>
          <w:sz w:val="20"/>
        </w:rPr>
        <w:t>(continued . . .)</w:t>
      </w:r>
    </w:p>
  </w:footnote>
  <w:footnote w:id="2">
    <w:p w:rsidR="00281989" w:rsidRDefault="00281989" w:rsidP="004C16A3">
      <w:pPr>
        <w:pStyle w:val="FootnoteText"/>
        <w:jc w:val="left"/>
      </w:pPr>
      <w:r>
        <w:rPr>
          <w:rStyle w:val="FootnoteReference"/>
        </w:rPr>
        <w:footnoteRef/>
      </w:r>
      <w:r>
        <w:t xml:space="preserve"> </w:t>
      </w:r>
      <w:r w:rsidRPr="00B14D4B">
        <w:rPr>
          <w:i/>
        </w:rPr>
        <w:t xml:space="preserve">Able Radio </w:t>
      </w:r>
      <w:r>
        <w:rPr>
          <w:i/>
        </w:rPr>
        <w:t>Corp.</w:t>
      </w:r>
      <w:r>
        <w:t>, 29 FCC Rcd</w:t>
      </w:r>
      <w:r w:rsidRPr="004A2A33">
        <w:t xml:space="preserve"> 4363 (2014)</w:t>
      </w:r>
      <w:r>
        <w:t xml:space="preserve"> (“</w:t>
      </w:r>
      <w:r w:rsidRPr="00B14D4B">
        <w:rPr>
          <w:i/>
        </w:rPr>
        <w:t>MO&amp;O</w:t>
      </w:r>
      <w:r>
        <w:t>”).</w:t>
      </w:r>
    </w:p>
  </w:footnote>
  <w:footnote w:id="3">
    <w:p w:rsidR="00281989" w:rsidRDefault="00281989" w:rsidP="004C16A3">
      <w:pPr>
        <w:pStyle w:val="FootnoteText"/>
        <w:jc w:val="left"/>
      </w:pPr>
      <w:r>
        <w:rPr>
          <w:rStyle w:val="FootnoteReference"/>
        </w:rPr>
        <w:footnoteRef/>
      </w:r>
      <w:r>
        <w:t xml:space="preserve"> On July 11, 2013, Able applied for an involuntary assignment of the Station’s license to Rodney D. Tow, Trustee (“Tow”), stating that it had filed for Chapter 7 bankruptcy on May 22, 2013.  File No. BAPH-20130711AAV, Exhibit 2.  The staff granted the involuntary assignment Application on December 9, 2013, and the parties consummated that same day.  For convenience, we refer to the permitee as “Able” herein.</w:t>
      </w:r>
    </w:p>
  </w:footnote>
  <w:footnote w:id="4">
    <w:p w:rsidR="00281989" w:rsidRDefault="00281989" w:rsidP="004C16A3">
      <w:pPr>
        <w:pStyle w:val="FootnoteText"/>
        <w:jc w:val="left"/>
      </w:pPr>
      <w:r>
        <w:rPr>
          <w:rStyle w:val="FootnoteReference"/>
        </w:rPr>
        <w:footnoteRef/>
      </w:r>
      <w:r>
        <w:t xml:space="preserve"> Able filed an Opposition to the Petition (“Opposition”) on June 4, 2014.</w:t>
      </w:r>
    </w:p>
  </w:footnote>
  <w:footnote w:id="5">
    <w:p w:rsidR="00281989" w:rsidRDefault="00281989" w:rsidP="004C16A3">
      <w:pPr>
        <w:pStyle w:val="FootnoteText"/>
        <w:jc w:val="left"/>
      </w:pPr>
      <w:r>
        <w:rPr>
          <w:rStyle w:val="FootnoteReference"/>
        </w:rPr>
        <w:footnoteRef/>
      </w:r>
      <w:r>
        <w:t xml:space="preserve"> 47 C.F.R. §§ 1.106(b)(3), 1.106(p).  </w:t>
      </w:r>
      <w:r>
        <w:rPr>
          <w:i/>
        </w:rPr>
        <w:t>See, e.g.</w:t>
      </w:r>
      <w:r w:rsidRPr="00001F38">
        <w:t>,</w:t>
      </w:r>
      <w:r>
        <w:rPr>
          <w:i/>
        </w:rPr>
        <w:t xml:space="preserve"> A-O Broadcasting Corp.</w:t>
      </w:r>
      <w:r>
        <w:t>, Letter, 24 FCC Rcd 13666 (MB 2009) (Bureau dismissed petition for reconsideration as repetitious under Section 1.106(b)(3)).</w:t>
      </w:r>
    </w:p>
  </w:footnote>
  <w:footnote w:id="6">
    <w:p w:rsidR="00281989" w:rsidRDefault="00281989">
      <w:pPr>
        <w:pStyle w:val="FootnoteText"/>
      </w:pPr>
      <w:r>
        <w:rPr>
          <w:rStyle w:val="FootnoteReference"/>
        </w:rPr>
        <w:footnoteRef/>
      </w:r>
      <w:r>
        <w:t xml:space="preserve"> </w:t>
      </w:r>
      <w:r>
        <w:rPr>
          <w:i/>
        </w:rPr>
        <w:t>Able Radio Corp.</w:t>
      </w:r>
      <w:r>
        <w:t>, Letter, 26 FCC Rcd 16161, 16163-64 (MB 2011) (“</w:t>
      </w:r>
      <w:r w:rsidRPr="00DE3F22">
        <w:rPr>
          <w:i/>
        </w:rPr>
        <w:t>Letter Decision</w:t>
      </w:r>
      <w:r>
        <w:t>”).</w:t>
      </w:r>
    </w:p>
  </w:footnote>
  <w:footnote w:id="7">
    <w:p w:rsidR="00281989" w:rsidRDefault="00281989">
      <w:pPr>
        <w:pStyle w:val="FootnoteText"/>
      </w:pPr>
      <w:r>
        <w:rPr>
          <w:rStyle w:val="FootnoteReference"/>
        </w:rPr>
        <w:footnoteRef/>
      </w:r>
      <w:r>
        <w:t xml:space="preserve"> </w:t>
      </w:r>
      <w:r>
        <w:rPr>
          <w:i/>
        </w:rPr>
        <w:t>Able Radio Corp.</w:t>
      </w:r>
      <w:r>
        <w:t>, Letter, 27 FCC Rcd 15190, 15192-94 (MB 2012) (“</w:t>
      </w:r>
      <w:r w:rsidRPr="00906997">
        <w:rPr>
          <w:i/>
        </w:rPr>
        <w:t>Reconsideration Decision</w:t>
      </w:r>
      <w:r>
        <w:t>”).</w:t>
      </w:r>
    </w:p>
  </w:footnote>
  <w:footnote w:id="8">
    <w:p w:rsidR="00281989" w:rsidRDefault="00281989">
      <w:pPr>
        <w:pStyle w:val="FootnoteText"/>
      </w:pPr>
      <w:r>
        <w:rPr>
          <w:rStyle w:val="FootnoteReference"/>
        </w:rPr>
        <w:footnoteRef/>
      </w:r>
      <w:r>
        <w:t xml:space="preserve"> </w:t>
      </w:r>
      <w:r w:rsidRPr="00E425AF">
        <w:rPr>
          <w:i/>
          <w:lang w:val="es-ES_tradnl"/>
        </w:rPr>
        <w:t>MO&amp;O</w:t>
      </w:r>
      <w:r>
        <w:rPr>
          <w:lang w:val="es-ES_tradnl"/>
        </w:rPr>
        <w:t xml:space="preserve">, </w:t>
      </w:r>
      <w:r>
        <w:t>29 FCC Rcd</w:t>
      </w:r>
      <w:r w:rsidRPr="004A2A33">
        <w:t xml:space="preserve"> </w:t>
      </w:r>
      <w:r>
        <w:rPr>
          <w:lang w:val="es-ES_tradnl"/>
        </w:rPr>
        <w:t>at 4364.</w:t>
      </w:r>
    </w:p>
  </w:footnote>
  <w:footnote w:id="9">
    <w:p w:rsidR="00281989" w:rsidRPr="00615D30" w:rsidRDefault="00281989">
      <w:pPr>
        <w:pStyle w:val="FootnoteText"/>
      </w:pPr>
      <w:r>
        <w:rPr>
          <w:rStyle w:val="FootnoteReference"/>
        </w:rPr>
        <w:footnoteRef/>
      </w:r>
      <w:r>
        <w:t xml:space="preserve"> </w:t>
      </w:r>
      <w:r>
        <w:rPr>
          <w:i/>
          <w:lang w:val="es-ES_tradnl"/>
        </w:rPr>
        <w:t>Id</w:t>
      </w:r>
      <w:r>
        <w:rPr>
          <w:lang w:val="es-ES_tradnl"/>
        </w:rPr>
        <w:t>.</w:t>
      </w:r>
    </w:p>
  </w:footnote>
  <w:footnote w:id="10">
    <w:p w:rsidR="00281989" w:rsidRDefault="00281989">
      <w:pPr>
        <w:pStyle w:val="FootnoteText"/>
      </w:pPr>
      <w:r>
        <w:rPr>
          <w:rStyle w:val="FootnoteReference"/>
        </w:rPr>
        <w:footnoteRef/>
      </w:r>
      <w:r>
        <w:t xml:space="preserve"> </w:t>
      </w:r>
      <w:r w:rsidRPr="009F5808">
        <w:rPr>
          <w:i/>
        </w:rPr>
        <w:t>Id</w:t>
      </w:r>
      <w:r w:rsidRPr="004542A0">
        <w:t>.</w:t>
      </w:r>
    </w:p>
  </w:footnote>
  <w:footnote w:id="11">
    <w:p w:rsidR="00281989" w:rsidRPr="0063440F" w:rsidRDefault="00281989" w:rsidP="002E1178">
      <w:pPr>
        <w:pStyle w:val="FootnoteText"/>
        <w:jc w:val="left"/>
      </w:pPr>
      <w:r>
        <w:rPr>
          <w:rStyle w:val="FootnoteReference"/>
        </w:rPr>
        <w:footnoteRef/>
      </w:r>
      <w:r>
        <w:t xml:space="preserve"> </w:t>
      </w:r>
      <w:r w:rsidRPr="00CA6AA3">
        <w:rPr>
          <w:i/>
        </w:rPr>
        <w:t>Id.</w:t>
      </w:r>
      <w:r>
        <w:t xml:space="preserve"> at 4364, quoting </w:t>
      </w:r>
      <w:r>
        <w:rPr>
          <w:i/>
        </w:rPr>
        <w:t>Reconsideration Decision</w:t>
      </w:r>
      <w:r>
        <w:t xml:space="preserve">, 27 FCC Rcd at 15192-93.  In so doing, the Commission affirmed that all applicants must have reasonable assurance of site availability when filing an FCC Form 301.  </w:t>
      </w:r>
      <w:r>
        <w:rPr>
          <w:i/>
        </w:rPr>
        <w:t xml:space="preserve">MO&amp;O, </w:t>
      </w:r>
      <w:r>
        <w:t>29 FCC Rcd at 4364.</w:t>
      </w:r>
    </w:p>
  </w:footnote>
  <w:footnote w:id="12">
    <w:p w:rsidR="00281989" w:rsidRPr="004D45E7" w:rsidRDefault="00281989">
      <w:pPr>
        <w:pStyle w:val="FootnoteText"/>
      </w:pPr>
      <w:r>
        <w:rPr>
          <w:rStyle w:val="FootnoteReference"/>
        </w:rPr>
        <w:footnoteRef/>
      </w:r>
      <w:r>
        <w:t xml:space="preserve"> </w:t>
      </w:r>
      <w:r w:rsidRPr="00CA6AA3">
        <w:rPr>
          <w:i/>
        </w:rPr>
        <w:t>Id.</w:t>
      </w:r>
      <w:r>
        <w:t xml:space="preserve"> at 4364, citing </w:t>
      </w:r>
      <w:r w:rsidRPr="00304AEA">
        <w:rPr>
          <w:i/>
        </w:rPr>
        <w:t>Biennial Regulatory Review-Streamlining of Mass Media Applications, Rules, and Processes</w:t>
      </w:r>
      <w:r>
        <w:t>, Report and Order, 13 FCC Rcd 23056, 23071 (1998) (subsequent history omitted).</w:t>
      </w:r>
    </w:p>
  </w:footnote>
  <w:footnote w:id="13">
    <w:p w:rsidR="00281989" w:rsidRDefault="00281989">
      <w:pPr>
        <w:pStyle w:val="FootnoteText"/>
      </w:pPr>
      <w:r>
        <w:rPr>
          <w:rStyle w:val="FootnoteReference"/>
        </w:rPr>
        <w:footnoteRef/>
      </w:r>
      <w:r>
        <w:t xml:space="preserve"> Petition at 2. </w:t>
      </w:r>
    </w:p>
  </w:footnote>
  <w:footnote w:id="14">
    <w:p w:rsidR="00281989" w:rsidRDefault="00281989">
      <w:pPr>
        <w:pStyle w:val="FootnoteText"/>
      </w:pPr>
      <w:r>
        <w:rPr>
          <w:rStyle w:val="FootnoteReference"/>
        </w:rPr>
        <w:footnoteRef/>
      </w:r>
      <w:r>
        <w:t xml:space="preserve"> </w:t>
      </w:r>
      <w:r w:rsidRPr="000C3454">
        <w:rPr>
          <w:i/>
        </w:rPr>
        <w:t>Id.</w:t>
      </w:r>
      <w:r>
        <w:t xml:space="preserve"> at 5.</w:t>
      </w:r>
    </w:p>
  </w:footnote>
  <w:footnote w:id="15">
    <w:p w:rsidR="00281989" w:rsidRDefault="00281989">
      <w:pPr>
        <w:pStyle w:val="FootnoteText"/>
      </w:pPr>
      <w:r>
        <w:rPr>
          <w:rStyle w:val="FootnoteReference"/>
        </w:rPr>
        <w:footnoteRef/>
      </w:r>
      <w:r>
        <w:t xml:space="preserve"> </w:t>
      </w:r>
      <w:r w:rsidRPr="000C3454">
        <w:rPr>
          <w:i/>
        </w:rPr>
        <w:t>Id</w:t>
      </w:r>
      <w:r w:rsidRPr="009558D9">
        <w:t xml:space="preserve">. </w:t>
      </w:r>
    </w:p>
  </w:footnote>
  <w:footnote w:id="16">
    <w:p w:rsidR="00281989" w:rsidRPr="000C3454" w:rsidRDefault="00281989" w:rsidP="004C16A3">
      <w:pPr>
        <w:pStyle w:val="FootnoteText"/>
        <w:jc w:val="left"/>
      </w:pPr>
      <w:r>
        <w:rPr>
          <w:rStyle w:val="FootnoteReference"/>
        </w:rPr>
        <w:footnoteRef/>
      </w:r>
      <w:r>
        <w:t xml:space="preserve"> </w:t>
      </w:r>
      <w:r>
        <w:rPr>
          <w:i/>
        </w:rPr>
        <w:t xml:space="preserve">Id. </w:t>
      </w:r>
      <w:r>
        <w:t>at 6</w:t>
      </w:r>
    </w:p>
  </w:footnote>
  <w:footnote w:id="17">
    <w:p w:rsidR="00281989" w:rsidRPr="000C3454" w:rsidRDefault="00281989" w:rsidP="004C16A3">
      <w:pPr>
        <w:pStyle w:val="FootnoteText"/>
        <w:jc w:val="left"/>
      </w:pPr>
      <w:r>
        <w:rPr>
          <w:rStyle w:val="FootnoteReference"/>
        </w:rPr>
        <w:footnoteRef/>
      </w:r>
      <w:r>
        <w:t xml:space="preserve"> </w:t>
      </w:r>
      <w:r w:rsidRPr="001A0E0C">
        <w:rPr>
          <w:i/>
        </w:rPr>
        <w:t>Id.</w:t>
      </w:r>
      <w:r>
        <w:rPr>
          <w:i/>
        </w:rPr>
        <w:t xml:space="preserve"> </w:t>
      </w:r>
      <w:r>
        <w:t>at 2.</w:t>
      </w:r>
    </w:p>
  </w:footnote>
  <w:footnote w:id="18">
    <w:p w:rsidR="00281989" w:rsidRDefault="00281989">
      <w:pPr>
        <w:pStyle w:val="FootnoteText"/>
      </w:pPr>
      <w:r>
        <w:rPr>
          <w:rStyle w:val="FootnoteReference"/>
        </w:rPr>
        <w:footnoteRef/>
      </w:r>
      <w:r>
        <w:t xml:space="preserve"> Opposition at 4.</w:t>
      </w:r>
    </w:p>
  </w:footnote>
  <w:footnote w:id="19">
    <w:p w:rsidR="00281989" w:rsidRDefault="00281989">
      <w:pPr>
        <w:pStyle w:val="FootnoteText"/>
      </w:pPr>
      <w:r>
        <w:rPr>
          <w:rStyle w:val="FootnoteReference"/>
        </w:rPr>
        <w:footnoteRef/>
      </w:r>
      <w:r>
        <w:t xml:space="preserve"> </w:t>
      </w:r>
      <w:r w:rsidRPr="004A1EC7">
        <w:rPr>
          <w:i/>
        </w:rPr>
        <w:t>Id</w:t>
      </w:r>
      <w:r w:rsidRPr="009558D9">
        <w:t>.</w:t>
      </w:r>
    </w:p>
  </w:footnote>
  <w:footnote w:id="20">
    <w:p w:rsidR="00281989" w:rsidRDefault="00281989">
      <w:pPr>
        <w:pStyle w:val="FootnoteText"/>
      </w:pPr>
      <w:r>
        <w:rPr>
          <w:rStyle w:val="FootnoteReference"/>
        </w:rPr>
        <w:footnoteRef/>
      </w:r>
      <w:r>
        <w:t xml:space="preserve"> </w:t>
      </w:r>
      <w:r w:rsidRPr="002A6015">
        <w:rPr>
          <w:i/>
        </w:rPr>
        <w:t>Id</w:t>
      </w:r>
      <w:r>
        <w:t>.</w:t>
      </w:r>
    </w:p>
  </w:footnote>
  <w:footnote w:id="21">
    <w:p w:rsidR="00281989" w:rsidRDefault="00281989">
      <w:pPr>
        <w:pStyle w:val="FootnoteText"/>
      </w:pPr>
      <w:r>
        <w:rPr>
          <w:rStyle w:val="FootnoteReference"/>
        </w:rPr>
        <w:footnoteRef/>
      </w:r>
      <w:r>
        <w:t xml:space="preserve"> </w:t>
      </w:r>
      <w:r w:rsidRPr="002A6015">
        <w:rPr>
          <w:i/>
        </w:rPr>
        <w:t>Id</w:t>
      </w:r>
      <w:r>
        <w:t>. at 5.</w:t>
      </w:r>
    </w:p>
  </w:footnote>
  <w:footnote w:id="22">
    <w:p w:rsidR="00281989" w:rsidRDefault="00281989">
      <w:pPr>
        <w:pStyle w:val="FootnoteText"/>
      </w:pPr>
      <w:r>
        <w:rPr>
          <w:rStyle w:val="FootnoteReference"/>
        </w:rPr>
        <w:footnoteRef/>
      </w:r>
      <w:r>
        <w:t xml:space="preserve"> </w:t>
      </w:r>
      <w:r w:rsidRPr="00F03D0B">
        <w:rPr>
          <w:i/>
        </w:rPr>
        <w:t>Id</w:t>
      </w:r>
      <w:r w:rsidRPr="009558D9">
        <w:t>.</w:t>
      </w:r>
    </w:p>
  </w:footnote>
  <w:footnote w:id="23">
    <w:p w:rsidR="00281989" w:rsidRDefault="00281989">
      <w:pPr>
        <w:pStyle w:val="FootnoteText"/>
      </w:pPr>
      <w:r>
        <w:rPr>
          <w:rStyle w:val="FootnoteReference"/>
        </w:rPr>
        <w:footnoteRef/>
      </w:r>
      <w:r>
        <w:t xml:space="preserve"> 47 C.F.R. §§ 1.106(b)(3), 1.106(p).</w:t>
      </w:r>
    </w:p>
  </w:footnote>
  <w:footnote w:id="24">
    <w:p w:rsidR="00281989" w:rsidRDefault="00281989">
      <w:pPr>
        <w:pStyle w:val="FootnoteText"/>
      </w:pPr>
      <w:r>
        <w:rPr>
          <w:rStyle w:val="FootnoteReference"/>
        </w:rPr>
        <w:footnoteRef/>
      </w:r>
      <w:r>
        <w:t xml:space="preserve"> 47 C.F.R. § 1.106(p).</w:t>
      </w:r>
    </w:p>
  </w:footnote>
  <w:footnote w:id="25">
    <w:p w:rsidR="00281989" w:rsidRDefault="00281989">
      <w:pPr>
        <w:pStyle w:val="FootnoteText"/>
      </w:pPr>
      <w:r>
        <w:rPr>
          <w:rStyle w:val="FootnoteReference"/>
        </w:rPr>
        <w:footnoteRef/>
      </w:r>
      <w:r>
        <w:t xml:space="preserve"> 47 C.F.R. § 1.106(p)(3).</w:t>
      </w:r>
    </w:p>
  </w:footnote>
  <w:footnote w:id="26">
    <w:p w:rsidR="00281989" w:rsidRDefault="00281989" w:rsidP="00A224E2">
      <w:pPr>
        <w:pStyle w:val="FootnoteText"/>
        <w:jc w:val="left"/>
      </w:pPr>
      <w:r w:rsidRPr="00D123B8">
        <w:rPr>
          <w:rStyle w:val="FootnoteReference"/>
        </w:rPr>
        <w:footnoteRef/>
      </w:r>
      <w:r>
        <w:t xml:space="preserve"> 47 C.F.R. § 1.106(b)(3).</w:t>
      </w:r>
    </w:p>
  </w:footnote>
  <w:footnote w:id="27">
    <w:p w:rsidR="00281989" w:rsidRDefault="00281989">
      <w:pPr>
        <w:pStyle w:val="FootnoteText"/>
      </w:pPr>
      <w:r>
        <w:rPr>
          <w:rStyle w:val="FootnoteReference"/>
        </w:rPr>
        <w:footnoteRef/>
      </w:r>
      <w:r>
        <w:t xml:space="preserve"> AFR at 1-2.</w:t>
      </w:r>
    </w:p>
  </w:footnote>
  <w:footnote w:id="28">
    <w:p w:rsidR="00281989" w:rsidRDefault="00281989" w:rsidP="00ED0866">
      <w:pPr>
        <w:pStyle w:val="FootnoteText"/>
      </w:pPr>
      <w:r>
        <w:rPr>
          <w:rStyle w:val="FootnoteReference"/>
        </w:rPr>
        <w:footnoteRef/>
      </w:r>
      <w:r>
        <w:t xml:space="preserve"> 47 C.F.R. §§ 1.106(b)(2)-(3).</w:t>
      </w:r>
    </w:p>
  </w:footnote>
  <w:footnote w:id="29">
    <w:p w:rsidR="00281989" w:rsidRPr="00BC36F9" w:rsidRDefault="00281989" w:rsidP="00ED0866">
      <w:pPr>
        <w:pStyle w:val="FootnoteText"/>
      </w:pPr>
      <w:r>
        <w:rPr>
          <w:rStyle w:val="FootnoteReference"/>
        </w:rPr>
        <w:footnoteRef/>
      </w:r>
      <w:r>
        <w:t xml:space="preserve"> </w:t>
      </w:r>
      <w:r>
        <w:rPr>
          <w:i/>
        </w:rPr>
        <w:t>See, e.g.</w:t>
      </w:r>
      <w:r>
        <w:t xml:space="preserve">, </w:t>
      </w:r>
      <w:r w:rsidRPr="006F797C">
        <w:rPr>
          <w:i/>
        </w:rPr>
        <w:t>Fireside Media</w:t>
      </w:r>
      <w:r>
        <w:t>, Order on Reconsideration, 28 FCC Rcd 16446 (MB 2013).</w:t>
      </w:r>
    </w:p>
  </w:footnote>
  <w:footnote w:id="30">
    <w:p w:rsidR="00281989" w:rsidRDefault="00281989" w:rsidP="004C16A3">
      <w:pPr>
        <w:pStyle w:val="FootnoteText"/>
        <w:jc w:val="left"/>
      </w:pPr>
      <w:r>
        <w:rPr>
          <w:rStyle w:val="FootnoteReference"/>
        </w:rPr>
        <w:footnoteRef/>
      </w:r>
      <w:r>
        <w:t xml:space="preserve"> 47 C.F.R. §§ 1.106(b)(3), 1.106(p).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A7" w:rsidRDefault="00D97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89" w:rsidRDefault="00281989">
    <w:pPr>
      <w:pStyle w:val="Header"/>
      <w:tabs>
        <w:tab w:val="clear" w:pos="4320"/>
        <w:tab w:val="clear" w:pos="8640"/>
        <w:tab w:val="center" w:pos="4680"/>
        <w:tab w:val="right" w:pos="9360"/>
      </w:tabs>
      <w:rPr>
        <w:b/>
      </w:rPr>
    </w:pPr>
    <w:r>
      <w:rPr>
        <w:b/>
      </w:rPr>
      <w:tab/>
      <w:t>Federal Communications Commission</w:t>
    </w:r>
    <w:r>
      <w:rPr>
        <w:b/>
      </w:rPr>
      <w:tab/>
      <w:t xml:space="preserve">DA </w:t>
    </w:r>
    <w:r w:rsidR="00845CCB" w:rsidRPr="00EF4631">
      <w:rPr>
        <w:b/>
      </w:rPr>
      <w:t>14-1048</w:t>
    </w:r>
    <w:r>
      <w:rPr>
        <w:b/>
      </w:rPr>
      <w:t xml:space="preserve"> </w:t>
    </w:r>
  </w:p>
  <w:p w:rsidR="00281989" w:rsidRDefault="00281989">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78FC3802" wp14:editId="7EFD9677">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281989" w:rsidRDefault="00281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89" w:rsidRDefault="00281989">
    <w:pPr>
      <w:pStyle w:val="Header"/>
      <w:tabs>
        <w:tab w:val="clear" w:pos="4320"/>
        <w:tab w:val="clear" w:pos="8640"/>
        <w:tab w:val="center" w:pos="4680"/>
        <w:tab w:val="right" w:pos="9360"/>
      </w:tabs>
      <w:rPr>
        <w:b/>
      </w:rPr>
    </w:pPr>
    <w:r>
      <w:rPr>
        <w:b/>
      </w:rPr>
      <w:tab/>
      <w:t>Federal Communications Commission</w:t>
    </w:r>
    <w:r>
      <w:rPr>
        <w:b/>
      </w:rPr>
      <w:tab/>
      <w:t xml:space="preserve"> DA </w:t>
    </w:r>
    <w:r w:rsidR="00EF4631" w:rsidRPr="00EF4631">
      <w:rPr>
        <w:b/>
      </w:rPr>
      <w:t>14-1048</w:t>
    </w:r>
  </w:p>
  <w:p w:rsidR="00281989" w:rsidRDefault="00281989">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FB"/>
    <w:multiLevelType w:val="hybridMultilevel"/>
    <w:tmpl w:val="18C6DF30"/>
    <w:lvl w:ilvl="0" w:tplc="AD9A6B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783C"/>
    <w:multiLevelType w:val="singleLevel"/>
    <w:tmpl w:val="A52053E0"/>
    <w:lvl w:ilvl="0">
      <w:start w:val="1"/>
      <w:numFmt w:val="decimal"/>
      <w:lvlText w:val="%1."/>
      <w:lvlJc w:val="left"/>
      <w:pPr>
        <w:tabs>
          <w:tab w:val="num" w:pos="360"/>
        </w:tabs>
        <w:ind w:left="-72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4E1B180F"/>
    <w:multiLevelType w:val="hybridMultilevel"/>
    <w:tmpl w:val="FEB61558"/>
    <w:lvl w:ilvl="0" w:tplc="AE58D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A53BE"/>
    <w:multiLevelType w:val="hybridMultilevel"/>
    <w:tmpl w:val="13AAA9F0"/>
    <w:lvl w:ilvl="0" w:tplc="C86A309A">
      <w:start w:val="15"/>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4">
    <w:nsid w:val="70121FA2"/>
    <w:multiLevelType w:val="hybridMultilevel"/>
    <w:tmpl w:val="5FCC96D2"/>
    <w:lvl w:ilvl="0" w:tplc="1302A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5"/>
  </w:num>
  <w:num w:numId="3">
    <w:abstractNumId w:val="5"/>
  </w:num>
  <w:num w:numId="4">
    <w:abstractNumId w:val="19"/>
  </w:num>
  <w:num w:numId="5">
    <w:abstractNumId w:val="6"/>
  </w:num>
  <w:num w:numId="6">
    <w:abstractNumId w:val="22"/>
  </w:num>
  <w:num w:numId="7">
    <w:abstractNumId w:val="14"/>
  </w:num>
  <w:num w:numId="8">
    <w:abstractNumId w:val="7"/>
  </w:num>
  <w:num w:numId="9">
    <w:abstractNumId w:val="21"/>
  </w:num>
  <w:num w:numId="10">
    <w:abstractNumId w:val="12"/>
  </w:num>
  <w:num w:numId="11">
    <w:abstractNumId w:val="11"/>
  </w:num>
  <w:num w:numId="12">
    <w:abstractNumId w:val="8"/>
  </w:num>
  <w:num w:numId="13">
    <w:abstractNumId w:val="13"/>
  </w:num>
  <w:num w:numId="14">
    <w:abstractNumId w:val="20"/>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8"/>
  </w:num>
  <w:num w:numId="22">
    <w:abstractNumId w:val="1"/>
  </w:num>
  <w:num w:numId="23">
    <w:abstractNumId w:val="17"/>
  </w:num>
  <w:num w:numId="24">
    <w:abstractNumId w:val="0"/>
  </w:num>
  <w:num w:numId="25">
    <w:abstractNumId w:val="13"/>
    <w:lvlOverride w:ilvl="0">
      <w:startOverride w:val="1"/>
    </w:lvlOverride>
  </w:num>
  <w:num w:numId="26">
    <w:abstractNumId w:val="24"/>
  </w:num>
  <w:num w:numId="27">
    <w:abstractNumId w:val="16"/>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91"/>
    <w:rsid w:val="0000012F"/>
    <w:rsid w:val="00001F38"/>
    <w:rsid w:val="00011622"/>
    <w:rsid w:val="00011F8B"/>
    <w:rsid w:val="000232CB"/>
    <w:rsid w:val="00026175"/>
    <w:rsid w:val="000325D2"/>
    <w:rsid w:val="00042567"/>
    <w:rsid w:val="000439D5"/>
    <w:rsid w:val="00046BB6"/>
    <w:rsid w:val="00047312"/>
    <w:rsid w:val="000478CE"/>
    <w:rsid w:val="000507AF"/>
    <w:rsid w:val="00073353"/>
    <w:rsid w:val="00076791"/>
    <w:rsid w:val="00077ADF"/>
    <w:rsid w:val="0009174C"/>
    <w:rsid w:val="000A2C6F"/>
    <w:rsid w:val="000A3338"/>
    <w:rsid w:val="000A6FC6"/>
    <w:rsid w:val="000B097D"/>
    <w:rsid w:val="000B5147"/>
    <w:rsid w:val="000B6279"/>
    <w:rsid w:val="000C3454"/>
    <w:rsid w:val="000C5BE5"/>
    <w:rsid w:val="000D3B83"/>
    <w:rsid w:val="000D651C"/>
    <w:rsid w:val="000D6B11"/>
    <w:rsid w:val="000E0815"/>
    <w:rsid w:val="000E1464"/>
    <w:rsid w:val="000E78B0"/>
    <w:rsid w:val="000F488F"/>
    <w:rsid w:val="000F600B"/>
    <w:rsid w:val="001005A9"/>
    <w:rsid w:val="00104006"/>
    <w:rsid w:val="001126F9"/>
    <w:rsid w:val="001168EF"/>
    <w:rsid w:val="00123DF5"/>
    <w:rsid w:val="00126E9E"/>
    <w:rsid w:val="00127036"/>
    <w:rsid w:val="00150FBA"/>
    <w:rsid w:val="00157D85"/>
    <w:rsid w:val="001608B1"/>
    <w:rsid w:val="00160C1D"/>
    <w:rsid w:val="00171B25"/>
    <w:rsid w:val="00171F57"/>
    <w:rsid w:val="00171FDF"/>
    <w:rsid w:val="00172B06"/>
    <w:rsid w:val="0017316E"/>
    <w:rsid w:val="00173988"/>
    <w:rsid w:val="001757A0"/>
    <w:rsid w:val="00177597"/>
    <w:rsid w:val="00181F19"/>
    <w:rsid w:val="00195478"/>
    <w:rsid w:val="00197161"/>
    <w:rsid w:val="001A1121"/>
    <w:rsid w:val="001A5323"/>
    <w:rsid w:val="001B1376"/>
    <w:rsid w:val="001B4D52"/>
    <w:rsid w:val="001B5E11"/>
    <w:rsid w:val="001B637D"/>
    <w:rsid w:val="001D1544"/>
    <w:rsid w:val="001D4EE7"/>
    <w:rsid w:val="001E1F96"/>
    <w:rsid w:val="001E23B7"/>
    <w:rsid w:val="001E2D42"/>
    <w:rsid w:val="001F297E"/>
    <w:rsid w:val="001F2BC9"/>
    <w:rsid w:val="0020248C"/>
    <w:rsid w:val="00205BBB"/>
    <w:rsid w:val="00205F9B"/>
    <w:rsid w:val="00211460"/>
    <w:rsid w:val="00221E78"/>
    <w:rsid w:val="00227107"/>
    <w:rsid w:val="00231532"/>
    <w:rsid w:val="00242C89"/>
    <w:rsid w:val="00245144"/>
    <w:rsid w:val="002457FA"/>
    <w:rsid w:val="002464A9"/>
    <w:rsid w:val="00247E30"/>
    <w:rsid w:val="0025058E"/>
    <w:rsid w:val="00251283"/>
    <w:rsid w:val="00254F31"/>
    <w:rsid w:val="00255387"/>
    <w:rsid w:val="0025617A"/>
    <w:rsid w:val="00256B92"/>
    <w:rsid w:val="002631B4"/>
    <w:rsid w:val="00264E0C"/>
    <w:rsid w:val="0026556C"/>
    <w:rsid w:val="00271F0F"/>
    <w:rsid w:val="00273D53"/>
    <w:rsid w:val="00274591"/>
    <w:rsid w:val="00276245"/>
    <w:rsid w:val="00277652"/>
    <w:rsid w:val="002801C0"/>
    <w:rsid w:val="00281989"/>
    <w:rsid w:val="00282884"/>
    <w:rsid w:val="00286839"/>
    <w:rsid w:val="00293769"/>
    <w:rsid w:val="002976B9"/>
    <w:rsid w:val="002A35D6"/>
    <w:rsid w:val="002A6015"/>
    <w:rsid w:val="002A607F"/>
    <w:rsid w:val="002A618D"/>
    <w:rsid w:val="002B5400"/>
    <w:rsid w:val="002C48FE"/>
    <w:rsid w:val="002C58F4"/>
    <w:rsid w:val="002D23B8"/>
    <w:rsid w:val="002D4938"/>
    <w:rsid w:val="002D4E5B"/>
    <w:rsid w:val="002D658A"/>
    <w:rsid w:val="002E1178"/>
    <w:rsid w:val="002E2A5E"/>
    <w:rsid w:val="002F2BB6"/>
    <w:rsid w:val="003025B0"/>
    <w:rsid w:val="00304AEA"/>
    <w:rsid w:val="00304E88"/>
    <w:rsid w:val="003062F5"/>
    <w:rsid w:val="00307B97"/>
    <w:rsid w:val="00316930"/>
    <w:rsid w:val="00323CDC"/>
    <w:rsid w:val="00324269"/>
    <w:rsid w:val="003272AD"/>
    <w:rsid w:val="003277AC"/>
    <w:rsid w:val="003300BC"/>
    <w:rsid w:val="003341AA"/>
    <w:rsid w:val="003342B2"/>
    <w:rsid w:val="003342DA"/>
    <w:rsid w:val="003342E1"/>
    <w:rsid w:val="0034342E"/>
    <w:rsid w:val="00346263"/>
    <w:rsid w:val="00346F2C"/>
    <w:rsid w:val="003665B8"/>
    <w:rsid w:val="0037246C"/>
    <w:rsid w:val="003865D9"/>
    <w:rsid w:val="00397AB4"/>
    <w:rsid w:val="003A16A6"/>
    <w:rsid w:val="003A37F9"/>
    <w:rsid w:val="003A6E7A"/>
    <w:rsid w:val="003A7F52"/>
    <w:rsid w:val="003B7CFF"/>
    <w:rsid w:val="003C15ED"/>
    <w:rsid w:val="003C51F7"/>
    <w:rsid w:val="003D2BED"/>
    <w:rsid w:val="003D4022"/>
    <w:rsid w:val="003E47EC"/>
    <w:rsid w:val="003E7249"/>
    <w:rsid w:val="003F10AF"/>
    <w:rsid w:val="003F6FAE"/>
    <w:rsid w:val="004007BE"/>
    <w:rsid w:val="00407CD1"/>
    <w:rsid w:val="00410A8E"/>
    <w:rsid w:val="00413808"/>
    <w:rsid w:val="004140A5"/>
    <w:rsid w:val="00414821"/>
    <w:rsid w:val="00415FD9"/>
    <w:rsid w:val="0042098B"/>
    <w:rsid w:val="0042289A"/>
    <w:rsid w:val="00432466"/>
    <w:rsid w:val="004542A0"/>
    <w:rsid w:val="00457332"/>
    <w:rsid w:val="0046287B"/>
    <w:rsid w:val="00467FFD"/>
    <w:rsid w:val="0048152C"/>
    <w:rsid w:val="00485C31"/>
    <w:rsid w:val="004A0B3C"/>
    <w:rsid w:val="004A1EC7"/>
    <w:rsid w:val="004A2A33"/>
    <w:rsid w:val="004A4794"/>
    <w:rsid w:val="004B0C45"/>
    <w:rsid w:val="004B7DA8"/>
    <w:rsid w:val="004C16A3"/>
    <w:rsid w:val="004C2478"/>
    <w:rsid w:val="004C68C2"/>
    <w:rsid w:val="004D0816"/>
    <w:rsid w:val="004D1D0C"/>
    <w:rsid w:val="004D45E7"/>
    <w:rsid w:val="004D4DE7"/>
    <w:rsid w:val="004D6ADC"/>
    <w:rsid w:val="004D741B"/>
    <w:rsid w:val="004D77FA"/>
    <w:rsid w:val="004E3D87"/>
    <w:rsid w:val="004E4E4B"/>
    <w:rsid w:val="004E58C0"/>
    <w:rsid w:val="004F0E0A"/>
    <w:rsid w:val="004F63C1"/>
    <w:rsid w:val="00500724"/>
    <w:rsid w:val="00510BEB"/>
    <w:rsid w:val="00512ADF"/>
    <w:rsid w:val="00514E3A"/>
    <w:rsid w:val="005204BF"/>
    <w:rsid w:val="005236C9"/>
    <w:rsid w:val="00524653"/>
    <w:rsid w:val="00533162"/>
    <w:rsid w:val="005414EF"/>
    <w:rsid w:val="00544377"/>
    <w:rsid w:val="00547F26"/>
    <w:rsid w:val="005523E0"/>
    <w:rsid w:val="005573FD"/>
    <w:rsid w:val="00557DEE"/>
    <w:rsid w:val="005660EA"/>
    <w:rsid w:val="00574A10"/>
    <w:rsid w:val="00575218"/>
    <w:rsid w:val="00576748"/>
    <w:rsid w:val="005851E8"/>
    <w:rsid w:val="005A07FA"/>
    <w:rsid w:val="005A34B7"/>
    <w:rsid w:val="005A69D5"/>
    <w:rsid w:val="005A75C9"/>
    <w:rsid w:val="005A7FFA"/>
    <w:rsid w:val="005B1556"/>
    <w:rsid w:val="005B2795"/>
    <w:rsid w:val="005B6094"/>
    <w:rsid w:val="005B6D6B"/>
    <w:rsid w:val="005C10E6"/>
    <w:rsid w:val="005C1E1B"/>
    <w:rsid w:val="005D00CA"/>
    <w:rsid w:val="005D5E6C"/>
    <w:rsid w:val="005E12A3"/>
    <w:rsid w:val="005E1684"/>
    <w:rsid w:val="005E17D1"/>
    <w:rsid w:val="005E2D6F"/>
    <w:rsid w:val="005F34A6"/>
    <w:rsid w:val="005F4C49"/>
    <w:rsid w:val="005F7AD7"/>
    <w:rsid w:val="00600DD7"/>
    <w:rsid w:val="00605970"/>
    <w:rsid w:val="00611E00"/>
    <w:rsid w:val="00612C50"/>
    <w:rsid w:val="00614C33"/>
    <w:rsid w:val="0061575A"/>
    <w:rsid w:val="00615D30"/>
    <w:rsid w:val="006279CF"/>
    <w:rsid w:val="0063440F"/>
    <w:rsid w:val="006358C3"/>
    <w:rsid w:val="00636A59"/>
    <w:rsid w:val="00641B2A"/>
    <w:rsid w:val="00641F6D"/>
    <w:rsid w:val="00646893"/>
    <w:rsid w:val="00646CE3"/>
    <w:rsid w:val="00650C2F"/>
    <w:rsid w:val="00652B83"/>
    <w:rsid w:val="00654319"/>
    <w:rsid w:val="006572B2"/>
    <w:rsid w:val="00663E30"/>
    <w:rsid w:val="00665390"/>
    <w:rsid w:val="006753FF"/>
    <w:rsid w:val="00690D66"/>
    <w:rsid w:val="006914BC"/>
    <w:rsid w:val="00693462"/>
    <w:rsid w:val="006A0DF5"/>
    <w:rsid w:val="006A16A7"/>
    <w:rsid w:val="006A72C6"/>
    <w:rsid w:val="006A7410"/>
    <w:rsid w:val="006A79BA"/>
    <w:rsid w:val="006B0A32"/>
    <w:rsid w:val="006C1960"/>
    <w:rsid w:val="006C3914"/>
    <w:rsid w:val="006C703C"/>
    <w:rsid w:val="006E18C7"/>
    <w:rsid w:val="006F2041"/>
    <w:rsid w:val="006F3DE4"/>
    <w:rsid w:val="006F70CA"/>
    <w:rsid w:val="006F797C"/>
    <w:rsid w:val="007012A3"/>
    <w:rsid w:val="00707A64"/>
    <w:rsid w:val="00711985"/>
    <w:rsid w:val="00713D3F"/>
    <w:rsid w:val="007170ED"/>
    <w:rsid w:val="0072214E"/>
    <w:rsid w:val="00723AED"/>
    <w:rsid w:val="00727D7D"/>
    <w:rsid w:val="007348C7"/>
    <w:rsid w:val="00735136"/>
    <w:rsid w:val="0073594A"/>
    <w:rsid w:val="00737859"/>
    <w:rsid w:val="00741D76"/>
    <w:rsid w:val="0074481A"/>
    <w:rsid w:val="007461AE"/>
    <w:rsid w:val="00746626"/>
    <w:rsid w:val="00750291"/>
    <w:rsid w:val="0075226B"/>
    <w:rsid w:val="0075260A"/>
    <w:rsid w:val="00752ED8"/>
    <w:rsid w:val="00756A5C"/>
    <w:rsid w:val="00757BDD"/>
    <w:rsid w:val="0076001B"/>
    <w:rsid w:val="00762538"/>
    <w:rsid w:val="00766175"/>
    <w:rsid w:val="00773FD3"/>
    <w:rsid w:val="00792C29"/>
    <w:rsid w:val="007A0886"/>
    <w:rsid w:val="007A408D"/>
    <w:rsid w:val="007A6E08"/>
    <w:rsid w:val="007A714A"/>
    <w:rsid w:val="007B066F"/>
    <w:rsid w:val="007C59E2"/>
    <w:rsid w:val="007D01C8"/>
    <w:rsid w:val="007D100B"/>
    <w:rsid w:val="007D67AF"/>
    <w:rsid w:val="007E5DE9"/>
    <w:rsid w:val="007F1112"/>
    <w:rsid w:val="007F1545"/>
    <w:rsid w:val="007F1D68"/>
    <w:rsid w:val="007F26A9"/>
    <w:rsid w:val="00805CFE"/>
    <w:rsid w:val="0081072D"/>
    <w:rsid w:val="00811D62"/>
    <w:rsid w:val="00815A1D"/>
    <w:rsid w:val="00815F6C"/>
    <w:rsid w:val="008228EA"/>
    <w:rsid w:val="0084508E"/>
    <w:rsid w:val="00845CCB"/>
    <w:rsid w:val="008505C5"/>
    <w:rsid w:val="00851283"/>
    <w:rsid w:val="008513ED"/>
    <w:rsid w:val="00856A61"/>
    <w:rsid w:val="00857544"/>
    <w:rsid w:val="00861514"/>
    <w:rsid w:val="00863767"/>
    <w:rsid w:val="00871561"/>
    <w:rsid w:val="0087344A"/>
    <w:rsid w:val="008749FA"/>
    <w:rsid w:val="0087508C"/>
    <w:rsid w:val="00876CA8"/>
    <w:rsid w:val="008778C1"/>
    <w:rsid w:val="00880674"/>
    <w:rsid w:val="00880B2B"/>
    <w:rsid w:val="00883B9B"/>
    <w:rsid w:val="00884C87"/>
    <w:rsid w:val="008936CA"/>
    <w:rsid w:val="008953FB"/>
    <w:rsid w:val="00895624"/>
    <w:rsid w:val="008A25C3"/>
    <w:rsid w:val="008A2F30"/>
    <w:rsid w:val="008B5A97"/>
    <w:rsid w:val="008B6DEC"/>
    <w:rsid w:val="008B7B09"/>
    <w:rsid w:val="008B7EC2"/>
    <w:rsid w:val="008C199F"/>
    <w:rsid w:val="008C2465"/>
    <w:rsid w:val="008C6666"/>
    <w:rsid w:val="008D070B"/>
    <w:rsid w:val="008D32A4"/>
    <w:rsid w:val="008D7084"/>
    <w:rsid w:val="008F31D6"/>
    <w:rsid w:val="008F6B68"/>
    <w:rsid w:val="008F74C1"/>
    <w:rsid w:val="008F7C27"/>
    <w:rsid w:val="00906C58"/>
    <w:rsid w:val="00911B53"/>
    <w:rsid w:val="00931464"/>
    <w:rsid w:val="009339A5"/>
    <w:rsid w:val="00935AA3"/>
    <w:rsid w:val="00937394"/>
    <w:rsid w:val="00954A0D"/>
    <w:rsid w:val="009558D9"/>
    <w:rsid w:val="00966DD4"/>
    <w:rsid w:val="00972D7B"/>
    <w:rsid w:val="00974482"/>
    <w:rsid w:val="0097598D"/>
    <w:rsid w:val="009816EE"/>
    <w:rsid w:val="00986030"/>
    <w:rsid w:val="009870C4"/>
    <w:rsid w:val="00990C1D"/>
    <w:rsid w:val="009A0417"/>
    <w:rsid w:val="009A07D3"/>
    <w:rsid w:val="009A133B"/>
    <w:rsid w:val="009A5897"/>
    <w:rsid w:val="009A7E05"/>
    <w:rsid w:val="009C04F5"/>
    <w:rsid w:val="009C1334"/>
    <w:rsid w:val="009D04A7"/>
    <w:rsid w:val="009D1ED3"/>
    <w:rsid w:val="009D224E"/>
    <w:rsid w:val="009E5C44"/>
    <w:rsid w:val="009F244D"/>
    <w:rsid w:val="009F31B3"/>
    <w:rsid w:val="009F5808"/>
    <w:rsid w:val="009F762E"/>
    <w:rsid w:val="009F7763"/>
    <w:rsid w:val="00A14322"/>
    <w:rsid w:val="00A22171"/>
    <w:rsid w:val="00A224E2"/>
    <w:rsid w:val="00A30E5A"/>
    <w:rsid w:val="00A3101F"/>
    <w:rsid w:val="00A3159A"/>
    <w:rsid w:val="00A35BDA"/>
    <w:rsid w:val="00A36666"/>
    <w:rsid w:val="00A37291"/>
    <w:rsid w:val="00A37A2E"/>
    <w:rsid w:val="00A40711"/>
    <w:rsid w:val="00A50FA4"/>
    <w:rsid w:val="00A605E9"/>
    <w:rsid w:val="00A65DBA"/>
    <w:rsid w:val="00A70FEA"/>
    <w:rsid w:val="00A7270A"/>
    <w:rsid w:val="00A834D8"/>
    <w:rsid w:val="00A86B98"/>
    <w:rsid w:val="00A87DB7"/>
    <w:rsid w:val="00A92BC5"/>
    <w:rsid w:val="00A96094"/>
    <w:rsid w:val="00AA08EE"/>
    <w:rsid w:val="00AA0CC8"/>
    <w:rsid w:val="00AA0F8C"/>
    <w:rsid w:val="00AA2942"/>
    <w:rsid w:val="00AA29F1"/>
    <w:rsid w:val="00AC5334"/>
    <w:rsid w:val="00AC7BC3"/>
    <w:rsid w:val="00AF03FC"/>
    <w:rsid w:val="00AF226D"/>
    <w:rsid w:val="00B148AC"/>
    <w:rsid w:val="00B1657E"/>
    <w:rsid w:val="00B22D0E"/>
    <w:rsid w:val="00B2651F"/>
    <w:rsid w:val="00B3053F"/>
    <w:rsid w:val="00B31864"/>
    <w:rsid w:val="00B31B9C"/>
    <w:rsid w:val="00B32DB8"/>
    <w:rsid w:val="00B337D8"/>
    <w:rsid w:val="00B37C41"/>
    <w:rsid w:val="00B45E06"/>
    <w:rsid w:val="00B464F9"/>
    <w:rsid w:val="00B54BDA"/>
    <w:rsid w:val="00B67668"/>
    <w:rsid w:val="00B73F4C"/>
    <w:rsid w:val="00B81E58"/>
    <w:rsid w:val="00B86CB9"/>
    <w:rsid w:val="00B95258"/>
    <w:rsid w:val="00BA188F"/>
    <w:rsid w:val="00BA2DDD"/>
    <w:rsid w:val="00BA6233"/>
    <w:rsid w:val="00BB1C76"/>
    <w:rsid w:val="00BB7452"/>
    <w:rsid w:val="00BB79FF"/>
    <w:rsid w:val="00BC36F9"/>
    <w:rsid w:val="00BC3C54"/>
    <w:rsid w:val="00BC3F33"/>
    <w:rsid w:val="00BC6769"/>
    <w:rsid w:val="00BC7BBC"/>
    <w:rsid w:val="00BD6E70"/>
    <w:rsid w:val="00BF1638"/>
    <w:rsid w:val="00BF33FD"/>
    <w:rsid w:val="00C0112F"/>
    <w:rsid w:val="00C02716"/>
    <w:rsid w:val="00C0377F"/>
    <w:rsid w:val="00C063F5"/>
    <w:rsid w:val="00C0724C"/>
    <w:rsid w:val="00C07F03"/>
    <w:rsid w:val="00C108D0"/>
    <w:rsid w:val="00C14B99"/>
    <w:rsid w:val="00C17176"/>
    <w:rsid w:val="00C2491A"/>
    <w:rsid w:val="00C26924"/>
    <w:rsid w:val="00C26DC3"/>
    <w:rsid w:val="00C30D26"/>
    <w:rsid w:val="00C33213"/>
    <w:rsid w:val="00C40F52"/>
    <w:rsid w:val="00C42AB6"/>
    <w:rsid w:val="00C44110"/>
    <w:rsid w:val="00C45434"/>
    <w:rsid w:val="00C45AA7"/>
    <w:rsid w:val="00C518FC"/>
    <w:rsid w:val="00C56DC1"/>
    <w:rsid w:val="00C6397F"/>
    <w:rsid w:val="00C64BA4"/>
    <w:rsid w:val="00C712CD"/>
    <w:rsid w:val="00C72DE2"/>
    <w:rsid w:val="00C774AC"/>
    <w:rsid w:val="00C802F4"/>
    <w:rsid w:val="00C812A1"/>
    <w:rsid w:val="00C94B9A"/>
    <w:rsid w:val="00C969AF"/>
    <w:rsid w:val="00C96CF8"/>
    <w:rsid w:val="00C97506"/>
    <w:rsid w:val="00C9767F"/>
    <w:rsid w:val="00CA4869"/>
    <w:rsid w:val="00CA4C3A"/>
    <w:rsid w:val="00CA6AA3"/>
    <w:rsid w:val="00CB2689"/>
    <w:rsid w:val="00CB3B89"/>
    <w:rsid w:val="00CC1262"/>
    <w:rsid w:val="00CC180E"/>
    <w:rsid w:val="00CC330C"/>
    <w:rsid w:val="00CC363A"/>
    <w:rsid w:val="00CC4A5F"/>
    <w:rsid w:val="00CC5C35"/>
    <w:rsid w:val="00CC71AD"/>
    <w:rsid w:val="00CD6294"/>
    <w:rsid w:val="00CD6842"/>
    <w:rsid w:val="00CE0985"/>
    <w:rsid w:val="00CF2168"/>
    <w:rsid w:val="00CF6BE8"/>
    <w:rsid w:val="00CF76A5"/>
    <w:rsid w:val="00D10963"/>
    <w:rsid w:val="00D25163"/>
    <w:rsid w:val="00D25285"/>
    <w:rsid w:val="00D25F0B"/>
    <w:rsid w:val="00D4372E"/>
    <w:rsid w:val="00D501A1"/>
    <w:rsid w:val="00D56F10"/>
    <w:rsid w:val="00D60FF5"/>
    <w:rsid w:val="00D61CE5"/>
    <w:rsid w:val="00D66050"/>
    <w:rsid w:val="00D66944"/>
    <w:rsid w:val="00D71A26"/>
    <w:rsid w:val="00D74F01"/>
    <w:rsid w:val="00D767D6"/>
    <w:rsid w:val="00D857D3"/>
    <w:rsid w:val="00D9372A"/>
    <w:rsid w:val="00D976A7"/>
    <w:rsid w:val="00DB24FC"/>
    <w:rsid w:val="00DB3FF3"/>
    <w:rsid w:val="00DB7578"/>
    <w:rsid w:val="00DC2F34"/>
    <w:rsid w:val="00DC7617"/>
    <w:rsid w:val="00DD0AB4"/>
    <w:rsid w:val="00DE4787"/>
    <w:rsid w:val="00DE77B4"/>
    <w:rsid w:val="00DF0BF6"/>
    <w:rsid w:val="00DF12B8"/>
    <w:rsid w:val="00DF314B"/>
    <w:rsid w:val="00DF3A78"/>
    <w:rsid w:val="00E05178"/>
    <w:rsid w:val="00E1322E"/>
    <w:rsid w:val="00E20B6F"/>
    <w:rsid w:val="00E27ED4"/>
    <w:rsid w:val="00E33581"/>
    <w:rsid w:val="00E41545"/>
    <w:rsid w:val="00E501BB"/>
    <w:rsid w:val="00E6050E"/>
    <w:rsid w:val="00E6499C"/>
    <w:rsid w:val="00E655ED"/>
    <w:rsid w:val="00E66C6E"/>
    <w:rsid w:val="00E724B4"/>
    <w:rsid w:val="00E733CC"/>
    <w:rsid w:val="00E74908"/>
    <w:rsid w:val="00E75113"/>
    <w:rsid w:val="00E76628"/>
    <w:rsid w:val="00E76DFE"/>
    <w:rsid w:val="00E84F54"/>
    <w:rsid w:val="00E865D5"/>
    <w:rsid w:val="00E94291"/>
    <w:rsid w:val="00EB0584"/>
    <w:rsid w:val="00EB24EB"/>
    <w:rsid w:val="00EB2A2F"/>
    <w:rsid w:val="00EB2D01"/>
    <w:rsid w:val="00EC149C"/>
    <w:rsid w:val="00EC2F92"/>
    <w:rsid w:val="00ED0866"/>
    <w:rsid w:val="00ED6B09"/>
    <w:rsid w:val="00EE30F4"/>
    <w:rsid w:val="00EE55AC"/>
    <w:rsid w:val="00EF4631"/>
    <w:rsid w:val="00F03D0B"/>
    <w:rsid w:val="00F03F15"/>
    <w:rsid w:val="00F06232"/>
    <w:rsid w:val="00F14B0B"/>
    <w:rsid w:val="00F2001E"/>
    <w:rsid w:val="00F278DF"/>
    <w:rsid w:val="00F42E1A"/>
    <w:rsid w:val="00F43DEE"/>
    <w:rsid w:val="00F45743"/>
    <w:rsid w:val="00F46FBC"/>
    <w:rsid w:val="00F574EC"/>
    <w:rsid w:val="00F6127B"/>
    <w:rsid w:val="00F64071"/>
    <w:rsid w:val="00F6726E"/>
    <w:rsid w:val="00F77925"/>
    <w:rsid w:val="00F805DF"/>
    <w:rsid w:val="00F80B3A"/>
    <w:rsid w:val="00F87513"/>
    <w:rsid w:val="00FA2FEC"/>
    <w:rsid w:val="00FB1AC4"/>
    <w:rsid w:val="00FB4D0C"/>
    <w:rsid w:val="00FC0684"/>
    <w:rsid w:val="00FC797F"/>
    <w:rsid w:val="00FD087B"/>
    <w:rsid w:val="00FD2040"/>
    <w:rsid w:val="00FD316C"/>
    <w:rsid w:val="00FD74FC"/>
    <w:rsid w:val="00FE2FEC"/>
    <w:rsid w:val="00FE5C34"/>
    <w:rsid w:val="00FF3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basedOn w:val="Normal"/>
    <w:link w:val="FootnoteTextChar1"/>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
    <w:basedOn w:val="DefaultParagraphFon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72214E"/>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211460"/>
    <w:rPr>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z w:val="22"/>
    </w:rPr>
  </w:style>
  <w:style w:type="paragraph" w:styleId="Revision">
    <w:name w:val="Revision"/>
    <w:hidden/>
    <w:uiPriority w:val="99"/>
    <w:semiHidden/>
    <w:rsid w:val="00C44110"/>
    <w:rPr>
      <w:sz w:val="22"/>
    </w:rPr>
  </w:style>
  <w:style w:type="paragraph" w:styleId="ListParagraph">
    <w:name w:val="List Paragraph"/>
    <w:basedOn w:val="Normal"/>
    <w:uiPriority w:val="34"/>
    <w:qFormat/>
    <w:rsid w:val="00DC7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basedOn w:val="Normal"/>
    <w:link w:val="FootnoteTextChar1"/>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
    <w:basedOn w:val="DefaultParagraphFon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72214E"/>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211460"/>
    <w:rPr>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z w:val="22"/>
    </w:rPr>
  </w:style>
  <w:style w:type="paragraph" w:styleId="Revision">
    <w:name w:val="Revision"/>
    <w:hidden/>
    <w:uiPriority w:val="99"/>
    <w:semiHidden/>
    <w:rsid w:val="00C44110"/>
    <w:rPr>
      <w:sz w:val="22"/>
    </w:rPr>
  </w:style>
  <w:style w:type="paragraph" w:styleId="ListParagraph">
    <w:name w:val="List Paragraph"/>
    <w:basedOn w:val="Normal"/>
    <w:uiPriority w:val="34"/>
    <w:qFormat/>
    <w:rsid w:val="00DC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6483">
      <w:bodyDiv w:val="1"/>
      <w:marLeft w:val="0"/>
      <w:marRight w:val="0"/>
      <w:marTop w:val="0"/>
      <w:marBottom w:val="0"/>
      <w:divBdr>
        <w:top w:val="none" w:sz="0" w:space="0" w:color="auto"/>
        <w:left w:val="none" w:sz="0" w:space="0" w:color="auto"/>
        <w:bottom w:val="none" w:sz="0" w:space="0" w:color="auto"/>
        <w:right w:val="none" w:sz="0" w:space="0" w:color="auto"/>
      </w:divBdr>
    </w:div>
    <w:div w:id="15299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830</Words>
  <Characters>4648</Characters>
  <Application>Microsoft Office Word</Application>
  <DocSecurity>0</DocSecurity>
  <Lines>94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2014-07-24T12:18:00Z</dcterms:created>
  <dcterms:modified xsi:type="dcterms:W3CDTF">2014-07-24T12:18:00Z</dcterms:modified>
  <cp:category> </cp:category>
  <cp:contentStatus> </cp:contentStatus>
</cp:coreProperties>
</file>